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es-ES"/>
        </w:rPr>
        <mc:AlternateContent>
          <mc:Choice Requires="wps">
            <w:drawing>
              <wp:anchor distT="0" distB="0" distL="114300" distR="114300" simplePos="0" relativeHeight="251658240" behindDoc="0" locked="0" layoutInCell="1" allowOverlap="1" wp14:anchorId="6FC0C8B7" wp14:editId="403DFDA1">
                <wp:simplePos x="0" y="0"/>
                <wp:positionH relativeFrom="column">
                  <wp:posOffset>-91017</wp:posOffset>
                </wp:positionH>
                <wp:positionV relativeFrom="paragraph">
                  <wp:posOffset>67522</wp:posOffset>
                </wp:positionV>
                <wp:extent cx="6286500" cy="1352550"/>
                <wp:effectExtent l="25400" t="2540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5255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es-ES"/>
                              </w:rPr>
                              <w:t>RESUMEN DE SEGURIDAD Y RENDIMIENTO CLÍNICO (SSCP)</w:t>
                            </w:r>
                          </w:p>
                          <w:p w14:paraId="480C2BB8" w14:textId="77777777" w:rsidR="001E25B0" w:rsidRPr="001E25B0" w:rsidRDefault="00162805" w:rsidP="001E25B0">
                            <w:pPr>
                              <w:spacing w:after="0" w:afterAutospacing="0"/>
                              <w:jc w:val="center"/>
                              <w:rPr>
                                <w:b/>
                                <w:bCs/>
                                <w:sz w:val="32"/>
                                <w:szCs w:val="32"/>
                              </w:rPr>
                            </w:pPr>
                            <w:r>
                              <w:rPr>
                                <w:b/>
                                <w:bCs/>
                                <w:sz w:val="32"/>
                                <w:szCs w:val="32"/>
                                <w:lang w:val="es-ES"/>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es-ES"/>
                              </w:rPr>
                              <w:t xml:space="preserve">Sistemas de catéter </w:t>
                            </w:r>
                            <w:proofErr w:type="spellStart"/>
                            <w:r>
                              <w:rPr>
                                <w:b/>
                                <w:bCs/>
                                <w:sz w:val="32"/>
                                <w:szCs w:val="32"/>
                                <w:lang w:val="es-ES"/>
                              </w:rPr>
                              <w:t>Skater</w:t>
                            </w:r>
                            <w:proofErr w:type="spellEnd"/>
                            <w:r>
                              <w:rPr>
                                <w:b/>
                                <w:bCs/>
                                <w:sz w:val="32"/>
                                <w:szCs w:val="32"/>
                                <w:lang w:val="es-ES"/>
                              </w:rPr>
                              <w:t xml:space="preserve">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es-ES"/>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es-ES"/>
                              </w:rPr>
                              <w:t>TD-01</w:t>
                            </w:r>
                          </w:p>
                          <w:p w14:paraId="3CF39942" w14:textId="77777777" w:rsidR="0005411A" w:rsidRPr="00267292" w:rsidRDefault="0005411A" w:rsidP="009855C3"/>
                          <w:p w14:paraId="684B57C2" w14:textId="77777777" w:rsidR="0005411A" w:rsidRPr="00267292" w:rsidRDefault="0005411A" w:rsidP="009855C3">
                            <w:r>
                              <w:rPr>
                                <w:lang w:val="es-ES"/>
                              </w:rPr>
                              <w:t>[FECHA]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15pt;margin-top:5.3pt;width:49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es-ES"/>
                        </w:rPr>
                        <w:t>RESUMEN DE SEGURIDAD Y RENDIMIENTO CLÍNICO (SSCP)</w:t>
                      </w:r>
                    </w:p>
                    <w:p w14:paraId="480C2BB8" w14:textId="77777777" w:rsidR="001E25B0" w:rsidRPr="001E25B0" w:rsidRDefault="00162805" w:rsidP="001E25B0">
                      <w:pPr>
                        <w:spacing w:after="0" w:afterAutospacing="0"/>
                        <w:jc w:val="center"/>
                        <w:rPr>
                          <w:b/>
                          <w:bCs/>
                          <w:sz w:val="32"/>
                          <w:szCs w:val="32"/>
                        </w:rPr>
                      </w:pPr>
                      <w:r>
                        <w:rPr>
                          <w:b/>
                          <w:bCs/>
                          <w:sz w:val="32"/>
                          <w:szCs w:val="32"/>
                          <w:lang w:val="es-ES"/>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es-ES"/>
                        </w:rPr>
                        <w:t xml:space="preserve">Sistemas de catéter </w:t>
                      </w:r>
                      <w:proofErr w:type="spellStart"/>
                      <w:r>
                        <w:rPr>
                          <w:b/>
                          <w:bCs/>
                          <w:sz w:val="32"/>
                          <w:szCs w:val="32"/>
                          <w:lang w:val="es-ES"/>
                        </w:rPr>
                        <w:t>Skater</w:t>
                      </w:r>
                      <w:proofErr w:type="spellEnd"/>
                      <w:r>
                        <w:rPr>
                          <w:b/>
                          <w:bCs/>
                          <w:sz w:val="32"/>
                          <w:szCs w:val="32"/>
                          <w:lang w:val="es-ES"/>
                        </w:rPr>
                        <w:t xml:space="preserve">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es-ES"/>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es-ES"/>
                        </w:rPr>
                        <w:t>TD-01</w:t>
                      </w:r>
                    </w:p>
                    <w:p w14:paraId="3CF39942" w14:textId="77777777" w:rsidR="0005411A" w:rsidRPr="00267292" w:rsidRDefault="0005411A" w:rsidP="009855C3"/>
                    <w:p w14:paraId="684B57C2" w14:textId="77777777" w:rsidR="0005411A" w:rsidRPr="00267292" w:rsidRDefault="0005411A" w:rsidP="009855C3">
                      <w:r>
                        <w:rPr>
                          <w:lang w:val="es-ES"/>
                        </w:rPr>
                        <w:t>[FECHA]</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es-ES"/>
        </w:rPr>
        <w:t xml:space="preserve">Para su publicación en </w:t>
      </w:r>
      <w:proofErr w:type="spellStart"/>
      <w:r>
        <w:rPr>
          <w:rFonts w:cs="Times New Roman"/>
          <w:lang w:val="es-ES"/>
        </w:rPr>
        <w:t>Eudamed</w:t>
      </w:r>
      <w:proofErr w:type="spellEnd"/>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46"/>
        <w:gridCol w:w="1643"/>
        <w:gridCol w:w="6760"/>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es-ES"/>
              </w:rPr>
              <w:t>FUNCIÓN</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es-ES"/>
              </w:rPr>
              <w:t>DEPT.</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es-ES"/>
              </w:rPr>
              <w:t>NOMBRE/TÍTULO</w:t>
            </w:r>
          </w:p>
        </w:tc>
      </w:tr>
      <w:tr w:rsidR="00E91403" w:rsidRPr="00F02346"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es-ES"/>
              </w:rPr>
              <w:t>Redactado por</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es-ES"/>
              </w:rPr>
              <w:t>Asuntos reglamentarios</w:t>
            </w:r>
          </w:p>
        </w:tc>
        <w:tc>
          <w:tcPr>
            <w:tcW w:w="7468" w:type="dxa"/>
            <w:tcBorders>
              <w:top w:val="double" w:sz="4" w:space="0" w:color="auto"/>
            </w:tcBorders>
            <w:vAlign w:val="center"/>
          </w:tcPr>
          <w:p w14:paraId="6E348058" w14:textId="77777777" w:rsidR="004553BF" w:rsidRPr="00F02346" w:rsidRDefault="004553BF" w:rsidP="004553B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es-ES"/>
              </w:rPr>
              <w:t xml:space="preserve">Nadira Lotus </w:t>
            </w:r>
          </w:p>
          <w:p w14:paraId="7BA00BEF" w14:textId="436799A3" w:rsidR="00E91403" w:rsidRPr="00F02346" w:rsidRDefault="00D947BA" w:rsidP="004553BF">
            <w:pPr>
              <w:jc w:val="center"/>
              <w:rPr>
                <w:rFonts w:cs="Times New Roman"/>
                <w:szCs w:val="24"/>
                <w:lang w:val="it-IT"/>
              </w:rPr>
            </w:pPr>
            <w:r>
              <w:rPr>
                <w:rFonts w:eastAsia="Times New Roman" w:cs="Times New Roman"/>
                <w:color w:val="000000" w:themeColor="text1"/>
                <w:szCs w:val="24"/>
                <w:lang w:val="es-ES"/>
              </w:rPr>
              <w:t xml:space="preserve">Directora de vigilancia </w:t>
            </w:r>
            <w:proofErr w:type="spellStart"/>
            <w:r>
              <w:rPr>
                <w:rFonts w:eastAsia="Times New Roman" w:cs="Times New Roman"/>
                <w:color w:val="000000" w:themeColor="text1"/>
                <w:szCs w:val="24"/>
                <w:lang w:val="es-ES"/>
              </w:rPr>
              <w:t>poscomercialización</w:t>
            </w:r>
            <w:proofErr w:type="spellEnd"/>
          </w:p>
        </w:tc>
      </w:tr>
    </w:tbl>
    <w:p w14:paraId="45EA3393" w14:textId="77777777" w:rsidR="00E91403" w:rsidRPr="00F02346" w:rsidRDefault="00E91403" w:rsidP="00E91403">
      <w:pPr>
        <w:jc w:val="center"/>
        <w:rPr>
          <w:rFonts w:cs="Times New Roman"/>
          <w:b/>
          <w:lang w:val="it-IT"/>
        </w:rPr>
      </w:pPr>
    </w:p>
    <w:p w14:paraId="3ADE6C89" w14:textId="0496458B" w:rsidR="00E91403" w:rsidRPr="00F02346" w:rsidRDefault="00E91403" w:rsidP="00D7170B">
      <w:pPr>
        <w:tabs>
          <w:tab w:val="center" w:pos="5220"/>
          <w:tab w:val="right" w:pos="10440"/>
        </w:tabs>
        <w:spacing w:after="0" w:afterAutospacing="0"/>
        <w:rPr>
          <w:rFonts w:cs="Times New Roman"/>
          <w:b/>
          <w:lang w:val="it-IT"/>
        </w:rPr>
      </w:pPr>
      <w:r>
        <w:rPr>
          <w:rFonts w:cs="Times New Roman"/>
          <w:lang w:val="es-ES"/>
        </w:rPr>
        <w:tab/>
      </w:r>
      <w:r>
        <w:rPr>
          <w:rFonts w:cs="Times New Roman"/>
          <w:b/>
          <w:bCs/>
          <w:lang w:val="es-ES"/>
        </w:rPr>
        <w:t>Matriz de aprobación de firmas</w:t>
      </w:r>
      <w:r>
        <w:rPr>
          <w:rFonts w:cs="Times New Roman"/>
          <w:lang w:val="es-ES"/>
        </w:rPr>
        <w:tab/>
      </w:r>
    </w:p>
    <w:p w14:paraId="01F684E3" w14:textId="77777777" w:rsidR="00E91403" w:rsidRPr="00F02346" w:rsidRDefault="00E91403" w:rsidP="00D7170B">
      <w:pPr>
        <w:spacing w:after="0" w:afterAutospacing="0"/>
        <w:ind w:right="274"/>
        <w:rPr>
          <w:rFonts w:cs="Times New Roman"/>
          <w:sz w:val="20"/>
          <w:szCs w:val="20"/>
          <w:lang w:val="it-IT"/>
        </w:rPr>
      </w:pPr>
      <w:r>
        <w:rPr>
          <w:rFonts w:cs="Times New Roman"/>
          <w:sz w:val="20"/>
          <w:szCs w:val="20"/>
          <w:lang w:val="es-ES"/>
        </w:rPr>
        <w:t>Este documento debe ser revisado y aprobado por todas las personas que se enumeran a continuación o sus representantes autorizados.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30"/>
        <w:gridCol w:w="1310"/>
        <w:gridCol w:w="7209"/>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FUNCIÓN</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DEPT.</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NOMBRE/TÍTULO</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es-ES"/>
              </w:rPr>
              <w:t>Aprobación</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es-ES"/>
              </w:rPr>
              <w:t>Asuntos clínicos</w:t>
            </w:r>
          </w:p>
        </w:tc>
        <w:tc>
          <w:tcPr>
            <w:tcW w:w="7519" w:type="dxa"/>
            <w:vAlign w:val="center"/>
          </w:tcPr>
          <w:p w14:paraId="26F9FA1F" w14:textId="4BD343C6" w:rsidR="00FD4D16" w:rsidRPr="00451CE9" w:rsidRDefault="00FD4D16" w:rsidP="00FD4D16">
            <w:pPr>
              <w:spacing w:after="0" w:afterAutospacing="0"/>
              <w:jc w:val="center"/>
              <w:rPr>
                <w:rFonts w:cs="Times New Roman"/>
                <w:szCs w:val="24"/>
              </w:rPr>
            </w:pPr>
            <w:proofErr w:type="spellStart"/>
            <w:r>
              <w:rPr>
                <w:rFonts w:cs="Times New Roman"/>
                <w:szCs w:val="24"/>
                <w:lang w:val="es-ES"/>
              </w:rPr>
              <w:t>Dan</w:t>
            </w:r>
            <w:r w:rsidR="00C27487">
              <w:rPr>
                <w:rFonts w:cs="Times New Roman"/>
                <w:szCs w:val="24"/>
                <w:lang w:val="es-ES"/>
              </w:rPr>
              <w:t>y</w:t>
            </w:r>
            <w:r>
              <w:rPr>
                <w:rFonts w:cs="Times New Roman"/>
                <w:szCs w:val="24"/>
                <w:lang w:val="es-ES"/>
              </w:rPr>
              <w:t>el</w:t>
            </w:r>
            <w:proofErr w:type="spellEnd"/>
            <w:r>
              <w:rPr>
                <w:rFonts w:cs="Times New Roman"/>
                <w:szCs w:val="24"/>
                <w:lang w:val="es-ES"/>
              </w:rPr>
              <w:t xml:space="preserve"> </w:t>
            </w:r>
            <w:proofErr w:type="spellStart"/>
            <w:r>
              <w:rPr>
                <w:rFonts w:cs="Times New Roman"/>
                <w:szCs w:val="24"/>
                <w:lang w:val="es-ES"/>
              </w:rPr>
              <w:t>Carr</w:t>
            </w:r>
            <w:proofErr w:type="spellEnd"/>
          </w:p>
          <w:p w14:paraId="172E4813" w14:textId="1FBBE02C" w:rsidR="00E91403" w:rsidRPr="00451CE9" w:rsidRDefault="00D947BA" w:rsidP="00FD4D16">
            <w:pPr>
              <w:jc w:val="center"/>
              <w:rPr>
                <w:rFonts w:cs="Times New Roman"/>
                <w:szCs w:val="24"/>
              </w:rPr>
            </w:pPr>
            <w:r>
              <w:rPr>
                <w:rFonts w:cs="Times New Roman"/>
                <w:szCs w:val="24"/>
                <w:lang w:val="es-ES"/>
              </w:rPr>
              <w:t>Director sénior de asuntos clínicos</w:t>
            </w:r>
          </w:p>
        </w:tc>
      </w:tr>
      <w:tr w:rsidR="00E91403" w:rsidRPr="00F02346"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es-ES"/>
              </w:rPr>
              <w:t>Aprobación</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es-ES"/>
              </w:rPr>
              <w:t xml:space="preserve">Calidad </w:t>
            </w:r>
          </w:p>
        </w:tc>
        <w:tc>
          <w:tcPr>
            <w:tcW w:w="7519" w:type="dxa"/>
            <w:vAlign w:val="center"/>
          </w:tcPr>
          <w:p w14:paraId="76BBB71F" w14:textId="77777777" w:rsidR="000B3199" w:rsidRPr="00F02346" w:rsidRDefault="000B3199" w:rsidP="000B3199">
            <w:pPr>
              <w:spacing w:after="0" w:afterAutospacing="0" w:line="240" w:lineRule="auto"/>
              <w:jc w:val="center"/>
              <w:rPr>
                <w:rFonts w:eastAsia="Times New Roman" w:cs="Times New Roman"/>
                <w:szCs w:val="24"/>
                <w:lang w:val="it-IT"/>
              </w:rPr>
            </w:pPr>
            <w:r>
              <w:rPr>
                <w:rFonts w:eastAsia="Times New Roman" w:cs="Times New Roman"/>
                <w:szCs w:val="24"/>
                <w:lang w:val="es-ES"/>
              </w:rPr>
              <w:t xml:space="preserve">Dan </w:t>
            </w:r>
            <w:proofErr w:type="spellStart"/>
            <w:r>
              <w:rPr>
                <w:rFonts w:eastAsia="Times New Roman" w:cs="Times New Roman"/>
                <w:szCs w:val="24"/>
                <w:lang w:val="es-ES"/>
              </w:rPr>
              <w:t>Woda</w:t>
            </w:r>
            <w:proofErr w:type="spellEnd"/>
          </w:p>
          <w:p w14:paraId="1EA24645" w14:textId="1A6D051E" w:rsidR="00E91403" w:rsidRPr="00F02346" w:rsidRDefault="000B3199" w:rsidP="000B3199">
            <w:pPr>
              <w:jc w:val="center"/>
              <w:rPr>
                <w:rFonts w:cs="Times New Roman"/>
                <w:szCs w:val="24"/>
                <w:lang w:val="it-IT"/>
              </w:rPr>
            </w:pPr>
            <w:r>
              <w:rPr>
                <w:rFonts w:eastAsia="Times New Roman" w:cs="Times New Roman"/>
                <w:color w:val="000000" w:themeColor="text1"/>
                <w:szCs w:val="24"/>
                <w:lang w:val="es-ES"/>
              </w:rPr>
              <w:t>Ingeniero sénior de calidad</w:t>
            </w:r>
          </w:p>
        </w:tc>
      </w:tr>
      <w:tr w:rsidR="00E91403" w:rsidRPr="00F02346"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es-ES"/>
              </w:rPr>
              <w:t>Aprobación</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es-ES"/>
              </w:rPr>
              <w:t xml:space="preserve">Regulación </w:t>
            </w:r>
          </w:p>
        </w:tc>
        <w:tc>
          <w:tcPr>
            <w:tcW w:w="7519" w:type="dxa"/>
            <w:vAlign w:val="center"/>
          </w:tcPr>
          <w:p w14:paraId="3BD84C9E" w14:textId="45C8E5CD" w:rsidR="0071193F" w:rsidRPr="00F02346" w:rsidRDefault="0071193F" w:rsidP="0071193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es-ES"/>
              </w:rPr>
              <w:t xml:space="preserve">Scott </w:t>
            </w:r>
            <w:proofErr w:type="spellStart"/>
            <w:r>
              <w:rPr>
                <w:rFonts w:eastAsia="Times New Roman" w:cs="Times New Roman"/>
                <w:color w:val="000000" w:themeColor="text1"/>
                <w:szCs w:val="24"/>
                <w:lang w:val="es-ES"/>
              </w:rPr>
              <w:t>Bishop</w:t>
            </w:r>
            <w:proofErr w:type="spellEnd"/>
          </w:p>
          <w:p w14:paraId="39BF7685" w14:textId="76AE3100" w:rsidR="00E91403" w:rsidRPr="00F02346" w:rsidRDefault="00664723" w:rsidP="0071193F">
            <w:pPr>
              <w:jc w:val="center"/>
              <w:rPr>
                <w:rFonts w:cs="Times New Roman"/>
                <w:szCs w:val="24"/>
                <w:lang w:val="it-IT"/>
              </w:rPr>
            </w:pPr>
            <w:r>
              <w:rPr>
                <w:rFonts w:eastAsia="Times New Roman" w:cs="Times New Roman"/>
                <w:color w:val="000000" w:themeColor="text1"/>
                <w:szCs w:val="24"/>
                <w:lang w:val="es-ES"/>
              </w:rPr>
              <w:t>Vicepresidente de asuntos reglamentarios</w:t>
            </w:r>
          </w:p>
        </w:tc>
      </w:tr>
    </w:tbl>
    <w:p w14:paraId="0642C427" w14:textId="77777777" w:rsidR="00BA30F3" w:rsidRPr="00F02346" w:rsidRDefault="00BA30F3" w:rsidP="00E91403">
      <w:pPr>
        <w:jc w:val="center"/>
        <w:rPr>
          <w:rFonts w:cs="Times New Roman"/>
          <w:b/>
          <w:lang w:val="it-IT"/>
        </w:rPr>
      </w:pPr>
    </w:p>
    <w:p w14:paraId="51DA0A01" w14:textId="71668D2C" w:rsidR="00E91403" w:rsidRPr="00451CE9" w:rsidRDefault="00E91403" w:rsidP="00D7170B">
      <w:pPr>
        <w:spacing w:after="0" w:afterAutospacing="0"/>
        <w:jc w:val="center"/>
        <w:rPr>
          <w:rFonts w:cs="Times New Roman"/>
          <w:b/>
        </w:rPr>
      </w:pPr>
      <w:r>
        <w:rPr>
          <w:rFonts w:cs="Times New Roman"/>
          <w:b/>
          <w:bCs/>
          <w:lang w:val="es-ES"/>
        </w:rPr>
        <w:t>Historial de revisiones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7"/>
        <w:gridCol w:w="1310"/>
        <w:gridCol w:w="1190"/>
        <w:gridCol w:w="4317"/>
        <w:gridCol w:w="1763"/>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Revisión</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Fecha</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Secciones</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es-ES"/>
              </w:rPr>
              <w:t>Descripción de las revisiones</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proofErr w:type="spellStart"/>
            <w:r>
              <w:rPr>
                <w:rFonts w:cs="Times New Roman"/>
                <w:b/>
                <w:bCs/>
                <w:szCs w:val="24"/>
                <w:lang w:val="es-ES"/>
              </w:rPr>
              <w:t>Nº</w:t>
            </w:r>
            <w:proofErr w:type="spellEnd"/>
            <w:r>
              <w:rPr>
                <w:rFonts w:cs="Times New Roman"/>
                <w:b/>
                <w:bCs/>
                <w:szCs w:val="24"/>
                <w:lang w:val="es-ES"/>
              </w:rPr>
              <w:t xml:space="preserve"> de solicitud de cambio</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187E29" w:rsidRDefault="00C14944" w:rsidP="00842611">
            <w:pPr>
              <w:jc w:val="center"/>
              <w:rPr>
                <w:rFonts w:cs="Times New Roman"/>
                <w:szCs w:val="24"/>
              </w:rPr>
            </w:pPr>
            <w:r w:rsidRPr="00187E29">
              <w:rPr>
                <w:rFonts w:cs="Times New Roman"/>
                <w:szCs w:val="24"/>
                <w:lang w:val="es-ES"/>
              </w:rPr>
              <w:t>A</w:t>
            </w:r>
          </w:p>
        </w:tc>
        <w:tc>
          <w:tcPr>
            <w:tcW w:w="1310" w:type="dxa"/>
            <w:tcBorders>
              <w:top w:val="double" w:sz="4" w:space="0" w:color="auto"/>
              <w:bottom w:val="single" w:sz="4" w:space="0" w:color="auto"/>
            </w:tcBorders>
          </w:tcPr>
          <w:p w14:paraId="0D82C539" w14:textId="46EAEC29" w:rsidR="00E91403" w:rsidRPr="00187E29" w:rsidRDefault="00EB7646" w:rsidP="00842611">
            <w:pPr>
              <w:jc w:val="center"/>
              <w:rPr>
                <w:rFonts w:cs="Times New Roman"/>
                <w:szCs w:val="24"/>
              </w:rPr>
            </w:pPr>
            <w:r w:rsidRPr="00187E29">
              <w:rPr>
                <w:rFonts w:cs="Times New Roman"/>
                <w:szCs w:val="24"/>
                <w:lang w:val="es-ES"/>
              </w:rPr>
              <w:t>0</w:t>
            </w:r>
            <w:r w:rsidR="004B27B4">
              <w:rPr>
                <w:rFonts w:cs="Times New Roman"/>
                <w:szCs w:val="24"/>
                <w:lang w:val="es-ES"/>
              </w:rPr>
              <w:t>7</w:t>
            </w:r>
            <w:r w:rsidRPr="00187E29">
              <w:rPr>
                <w:rFonts w:cs="Times New Roman"/>
                <w:szCs w:val="24"/>
                <w:lang w:val="es-ES"/>
              </w:rPr>
              <w:t>/0</w:t>
            </w:r>
            <w:r w:rsidR="004B27B4">
              <w:rPr>
                <w:rFonts w:cs="Times New Roman"/>
                <w:szCs w:val="24"/>
                <w:lang w:val="es-ES"/>
              </w:rPr>
              <w:t>6</w:t>
            </w:r>
            <w:r w:rsidRPr="00187E29">
              <w:rPr>
                <w:rFonts w:cs="Times New Roman"/>
                <w:szCs w:val="24"/>
                <w:lang w:val="es-ES"/>
              </w:rPr>
              <w:t>/2021</w:t>
            </w:r>
          </w:p>
        </w:tc>
        <w:tc>
          <w:tcPr>
            <w:tcW w:w="1146" w:type="dxa"/>
            <w:tcBorders>
              <w:top w:val="double" w:sz="4" w:space="0" w:color="auto"/>
              <w:bottom w:val="single" w:sz="4" w:space="0" w:color="auto"/>
            </w:tcBorders>
          </w:tcPr>
          <w:p w14:paraId="6CD4C417" w14:textId="4D0FCA68" w:rsidR="00E91403" w:rsidRPr="00187E29" w:rsidRDefault="00FF6446" w:rsidP="00842611">
            <w:pPr>
              <w:jc w:val="center"/>
              <w:rPr>
                <w:rFonts w:cs="Times New Roman"/>
                <w:szCs w:val="24"/>
              </w:rPr>
            </w:pPr>
            <w:r w:rsidRPr="00187E29">
              <w:rPr>
                <w:rFonts w:cs="Times New Roman"/>
                <w:szCs w:val="24"/>
                <w:lang w:val="es-ES"/>
              </w:rPr>
              <w:t xml:space="preserve">Todas </w:t>
            </w:r>
          </w:p>
        </w:tc>
        <w:tc>
          <w:tcPr>
            <w:tcW w:w="4352" w:type="dxa"/>
            <w:tcBorders>
              <w:top w:val="double" w:sz="4" w:space="0" w:color="auto"/>
              <w:bottom w:val="single" w:sz="4" w:space="0" w:color="auto"/>
            </w:tcBorders>
          </w:tcPr>
          <w:p w14:paraId="3973A2E3" w14:textId="22ED49A4" w:rsidR="00E91403" w:rsidRPr="00187E29" w:rsidRDefault="00EB7646" w:rsidP="00842611">
            <w:pPr>
              <w:rPr>
                <w:rFonts w:cs="Times New Roman"/>
                <w:szCs w:val="24"/>
              </w:rPr>
            </w:pPr>
            <w:r w:rsidRPr="00187E29">
              <w:rPr>
                <w:rFonts w:cs="Times New Roman"/>
                <w:szCs w:val="24"/>
                <w:lang w:val="es-ES"/>
              </w:rPr>
              <w:t>Informe inicial</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es-ES"/>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187E29" w:rsidRDefault="00D7170B" w:rsidP="00842611">
            <w:pPr>
              <w:jc w:val="center"/>
              <w:rPr>
                <w:rFonts w:cs="Times New Roman"/>
                <w:szCs w:val="24"/>
              </w:rPr>
            </w:pPr>
            <w:r w:rsidRPr="00187E29">
              <w:rPr>
                <w:rFonts w:cs="Times New Roman"/>
                <w:szCs w:val="24"/>
                <w:lang w:val="es-ES"/>
              </w:rPr>
              <w:t xml:space="preserve">B </w:t>
            </w:r>
          </w:p>
        </w:tc>
        <w:tc>
          <w:tcPr>
            <w:tcW w:w="1310" w:type="dxa"/>
            <w:tcBorders>
              <w:top w:val="single" w:sz="4" w:space="0" w:color="auto"/>
              <w:bottom w:val="single" w:sz="4" w:space="0" w:color="auto"/>
            </w:tcBorders>
          </w:tcPr>
          <w:p w14:paraId="4AEC772F" w14:textId="77777777" w:rsidR="00D7170B" w:rsidRPr="00A41BE9" w:rsidRDefault="00D7170B" w:rsidP="00842611">
            <w:pPr>
              <w:jc w:val="center"/>
              <w:rPr>
                <w:rFonts w:cs="Times New Roman"/>
                <w:szCs w:val="24"/>
              </w:rPr>
            </w:pPr>
            <w:r w:rsidRPr="00A41BE9">
              <w:rPr>
                <w:rFonts w:cs="Times New Roman"/>
                <w:szCs w:val="24"/>
                <w:lang w:val="es-ES"/>
              </w:rPr>
              <w:t>09/09/2024</w:t>
            </w:r>
          </w:p>
          <w:p w14:paraId="52F239C5" w14:textId="61BC1F5A" w:rsidR="00D7170B" w:rsidRPr="00A41BE9" w:rsidRDefault="00D7170B" w:rsidP="00842611">
            <w:pPr>
              <w:jc w:val="center"/>
              <w:rPr>
                <w:rFonts w:cs="Times New Roman"/>
                <w:szCs w:val="24"/>
              </w:rPr>
            </w:pPr>
          </w:p>
        </w:tc>
        <w:tc>
          <w:tcPr>
            <w:tcW w:w="1146" w:type="dxa"/>
            <w:tcBorders>
              <w:top w:val="single" w:sz="4" w:space="0" w:color="auto"/>
              <w:bottom w:val="single" w:sz="4" w:space="0" w:color="auto"/>
            </w:tcBorders>
          </w:tcPr>
          <w:p w14:paraId="319F0BB7" w14:textId="77B1F188" w:rsidR="00D7170B" w:rsidRPr="00A41BE9" w:rsidRDefault="00D7170B" w:rsidP="00D936B5">
            <w:pPr>
              <w:jc w:val="center"/>
              <w:rPr>
                <w:rFonts w:cs="Times New Roman"/>
                <w:szCs w:val="24"/>
              </w:rPr>
            </w:pPr>
            <w:r w:rsidRPr="00A41BE9">
              <w:rPr>
                <w:rFonts w:cs="Times New Roman"/>
                <w:szCs w:val="24"/>
                <w:lang w:val="es-ES"/>
              </w:rPr>
              <w:t>Todas</w:t>
            </w:r>
          </w:p>
        </w:tc>
        <w:tc>
          <w:tcPr>
            <w:tcW w:w="4352" w:type="dxa"/>
            <w:tcBorders>
              <w:top w:val="single" w:sz="4" w:space="0" w:color="auto"/>
              <w:bottom w:val="single" w:sz="4" w:space="0" w:color="auto"/>
            </w:tcBorders>
          </w:tcPr>
          <w:p w14:paraId="3D913A75" w14:textId="5FD250A6" w:rsidR="00D7170B" w:rsidRPr="00A41BE9" w:rsidRDefault="00D7170B" w:rsidP="00D936B5">
            <w:pPr>
              <w:rPr>
                <w:rFonts w:cs="Times New Roman"/>
                <w:szCs w:val="24"/>
              </w:rPr>
            </w:pPr>
            <w:r w:rsidRPr="00A41BE9">
              <w:rPr>
                <w:rFonts w:cs="Times New Roman"/>
                <w:szCs w:val="24"/>
                <w:lang w:val="es-ES"/>
              </w:rPr>
              <w:t>Actualizado a nueva plantilla. Presentación inicial a BSI</w:t>
            </w:r>
            <w:r w:rsidR="00187E29">
              <w:rPr>
                <w:rFonts w:cs="Times New Roman"/>
                <w:szCs w:val="24"/>
                <w:lang w:val="es-ES"/>
              </w:rPr>
              <w:t>.</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es-ES"/>
              </w:rPr>
              <w:t>04229</w:t>
            </w:r>
          </w:p>
        </w:tc>
      </w:tr>
      <w:tr w:rsidR="00D7170B" w:rsidRPr="00451CE9" w14:paraId="7960DB67" w14:textId="77777777" w:rsidTr="00D7170B">
        <w:tc>
          <w:tcPr>
            <w:tcW w:w="1209" w:type="dxa"/>
            <w:vMerge/>
          </w:tcPr>
          <w:p w14:paraId="796B2933" w14:textId="77777777" w:rsidR="00D7170B" w:rsidRPr="00187E2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77BFEC75" w:rsidR="00D7170B" w:rsidRPr="00A41BE9" w:rsidRDefault="004B27B4" w:rsidP="00842611">
            <w:pPr>
              <w:jc w:val="center"/>
              <w:rPr>
                <w:rFonts w:cs="Times New Roman"/>
                <w:szCs w:val="24"/>
              </w:rPr>
            </w:pPr>
            <w:r>
              <w:rPr>
                <w:rFonts w:cs="Times New Roman"/>
                <w:szCs w:val="24"/>
                <w:lang w:val="es-ES"/>
              </w:rPr>
              <w:t>12</w:t>
            </w:r>
            <w:r w:rsidR="00D7170B" w:rsidRPr="00A41BE9">
              <w:rPr>
                <w:rFonts w:cs="Times New Roman"/>
                <w:szCs w:val="24"/>
                <w:lang w:val="es-ES"/>
              </w:rPr>
              <w:t>/</w:t>
            </w:r>
            <w:r>
              <w:rPr>
                <w:rFonts w:cs="Times New Roman"/>
                <w:szCs w:val="24"/>
                <w:lang w:val="es-ES"/>
              </w:rPr>
              <w:t>09</w:t>
            </w:r>
            <w:r w:rsidR="00D7170B" w:rsidRPr="00A41BE9">
              <w:rPr>
                <w:rFonts w:cs="Times New Roman"/>
                <w:szCs w:val="24"/>
                <w:lang w:val="es-ES"/>
              </w:rPr>
              <w:t>/2024</w:t>
            </w:r>
          </w:p>
        </w:tc>
        <w:tc>
          <w:tcPr>
            <w:tcW w:w="1146" w:type="dxa"/>
            <w:tcBorders>
              <w:top w:val="single" w:sz="4" w:space="0" w:color="auto"/>
              <w:bottom w:val="single" w:sz="4" w:space="0" w:color="auto"/>
            </w:tcBorders>
          </w:tcPr>
          <w:p w14:paraId="0A4EE95C" w14:textId="7071E732" w:rsidR="00D7170B" w:rsidRPr="00A41BE9" w:rsidRDefault="00D7170B" w:rsidP="00842611">
            <w:pPr>
              <w:jc w:val="center"/>
              <w:rPr>
                <w:rFonts w:cs="Times New Roman"/>
                <w:szCs w:val="24"/>
              </w:rPr>
            </w:pPr>
            <w:r w:rsidRPr="00A41BE9">
              <w:rPr>
                <w:rFonts w:cs="Times New Roman"/>
                <w:szCs w:val="24"/>
                <w:lang w:val="es-ES"/>
              </w:rPr>
              <w:t>9.0</w:t>
            </w:r>
          </w:p>
        </w:tc>
        <w:tc>
          <w:tcPr>
            <w:tcW w:w="4352" w:type="dxa"/>
            <w:tcBorders>
              <w:top w:val="single" w:sz="4" w:space="0" w:color="auto"/>
              <w:bottom w:val="single" w:sz="4" w:space="0" w:color="auto"/>
            </w:tcBorders>
          </w:tcPr>
          <w:p w14:paraId="105B1649" w14:textId="18DF3A5E" w:rsidR="00D7170B" w:rsidRPr="00A41BE9" w:rsidRDefault="00DA757B" w:rsidP="002C60C8">
            <w:pPr>
              <w:rPr>
                <w:rFonts w:cs="Times New Roman"/>
                <w:szCs w:val="24"/>
              </w:rPr>
            </w:pPr>
            <w:r w:rsidRPr="00A648A2">
              <w:rPr>
                <w:rFonts w:cs="Times New Roman"/>
                <w:szCs w:val="24"/>
                <w:lang w:val="es-ES"/>
              </w:rPr>
              <w:t>Se añadió la</w:t>
            </w:r>
            <w:r w:rsidR="00D7170B" w:rsidRPr="00A41BE9">
              <w:rPr>
                <w:rFonts w:cs="Times New Roman"/>
                <w:szCs w:val="24"/>
                <w:lang w:val="es-ES"/>
              </w:rPr>
              <w:t xml:space="preserve"> sección de pacientes</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187E2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0CF3EAF3" w:rsidR="00D7170B" w:rsidRPr="00A41BE9" w:rsidRDefault="004B27B4" w:rsidP="00842611">
            <w:pPr>
              <w:jc w:val="center"/>
              <w:rPr>
                <w:rFonts w:cs="Times New Roman"/>
                <w:szCs w:val="24"/>
              </w:rPr>
            </w:pPr>
            <w:r>
              <w:rPr>
                <w:rFonts w:cs="Times New Roman"/>
                <w:szCs w:val="24"/>
                <w:lang w:val="es-ES"/>
              </w:rPr>
              <w:t>22</w:t>
            </w:r>
            <w:r w:rsidR="00D7170B" w:rsidRPr="00A41BE9">
              <w:rPr>
                <w:rFonts w:cs="Times New Roman"/>
                <w:szCs w:val="24"/>
                <w:lang w:val="es-ES"/>
              </w:rPr>
              <w:t>/</w:t>
            </w:r>
            <w:r>
              <w:rPr>
                <w:rFonts w:cs="Times New Roman"/>
                <w:szCs w:val="24"/>
                <w:lang w:val="es-ES"/>
              </w:rPr>
              <w:t>10</w:t>
            </w:r>
            <w:r w:rsidR="00D7170B" w:rsidRPr="00A41BE9">
              <w:rPr>
                <w:rFonts w:cs="Times New Roman"/>
                <w:szCs w:val="24"/>
                <w:lang w:val="es-ES"/>
              </w:rPr>
              <w:t>/2024</w:t>
            </w:r>
          </w:p>
        </w:tc>
        <w:tc>
          <w:tcPr>
            <w:tcW w:w="1146" w:type="dxa"/>
            <w:tcBorders>
              <w:top w:val="single" w:sz="4" w:space="0" w:color="auto"/>
              <w:bottom w:val="single" w:sz="12" w:space="0" w:color="auto"/>
            </w:tcBorders>
          </w:tcPr>
          <w:p w14:paraId="3726028F" w14:textId="03B5FE38" w:rsidR="00D7170B" w:rsidRPr="00A41BE9" w:rsidRDefault="00D7170B" w:rsidP="00842611">
            <w:pPr>
              <w:jc w:val="center"/>
              <w:rPr>
                <w:rFonts w:cs="Times New Roman"/>
                <w:szCs w:val="24"/>
              </w:rPr>
            </w:pPr>
            <w:r w:rsidRPr="00A41BE9">
              <w:rPr>
                <w:rFonts w:cs="Times New Roman"/>
                <w:szCs w:val="24"/>
                <w:lang w:val="es-ES"/>
              </w:rPr>
              <w:t>9.5</w:t>
            </w:r>
          </w:p>
        </w:tc>
        <w:tc>
          <w:tcPr>
            <w:tcW w:w="4352" w:type="dxa"/>
            <w:tcBorders>
              <w:top w:val="single" w:sz="4" w:space="0" w:color="auto"/>
              <w:bottom w:val="single" w:sz="12" w:space="0" w:color="auto"/>
            </w:tcBorders>
          </w:tcPr>
          <w:p w14:paraId="483CE6AA" w14:textId="44EE4410" w:rsidR="00D7170B" w:rsidRPr="00A41BE9" w:rsidRDefault="00D7170B" w:rsidP="002C60C8">
            <w:pPr>
              <w:rPr>
                <w:rFonts w:cs="Times New Roman"/>
                <w:szCs w:val="24"/>
              </w:rPr>
            </w:pPr>
            <w:r w:rsidRPr="00A41BE9">
              <w:rPr>
                <w:rFonts w:cs="Times New Roman"/>
                <w:szCs w:val="24"/>
                <w:lang w:val="es-ES"/>
              </w:rPr>
              <w:t>Se añadió la sección de pacientes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es-ES"/>
        </w:rPr>
        <w:t>Nota: Las aprobaciones se registrarán a través de la solicitud de cambio asociada.</w:t>
      </w:r>
    </w:p>
    <w:p w14:paraId="700C8B5F" w14:textId="34A53550" w:rsidR="006F0810" w:rsidRPr="00451CE9" w:rsidRDefault="0005411A" w:rsidP="00AB1EDE">
      <w:pPr>
        <w:pStyle w:val="Heading7"/>
      </w:pPr>
      <w:r>
        <w:rPr>
          <w:b w:val="0"/>
          <w:lang w:val="es-ES"/>
        </w:rPr>
        <w:br w:type="page"/>
      </w:r>
      <w:r>
        <w:rPr>
          <w:bCs/>
          <w:lang w:val="es-ES"/>
        </w:rPr>
        <w:lastRenderedPageBreak/>
        <w:t>Índice</w:t>
      </w:r>
    </w:p>
    <w:p w14:paraId="0E4E5CC1" w14:textId="0489290C" w:rsidR="00F02346" w:rsidRDefault="006F0810">
      <w:pPr>
        <w:pStyle w:val="TOC1"/>
        <w:rPr>
          <w:rFonts w:asciiTheme="minorHAnsi" w:eastAsiaTheme="minorEastAsia" w:hAnsiTheme="minorHAnsi" w:cstheme="minorBidi"/>
          <w:noProof/>
          <w:kern w:val="2"/>
          <w:lang w:eastAsia="zh-CN"/>
          <w14:ligatures w14:val="standardContextual"/>
        </w:rPr>
      </w:pPr>
      <w:r>
        <w:rPr>
          <w:lang w:val="es-ES"/>
        </w:rPr>
        <w:fldChar w:fldCharType="begin"/>
      </w:r>
      <w:r>
        <w:instrText xml:space="preserve"> TOC \o "1-3" \h \z \u </w:instrText>
      </w:r>
      <w:r>
        <w:fldChar w:fldCharType="separate"/>
      </w:r>
      <w:hyperlink w:anchor="_Toc212114760" w:history="1">
        <w:r w:rsidR="00F02346" w:rsidRPr="00C579C0">
          <w:rPr>
            <w:rStyle w:val="Hyperlink"/>
            <w:noProof/>
          </w:rPr>
          <w:t>1.</w:t>
        </w:r>
        <w:r w:rsidR="00F02346">
          <w:rPr>
            <w:rFonts w:asciiTheme="minorHAnsi" w:eastAsiaTheme="minorEastAsia" w:hAnsiTheme="minorHAnsi" w:cstheme="minorBidi"/>
            <w:noProof/>
            <w:kern w:val="2"/>
            <w:lang w:eastAsia="zh-CN"/>
            <w14:ligatures w14:val="standardContextual"/>
          </w:rPr>
          <w:tab/>
        </w:r>
        <w:r w:rsidR="00F02346" w:rsidRPr="00C579C0">
          <w:rPr>
            <w:rStyle w:val="Hyperlink"/>
            <w:bCs/>
            <w:noProof/>
            <w:lang w:val="es-ES"/>
          </w:rPr>
          <w:t>Ámbito de este resumen de seguridad y rendimiento clínico (SSCP)</w:t>
        </w:r>
        <w:r w:rsidR="00F02346">
          <w:rPr>
            <w:noProof/>
            <w:webHidden/>
          </w:rPr>
          <w:tab/>
        </w:r>
        <w:r w:rsidR="00F02346">
          <w:rPr>
            <w:noProof/>
            <w:webHidden/>
          </w:rPr>
          <w:fldChar w:fldCharType="begin"/>
        </w:r>
        <w:r w:rsidR="00F02346">
          <w:rPr>
            <w:noProof/>
            <w:webHidden/>
          </w:rPr>
          <w:instrText xml:space="preserve"> PAGEREF _Toc212114760 \h </w:instrText>
        </w:r>
        <w:r w:rsidR="00F02346">
          <w:rPr>
            <w:noProof/>
            <w:webHidden/>
          </w:rPr>
        </w:r>
        <w:r w:rsidR="00F02346">
          <w:rPr>
            <w:noProof/>
            <w:webHidden/>
          </w:rPr>
          <w:fldChar w:fldCharType="separate"/>
        </w:r>
        <w:r w:rsidR="00F02346">
          <w:rPr>
            <w:noProof/>
            <w:webHidden/>
          </w:rPr>
          <w:t>4</w:t>
        </w:r>
        <w:r w:rsidR="00F02346">
          <w:rPr>
            <w:noProof/>
            <w:webHidden/>
          </w:rPr>
          <w:fldChar w:fldCharType="end"/>
        </w:r>
      </w:hyperlink>
    </w:p>
    <w:p w14:paraId="6F491780" w14:textId="1CF870C0"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1" w:history="1">
        <w:r w:rsidRPr="00C579C0">
          <w:rPr>
            <w:rStyle w:val="Hyperlink"/>
            <w:noProof/>
          </w:rPr>
          <w:t>1.1.</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Nombre comercial del dispositivo</w:t>
        </w:r>
        <w:r>
          <w:rPr>
            <w:noProof/>
            <w:webHidden/>
          </w:rPr>
          <w:tab/>
        </w:r>
        <w:r>
          <w:rPr>
            <w:noProof/>
            <w:webHidden/>
          </w:rPr>
          <w:fldChar w:fldCharType="begin"/>
        </w:r>
        <w:r>
          <w:rPr>
            <w:noProof/>
            <w:webHidden/>
          </w:rPr>
          <w:instrText xml:space="preserve"> PAGEREF _Toc212114761 \h </w:instrText>
        </w:r>
        <w:r>
          <w:rPr>
            <w:noProof/>
            <w:webHidden/>
          </w:rPr>
        </w:r>
        <w:r>
          <w:rPr>
            <w:noProof/>
            <w:webHidden/>
          </w:rPr>
          <w:fldChar w:fldCharType="separate"/>
        </w:r>
        <w:r>
          <w:rPr>
            <w:noProof/>
            <w:webHidden/>
          </w:rPr>
          <w:t>4</w:t>
        </w:r>
        <w:r>
          <w:rPr>
            <w:noProof/>
            <w:webHidden/>
          </w:rPr>
          <w:fldChar w:fldCharType="end"/>
        </w:r>
      </w:hyperlink>
    </w:p>
    <w:p w14:paraId="62177CF6" w14:textId="020A42DB"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2" w:history="1">
        <w:r w:rsidRPr="00C579C0">
          <w:rPr>
            <w:rStyle w:val="Hyperlink"/>
            <w:noProof/>
          </w:rPr>
          <w:t>1.2.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Descripción de los dispositivos, UDI-DI básico y clasificación de la UE</w:t>
        </w:r>
        <w:r>
          <w:rPr>
            <w:noProof/>
            <w:webHidden/>
          </w:rPr>
          <w:tab/>
        </w:r>
        <w:r>
          <w:rPr>
            <w:noProof/>
            <w:webHidden/>
          </w:rPr>
          <w:fldChar w:fldCharType="begin"/>
        </w:r>
        <w:r>
          <w:rPr>
            <w:noProof/>
            <w:webHidden/>
          </w:rPr>
          <w:instrText xml:space="preserve"> PAGEREF _Toc212114762 \h </w:instrText>
        </w:r>
        <w:r>
          <w:rPr>
            <w:noProof/>
            <w:webHidden/>
          </w:rPr>
        </w:r>
        <w:r>
          <w:rPr>
            <w:noProof/>
            <w:webHidden/>
          </w:rPr>
          <w:fldChar w:fldCharType="separate"/>
        </w:r>
        <w:r>
          <w:rPr>
            <w:noProof/>
            <w:webHidden/>
          </w:rPr>
          <w:t>5</w:t>
        </w:r>
        <w:r>
          <w:rPr>
            <w:noProof/>
            <w:webHidden/>
          </w:rPr>
          <w:fldChar w:fldCharType="end"/>
        </w:r>
      </w:hyperlink>
    </w:p>
    <w:p w14:paraId="3A21E620" w14:textId="5EB37B83"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3" w:history="1">
        <w:r w:rsidRPr="00C579C0">
          <w:rPr>
            <w:rStyle w:val="Hyperlink"/>
            <w:noProof/>
          </w:rPr>
          <w:t>1.3.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Año en que se emitió el primer certificado (CE) que cubre el dispositivo</w:t>
        </w:r>
        <w:r>
          <w:rPr>
            <w:noProof/>
            <w:webHidden/>
          </w:rPr>
          <w:tab/>
        </w:r>
        <w:r>
          <w:rPr>
            <w:noProof/>
            <w:webHidden/>
          </w:rPr>
          <w:fldChar w:fldCharType="begin"/>
        </w:r>
        <w:r>
          <w:rPr>
            <w:noProof/>
            <w:webHidden/>
          </w:rPr>
          <w:instrText xml:space="preserve"> PAGEREF _Toc212114763 \h </w:instrText>
        </w:r>
        <w:r>
          <w:rPr>
            <w:noProof/>
            <w:webHidden/>
          </w:rPr>
        </w:r>
        <w:r>
          <w:rPr>
            <w:noProof/>
            <w:webHidden/>
          </w:rPr>
          <w:fldChar w:fldCharType="separate"/>
        </w:r>
        <w:r>
          <w:rPr>
            <w:noProof/>
            <w:webHidden/>
          </w:rPr>
          <w:t>10</w:t>
        </w:r>
        <w:r>
          <w:rPr>
            <w:noProof/>
            <w:webHidden/>
          </w:rPr>
          <w:fldChar w:fldCharType="end"/>
        </w:r>
      </w:hyperlink>
    </w:p>
    <w:p w14:paraId="41861DA9" w14:textId="26963406"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4" w:history="1">
        <w:r w:rsidRPr="00C579C0">
          <w:rPr>
            <w:rStyle w:val="Hyperlink"/>
            <w:noProof/>
          </w:rPr>
          <w:t>1.4.</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Nombre, dirección y SRN del fabricante</w:t>
        </w:r>
        <w:r>
          <w:rPr>
            <w:noProof/>
            <w:webHidden/>
          </w:rPr>
          <w:tab/>
        </w:r>
        <w:r>
          <w:rPr>
            <w:noProof/>
            <w:webHidden/>
          </w:rPr>
          <w:fldChar w:fldCharType="begin"/>
        </w:r>
        <w:r>
          <w:rPr>
            <w:noProof/>
            <w:webHidden/>
          </w:rPr>
          <w:instrText xml:space="preserve"> PAGEREF _Toc212114764 \h </w:instrText>
        </w:r>
        <w:r>
          <w:rPr>
            <w:noProof/>
            <w:webHidden/>
          </w:rPr>
        </w:r>
        <w:r>
          <w:rPr>
            <w:noProof/>
            <w:webHidden/>
          </w:rPr>
          <w:fldChar w:fldCharType="separate"/>
        </w:r>
        <w:r>
          <w:rPr>
            <w:noProof/>
            <w:webHidden/>
          </w:rPr>
          <w:t>10</w:t>
        </w:r>
        <w:r>
          <w:rPr>
            <w:noProof/>
            <w:webHidden/>
          </w:rPr>
          <w:fldChar w:fldCharType="end"/>
        </w:r>
      </w:hyperlink>
    </w:p>
    <w:p w14:paraId="512CB389" w14:textId="6B569614"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5" w:history="1">
        <w:r w:rsidRPr="00C579C0">
          <w:rPr>
            <w:rStyle w:val="Hyperlink"/>
            <w:noProof/>
          </w:rPr>
          <w:t>1.5.</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Nombre y SRN del representante autorizado</w:t>
        </w:r>
        <w:r>
          <w:rPr>
            <w:noProof/>
            <w:webHidden/>
          </w:rPr>
          <w:tab/>
        </w:r>
        <w:r>
          <w:rPr>
            <w:noProof/>
            <w:webHidden/>
          </w:rPr>
          <w:fldChar w:fldCharType="begin"/>
        </w:r>
        <w:r>
          <w:rPr>
            <w:noProof/>
            <w:webHidden/>
          </w:rPr>
          <w:instrText xml:space="preserve"> PAGEREF _Toc212114765 \h </w:instrText>
        </w:r>
        <w:r>
          <w:rPr>
            <w:noProof/>
            <w:webHidden/>
          </w:rPr>
        </w:r>
        <w:r>
          <w:rPr>
            <w:noProof/>
            <w:webHidden/>
          </w:rPr>
          <w:fldChar w:fldCharType="separate"/>
        </w:r>
        <w:r>
          <w:rPr>
            <w:noProof/>
            <w:webHidden/>
          </w:rPr>
          <w:t>10</w:t>
        </w:r>
        <w:r>
          <w:rPr>
            <w:noProof/>
            <w:webHidden/>
          </w:rPr>
          <w:fldChar w:fldCharType="end"/>
        </w:r>
      </w:hyperlink>
    </w:p>
    <w:p w14:paraId="3AF07220" w14:textId="73C87D8A"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6" w:history="1">
        <w:r w:rsidRPr="00C579C0">
          <w:rPr>
            <w:rStyle w:val="Hyperlink"/>
            <w:noProof/>
          </w:rPr>
          <w:t>1.6.</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Nombre y número de identificación único del organismo</w:t>
        </w:r>
        <w:r w:rsidRPr="00C579C0">
          <w:rPr>
            <w:rStyle w:val="Hyperlink"/>
            <w:bCs/>
            <w:noProof/>
            <w:lang w:val="es-ES"/>
          </w:rPr>
          <w:t xml:space="preserve"> </w:t>
        </w:r>
        <w:r w:rsidRPr="00C579C0">
          <w:rPr>
            <w:rStyle w:val="Hyperlink"/>
            <w:bCs/>
            <w:noProof/>
            <w:lang w:val="es-ES"/>
          </w:rPr>
          <w:t>notificado</w:t>
        </w:r>
        <w:r>
          <w:rPr>
            <w:noProof/>
            <w:webHidden/>
          </w:rPr>
          <w:tab/>
        </w:r>
        <w:r>
          <w:rPr>
            <w:noProof/>
            <w:webHidden/>
          </w:rPr>
          <w:fldChar w:fldCharType="begin"/>
        </w:r>
        <w:r>
          <w:rPr>
            <w:noProof/>
            <w:webHidden/>
          </w:rPr>
          <w:instrText xml:space="preserve"> PAGEREF _Toc212114766 \h </w:instrText>
        </w:r>
        <w:r>
          <w:rPr>
            <w:noProof/>
            <w:webHidden/>
          </w:rPr>
        </w:r>
        <w:r>
          <w:rPr>
            <w:noProof/>
            <w:webHidden/>
          </w:rPr>
          <w:fldChar w:fldCharType="separate"/>
        </w:r>
        <w:r>
          <w:rPr>
            <w:noProof/>
            <w:webHidden/>
          </w:rPr>
          <w:t>11</w:t>
        </w:r>
        <w:r>
          <w:rPr>
            <w:noProof/>
            <w:webHidden/>
          </w:rPr>
          <w:fldChar w:fldCharType="end"/>
        </w:r>
      </w:hyperlink>
    </w:p>
    <w:p w14:paraId="355709EC" w14:textId="234AE1B1"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7" w:history="1">
        <w:r w:rsidRPr="00C579C0">
          <w:rPr>
            <w:rStyle w:val="Hyperlink"/>
            <w:noProof/>
          </w:rPr>
          <w:t>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Uso previsto del dispositivo</w:t>
        </w:r>
        <w:r>
          <w:rPr>
            <w:noProof/>
            <w:webHidden/>
          </w:rPr>
          <w:tab/>
        </w:r>
        <w:r>
          <w:rPr>
            <w:noProof/>
            <w:webHidden/>
          </w:rPr>
          <w:fldChar w:fldCharType="begin"/>
        </w:r>
        <w:r>
          <w:rPr>
            <w:noProof/>
            <w:webHidden/>
          </w:rPr>
          <w:instrText xml:space="preserve"> PAGEREF _Toc212114767 \h </w:instrText>
        </w:r>
        <w:r>
          <w:rPr>
            <w:noProof/>
            <w:webHidden/>
          </w:rPr>
        </w:r>
        <w:r>
          <w:rPr>
            <w:noProof/>
            <w:webHidden/>
          </w:rPr>
          <w:fldChar w:fldCharType="separate"/>
        </w:r>
        <w:r>
          <w:rPr>
            <w:noProof/>
            <w:webHidden/>
          </w:rPr>
          <w:t>11</w:t>
        </w:r>
        <w:r>
          <w:rPr>
            <w:noProof/>
            <w:webHidden/>
          </w:rPr>
          <w:fldChar w:fldCharType="end"/>
        </w:r>
      </w:hyperlink>
    </w:p>
    <w:p w14:paraId="67246378" w14:textId="2D1D6489"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8" w:history="1">
        <w:r w:rsidRPr="00C579C0">
          <w:rPr>
            <w:rStyle w:val="Hyperlink"/>
            <w:noProof/>
          </w:rPr>
          <w:t>2.1.</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Uso/Fin previsto</w:t>
        </w:r>
        <w:r>
          <w:rPr>
            <w:noProof/>
            <w:webHidden/>
          </w:rPr>
          <w:tab/>
        </w:r>
        <w:r>
          <w:rPr>
            <w:noProof/>
            <w:webHidden/>
          </w:rPr>
          <w:fldChar w:fldCharType="begin"/>
        </w:r>
        <w:r>
          <w:rPr>
            <w:noProof/>
            <w:webHidden/>
          </w:rPr>
          <w:instrText xml:space="preserve"> PAGEREF _Toc212114768 \h </w:instrText>
        </w:r>
        <w:r>
          <w:rPr>
            <w:noProof/>
            <w:webHidden/>
          </w:rPr>
        </w:r>
        <w:r>
          <w:rPr>
            <w:noProof/>
            <w:webHidden/>
          </w:rPr>
          <w:fldChar w:fldCharType="separate"/>
        </w:r>
        <w:r>
          <w:rPr>
            <w:noProof/>
            <w:webHidden/>
          </w:rPr>
          <w:t>11</w:t>
        </w:r>
        <w:r>
          <w:rPr>
            <w:noProof/>
            <w:webHidden/>
          </w:rPr>
          <w:fldChar w:fldCharType="end"/>
        </w:r>
      </w:hyperlink>
    </w:p>
    <w:p w14:paraId="7A08F065" w14:textId="255B55CE"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69" w:history="1">
        <w:r w:rsidRPr="00C579C0">
          <w:rPr>
            <w:rStyle w:val="Hyperlink"/>
            <w:noProof/>
          </w:rPr>
          <w:t>2.2.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Indicaciones</w:t>
        </w:r>
        <w:r>
          <w:rPr>
            <w:noProof/>
            <w:webHidden/>
          </w:rPr>
          <w:tab/>
        </w:r>
        <w:r>
          <w:rPr>
            <w:noProof/>
            <w:webHidden/>
          </w:rPr>
          <w:fldChar w:fldCharType="begin"/>
        </w:r>
        <w:r>
          <w:rPr>
            <w:noProof/>
            <w:webHidden/>
          </w:rPr>
          <w:instrText xml:space="preserve"> PAGEREF _Toc212114769 \h </w:instrText>
        </w:r>
        <w:r>
          <w:rPr>
            <w:noProof/>
            <w:webHidden/>
          </w:rPr>
        </w:r>
        <w:r>
          <w:rPr>
            <w:noProof/>
            <w:webHidden/>
          </w:rPr>
          <w:fldChar w:fldCharType="separate"/>
        </w:r>
        <w:r>
          <w:rPr>
            <w:noProof/>
            <w:webHidden/>
          </w:rPr>
          <w:t>11</w:t>
        </w:r>
        <w:r>
          <w:rPr>
            <w:noProof/>
            <w:webHidden/>
          </w:rPr>
          <w:fldChar w:fldCharType="end"/>
        </w:r>
      </w:hyperlink>
    </w:p>
    <w:p w14:paraId="43FB51EB" w14:textId="1F3AB3CC"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0" w:history="1">
        <w:r w:rsidRPr="00C579C0">
          <w:rPr>
            <w:rStyle w:val="Hyperlink"/>
            <w:noProof/>
          </w:rPr>
          <w:t>2.3.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Población diana</w:t>
        </w:r>
        <w:r>
          <w:rPr>
            <w:noProof/>
            <w:webHidden/>
          </w:rPr>
          <w:tab/>
        </w:r>
        <w:r>
          <w:rPr>
            <w:noProof/>
            <w:webHidden/>
          </w:rPr>
          <w:fldChar w:fldCharType="begin"/>
        </w:r>
        <w:r>
          <w:rPr>
            <w:noProof/>
            <w:webHidden/>
          </w:rPr>
          <w:instrText xml:space="preserve"> PAGEREF _Toc212114770 \h </w:instrText>
        </w:r>
        <w:r>
          <w:rPr>
            <w:noProof/>
            <w:webHidden/>
          </w:rPr>
        </w:r>
        <w:r>
          <w:rPr>
            <w:noProof/>
            <w:webHidden/>
          </w:rPr>
          <w:fldChar w:fldCharType="separate"/>
        </w:r>
        <w:r>
          <w:rPr>
            <w:noProof/>
            <w:webHidden/>
          </w:rPr>
          <w:t>11</w:t>
        </w:r>
        <w:r>
          <w:rPr>
            <w:noProof/>
            <w:webHidden/>
          </w:rPr>
          <w:fldChar w:fldCharType="end"/>
        </w:r>
      </w:hyperlink>
    </w:p>
    <w:p w14:paraId="1B828E8C" w14:textId="1584BED0"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1" w:history="1">
        <w:r w:rsidRPr="00C579C0">
          <w:rPr>
            <w:rStyle w:val="Hyperlink"/>
            <w:noProof/>
          </w:rPr>
          <w:t>2.4.</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Contraindicaciones</w:t>
        </w:r>
        <w:r>
          <w:rPr>
            <w:noProof/>
            <w:webHidden/>
          </w:rPr>
          <w:tab/>
        </w:r>
        <w:r w:rsidR="00DF017C">
          <w:rPr>
            <w:noProof/>
            <w:webHidden/>
          </w:rPr>
          <w:t>1</w:t>
        </w:r>
        <w:r>
          <w:rPr>
            <w:noProof/>
            <w:webHidden/>
          </w:rPr>
          <w:fldChar w:fldCharType="begin"/>
        </w:r>
        <w:r>
          <w:rPr>
            <w:noProof/>
            <w:webHidden/>
          </w:rPr>
          <w:instrText xml:space="preserve"> PAGEREF _Toc212114771 \h </w:instrText>
        </w:r>
        <w:r>
          <w:rPr>
            <w:noProof/>
            <w:webHidden/>
          </w:rPr>
        </w:r>
        <w:r>
          <w:rPr>
            <w:noProof/>
            <w:webHidden/>
          </w:rPr>
          <w:fldChar w:fldCharType="separate"/>
        </w:r>
        <w:r>
          <w:rPr>
            <w:noProof/>
            <w:webHidden/>
          </w:rPr>
          <w:t>1</w:t>
        </w:r>
        <w:r>
          <w:rPr>
            <w:noProof/>
            <w:webHidden/>
          </w:rPr>
          <w:fldChar w:fldCharType="end"/>
        </w:r>
      </w:hyperlink>
    </w:p>
    <w:p w14:paraId="7AA35318" w14:textId="260491E2"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2" w:history="1">
        <w:r w:rsidRPr="00C579C0">
          <w:rPr>
            <w:rStyle w:val="Hyperlink"/>
            <w:noProof/>
          </w:rPr>
          <w:t>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Descripción del dispositivo</w:t>
        </w:r>
        <w:r>
          <w:rPr>
            <w:noProof/>
            <w:webHidden/>
          </w:rPr>
          <w:tab/>
        </w:r>
        <w:r w:rsidR="00DF017C">
          <w:rPr>
            <w:noProof/>
            <w:webHidden/>
          </w:rPr>
          <w:t>1</w:t>
        </w:r>
        <w:r>
          <w:rPr>
            <w:noProof/>
            <w:webHidden/>
          </w:rPr>
          <w:fldChar w:fldCharType="begin"/>
        </w:r>
        <w:r>
          <w:rPr>
            <w:noProof/>
            <w:webHidden/>
          </w:rPr>
          <w:instrText xml:space="preserve"> PAGEREF _Toc212114772 \h </w:instrText>
        </w:r>
        <w:r>
          <w:rPr>
            <w:noProof/>
            <w:webHidden/>
          </w:rPr>
        </w:r>
        <w:r>
          <w:rPr>
            <w:noProof/>
            <w:webHidden/>
          </w:rPr>
          <w:fldChar w:fldCharType="separate"/>
        </w:r>
        <w:r>
          <w:rPr>
            <w:noProof/>
            <w:webHidden/>
          </w:rPr>
          <w:t>1</w:t>
        </w:r>
        <w:r>
          <w:rPr>
            <w:noProof/>
            <w:webHidden/>
          </w:rPr>
          <w:fldChar w:fldCharType="end"/>
        </w:r>
      </w:hyperlink>
    </w:p>
    <w:p w14:paraId="66B7AF6F" w14:textId="4E334E8C"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3" w:history="1">
        <w:r w:rsidRPr="00C579C0">
          <w:rPr>
            <w:rStyle w:val="Hyperlink"/>
            <w:noProof/>
          </w:rPr>
          <w:t>3.1.</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Descripc</w:t>
        </w:r>
        <w:r w:rsidRPr="00C579C0">
          <w:rPr>
            <w:rStyle w:val="Hyperlink"/>
            <w:bCs/>
            <w:noProof/>
            <w:lang w:val="es-ES"/>
          </w:rPr>
          <w:t>i</w:t>
        </w:r>
        <w:r w:rsidRPr="00C579C0">
          <w:rPr>
            <w:rStyle w:val="Hyperlink"/>
            <w:bCs/>
            <w:noProof/>
            <w:lang w:val="es-ES"/>
          </w:rPr>
          <w:t>ón del dispositivo</w:t>
        </w:r>
        <w:r>
          <w:rPr>
            <w:noProof/>
            <w:webHidden/>
          </w:rPr>
          <w:tab/>
        </w:r>
        <w:r w:rsidR="00DF017C">
          <w:rPr>
            <w:noProof/>
            <w:webHidden/>
          </w:rPr>
          <w:t>1</w:t>
        </w:r>
        <w:r>
          <w:rPr>
            <w:noProof/>
            <w:webHidden/>
          </w:rPr>
          <w:fldChar w:fldCharType="begin"/>
        </w:r>
        <w:r>
          <w:rPr>
            <w:noProof/>
            <w:webHidden/>
          </w:rPr>
          <w:instrText xml:space="preserve"> PAGEREF _Toc212114773 \h </w:instrText>
        </w:r>
        <w:r>
          <w:rPr>
            <w:noProof/>
            <w:webHidden/>
          </w:rPr>
        </w:r>
        <w:r>
          <w:rPr>
            <w:noProof/>
            <w:webHidden/>
          </w:rPr>
          <w:fldChar w:fldCharType="separate"/>
        </w:r>
        <w:r>
          <w:rPr>
            <w:noProof/>
            <w:webHidden/>
          </w:rPr>
          <w:t>1</w:t>
        </w:r>
        <w:r>
          <w:rPr>
            <w:noProof/>
            <w:webHidden/>
          </w:rPr>
          <w:fldChar w:fldCharType="end"/>
        </w:r>
      </w:hyperlink>
    </w:p>
    <w:p w14:paraId="2FD22EEF" w14:textId="3CBCFDD1"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4" w:history="1">
        <w:r w:rsidRPr="00C579C0">
          <w:rPr>
            <w:rStyle w:val="Hyperlink"/>
            <w:noProof/>
          </w:rPr>
          <w:t>3.2.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Va</w:t>
        </w:r>
        <w:r w:rsidRPr="00C579C0">
          <w:rPr>
            <w:rStyle w:val="Hyperlink"/>
            <w:bCs/>
            <w:noProof/>
            <w:lang w:val="es-ES"/>
          </w:rPr>
          <w:t>r</w:t>
        </w:r>
        <w:r w:rsidRPr="00C579C0">
          <w:rPr>
            <w:rStyle w:val="Hyperlink"/>
            <w:bCs/>
            <w:noProof/>
            <w:lang w:val="es-ES"/>
          </w:rPr>
          <w:t>iantes anteriores y diferencias</w:t>
        </w:r>
        <w:r>
          <w:rPr>
            <w:noProof/>
            <w:webHidden/>
          </w:rPr>
          <w:tab/>
        </w:r>
        <w:r>
          <w:rPr>
            <w:noProof/>
            <w:webHidden/>
          </w:rPr>
          <w:fldChar w:fldCharType="begin"/>
        </w:r>
        <w:r>
          <w:rPr>
            <w:noProof/>
            <w:webHidden/>
          </w:rPr>
          <w:instrText xml:space="preserve"> PAGEREF _Toc212114774 \h </w:instrText>
        </w:r>
        <w:r>
          <w:rPr>
            <w:noProof/>
            <w:webHidden/>
          </w:rPr>
        </w:r>
        <w:r>
          <w:rPr>
            <w:noProof/>
            <w:webHidden/>
          </w:rPr>
          <w:fldChar w:fldCharType="separate"/>
        </w:r>
        <w:r>
          <w:rPr>
            <w:noProof/>
            <w:webHidden/>
          </w:rPr>
          <w:t>13</w:t>
        </w:r>
        <w:r>
          <w:rPr>
            <w:noProof/>
            <w:webHidden/>
          </w:rPr>
          <w:fldChar w:fldCharType="end"/>
        </w:r>
      </w:hyperlink>
    </w:p>
    <w:p w14:paraId="2D5F5919" w14:textId="00C6ABC5"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5" w:history="1">
        <w:r w:rsidRPr="00C579C0">
          <w:rPr>
            <w:rStyle w:val="Hyperlink"/>
            <w:noProof/>
          </w:rPr>
          <w:t>3.3.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Accesorios, dispositivos compatibles y otros productos que se pueden combinar</w:t>
        </w:r>
        <w:r>
          <w:rPr>
            <w:noProof/>
            <w:webHidden/>
          </w:rPr>
          <w:tab/>
        </w:r>
        <w:r>
          <w:rPr>
            <w:noProof/>
            <w:webHidden/>
          </w:rPr>
          <w:fldChar w:fldCharType="begin"/>
        </w:r>
        <w:r>
          <w:rPr>
            <w:noProof/>
            <w:webHidden/>
          </w:rPr>
          <w:instrText xml:space="preserve"> PAGEREF _Toc212114775 \h </w:instrText>
        </w:r>
        <w:r>
          <w:rPr>
            <w:noProof/>
            <w:webHidden/>
          </w:rPr>
        </w:r>
        <w:r>
          <w:rPr>
            <w:noProof/>
            <w:webHidden/>
          </w:rPr>
          <w:fldChar w:fldCharType="separate"/>
        </w:r>
        <w:r>
          <w:rPr>
            <w:noProof/>
            <w:webHidden/>
          </w:rPr>
          <w:t>13</w:t>
        </w:r>
        <w:r>
          <w:rPr>
            <w:noProof/>
            <w:webHidden/>
          </w:rPr>
          <w:fldChar w:fldCharType="end"/>
        </w:r>
      </w:hyperlink>
    </w:p>
    <w:p w14:paraId="3DE9D87E" w14:textId="1B194F8B"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6" w:history="1">
        <w:r w:rsidRPr="00C579C0">
          <w:rPr>
            <w:rStyle w:val="Hyperlink"/>
            <w:noProof/>
          </w:rPr>
          <w:t>4.</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Riesgos y advertencias</w:t>
        </w:r>
        <w:r>
          <w:rPr>
            <w:noProof/>
            <w:webHidden/>
          </w:rPr>
          <w:tab/>
        </w:r>
        <w:r>
          <w:rPr>
            <w:noProof/>
            <w:webHidden/>
          </w:rPr>
          <w:fldChar w:fldCharType="begin"/>
        </w:r>
        <w:r>
          <w:rPr>
            <w:noProof/>
            <w:webHidden/>
          </w:rPr>
          <w:instrText xml:space="preserve"> PAGEREF _Toc212114776 \h </w:instrText>
        </w:r>
        <w:r>
          <w:rPr>
            <w:noProof/>
            <w:webHidden/>
          </w:rPr>
        </w:r>
        <w:r>
          <w:rPr>
            <w:noProof/>
            <w:webHidden/>
          </w:rPr>
          <w:fldChar w:fldCharType="separate"/>
        </w:r>
        <w:r>
          <w:rPr>
            <w:noProof/>
            <w:webHidden/>
          </w:rPr>
          <w:t>13</w:t>
        </w:r>
        <w:r>
          <w:rPr>
            <w:noProof/>
            <w:webHidden/>
          </w:rPr>
          <w:fldChar w:fldCharType="end"/>
        </w:r>
      </w:hyperlink>
    </w:p>
    <w:p w14:paraId="4F232D65" w14:textId="58A4A83B"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7" w:history="1">
        <w:r w:rsidRPr="00C579C0">
          <w:rPr>
            <w:rStyle w:val="Hyperlink"/>
            <w:noProof/>
          </w:rPr>
          <w:t>4.1.</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Riesgos residuales y efectos secundarios adversos</w:t>
        </w:r>
        <w:r>
          <w:rPr>
            <w:noProof/>
            <w:webHidden/>
          </w:rPr>
          <w:tab/>
        </w:r>
        <w:r>
          <w:rPr>
            <w:noProof/>
            <w:webHidden/>
          </w:rPr>
          <w:fldChar w:fldCharType="begin"/>
        </w:r>
        <w:r>
          <w:rPr>
            <w:noProof/>
            <w:webHidden/>
          </w:rPr>
          <w:instrText xml:space="preserve"> PAGEREF _Toc212114777 \h </w:instrText>
        </w:r>
        <w:r>
          <w:rPr>
            <w:noProof/>
            <w:webHidden/>
          </w:rPr>
        </w:r>
        <w:r>
          <w:rPr>
            <w:noProof/>
            <w:webHidden/>
          </w:rPr>
          <w:fldChar w:fldCharType="separate"/>
        </w:r>
        <w:r>
          <w:rPr>
            <w:noProof/>
            <w:webHidden/>
          </w:rPr>
          <w:t>13</w:t>
        </w:r>
        <w:r>
          <w:rPr>
            <w:noProof/>
            <w:webHidden/>
          </w:rPr>
          <w:fldChar w:fldCharType="end"/>
        </w:r>
      </w:hyperlink>
    </w:p>
    <w:p w14:paraId="13914A72" w14:textId="2C29BD1F"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78" w:history="1">
        <w:r w:rsidRPr="00C579C0">
          <w:rPr>
            <w:rStyle w:val="Hyperlink"/>
            <w:noProof/>
          </w:rPr>
          <w:t>4.2.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Advertenc</w:t>
        </w:r>
        <w:r w:rsidRPr="00C579C0">
          <w:rPr>
            <w:rStyle w:val="Hyperlink"/>
            <w:bCs/>
            <w:noProof/>
            <w:lang w:val="es-ES"/>
          </w:rPr>
          <w:t>i</w:t>
        </w:r>
        <w:r w:rsidRPr="00C579C0">
          <w:rPr>
            <w:rStyle w:val="Hyperlink"/>
            <w:bCs/>
            <w:noProof/>
            <w:lang w:val="es-ES"/>
          </w:rPr>
          <w:t>as y precauciones</w:t>
        </w:r>
        <w:r>
          <w:rPr>
            <w:noProof/>
            <w:webHidden/>
          </w:rPr>
          <w:tab/>
        </w:r>
        <w:r>
          <w:rPr>
            <w:noProof/>
            <w:webHidden/>
          </w:rPr>
          <w:fldChar w:fldCharType="begin"/>
        </w:r>
        <w:r>
          <w:rPr>
            <w:noProof/>
            <w:webHidden/>
          </w:rPr>
          <w:instrText xml:space="preserve"> PAGEREF _Toc212114778 \h </w:instrText>
        </w:r>
        <w:r>
          <w:rPr>
            <w:noProof/>
            <w:webHidden/>
          </w:rPr>
        </w:r>
        <w:r>
          <w:rPr>
            <w:noProof/>
            <w:webHidden/>
          </w:rPr>
          <w:fldChar w:fldCharType="separate"/>
        </w:r>
        <w:r>
          <w:rPr>
            <w:noProof/>
            <w:webHidden/>
          </w:rPr>
          <w:t>15</w:t>
        </w:r>
        <w:r>
          <w:rPr>
            <w:noProof/>
            <w:webHidden/>
          </w:rPr>
          <w:fldChar w:fldCharType="end"/>
        </w:r>
      </w:hyperlink>
    </w:p>
    <w:p w14:paraId="47E1A738" w14:textId="74A28861" w:rsidR="00F02346" w:rsidRDefault="00F02346" w:rsidP="00F02346">
      <w:pPr>
        <w:pStyle w:val="TOC1"/>
        <w:jc w:val="left"/>
        <w:rPr>
          <w:rFonts w:asciiTheme="minorHAnsi" w:eastAsiaTheme="minorEastAsia" w:hAnsiTheme="minorHAnsi" w:cstheme="minorBidi"/>
          <w:noProof/>
          <w:kern w:val="2"/>
          <w:lang w:eastAsia="zh-CN"/>
          <w14:ligatures w14:val="standardContextual"/>
        </w:rPr>
      </w:pPr>
      <w:hyperlink w:anchor="_Toc212114779" w:history="1">
        <w:r w:rsidRPr="00C579C0">
          <w:rPr>
            <w:rStyle w:val="Hyperlink"/>
            <w:noProof/>
          </w:rPr>
          <w:t>4.3.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Otros</w:t>
        </w:r>
        <w:r w:rsidRPr="00C579C0">
          <w:rPr>
            <w:rStyle w:val="Hyperlink"/>
            <w:bCs/>
            <w:noProof/>
            <w:lang w:val="es-ES"/>
          </w:rPr>
          <w:t xml:space="preserve"> </w:t>
        </w:r>
        <w:r w:rsidRPr="00C579C0">
          <w:rPr>
            <w:rStyle w:val="Hyperlink"/>
            <w:bCs/>
            <w:noProof/>
            <w:lang w:val="es-ES"/>
          </w:rPr>
          <w:t>aspectos relevantes de seguridad, incluido un resumen sobre cualquier acción correctiva de seguridad de campo (FSCA, por sus siglas en inglés), incluidas las notas de seguridad de campo (FSN, por sus siglas en inglés), si corresponden.</w:t>
        </w:r>
        <w:r>
          <w:rPr>
            <w:noProof/>
            <w:webHidden/>
          </w:rPr>
          <w:tab/>
        </w:r>
        <w:r>
          <w:rPr>
            <w:noProof/>
            <w:webHidden/>
          </w:rPr>
          <w:fldChar w:fldCharType="begin"/>
        </w:r>
        <w:r>
          <w:rPr>
            <w:noProof/>
            <w:webHidden/>
          </w:rPr>
          <w:instrText xml:space="preserve"> PAGEREF _Toc212114779 \h </w:instrText>
        </w:r>
        <w:r>
          <w:rPr>
            <w:noProof/>
            <w:webHidden/>
          </w:rPr>
        </w:r>
        <w:r>
          <w:rPr>
            <w:noProof/>
            <w:webHidden/>
          </w:rPr>
          <w:fldChar w:fldCharType="separate"/>
        </w:r>
        <w:r>
          <w:rPr>
            <w:noProof/>
            <w:webHidden/>
          </w:rPr>
          <w:t>1</w:t>
        </w:r>
        <w:r w:rsidR="00DF017C">
          <w:rPr>
            <w:noProof/>
            <w:webHidden/>
          </w:rPr>
          <w:t>5</w:t>
        </w:r>
        <w:r>
          <w:rPr>
            <w:noProof/>
            <w:webHidden/>
          </w:rPr>
          <w:fldChar w:fldCharType="end"/>
        </w:r>
      </w:hyperlink>
    </w:p>
    <w:p w14:paraId="36D8E4D6" w14:textId="205AFFC2" w:rsidR="00F02346" w:rsidRDefault="00F02346" w:rsidP="00F02346">
      <w:pPr>
        <w:pStyle w:val="TOC1"/>
        <w:jc w:val="left"/>
        <w:rPr>
          <w:rFonts w:asciiTheme="minorHAnsi" w:eastAsiaTheme="minorEastAsia" w:hAnsiTheme="minorHAnsi" w:cstheme="minorBidi"/>
          <w:noProof/>
          <w:kern w:val="2"/>
          <w:lang w:eastAsia="zh-CN"/>
          <w14:ligatures w14:val="standardContextual"/>
        </w:rPr>
      </w:pPr>
      <w:hyperlink w:anchor="_Toc212114780" w:history="1">
        <w:r w:rsidRPr="00C579C0">
          <w:rPr>
            <w:rStyle w:val="Hyperlink"/>
            <w:noProof/>
          </w:rPr>
          <w:t>5.</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Resumen de evaluación clínica y seguimiento clínico poscomercialización (PMCF, por sus siglas en inglés)</w:t>
        </w:r>
        <w:r>
          <w:rPr>
            <w:noProof/>
            <w:webHidden/>
          </w:rPr>
          <w:tab/>
        </w:r>
        <w:r>
          <w:rPr>
            <w:noProof/>
            <w:webHidden/>
          </w:rPr>
          <w:fldChar w:fldCharType="begin"/>
        </w:r>
        <w:r>
          <w:rPr>
            <w:noProof/>
            <w:webHidden/>
          </w:rPr>
          <w:instrText xml:space="preserve"> PAGEREF _Toc212114780 \h </w:instrText>
        </w:r>
        <w:r>
          <w:rPr>
            <w:noProof/>
            <w:webHidden/>
          </w:rPr>
        </w:r>
        <w:r>
          <w:rPr>
            <w:noProof/>
            <w:webHidden/>
          </w:rPr>
          <w:fldChar w:fldCharType="separate"/>
        </w:r>
        <w:r>
          <w:rPr>
            <w:noProof/>
            <w:webHidden/>
          </w:rPr>
          <w:t>16</w:t>
        </w:r>
        <w:r>
          <w:rPr>
            <w:noProof/>
            <w:webHidden/>
          </w:rPr>
          <w:fldChar w:fldCharType="end"/>
        </w:r>
      </w:hyperlink>
    </w:p>
    <w:p w14:paraId="39CFC93F" w14:textId="08087400" w:rsidR="00F02346" w:rsidRDefault="00F02346" w:rsidP="00F02346">
      <w:pPr>
        <w:pStyle w:val="TOC1"/>
        <w:jc w:val="left"/>
        <w:rPr>
          <w:rFonts w:asciiTheme="minorHAnsi" w:eastAsiaTheme="minorEastAsia" w:hAnsiTheme="minorHAnsi" w:cstheme="minorBidi"/>
          <w:noProof/>
          <w:kern w:val="2"/>
          <w:lang w:eastAsia="zh-CN"/>
          <w14:ligatures w14:val="standardContextual"/>
        </w:rPr>
      </w:pPr>
      <w:hyperlink w:anchor="_Toc212114781" w:history="1">
        <w:r w:rsidRPr="00C579C0">
          <w:rPr>
            <w:rStyle w:val="Hyperlink"/>
            <w:noProof/>
          </w:rPr>
          <w:t>5.1.</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Resumen de los datos clínicos relativos a un dispositivo equivalente, si corresponde</w:t>
        </w:r>
        <w:r>
          <w:rPr>
            <w:noProof/>
            <w:webHidden/>
          </w:rPr>
          <w:tab/>
        </w:r>
        <w:r>
          <w:rPr>
            <w:noProof/>
            <w:webHidden/>
          </w:rPr>
          <w:fldChar w:fldCharType="begin"/>
        </w:r>
        <w:r>
          <w:rPr>
            <w:noProof/>
            <w:webHidden/>
          </w:rPr>
          <w:instrText xml:space="preserve"> PAGEREF _Toc212114781 \h </w:instrText>
        </w:r>
        <w:r>
          <w:rPr>
            <w:noProof/>
            <w:webHidden/>
          </w:rPr>
        </w:r>
        <w:r>
          <w:rPr>
            <w:noProof/>
            <w:webHidden/>
          </w:rPr>
          <w:fldChar w:fldCharType="separate"/>
        </w:r>
        <w:r>
          <w:rPr>
            <w:noProof/>
            <w:webHidden/>
          </w:rPr>
          <w:t>18</w:t>
        </w:r>
        <w:r>
          <w:rPr>
            <w:noProof/>
            <w:webHidden/>
          </w:rPr>
          <w:fldChar w:fldCharType="end"/>
        </w:r>
      </w:hyperlink>
    </w:p>
    <w:p w14:paraId="7368581D" w14:textId="68D77D87" w:rsidR="00F02346" w:rsidRDefault="00F02346" w:rsidP="00F02346">
      <w:pPr>
        <w:pStyle w:val="TOC1"/>
        <w:jc w:val="left"/>
        <w:rPr>
          <w:rFonts w:asciiTheme="minorHAnsi" w:eastAsiaTheme="minorEastAsia" w:hAnsiTheme="minorHAnsi" w:cstheme="minorBidi"/>
          <w:noProof/>
          <w:kern w:val="2"/>
          <w:lang w:eastAsia="zh-CN"/>
          <w14:ligatures w14:val="standardContextual"/>
        </w:rPr>
      </w:pPr>
      <w:hyperlink w:anchor="_Toc212114782" w:history="1">
        <w:r w:rsidRPr="00C579C0">
          <w:rPr>
            <w:rStyle w:val="Hyperlink"/>
            <w:noProof/>
          </w:rPr>
          <w:t>5.2.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Resumen de los datos clínicos de las investigaciones realizadas sobre el dispositivo antes del marcado CE, si corresponde</w:t>
        </w:r>
        <w:r>
          <w:rPr>
            <w:noProof/>
            <w:webHidden/>
          </w:rPr>
          <w:tab/>
        </w:r>
        <w:r>
          <w:rPr>
            <w:noProof/>
            <w:webHidden/>
          </w:rPr>
          <w:fldChar w:fldCharType="begin"/>
        </w:r>
        <w:r>
          <w:rPr>
            <w:noProof/>
            <w:webHidden/>
          </w:rPr>
          <w:instrText xml:space="preserve"> PAGEREF _Toc212114782 \h </w:instrText>
        </w:r>
        <w:r>
          <w:rPr>
            <w:noProof/>
            <w:webHidden/>
          </w:rPr>
        </w:r>
        <w:r>
          <w:rPr>
            <w:noProof/>
            <w:webHidden/>
          </w:rPr>
          <w:fldChar w:fldCharType="separate"/>
        </w:r>
        <w:r>
          <w:rPr>
            <w:noProof/>
            <w:webHidden/>
          </w:rPr>
          <w:t>18</w:t>
        </w:r>
        <w:r>
          <w:rPr>
            <w:noProof/>
            <w:webHidden/>
          </w:rPr>
          <w:fldChar w:fldCharType="end"/>
        </w:r>
      </w:hyperlink>
    </w:p>
    <w:p w14:paraId="050955C3" w14:textId="6FBEC5A0"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3" w:history="1">
        <w:r w:rsidRPr="00C579C0">
          <w:rPr>
            <w:rStyle w:val="Hyperlink"/>
            <w:noProof/>
          </w:rPr>
          <w:t>5.3.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Resumen de datos clínicos de otras fuentes, si corresponde</w:t>
        </w:r>
        <w:r>
          <w:rPr>
            <w:noProof/>
            <w:webHidden/>
          </w:rPr>
          <w:tab/>
        </w:r>
        <w:r>
          <w:rPr>
            <w:noProof/>
            <w:webHidden/>
          </w:rPr>
          <w:fldChar w:fldCharType="begin"/>
        </w:r>
        <w:r>
          <w:rPr>
            <w:noProof/>
            <w:webHidden/>
          </w:rPr>
          <w:instrText xml:space="preserve"> PAGEREF _Toc212114783 \h </w:instrText>
        </w:r>
        <w:r>
          <w:rPr>
            <w:noProof/>
            <w:webHidden/>
          </w:rPr>
        </w:r>
        <w:r>
          <w:rPr>
            <w:noProof/>
            <w:webHidden/>
          </w:rPr>
          <w:fldChar w:fldCharType="separate"/>
        </w:r>
        <w:r>
          <w:rPr>
            <w:noProof/>
            <w:webHidden/>
          </w:rPr>
          <w:t>1</w:t>
        </w:r>
        <w:r w:rsidR="00015374">
          <w:rPr>
            <w:noProof/>
            <w:webHidden/>
          </w:rPr>
          <w:t>9</w:t>
        </w:r>
        <w:r>
          <w:rPr>
            <w:noProof/>
            <w:webHidden/>
          </w:rPr>
          <w:fldChar w:fldCharType="end"/>
        </w:r>
      </w:hyperlink>
    </w:p>
    <w:p w14:paraId="522BCBAB" w14:textId="738DC91F"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4" w:history="1">
        <w:r w:rsidRPr="00C579C0">
          <w:rPr>
            <w:rStyle w:val="Hyperlink"/>
            <w:noProof/>
          </w:rPr>
          <w:t>5.4.</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Resumen</w:t>
        </w:r>
        <w:r w:rsidRPr="00C579C0">
          <w:rPr>
            <w:rStyle w:val="Hyperlink"/>
            <w:bCs/>
            <w:noProof/>
            <w:lang w:val="es-ES"/>
          </w:rPr>
          <w:t xml:space="preserve"> </w:t>
        </w:r>
        <w:r w:rsidRPr="00C579C0">
          <w:rPr>
            <w:rStyle w:val="Hyperlink"/>
            <w:bCs/>
            <w:noProof/>
            <w:lang w:val="es-ES"/>
          </w:rPr>
          <w:t>general del rendimiento clínico y la seguridad</w:t>
        </w:r>
        <w:r>
          <w:rPr>
            <w:noProof/>
            <w:webHidden/>
          </w:rPr>
          <w:tab/>
        </w:r>
        <w:r>
          <w:rPr>
            <w:noProof/>
            <w:webHidden/>
          </w:rPr>
          <w:fldChar w:fldCharType="begin"/>
        </w:r>
        <w:r>
          <w:rPr>
            <w:noProof/>
            <w:webHidden/>
          </w:rPr>
          <w:instrText xml:space="preserve"> PAGEREF _Toc212114784 \h </w:instrText>
        </w:r>
        <w:r>
          <w:rPr>
            <w:noProof/>
            <w:webHidden/>
          </w:rPr>
        </w:r>
        <w:r>
          <w:rPr>
            <w:noProof/>
            <w:webHidden/>
          </w:rPr>
          <w:fldChar w:fldCharType="separate"/>
        </w:r>
        <w:r>
          <w:rPr>
            <w:noProof/>
            <w:webHidden/>
          </w:rPr>
          <w:t>21</w:t>
        </w:r>
        <w:r>
          <w:rPr>
            <w:noProof/>
            <w:webHidden/>
          </w:rPr>
          <w:fldChar w:fldCharType="end"/>
        </w:r>
      </w:hyperlink>
    </w:p>
    <w:p w14:paraId="753130F1" w14:textId="6D851622"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5" w:history="1">
        <w:r w:rsidRPr="00C579C0">
          <w:rPr>
            <w:rStyle w:val="Hyperlink"/>
            <w:noProof/>
          </w:rPr>
          <w:t>5.5.</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Seguimiento clín</w:t>
        </w:r>
        <w:r w:rsidRPr="00C579C0">
          <w:rPr>
            <w:rStyle w:val="Hyperlink"/>
            <w:bCs/>
            <w:noProof/>
            <w:lang w:val="es-ES"/>
          </w:rPr>
          <w:t>i</w:t>
        </w:r>
        <w:r w:rsidRPr="00C579C0">
          <w:rPr>
            <w:rStyle w:val="Hyperlink"/>
            <w:bCs/>
            <w:noProof/>
            <w:lang w:val="es-ES"/>
          </w:rPr>
          <w:t>co poscomercialización en curso o planificado</w:t>
        </w:r>
        <w:r>
          <w:rPr>
            <w:noProof/>
            <w:webHidden/>
          </w:rPr>
          <w:tab/>
        </w:r>
        <w:r>
          <w:rPr>
            <w:noProof/>
            <w:webHidden/>
          </w:rPr>
          <w:fldChar w:fldCharType="begin"/>
        </w:r>
        <w:r>
          <w:rPr>
            <w:noProof/>
            <w:webHidden/>
          </w:rPr>
          <w:instrText xml:space="preserve"> PAGEREF _Toc212114785 \h </w:instrText>
        </w:r>
        <w:r>
          <w:rPr>
            <w:noProof/>
            <w:webHidden/>
          </w:rPr>
        </w:r>
        <w:r>
          <w:rPr>
            <w:noProof/>
            <w:webHidden/>
          </w:rPr>
          <w:fldChar w:fldCharType="separate"/>
        </w:r>
        <w:r>
          <w:rPr>
            <w:noProof/>
            <w:webHidden/>
          </w:rPr>
          <w:t>26</w:t>
        </w:r>
        <w:r>
          <w:rPr>
            <w:noProof/>
            <w:webHidden/>
          </w:rPr>
          <w:fldChar w:fldCharType="end"/>
        </w:r>
      </w:hyperlink>
    </w:p>
    <w:p w14:paraId="7B2F74E0" w14:textId="041D246C"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6" w:history="1">
        <w:r w:rsidRPr="00C579C0">
          <w:rPr>
            <w:rStyle w:val="Hyperlink"/>
            <w:noProof/>
          </w:rPr>
          <w:t>6.</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Posibles alternativas diagnóst</w:t>
        </w:r>
        <w:r w:rsidRPr="00C579C0">
          <w:rPr>
            <w:rStyle w:val="Hyperlink"/>
            <w:bCs/>
            <w:noProof/>
            <w:lang w:val="es-ES"/>
          </w:rPr>
          <w:t>i</w:t>
        </w:r>
        <w:r w:rsidRPr="00C579C0">
          <w:rPr>
            <w:rStyle w:val="Hyperlink"/>
            <w:bCs/>
            <w:noProof/>
            <w:lang w:val="es-ES"/>
          </w:rPr>
          <w:t>cas o de tratamiento</w:t>
        </w:r>
        <w:r>
          <w:rPr>
            <w:noProof/>
            <w:webHidden/>
          </w:rPr>
          <w:tab/>
        </w:r>
        <w:r>
          <w:rPr>
            <w:noProof/>
            <w:webHidden/>
          </w:rPr>
          <w:fldChar w:fldCharType="begin"/>
        </w:r>
        <w:r>
          <w:rPr>
            <w:noProof/>
            <w:webHidden/>
          </w:rPr>
          <w:instrText xml:space="preserve"> PAGEREF _Toc212114786 \h </w:instrText>
        </w:r>
        <w:r>
          <w:rPr>
            <w:noProof/>
            <w:webHidden/>
          </w:rPr>
        </w:r>
        <w:r>
          <w:rPr>
            <w:noProof/>
            <w:webHidden/>
          </w:rPr>
          <w:fldChar w:fldCharType="separate"/>
        </w:r>
        <w:r>
          <w:rPr>
            <w:noProof/>
            <w:webHidden/>
          </w:rPr>
          <w:t>3</w:t>
        </w:r>
        <w:r w:rsidR="00015374">
          <w:rPr>
            <w:noProof/>
            <w:webHidden/>
          </w:rPr>
          <w:t>1</w:t>
        </w:r>
        <w:r>
          <w:rPr>
            <w:noProof/>
            <w:webHidden/>
          </w:rPr>
          <w:fldChar w:fldCharType="end"/>
        </w:r>
      </w:hyperlink>
    </w:p>
    <w:p w14:paraId="66A3A1CB" w14:textId="578AE297"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7" w:history="1">
        <w:r w:rsidRPr="00C579C0">
          <w:rPr>
            <w:rStyle w:val="Hyperlink"/>
            <w:noProof/>
          </w:rPr>
          <w:t>7.</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Perfil y form</w:t>
        </w:r>
        <w:r w:rsidRPr="00C579C0">
          <w:rPr>
            <w:rStyle w:val="Hyperlink"/>
            <w:bCs/>
            <w:noProof/>
            <w:lang w:val="es-ES"/>
          </w:rPr>
          <w:t>a</w:t>
        </w:r>
        <w:r w:rsidRPr="00C579C0">
          <w:rPr>
            <w:rStyle w:val="Hyperlink"/>
            <w:bCs/>
            <w:noProof/>
            <w:lang w:val="es-ES"/>
          </w:rPr>
          <w:t>ción suger</w:t>
        </w:r>
        <w:r w:rsidRPr="00C579C0">
          <w:rPr>
            <w:rStyle w:val="Hyperlink"/>
            <w:bCs/>
            <w:noProof/>
            <w:lang w:val="es-ES"/>
          </w:rPr>
          <w:t>i</w:t>
        </w:r>
        <w:r w:rsidRPr="00C579C0">
          <w:rPr>
            <w:rStyle w:val="Hyperlink"/>
            <w:bCs/>
            <w:noProof/>
            <w:lang w:val="es-ES"/>
          </w:rPr>
          <w:t>dos para los usuarios</w:t>
        </w:r>
        <w:r>
          <w:rPr>
            <w:noProof/>
            <w:webHidden/>
          </w:rPr>
          <w:tab/>
        </w:r>
        <w:r>
          <w:rPr>
            <w:noProof/>
            <w:webHidden/>
          </w:rPr>
          <w:fldChar w:fldCharType="begin"/>
        </w:r>
        <w:r>
          <w:rPr>
            <w:noProof/>
            <w:webHidden/>
          </w:rPr>
          <w:instrText xml:space="preserve"> PAGEREF _Toc212114787 \h </w:instrText>
        </w:r>
        <w:r>
          <w:rPr>
            <w:noProof/>
            <w:webHidden/>
          </w:rPr>
        </w:r>
        <w:r>
          <w:rPr>
            <w:noProof/>
            <w:webHidden/>
          </w:rPr>
          <w:fldChar w:fldCharType="separate"/>
        </w:r>
        <w:r>
          <w:rPr>
            <w:noProof/>
            <w:webHidden/>
          </w:rPr>
          <w:t>3</w:t>
        </w:r>
        <w:r w:rsidR="00015374">
          <w:rPr>
            <w:noProof/>
            <w:webHidden/>
          </w:rPr>
          <w:t>2</w:t>
        </w:r>
        <w:r>
          <w:rPr>
            <w:noProof/>
            <w:webHidden/>
          </w:rPr>
          <w:fldChar w:fldCharType="end"/>
        </w:r>
      </w:hyperlink>
    </w:p>
    <w:p w14:paraId="2E82E2A8" w14:textId="21A418F4"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8" w:history="1">
        <w:r w:rsidRPr="00C579C0">
          <w:rPr>
            <w:rStyle w:val="Hyperlink"/>
            <w:noProof/>
          </w:rPr>
          <w:t>8.</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Normas armonizadas/Especificac</w:t>
        </w:r>
        <w:r w:rsidRPr="00C579C0">
          <w:rPr>
            <w:rStyle w:val="Hyperlink"/>
            <w:bCs/>
            <w:noProof/>
            <w:lang w:val="es-ES"/>
          </w:rPr>
          <w:t>i</w:t>
        </w:r>
        <w:r w:rsidRPr="00C579C0">
          <w:rPr>
            <w:rStyle w:val="Hyperlink"/>
            <w:bCs/>
            <w:noProof/>
            <w:lang w:val="es-ES"/>
          </w:rPr>
          <w:t>ones comunes</w:t>
        </w:r>
        <w:r>
          <w:rPr>
            <w:noProof/>
            <w:webHidden/>
          </w:rPr>
          <w:tab/>
        </w:r>
        <w:r>
          <w:rPr>
            <w:noProof/>
            <w:webHidden/>
          </w:rPr>
          <w:fldChar w:fldCharType="begin"/>
        </w:r>
        <w:r>
          <w:rPr>
            <w:noProof/>
            <w:webHidden/>
          </w:rPr>
          <w:instrText xml:space="preserve"> PAGEREF _Toc212114788 \h </w:instrText>
        </w:r>
        <w:r>
          <w:rPr>
            <w:noProof/>
            <w:webHidden/>
          </w:rPr>
        </w:r>
        <w:r>
          <w:rPr>
            <w:noProof/>
            <w:webHidden/>
          </w:rPr>
          <w:fldChar w:fldCharType="separate"/>
        </w:r>
        <w:r>
          <w:rPr>
            <w:noProof/>
            <w:webHidden/>
          </w:rPr>
          <w:t>3</w:t>
        </w:r>
        <w:r w:rsidR="00015374">
          <w:rPr>
            <w:noProof/>
            <w:webHidden/>
          </w:rPr>
          <w:t>2</w:t>
        </w:r>
        <w:r>
          <w:rPr>
            <w:noProof/>
            <w:webHidden/>
          </w:rPr>
          <w:fldChar w:fldCharType="end"/>
        </w:r>
      </w:hyperlink>
    </w:p>
    <w:p w14:paraId="6E3E0ECF" w14:textId="472473F6"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89" w:history="1">
        <w:r w:rsidRPr="00C579C0">
          <w:rPr>
            <w:rStyle w:val="Hyperlink"/>
            <w:noProof/>
          </w:rPr>
          <w:t>9.</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B. Resumen de seguridad y rendimiento para pacientes/no profesionales</w:t>
        </w:r>
        <w:r>
          <w:rPr>
            <w:noProof/>
            <w:webHidden/>
          </w:rPr>
          <w:tab/>
        </w:r>
        <w:r>
          <w:rPr>
            <w:noProof/>
            <w:webHidden/>
          </w:rPr>
          <w:fldChar w:fldCharType="begin"/>
        </w:r>
        <w:r>
          <w:rPr>
            <w:noProof/>
            <w:webHidden/>
          </w:rPr>
          <w:instrText xml:space="preserve"> PAGEREF _Toc212114789 \h </w:instrText>
        </w:r>
        <w:r>
          <w:rPr>
            <w:noProof/>
            <w:webHidden/>
          </w:rPr>
        </w:r>
        <w:r>
          <w:rPr>
            <w:noProof/>
            <w:webHidden/>
          </w:rPr>
          <w:fldChar w:fldCharType="separate"/>
        </w:r>
        <w:r>
          <w:rPr>
            <w:noProof/>
            <w:webHidden/>
          </w:rPr>
          <w:t>3</w:t>
        </w:r>
        <w:r w:rsidR="00015374">
          <w:rPr>
            <w:noProof/>
            <w:webHidden/>
          </w:rPr>
          <w:t>4</w:t>
        </w:r>
        <w:r>
          <w:rPr>
            <w:noProof/>
            <w:webHidden/>
          </w:rPr>
          <w:fldChar w:fldCharType="end"/>
        </w:r>
      </w:hyperlink>
    </w:p>
    <w:p w14:paraId="5DCB1BD9" w14:textId="704EF7DA"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0" w:history="1">
        <w:r w:rsidRPr="00C579C0">
          <w:rPr>
            <w:rStyle w:val="Hyperlink"/>
            <w:noProof/>
          </w:rPr>
          <w:t>9.1.</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Identificació</w:t>
        </w:r>
        <w:r w:rsidRPr="00C579C0">
          <w:rPr>
            <w:rStyle w:val="Hyperlink"/>
            <w:bCs/>
            <w:noProof/>
            <w:lang w:val="es-ES"/>
          </w:rPr>
          <w:t>n</w:t>
        </w:r>
        <w:r w:rsidRPr="00C579C0">
          <w:rPr>
            <w:rStyle w:val="Hyperlink"/>
            <w:bCs/>
            <w:noProof/>
            <w:lang w:val="es-ES"/>
          </w:rPr>
          <w:t xml:space="preserve"> del dispositivo e información general</w:t>
        </w:r>
        <w:r>
          <w:rPr>
            <w:noProof/>
            <w:webHidden/>
          </w:rPr>
          <w:tab/>
        </w:r>
        <w:r>
          <w:rPr>
            <w:noProof/>
            <w:webHidden/>
          </w:rPr>
          <w:fldChar w:fldCharType="begin"/>
        </w:r>
        <w:r>
          <w:rPr>
            <w:noProof/>
            <w:webHidden/>
          </w:rPr>
          <w:instrText xml:space="preserve"> PAGEREF _Toc212114790 \h </w:instrText>
        </w:r>
        <w:r>
          <w:rPr>
            <w:noProof/>
            <w:webHidden/>
          </w:rPr>
        </w:r>
        <w:r>
          <w:rPr>
            <w:noProof/>
            <w:webHidden/>
          </w:rPr>
          <w:fldChar w:fldCharType="separate"/>
        </w:r>
        <w:r>
          <w:rPr>
            <w:noProof/>
            <w:webHidden/>
          </w:rPr>
          <w:t>3</w:t>
        </w:r>
        <w:r w:rsidR="00015374">
          <w:rPr>
            <w:noProof/>
            <w:webHidden/>
          </w:rPr>
          <w:t>4</w:t>
        </w:r>
        <w:r>
          <w:rPr>
            <w:noProof/>
            <w:webHidden/>
          </w:rPr>
          <w:fldChar w:fldCharType="end"/>
        </w:r>
      </w:hyperlink>
    </w:p>
    <w:p w14:paraId="53F84F63" w14:textId="0456757B"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1" w:history="1">
        <w:r w:rsidRPr="00C579C0">
          <w:rPr>
            <w:rStyle w:val="Hyperlink"/>
            <w:noProof/>
          </w:rPr>
          <w:t>9.2.</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Motivo para utilizar este dispositivo</w:t>
        </w:r>
        <w:r>
          <w:rPr>
            <w:noProof/>
            <w:webHidden/>
          </w:rPr>
          <w:tab/>
        </w:r>
        <w:r>
          <w:rPr>
            <w:noProof/>
            <w:webHidden/>
          </w:rPr>
          <w:fldChar w:fldCharType="begin"/>
        </w:r>
        <w:r>
          <w:rPr>
            <w:noProof/>
            <w:webHidden/>
          </w:rPr>
          <w:instrText xml:space="preserve"> PAGEREF _Toc212114791 \h </w:instrText>
        </w:r>
        <w:r>
          <w:rPr>
            <w:noProof/>
            <w:webHidden/>
          </w:rPr>
        </w:r>
        <w:r>
          <w:rPr>
            <w:noProof/>
            <w:webHidden/>
          </w:rPr>
          <w:fldChar w:fldCharType="separate"/>
        </w:r>
        <w:r>
          <w:rPr>
            <w:noProof/>
            <w:webHidden/>
          </w:rPr>
          <w:t>3</w:t>
        </w:r>
        <w:r w:rsidR="00015374">
          <w:rPr>
            <w:noProof/>
            <w:webHidden/>
          </w:rPr>
          <w:t>5</w:t>
        </w:r>
        <w:r>
          <w:rPr>
            <w:noProof/>
            <w:webHidden/>
          </w:rPr>
          <w:fldChar w:fldCharType="end"/>
        </w:r>
      </w:hyperlink>
    </w:p>
    <w:p w14:paraId="780A76F5" w14:textId="19F3A19D"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2" w:history="1">
        <w:r w:rsidRPr="00C579C0">
          <w:rPr>
            <w:rStyle w:val="Hyperlink"/>
            <w:noProof/>
          </w:rPr>
          <w:t>9.3.</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Descripción del dispositivo</w:t>
        </w:r>
        <w:r>
          <w:rPr>
            <w:noProof/>
            <w:webHidden/>
          </w:rPr>
          <w:tab/>
        </w:r>
        <w:r>
          <w:rPr>
            <w:noProof/>
            <w:webHidden/>
          </w:rPr>
          <w:fldChar w:fldCharType="begin"/>
        </w:r>
        <w:r>
          <w:rPr>
            <w:noProof/>
            <w:webHidden/>
          </w:rPr>
          <w:instrText xml:space="preserve"> PAGEREF _Toc212114792 \h </w:instrText>
        </w:r>
        <w:r>
          <w:rPr>
            <w:noProof/>
            <w:webHidden/>
          </w:rPr>
        </w:r>
        <w:r>
          <w:rPr>
            <w:noProof/>
            <w:webHidden/>
          </w:rPr>
          <w:fldChar w:fldCharType="separate"/>
        </w:r>
        <w:r>
          <w:rPr>
            <w:noProof/>
            <w:webHidden/>
          </w:rPr>
          <w:t>3</w:t>
        </w:r>
        <w:r w:rsidR="00015374">
          <w:rPr>
            <w:noProof/>
            <w:webHidden/>
          </w:rPr>
          <w:t>6</w:t>
        </w:r>
        <w:r>
          <w:rPr>
            <w:noProof/>
            <w:webHidden/>
          </w:rPr>
          <w:fldChar w:fldCharType="end"/>
        </w:r>
      </w:hyperlink>
    </w:p>
    <w:p w14:paraId="448287B8" w14:textId="38B7E3F9"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3" w:history="1">
        <w:r w:rsidRPr="00C579C0">
          <w:rPr>
            <w:rStyle w:val="Hyperlink"/>
            <w:noProof/>
          </w:rPr>
          <w:t>9.4.</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Riesgos y advertencias</w:t>
        </w:r>
        <w:r>
          <w:rPr>
            <w:noProof/>
            <w:webHidden/>
          </w:rPr>
          <w:tab/>
        </w:r>
        <w:r>
          <w:rPr>
            <w:noProof/>
            <w:webHidden/>
          </w:rPr>
          <w:fldChar w:fldCharType="begin"/>
        </w:r>
        <w:r>
          <w:rPr>
            <w:noProof/>
            <w:webHidden/>
          </w:rPr>
          <w:instrText xml:space="preserve"> PAGEREF _Toc212114793 \h </w:instrText>
        </w:r>
        <w:r>
          <w:rPr>
            <w:noProof/>
            <w:webHidden/>
          </w:rPr>
        </w:r>
        <w:r>
          <w:rPr>
            <w:noProof/>
            <w:webHidden/>
          </w:rPr>
          <w:fldChar w:fldCharType="separate"/>
        </w:r>
        <w:r>
          <w:rPr>
            <w:noProof/>
            <w:webHidden/>
          </w:rPr>
          <w:t>3</w:t>
        </w:r>
        <w:r w:rsidR="00015374">
          <w:rPr>
            <w:noProof/>
            <w:webHidden/>
          </w:rPr>
          <w:t>6</w:t>
        </w:r>
        <w:r>
          <w:rPr>
            <w:noProof/>
            <w:webHidden/>
          </w:rPr>
          <w:fldChar w:fldCharType="end"/>
        </w:r>
      </w:hyperlink>
    </w:p>
    <w:p w14:paraId="5E9D7B47" w14:textId="15B99B77"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4" w:history="1">
        <w:r w:rsidRPr="00C579C0">
          <w:rPr>
            <w:rStyle w:val="Hyperlink"/>
            <w:noProof/>
          </w:rPr>
          <w:t>9.5.</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 xml:space="preserve">Resumen </w:t>
        </w:r>
        <w:r w:rsidRPr="00C579C0">
          <w:rPr>
            <w:rStyle w:val="Hyperlink"/>
            <w:bCs/>
            <w:noProof/>
            <w:lang w:val="es-ES"/>
          </w:rPr>
          <w:t>d</w:t>
        </w:r>
        <w:r w:rsidRPr="00C579C0">
          <w:rPr>
            <w:rStyle w:val="Hyperlink"/>
            <w:bCs/>
            <w:noProof/>
            <w:lang w:val="es-ES"/>
          </w:rPr>
          <w:t>e evaluación clínica y seguimiento clínico poscomercialización</w:t>
        </w:r>
        <w:r>
          <w:rPr>
            <w:noProof/>
            <w:webHidden/>
          </w:rPr>
          <w:tab/>
        </w:r>
        <w:r>
          <w:rPr>
            <w:noProof/>
            <w:webHidden/>
          </w:rPr>
          <w:fldChar w:fldCharType="begin"/>
        </w:r>
        <w:r>
          <w:rPr>
            <w:noProof/>
            <w:webHidden/>
          </w:rPr>
          <w:instrText xml:space="preserve"> PAGEREF _Toc212114794 \h </w:instrText>
        </w:r>
        <w:r>
          <w:rPr>
            <w:noProof/>
            <w:webHidden/>
          </w:rPr>
        </w:r>
        <w:r>
          <w:rPr>
            <w:noProof/>
            <w:webHidden/>
          </w:rPr>
          <w:fldChar w:fldCharType="separate"/>
        </w:r>
        <w:r>
          <w:rPr>
            <w:noProof/>
            <w:webHidden/>
          </w:rPr>
          <w:t>3</w:t>
        </w:r>
        <w:r w:rsidR="00015374">
          <w:rPr>
            <w:noProof/>
            <w:webHidden/>
          </w:rPr>
          <w:t>7</w:t>
        </w:r>
        <w:r>
          <w:rPr>
            <w:noProof/>
            <w:webHidden/>
          </w:rPr>
          <w:fldChar w:fldCharType="end"/>
        </w:r>
      </w:hyperlink>
    </w:p>
    <w:p w14:paraId="5A8F400A" w14:textId="16954ED9" w:rsidR="00F02346" w:rsidRDefault="00F02346">
      <w:pPr>
        <w:pStyle w:val="TOC1"/>
        <w:rPr>
          <w:rStyle w:val="Hyperlink"/>
          <w:noProof/>
        </w:rPr>
      </w:pPr>
      <w:hyperlink w:anchor="_Toc212114795" w:history="1">
        <w:r w:rsidRPr="00C579C0">
          <w:rPr>
            <w:rStyle w:val="Hyperlink"/>
            <w:noProof/>
          </w:rPr>
          <w:t>9.6.</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Otras opciones de tratamiento</w:t>
        </w:r>
        <w:r>
          <w:rPr>
            <w:noProof/>
            <w:webHidden/>
          </w:rPr>
          <w:tab/>
        </w:r>
        <w:r w:rsidR="00015374">
          <w:rPr>
            <w:noProof/>
            <w:webHidden/>
          </w:rPr>
          <w:t>38</w:t>
        </w:r>
      </w:hyperlink>
    </w:p>
    <w:p w14:paraId="655E48A5" w14:textId="77777777" w:rsidR="00F02346" w:rsidRPr="00F02346" w:rsidRDefault="00F02346" w:rsidP="00F02346">
      <w:pPr>
        <w:rPr>
          <w:lang w:val="en-GB"/>
        </w:rPr>
      </w:pPr>
    </w:p>
    <w:p w14:paraId="44989307" w14:textId="41D22D75"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6" w:history="1">
        <w:r w:rsidRPr="00C579C0">
          <w:rPr>
            <w:rStyle w:val="Hyperlink"/>
            <w:noProof/>
          </w:rPr>
          <w:t>9.7.</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Formación para proveedores de atención médica</w:t>
        </w:r>
        <w:r>
          <w:rPr>
            <w:noProof/>
            <w:webHidden/>
          </w:rPr>
          <w:tab/>
        </w:r>
        <w:r w:rsidR="00015374">
          <w:rPr>
            <w:noProof/>
            <w:webHidden/>
          </w:rPr>
          <w:t>38</w:t>
        </w:r>
      </w:hyperlink>
    </w:p>
    <w:p w14:paraId="2C4D53C1" w14:textId="6B94972A" w:rsidR="00F02346" w:rsidRDefault="00F02346">
      <w:pPr>
        <w:pStyle w:val="TOC1"/>
        <w:rPr>
          <w:rFonts w:asciiTheme="minorHAnsi" w:eastAsiaTheme="minorEastAsia" w:hAnsiTheme="minorHAnsi" w:cstheme="minorBidi"/>
          <w:noProof/>
          <w:kern w:val="2"/>
          <w:lang w:eastAsia="zh-CN"/>
          <w14:ligatures w14:val="standardContextual"/>
        </w:rPr>
      </w:pPr>
      <w:hyperlink w:anchor="_Toc212114797" w:history="1">
        <w:r w:rsidRPr="00C579C0">
          <w:rPr>
            <w:rStyle w:val="Hyperlink"/>
            <w:noProof/>
          </w:rPr>
          <w:t>10.</w:t>
        </w:r>
        <w:r>
          <w:rPr>
            <w:rFonts w:asciiTheme="minorHAnsi" w:eastAsiaTheme="minorEastAsia" w:hAnsiTheme="minorHAnsi" w:cstheme="minorBidi"/>
            <w:noProof/>
            <w:kern w:val="2"/>
            <w:lang w:eastAsia="zh-CN"/>
            <w14:ligatures w14:val="standardContextual"/>
          </w:rPr>
          <w:tab/>
        </w:r>
        <w:r w:rsidRPr="00C579C0">
          <w:rPr>
            <w:rStyle w:val="Hyperlink"/>
            <w:bCs/>
            <w:noProof/>
            <w:lang w:val="es-ES"/>
          </w:rPr>
          <w:t>Historial de re</w:t>
        </w:r>
        <w:r w:rsidRPr="00C579C0">
          <w:rPr>
            <w:rStyle w:val="Hyperlink"/>
            <w:bCs/>
            <w:noProof/>
            <w:lang w:val="es-ES"/>
          </w:rPr>
          <w:t>v</w:t>
        </w:r>
        <w:r w:rsidRPr="00C579C0">
          <w:rPr>
            <w:rStyle w:val="Hyperlink"/>
            <w:bCs/>
            <w:noProof/>
            <w:lang w:val="es-ES"/>
          </w:rPr>
          <w:t>isiones</w:t>
        </w:r>
        <w:r>
          <w:rPr>
            <w:noProof/>
            <w:webHidden/>
          </w:rPr>
          <w:tab/>
        </w:r>
        <w:r w:rsidR="00015374">
          <w:rPr>
            <w:noProof/>
            <w:webHidden/>
          </w:rPr>
          <w:t>39</w:t>
        </w:r>
      </w:hyperlink>
    </w:p>
    <w:p w14:paraId="29D6E5E3" w14:textId="2D92CF48"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es-ES"/>
        </w:rPr>
        <w:br w:type="page"/>
      </w:r>
    </w:p>
    <w:p w14:paraId="453DC774" w14:textId="77777777" w:rsidR="00221CEF" w:rsidRPr="00451CE9" w:rsidRDefault="00221CEF" w:rsidP="00042B91">
      <w:pPr>
        <w:pStyle w:val="Heading7"/>
        <w:spacing w:after="0" w:afterAutospacing="0"/>
      </w:pPr>
      <w:r>
        <w:rPr>
          <w:bCs/>
          <w:lang w:val="es-ES"/>
        </w:rPr>
        <w:lastRenderedPageBreak/>
        <w:t>Resumen de seguridad y rendimiento clínico</w:t>
      </w:r>
    </w:p>
    <w:p w14:paraId="2D567C3A" w14:textId="56E1AF78" w:rsidR="00221CEF" w:rsidRPr="00451CE9" w:rsidRDefault="00221CEF" w:rsidP="00A41BE9">
      <w:pPr>
        <w:spacing w:after="0" w:afterAutospacing="0" w:line="240" w:lineRule="auto"/>
        <w:jc w:val="both"/>
        <w:rPr>
          <w:rFonts w:cs="Times New Roman"/>
        </w:rPr>
      </w:pPr>
      <w:r>
        <w:rPr>
          <w:rFonts w:cs="Times New Roman"/>
          <w:lang w:val="es-ES"/>
        </w:rPr>
        <w:t>Este resumen de seguridad y rendimiento clínico (SSCP, por sus siglas en inglés) está destinado a proporcionar acceso público a un resumen actualizado de los principales aspectos de la seguridad y el rendimiento clínico del sistema de drenaje SKATER desde el 1 de enero de 2022 hasta el 3 de mayo de 2024 (intervalo de referencia).</w:t>
      </w:r>
    </w:p>
    <w:p w14:paraId="1E94D014" w14:textId="77777777" w:rsidR="00F67B8D" w:rsidRPr="00451CE9" w:rsidRDefault="00F67B8D" w:rsidP="00A41BE9">
      <w:pPr>
        <w:spacing w:after="0" w:afterAutospacing="0" w:line="240" w:lineRule="auto"/>
        <w:jc w:val="both"/>
        <w:rPr>
          <w:rFonts w:cs="Times New Roman"/>
        </w:rPr>
      </w:pPr>
    </w:p>
    <w:p w14:paraId="549AF428" w14:textId="546867ED" w:rsidR="00221CEF" w:rsidRPr="00451CE9" w:rsidRDefault="00221CEF" w:rsidP="00A41BE9">
      <w:pPr>
        <w:spacing w:after="0" w:afterAutospacing="0" w:line="240" w:lineRule="auto"/>
        <w:jc w:val="both"/>
        <w:rPr>
          <w:rFonts w:cs="Times New Roman"/>
        </w:rPr>
      </w:pPr>
      <w:r>
        <w:rPr>
          <w:rFonts w:cs="Times New Roman"/>
          <w:lang w:val="es-ES"/>
        </w:rPr>
        <w:t>El SSCP no está destinado a reemplazar las instrucciones de uso como documento principal para garantizar el uso seguro del dispositivo, ni a proporcionar sugerencias diagnósticas ni terapéuticas a los usuarios o pacientes previstos.</w:t>
      </w:r>
    </w:p>
    <w:p w14:paraId="6E1D4297" w14:textId="77777777" w:rsidR="00042B91" w:rsidRPr="00451CE9" w:rsidRDefault="00042B91" w:rsidP="00A41BE9">
      <w:pPr>
        <w:spacing w:after="0" w:afterAutospacing="0" w:line="240" w:lineRule="auto"/>
        <w:jc w:val="both"/>
        <w:rPr>
          <w:rFonts w:cs="Times New Roman"/>
        </w:rPr>
      </w:pPr>
    </w:p>
    <w:p w14:paraId="57958E5A" w14:textId="7CA75208" w:rsidR="00221CEF" w:rsidRPr="00451CE9" w:rsidRDefault="00221CEF" w:rsidP="00A41BE9">
      <w:pPr>
        <w:spacing w:after="0" w:afterAutospacing="0" w:line="240" w:lineRule="auto"/>
        <w:jc w:val="both"/>
        <w:rPr>
          <w:rFonts w:cs="Times New Roman"/>
        </w:rPr>
      </w:pPr>
      <w:r>
        <w:rPr>
          <w:rFonts w:cs="Times New Roman"/>
          <w:lang w:val="es-ES"/>
        </w:rPr>
        <w:t xml:space="preserve">La siguiente información está dirigida a usuarios/profesionales sanitarios. No se ha establecido ningún SSCP complementario con información para los pacientes debido a que el sistema de catéteres de drenaje </w:t>
      </w:r>
      <w:proofErr w:type="spellStart"/>
      <w:r>
        <w:rPr>
          <w:rFonts w:cs="Times New Roman"/>
          <w:lang w:val="es-ES"/>
        </w:rPr>
        <w:t>Skater</w:t>
      </w:r>
      <w:proofErr w:type="spellEnd"/>
      <w:r>
        <w:rPr>
          <w:rFonts w:cs="Times New Roman"/>
          <w:lang w:val="es-ES"/>
        </w:rPr>
        <w:t xml:space="preserve"> es un dispositivo implantable, para el cual se proporciona a los pacientes una tarjeta de implante, pero el dispositivo no está destinado a ser utilizado directamente por los pacientes. </w:t>
      </w:r>
    </w:p>
    <w:p w14:paraId="18A77BED" w14:textId="77777777" w:rsidR="00042B91" w:rsidRPr="00451CE9" w:rsidRDefault="00042B91" w:rsidP="00042B91">
      <w:pPr>
        <w:spacing w:after="0" w:afterAutospacing="0" w:line="240" w:lineRule="auto"/>
        <w:rPr>
          <w:rFonts w:cs="Times New Roman"/>
        </w:rPr>
      </w:pPr>
    </w:p>
    <w:p w14:paraId="6E5276B4" w14:textId="716826CB" w:rsidR="00042B91" w:rsidRPr="00451CE9" w:rsidRDefault="006F0810" w:rsidP="00363EE0">
      <w:pPr>
        <w:pStyle w:val="Heading1"/>
        <w:numPr>
          <w:ilvl w:val="0"/>
          <w:numId w:val="2"/>
        </w:numPr>
        <w:rPr>
          <w:rFonts w:cs="Times New Roman"/>
        </w:rPr>
      </w:pPr>
      <w:bookmarkStart w:id="0" w:name="_Toc212114760"/>
      <w:r>
        <w:rPr>
          <w:rFonts w:cs="Times New Roman"/>
          <w:bCs/>
          <w:lang w:val="es-ES"/>
        </w:rPr>
        <w:t>Ámbito de este resumen de seguridad y rendimiento clínico (SSCP)</w:t>
      </w:r>
      <w:bookmarkEnd w:id="0"/>
    </w:p>
    <w:p w14:paraId="5CDBAEA3" w14:textId="77777777" w:rsidR="00042B91" w:rsidRPr="00451CE9" w:rsidRDefault="00042B91" w:rsidP="00042B91">
      <w:pPr>
        <w:spacing w:after="0" w:afterAutospacing="0" w:line="240" w:lineRule="auto"/>
        <w:rPr>
          <w:rFonts w:cs="Times New Roman"/>
        </w:rPr>
      </w:pPr>
    </w:p>
    <w:p w14:paraId="69457C15" w14:textId="59140557" w:rsidR="008C11DD" w:rsidRPr="00451CE9" w:rsidRDefault="00221CEF" w:rsidP="008C11DD">
      <w:pPr>
        <w:pStyle w:val="Heading1"/>
        <w:rPr>
          <w:rFonts w:cs="Times New Roman"/>
        </w:rPr>
      </w:pPr>
      <w:bookmarkStart w:id="1" w:name="_Toc212114761"/>
      <w:r>
        <w:rPr>
          <w:rFonts w:cs="Times New Roman"/>
          <w:bCs/>
          <w:lang w:val="es-ES"/>
        </w:rPr>
        <w:t>Nombre comercial del dispositivo</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es-ES"/>
        </w:rPr>
        <w:t>Catéteres y kits de drenaje SKATER</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Juego de catéteres de drenaje de un solo paso SKATER™ con cola de cerdo con y sin bloqueo</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Catéter de drenaje SKATER™ con cola de cerdo con y sin bloqueo</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Catéter de drenaje biliar SKATER™ con cola de cerdo con y sin bloqueo</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Kit introductorio de drenaje biliar SKATER™ con cola de cerdo con bloqueo</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 xml:space="preserve">Catéter de </w:t>
      </w:r>
      <w:proofErr w:type="spellStart"/>
      <w:r>
        <w:rPr>
          <w:rFonts w:cs="Times New Roman"/>
          <w:szCs w:val="24"/>
          <w:lang w:val="es-ES"/>
        </w:rPr>
        <w:t>nefrostomía</w:t>
      </w:r>
      <w:proofErr w:type="spellEnd"/>
      <w:r>
        <w:rPr>
          <w:rFonts w:cs="Times New Roman"/>
          <w:szCs w:val="24"/>
          <w:lang w:val="es-ES"/>
        </w:rPr>
        <w:t xml:space="preserve"> SKATER™ con cola de cerdo con y sin bloqueo</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 xml:space="preserve">Kit de </w:t>
      </w:r>
      <w:proofErr w:type="spellStart"/>
      <w:r>
        <w:rPr>
          <w:rFonts w:cs="Times New Roman"/>
          <w:szCs w:val="24"/>
          <w:lang w:val="es-ES"/>
        </w:rPr>
        <w:t>nefrostomía</w:t>
      </w:r>
      <w:proofErr w:type="spellEnd"/>
      <w:r>
        <w:rPr>
          <w:rFonts w:cs="Times New Roman"/>
          <w:szCs w:val="24"/>
          <w:lang w:val="es-ES"/>
        </w:rPr>
        <w:t xml:space="preserve"> SKATER™ con cola de cerdo con y sin bloqueo</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 xml:space="preserve">Kit introductorio de </w:t>
      </w:r>
      <w:proofErr w:type="spellStart"/>
      <w:r>
        <w:rPr>
          <w:rFonts w:cs="Times New Roman"/>
          <w:szCs w:val="24"/>
          <w:lang w:val="es-ES"/>
        </w:rPr>
        <w:t>nefrostomía</w:t>
      </w:r>
      <w:proofErr w:type="spellEnd"/>
      <w:r>
        <w:rPr>
          <w:rFonts w:cs="Times New Roman"/>
          <w:szCs w:val="24"/>
          <w:lang w:val="es-ES"/>
        </w:rPr>
        <w:t xml:space="preserve"> SKATER™ con cola de cerdo con bloqueo</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 xml:space="preserve">Juego multiusos y para </w:t>
      </w:r>
      <w:proofErr w:type="spellStart"/>
      <w:r>
        <w:rPr>
          <w:rFonts w:cs="Times New Roman"/>
          <w:szCs w:val="24"/>
          <w:lang w:val="es-ES"/>
        </w:rPr>
        <w:t>nefrostomía</w:t>
      </w:r>
      <w:proofErr w:type="spellEnd"/>
      <w:r>
        <w:rPr>
          <w:rFonts w:cs="Times New Roman"/>
          <w:szCs w:val="24"/>
          <w:lang w:val="es-ES"/>
        </w:rPr>
        <w:t xml:space="preserve"> SKATER™ con cola de cerdo con y sin bloqueo</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es-ES"/>
        </w:rPr>
        <w:t>Juego de drenaje SKATER™ Mini-</w:t>
      </w:r>
      <w:proofErr w:type="spellStart"/>
      <w:r>
        <w:rPr>
          <w:rFonts w:cs="Times New Roman"/>
          <w:szCs w:val="24"/>
          <w:lang w:val="es-ES"/>
        </w:rPr>
        <w:t>Loop</w:t>
      </w:r>
      <w:proofErr w:type="spellEnd"/>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701DC243" w:rsidR="00B161CF" w:rsidRPr="00451CE9" w:rsidRDefault="00221CEF" w:rsidP="00B161CF">
      <w:pPr>
        <w:pStyle w:val="Heading1"/>
        <w:rPr>
          <w:rFonts w:cs="Times New Roman"/>
        </w:rPr>
      </w:pPr>
      <w:bookmarkStart w:id="2" w:name="_Toc212114762"/>
      <w:r>
        <w:rPr>
          <w:rFonts w:cs="Times New Roman"/>
          <w:bCs/>
          <w:lang w:val="es-ES"/>
        </w:rPr>
        <w:lastRenderedPageBreak/>
        <w:t>Descripción de los dispositivos, UDI-DI básico y clasificación de la UE</w:t>
      </w:r>
      <w:bookmarkEnd w:id="2"/>
    </w:p>
    <w:p w14:paraId="52735276" w14:textId="77777777" w:rsidR="00132A47" w:rsidRPr="00451CE9" w:rsidRDefault="00132A47" w:rsidP="00596226">
      <w:pPr>
        <w:pStyle w:val="Caption"/>
      </w:pPr>
      <w:bookmarkStart w:id="3" w:name="_Ref160014389"/>
      <w:bookmarkStart w:id="4" w:name="_Ref161046689"/>
      <w:bookmarkStart w:id="5" w:name="_Toc167094032"/>
    </w:p>
    <w:p w14:paraId="3136D474" w14:textId="19E9611D" w:rsidR="00132A47" w:rsidRPr="00987490" w:rsidRDefault="00132A47" w:rsidP="00596226">
      <w:pPr>
        <w:pStyle w:val="Caption"/>
      </w:pPr>
      <w:r w:rsidRPr="00987490">
        <w:t>Tabla</w:t>
      </w:r>
      <w:bookmarkEnd w:id="3"/>
      <w:bookmarkEnd w:id="4"/>
      <w:r w:rsidRPr="00987490">
        <w:t xml:space="preserve"> 1.2-1: Grupo de productos</w:t>
      </w:r>
      <w:bookmarkEnd w:id="5"/>
      <w:r w:rsidRPr="00987490">
        <w:t xml:space="preserve"> y UDI-DI básico</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es-ES"/>
              </w:rPr>
              <w:t>Grupo de productos</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es-ES"/>
              </w:rPr>
              <w:t>UDI-DI básico</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es-ES"/>
              </w:rPr>
              <w:t>Catéteres de drenaje SKATER™:</w:t>
            </w:r>
          </w:p>
          <w:p w14:paraId="1588F92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 xml:space="preserve">Juego multiusos y para </w:t>
            </w:r>
            <w:proofErr w:type="spellStart"/>
            <w:r>
              <w:rPr>
                <w:rFonts w:ascii="Times New Roman" w:hAnsi="Times New Roman" w:cs="Times New Roman"/>
                <w:sz w:val="20"/>
                <w:szCs w:val="20"/>
                <w:lang w:val="es-ES"/>
              </w:rPr>
              <w:t>nefrostomía</w:t>
            </w:r>
            <w:proofErr w:type="spellEnd"/>
            <w:r>
              <w:rPr>
                <w:rFonts w:ascii="Times New Roman" w:hAnsi="Times New Roman" w:cs="Times New Roman"/>
                <w:sz w:val="20"/>
                <w:szCs w:val="20"/>
                <w:lang w:val="es-ES"/>
              </w:rPr>
              <w:t xml:space="preserve"> SKATER™ sin bloqueo</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es-ES"/>
              </w:rPr>
              <w:t>0886333010002XF</w:t>
            </w:r>
          </w:p>
        </w:tc>
      </w:tr>
      <w:tr w:rsidR="008B14C9" w:rsidRPr="00451CE9" w14:paraId="38C4FA6F" w14:textId="77777777" w:rsidTr="008B14C9">
        <w:tc>
          <w:tcPr>
            <w:tcW w:w="3351" w:type="pct"/>
            <w:vAlign w:val="center"/>
          </w:tcPr>
          <w:p w14:paraId="18469ED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 xml:space="preserve">Juego multiusos y para </w:t>
            </w:r>
            <w:proofErr w:type="spellStart"/>
            <w:r>
              <w:rPr>
                <w:rFonts w:ascii="Times New Roman" w:hAnsi="Times New Roman" w:cs="Times New Roman"/>
                <w:sz w:val="20"/>
                <w:szCs w:val="20"/>
                <w:lang w:val="es-ES"/>
              </w:rPr>
              <w:t>nefrostomía</w:t>
            </w:r>
            <w:proofErr w:type="spellEnd"/>
            <w:r>
              <w:rPr>
                <w:rFonts w:ascii="Times New Roman" w:hAnsi="Times New Roman" w:cs="Times New Roman"/>
                <w:sz w:val="20"/>
                <w:szCs w:val="20"/>
                <w:lang w:val="es-ES"/>
              </w:rPr>
              <w:t xml:space="preserve"> SKATER™ con bloqueo</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es-ES"/>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Juego de drenaje SKATER™ Mini-</w:t>
            </w:r>
            <w:proofErr w:type="spellStart"/>
            <w:r>
              <w:rPr>
                <w:rFonts w:ascii="Times New Roman" w:hAnsi="Times New Roman" w:cs="Times New Roman"/>
                <w:sz w:val="20"/>
                <w:szCs w:val="20"/>
                <w:lang w:val="es-ES"/>
              </w:rPr>
              <w:t>Loop</w:t>
            </w:r>
            <w:proofErr w:type="spellEnd"/>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Juego de catéteres de drenaje de un solo paso SKATER™ sin bloqueo</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Juego de catéteres de drenaje de un solo paso SKATER™ con bloqueo</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Catéter de drenaje SKATER™ sin bloqueo</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Catéter de drenaje SKATER™ con bloqueo</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 xml:space="preserve">Catéter de </w:t>
            </w:r>
            <w:proofErr w:type="spellStart"/>
            <w:r>
              <w:rPr>
                <w:rFonts w:ascii="Times New Roman" w:hAnsi="Times New Roman" w:cs="Times New Roman"/>
                <w:sz w:val="20"/>
                <w:szCs w:val="20"/>
                <w:lang w:val="es-ES"/>
              </w:rPr>
              <w:t>nefrostomía</w:t>
            </w:r>
            <w:proofErr w:type="spellEnd"/>
            <w:r>
              <w:rPr>
                <w:rFonts w:ascii="Times New Roman" w:hAnsi="Times New Roman" w:cs="Times New Roman"/>
                <w:sz w:val="20"/>
                <w:szCs w:val="20"/>
                <w:lang w:val="es-ES"/>
              </w:rPr>
              <w:t xml:space="preserve"> SKATER™ sin bloqueo</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 xml:space="preserve">Catéter de </w:t>
            </w:r>
            <w:proofErr w:type="spellStart"/>
            <w:r>
              <w:rPr>
                <w:rFonts w:ascii="Times New Roman" w:hAnsi="Times New Roman" w:cs="Times New Roman"/>
                <w:sz w:val="20"/>
                <w:szCs w:val="20"/>
                <w:lang w:val="es-ES"/>
              </w:rPr>
              <w:t>nefrostomía</w:t>
            </w:r>
            <w:proofErr w:type="spellEnd"/>
            <w:r>
              <w:rPr>
                <w:rFonts w:ascii="Times New Roman" w:hAnsi="Times New Roman" w:cs="Times New Roman"/>
                <w:sz w:val="20"/>
                <w:szCs w:val="20"/>
                <w:lang w:val="es-ES"/>
              </w:rPr>
              <w:t xml:space="preserve"> SKATER™ con bloqueo</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Catéter de drenaje biliar SKATER™ sin bloqueo</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es-ES"/>
              </w:rPr>
              <w:t>Catéter de drenaje biliar SKATER™ con bloqueo</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es-ES"/>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es-ES"/>
              </w:rPr>
              <w:t>Kits de drenaje SKATER™:</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s-ES"/>
              </w:rPr>
              <w:t xml:space="preserve">Kit de </w:t>
            </w:r>
            <w:proofErr w:type="spellStart"/>
            <w:r>
              <w:rPr>
                <w:rFonts w:ascii="Times New Roman" w:hAnsi="Times New Roman" w:cs="Times New Roman"/>
                <w:iCs w:val="0"/>
                <w:lang w:val="es-ES"/>
              </w:rPr>
              <w:t>nefrostomía</w:t>
            </w:r>
            <w:proofErr w:type="spellEnd"/>
            <w:r>
              <w:rPr>
                <w:rFonts w:ascii="Times New Roman" w:hAnsi="Times New Roman" w:cs="Times New Roman"/>
                <w:iCs w:val="0"/>
                <w:lang w:val="es-ES"/>
              </w:rPr>
              <w:t xml:space="preserve"> SKATER™ sin bloqueo</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s-ES"/>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s-ES"/>
              </w:rPr>
              <w:t xml:space="preserve">Kit de </w:t>
            </w:r>
            <w:proofErr w:type="spellStart"/>
            <w:r>
              <w:rPr>
                <w:rFonts w:ascii="Times New Roman" w:hAnsi="Times New Roman" w:cs="Times New Roman"/>
                <w:iCs w:val="0"/>
                <w:lang w:val="es-ES"/>
              </w:rPr>
              <w:t>nefrostomía</w:t>
            </w:r>
            <w:proofErr w:type="spellEnd"/>
            <w:r>
              <w:rPr>
                <w:rFonts w:ascii="Times New Roman" w:hAnsi="Times New Roman" w:cs="Times New Roman"/>
                <w:iCs w:val="0"/>
                <w:lang w:val="es-ES"/>
              </w:rPr>
              <w:t xml:space="preserve"> SKATER™ con bloqueo:</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s-ES"/>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s-ES"/>
              </w:rPr>
              <w:t xml:space="preserve">Kit introductorio de </w:t>
            </w:r>
            <w:proofErr w:type="spellStart"/>
            <w:r>
              <w:rPr>
                <w:rFonts w:ascii="Times New Roman" w:hAnsi="Times New Roman" w:cs="Times New Roman"/>
                <w:iCs w:val="0"/>
                <w:lang w:val="es-ES"/>
              </w:rPr>
              <w:t>nefrostomía</w:t>
            </w:r>
            <w:proofErr w:type="spellEnd"/>
            <w:r>
              <w:rPr>
                <w:rFonts w:ascii="Times New Roman" w:hAnsi="Times New Roman" w:cs="Times New Roman"/>
                <w:iCs w:val="0"/>
                <w:lang w:val="es-ES"/>
              </w:rPr>
              <w:t xml:space="preserve"> SKATER™ con bloqueo</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s-ES"/>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es-ES"/>
              </w:rPr>
              <w:t>Kit introductorio de drenaje biliar SKATER™ con bloqueo</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es-ES"/>
              </w:rPr>
              <w:t>0886333010011XG</w:t>
            </w:r>
          </w:p>
        </w:tc>
      </w:tr>
    </w:tbl>
    <w:p w14:paraId="46C48D39" w14:textId="77777777" w:rsidR="0027358A" w:rsidRPr="00451CE9" w:rsidRDefault="0027358A" w:rsidP="00596226">
      <w:pPr>
        <w:pStyle w:val="Caption"/>
      </w:pPr>
      <w:bookmarkStart w:id="7" w:name="_Ref148341988"/>
      <w:bookmarkStart w:id="8" w:name="_Toc167094033"/>
      <w:bookmarkEnd w:id="6"/>
    </w:p>
    <w:p w14:paraId="43A655ED" w14:textId="0230B466" w:rsidR="0027358A" w:rsidRPr="00451CE9" w:rsidRDefault="0027358A" w:rsidP="00596226">
      <w:pPr>
        <w:pStyle w:val="Caption"/>
        <w:rPr>
          <w:noProof/>
        </w:rPr>
      </w:pPr>
      <w:r>
        <w:t xml:space="preserve">Tabla 1.2-2: Descripción de los dispositivos y números de catálogo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8"/>
        <w:gridCol w:w="1842"/>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es-ES"/>
              </w:rPr>
              <w:t>Nombre/Descripción del dispositivo</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es-ES"/>
              </w:rPr>
              <w:t>Número de modelo/catálogo</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(6 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es-ES"/>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(6 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es-ES"/>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(7 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es-ES"/>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(7 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es-ES"/>
              </w:rPr>
              <w:t>756007025</w:t>
            </w:r>
          </w:p>
        </w:tc>
      </w:tr>
      <w:tr w:rsidR="001824AC" w:rsidRPr="00451CE9" w14:paraId="0D7B828F" w14:textId="77777777" w:rsidTr="00A41BE9">
        <w:trPr>
          <w:trHeight w:val="260"/>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(8 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es-ES"/>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(8 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es-ES"/>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es-ES"/>
              </w:rPr>
              <w:t>Juego de drenaje de un solo paso SKATER™ sin bloqueo (8 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es-ES"/>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(10 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es-ES"/>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(10 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es-ES"/>
              </w:rPr>
              <w:t>756010025</w:t>
            </w:r>
          </w:p>
        </w:tc>
      </w:tr>
      <w:tr w:rsidR="001824AC" w:rsidRPr="00451CE9" w14:paraId="3817DE0A" w14:textId="77777777" w:rsidTr="001824AC">
        <w:trPr>
          <w:trHeight w:val="255"/>
          <w:jc w:val="center"/>
        </w:trPr>
        <w:tc>
          <w:tcPr>
            <w:tcW w:w="4108" w:type="pct"/>
            <w:noWrap/>
          </w:tcPr>
          <w:p w14:paraId="46A0E566" w14:textId="77777777" w:rsidR="001824AC" w:rsidRPr="00451CE9" w:rsidRDefault="001824AC" w:rsidP="00930D81">
            <w:pPr>
              <w:jc w:val="both"/>
              <w:rPr>
                <w:rFonts w:cs="Times New Roman"/>
                <w:sz w:val="20"/>
                <w:szCs w:val="20"/>
              </w:rPr>
            </w:pPr>
            <w:r>
              <w:rPr>
                <w:rFonts w:cs="Times New Roman"/>
                <w:sz w:val="20"/>
                <w:szCs w:val="20"/>
                <w:lang w:val="es-ES"/>
              </w:rPr>
              <w:t>Juego de drenaje de un solo paso SKATER™ sin bloqueo (10 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es-ES"/>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(12 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es-ES"/>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(12 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es-ES"/>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(14 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es-ES"/>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(14 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es-ES"/>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sin bloqueo (16 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es-ES"/>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(6 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es-ES"/>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(6 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es-ES"/>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(7 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es-ES"/>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es-ES"/>
              </w:rPr>
              <w:lastRenderedPageBreak/>
              <w:t>Juego de catéteres de drenaje de un solo paso SKATER™ con cola de cerdo con bloqueo (7 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es-ES"/>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(8 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es-ES"/>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(8 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es-ES"/>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(8 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es-ES"/>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(10 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es-ES"/>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(10 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es-ES"/>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(10 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es-ES"/>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(12 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es-ES"/>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(12 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es-ES"/>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(14 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es-ES"/>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(14 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es-ES"/>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es-ES"/>
              </w:rPr>
              <w:t>Juego de catéteres de drenaje de un solo paso SKATER™ con cola de cerdo con bloqueo (16 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es-ES"/>
              </w:rPr>
              <w:t>756516025</w:t>
            </w:r>
          </w:p>
        </w:tc>
      </w:tr>
      <w:tr w:rsidR="001824AC" w:rsidRPr="00451CE9" w14:paraId="618F2C9E" w14:textId="77777777" w:rsidTr="001824AC">
        <w:trPr>
          <w:trHeight w:val="255"/>
          <w:jc w:val="center"/>
        </w:trPr>
        <w:tc>
          <w:tcPr>
            <w:tcW w:w="4108" w:type="pct"/>
            <w:noWrap/>
          </w:tcPr>
          <w:p w14:paraId="7598F436"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(6 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es-ES"/>
              </w:rPr>
              <w:t>751106025</w:t>
            </w:r>
          </w:p>
        </w:tc>
      </w:tr>
      <w:tr w:rsidR="001824AC" w:rsidRPr="00451CE9" w14:paraId="55C936C5" w14:textId="77777777" w:rsidTr="001824AC">
        <w:trPr>
          <w:trHeight w:val="255"/>
          <w:jc w:val="center"/>
        </w:trPr>
        <w:tc>
          <w:tcPr>
            <w:tcW w:w="4108" w:type="pct"/>
            <w:noWrap/>
          </w:tcPr>
          <w:p w14:paraId="4CAFA421"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(6 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es-ES"/>
              </w:rPr>
              <w:t>751106035</w:t>
            </w:r>
          </w:p>
        </w:tc>
      </w:tr>
      <w:tr w:rsidR="001824AC" w:rsidRPr="00451CE9" w14:paraId="180BFC68" w14:textId="77777777" w:rsidTr="001824AC">
        <w:trPr>
          <w:trHeight w:val="255"/>
          <w:jc w:val="center"/>
        </w:trPr>
        <w:tc>
          <w:tcPr>
            <w:tcW w:w="4108" w:type="pct"/>
            <w:noWrap/>
          </w:tcPr>
          <w:p w14:paraId="2346FCCF"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(7 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es-ES"/>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(7 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es-ES"/>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(8 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es-ES"/>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(8 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es-ES"/>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(10 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es-ES"/>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(10 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es-ES"/>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(12 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es-ES"/>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(12 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es-ES"/>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(14 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es-ES"/>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sin bloqueo (16 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es-ES"/>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(6 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es-ES"/>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(6 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es-ES"/>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(7 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es-ES"/>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(7 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es-ES"/>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(8 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es-ES"/>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(8 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es-ES"/>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(10 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es-ES"/>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(10 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es-ES"/>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(12 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es-ES"/>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(12 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es-ES"/>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(14 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es-ES"/>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(14 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es-ES"/>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es-ES"/>
              </w:rPr>
              <w:t>Catéter de drenaje SKATER™ con cola de cerdo con bloqueo (16 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es-ES"/>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es-ES"/>
              </w:rPr>
              <w:t>Catéter de drenaje biliar SKATER™ sin bloqueo (8 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es-ES"/>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es-ES"/>
              </w:rPr>
              <w:t>Catéter de drenaje biliar SKATER™ sin bloqueo (10 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es-ES"/>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es-ES"/>
              </w:rPr>
              <w:t>Catéter de drenaje biliar SKATER™ sin bloqueo (12 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es-ES"/>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es-ES"/>
              </w:rPr>
              <w:t>Catéter de drenaje biliar SKATER™ con bloqueo (8 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es-ES"/>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es-ES"/>
              </w:rPr>
              <w:t>Catéter de drenaje biliar SKATER™ con bloqueo (10 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es-ES"/>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es-ES"/>
              </w:rPr>
              <w:t>Catéter de drenaje biliar SKATER™ con bloqueo (12 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es-ES"/>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es-ES"/>
              </w:rPr>
              <w:lastRenderedPageBreak/>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(6 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es-ES"/>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(6 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es-ES"/>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(7 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es-ES"/>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(7 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es-ES"/>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(8 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es-ES"/>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(8 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es-ES"/>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(10 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es-ES"/>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(10 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es-ES"/>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(12 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es-ES"/>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(12 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es-ES"/>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(14 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es-ES"/>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sin bloqueo (14 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es-ES"/>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(6 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es-ES"/>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(6 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es-ES"/>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(7 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es-ES"/>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(7 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es-ES"/>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es-ES"/>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es-ES"/>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(10 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es-ES"/>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(10 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es-ES"/>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(12 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es-ES"/>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(12 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es-ES"/>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(14 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es-ES"/>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(14 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es-ES"/>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(6 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es-ES"/>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(6 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es-ES"/>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(7 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es-ES"/>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es-ES"/>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es-ES"/>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es-ES"/>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(10 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es-ES"/>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(12 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es-ES"/>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(14 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es-ES"/>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es-ES"/>
              </w:rPr>
              <w:t xml:space="preserve">Kit introductor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es-ES"/>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es-ES"/>
              </w:rPr>
              <w:t xml:space="preserve">Kit introductor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(8 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es-ES"/>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es-ES"/>
              </w:rPr>
              <w:t xml:space="preserve">Kit introductor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(10 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es-ES"/>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es-ES"/>
              </w:rPr>
              <w:t xml:space="preserve">Kit introductor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(10 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es-ES"/>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es-ES"/>
              </w:rPr>
              <w:t xml:space="preserve">Kit introductor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con bloqueo (12 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es-ES"/>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es-ES"/>
              </w:rPr>
              <w:t>Kit introductor de drenaje biliar SKATER™ con bloqueo (8 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es-ES"/>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es-ES"/>
              </w:rPr>
              <w:t>Kit introductor de drenaje biliar SKATER™ con bloqueo (10 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es-ES"/>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sin bloqueo (8 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es-ES"/>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sin bloqueo (8 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es-ES"/>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sin bloqueo (10 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es-ES"/>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es-ES"/>
              </w:rPr>
              <w:lastRenderedPageBreak/>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sin bloqueo (12 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es-ES"/>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con cola de cerdo sin bloqueo (14 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es-ES"/>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(6 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(6 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(6 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(7 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(7 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(8 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(8 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(8 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(10 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(10 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(10 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(12 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(12 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(14 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(14 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sin bloqueo (16 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(6 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(6 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(6 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(6 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(7 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(7 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51CE9" w:rsidRDefault="001824AC" w:rsidP="00930D81">
            <w:pPr>
              <w:jc w:val="both"/>
              <w:rPr>
                <w:rFonts w:cs="Times New Roman"/>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(7 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(8 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(8 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(8 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(8 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(8 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(8 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(10 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lastRenderedPageBreak/>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(12 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(14 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(16 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(16 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(16 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(16 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 xml:space="preserve">Juego multiusos y para </w:t>
            </w:r>
            <w:proofErr w:type="spellStart"/>
            <w:r>
              <w:rPr>
                <w:rFonts w:cs="Times New Roman"/>
                <w:color w:val="000000"/>
                <w:sz w:val="20"/>
                <w:szCs w:val="20"/>
                <w:lang w:val="es-ES"/>
              </w:rPr>
              <w:t>nefrostomía</w:t>
            </w:r>
            <w:proofErr w:type="spellEnd"/>
            <w:r>
              <w:rPr>
                <w:rFonts w:cs="Times New Roman"/>
                <w:color w:val="000000"/>
                <w:sz w:val="20"/>
                <w:szCs w:val="20"/>
                <w:lang w:val="es-ES"/>
              </w:rPr>
              <w:t xml:space="preserve"> SKATER™ con bloqueo (16 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(6 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(6 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(6 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(7 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(7 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(8 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(8 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(10 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(10 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(12 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(12 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451CE9" w:rsidRDefault="001824AC" w:rsidP="00930D81">
            <w:pPr>
              <w:jc w:val="both"/>
              <w:rPr>
                <w:rFonts w:cs="Times New Roman"/>
                <w:color w:val="000000"/>
                <w:sz w:val="20"/>
                <w:szCs w:val="20"/>
              </w:rPr>
            </w:pPr>
            <w:r>
              <w:rPr>
                <w:rFonts w:cs="Times New Roman"/>
                <w:color w:val="000000"/>
                <w:sz w:val="20"/>
                <w:szCs w:val="20"/>
                <w:lang w:val="es-ES"/>
              </w:rPr>
              <w:t>Juego de drenaje SKATER™ Mini-</w:t>
            </w:r>
            <w:proofErr w:type="spellStart"/>
            <w:r>
              <w:rPr>
                <w:rFonts w:cs="Times New Roman"/>
                <w:color w:val="000000"/>
                <w:sz w:val="20"/>
                <w:szCs w:val="20"/>
                <w:lang w:val="es-ES"/>
              </w:rPr>
              <w:t>Loop</w:t>
            </w:r>
            <w:proofErr w:type="spellEnd"/>
            <w:r>
              <w:rPr>
                <w:rFonts w:cs="Times New Roman"/>
                <w:color w:val="000000"/>
                <w:sz w:val="20"/>
                <w:szCs w:val="20"/>
                <w:lang w:val="es-ES"/>
              </w:rPr>
              <w:t xml:space="preserve"> (14 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es-ES"/>
              </w:rPr>
              <w:t>758614025</w:t>
            </w:r>
          </w:p>
        </w:tc>
      </w:tr>
      <w:bookmarkEnd w:id="9"/>
    </w:tbl>
    <w:p w14:paraId="6D8D1F2C" w14:textId="77777777" w:rsidR="00AA2E04" w:rsidRPr="00451CE9" w:rsidRDefault="00AA2E04" w:rsidP="0073388F">
      <w:pPr>
        <w:pStyle w:val="Caption"/>
        <w:spacing w:after="0"/>
      </w:pPr>
    </w:p>
    <w:p w14:paraId="53D6F6C3" w14:textId="65D31302" w:rsidR="00EA08F0" w:rsidRPr="00987490" w:rsidRDefault="00EA08F0" w:rsidP="00596226">
      <w:pPr>
        <w:pStyle w:val="Caption"/>
      </w:pPr>
      <w:bookmarkStart w:id="10" w:name="_Ref166623619"/>
      <w:bookmarkStart w:id="11" w:name="_Toc167094031"/>
      <w:r w:rsidRPr="00987490">
        <w:t xml:space="preserve">Tabla </w:t>
      </w:r>
      <w:bookmarkEnd w:id="10"/>
      <w:r w:rsidRPr="00987490">
        <w:t>1.2-3: Códigos GMDN y EMDN de clasificación de la UE</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es-ES"/>
              </w:rPr>
              <w:t>Grupo de productos</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es-ES"/>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es-ES"/>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es-ES"/>
              </w:rPr>
              <w:t>Clasificación de la UE</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es-ES"/>
              </w:rPr>
              <w:t>Catéteres de drenaje SKATER™:</w:t>
            </w:r>
          </w:p>
          <w:p w14:paraId="64291851"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es-ES"/>
              </w:rPr>
              <w:t xml:space="preserve">Catéteres de drenaje multiusos y para </w:t>
            </w:r>
            <w:proofErr w:type="spellStart"/>
            <w:r>
              <w:rPr>
                <w:rFonts w:cs="Times New Roman"/>
                <w:sz w:val="20"/>
                <w:szCs w:val="20"/>
                <w:lang w:val="es-ES"/>
              </w:rPr>
              <w:t>nefrostomía</w:t>
            </w:r>
            <w:proofErr w:type="spellEnd"/>
            <w:r>
              <w:rPr>
                <w:rFonts w:cs="Times New Roman"/>
                <w:sz w:val="20"/>
                <w:szCs w:val="20"/>
                <w:lang w:val="es-ES"/>
              </w:rPr>
              <w:t xml:space="preserve"> SKATER</w:t>
            </w:r>
          </w:p>
          <w:p w14:paraId="1796C899"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es-ES"/>
              </w:rPr>
              <w:t>Juegos de drenaje SKATER Mini-</w:t>
            </w:r>
            <w:proofErr w:type="spellStart"/>
            <w:r>
              <w:rPr>
                <w:rFonts w:cs="Times New Roman"/>
                <w:sz w:val="20"/>
                <w:szCs w:val="20"/>
                <w:lang w:val="es-ES"/>
              </w:rPr>
              <w:t>Loop</w:t>
            </w:r>
            <w:proofErr w:type="spellEnd"/>
            <w:r>
              <w:rPr>
                <w:rFonts w:cs="Times New Roman"/>
                <w:sz w:val="20"/>
                <w:szCs w:val="20"/>
                <w:lang w:val="es-ES"/>
              </w:rPr>
              <w:t xml:space="preserve">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es-ES"/>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es-ES"/>
              </w:rPr>
              <w:t>A060201</w:t>
            </w:r>
          </w:p>
          <w:bookmarkEnd w:id="12"/>
          <w:p w14:paraId="73B0BA3D" w14:textId="77777777" w:rsidR="00E25AE9" w:rsidRPr="00451CE9" w:rsidRDefault="00E25AE9" w:rsidP="00A41BE9">
            <w:pPr>
              <w:spacing w:before="480"/>
              <w:jc w:val="center"/>
              <w:rPr>
                <w:rFonts w:cs="Times New Roman"/>
                <w:sz w:val="20"/>
                <w:szCs w:val="20"/>
              </w:rPr>
            </w:pPr>
            <w:r>
              <w:rPr>
                <w:rFonts w:cs="Times New Roman"/>
                <w:sz w:val="20"/>
                <w:szCs w:val="20"/>
                <w:lang w:val="es-ES"/>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proofErr w:type="spellStart"/>
            <w:r>
              <w:rPr>
                <w:rFonts w:cs="Times New Roman"/>
                <w:sz w:val="20"/>
                <w:szCs w:val="20"/>
                <w:lang w:val="es-ES"/>
              </w:rPr>
              <w:t>IIb</w:t>
            </w:r>
            <w:proofErr w:type="spellEnd"/>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es-ES"/>
              </w:rPr>
              <w:t xml:space="preserve">Juego de drenaje de un solo paso SKATER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es-ES"/>
              </w:rPr>
              <w:t>Catéteres de drenaje SKATER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es-ES"/>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es-ES"/>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es-ES"/>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es-ES"/>
              </w:rPr>
              <w:t xml:space="preserve">Catéter de </w:t>
            </w:r>
            <w:proofErr w:type="spellStart"/>
            <w:r>
              <w:rPr>
                <w:rFonts w:cs="Times New Roman"/>
                <w:sz w:val="20"/>
                <w:szCs w:val="20"/>
                <w:lang w:val="es-ES"/>
              </w:rPr>
              <w:t>nefrostomía</w:t>
            </w:r>
            <w:proofErr w:type="spellEnd"/>
            <w:r>
              <w:rPr>
                <w:rFonts w:cs="Times New Roman"/>
                <w:sz w:val="20"/>
                <w:szCs w:val="20"/>
                <w:lang w:val="es-ES"/>
              </w:rPr>
              <w:t xml:space="preserve"> SKATER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es-ES"/>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es-ES"/>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es-ES"/>
              </w:rPr>
              <w:t>Kits de drenaje SKATER™: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es-ES"/>
              </w:rPr>
              <w:t xml:space="preserve">Kit de </w:t>
            </w:r>
            <w:proofErr w:type="spellStart"/>
            <w:r>
              <w:rPr>
                <w:rFonts w:cs="Times New Roman"/>
                <w:sz w:val="20"/>
                <w:szCs w:val="20"/>
                <w:lang w:val="es-ES"/>
              </w:rPr>
              <w:t>nefrostomía</w:t>
            </w:r>
            <w:proofErr w:type="spellEnd"/>
            <w:r>
              <w:rPr>
                <w:rFonts w:cs="Times New Roman"/>
                <w:sz w:val="20"/>
                <w:szCs w:val="20"/>
                <w:lang w:val="es-ES"/>
              </w:rPr>
              <w:t xml:space="preserve"> SKATER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es-ES"/>
              </w:rPr>
              <w:t xml:space="preserve">Kit introductorio de </w:t>
            </w:r>
            <w:proofErr w:type="spellStart"/>
            <w:r>
              <w:rPr>
                <w:rFonts w:cs="Times New Roman"/>
                <w:sz w:val="20"/>
                <w:szCs w:val="20"/>
                <w:lang w:val="es-ES"/>
              </w:rPr>
              <w:t>nefrostomía</w:t>
            </w:r>
            <w:proofErr w:type="spellEnd"/>
            <w:r>
              <w:rPr>
                <w:rFonts w:cs="Times New Roman"/>
                <w:sz w:val="20"/>
                <w:szCs w:val="20"/>
                <w:lang w:val="es-ES"/>
              </w:rPr>
              <w:t xml:space="preserve"> SKATER™ con bloqueo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es-ES"/>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es-ES"/>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es-ES"/>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es-ES"/>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es-ES"/>
              </w:rPr>
              <w:t xml:space="preserve">Catéter de drenaje biliar SKATER </w:t>
            </w:r>
          </w:p>
          <w:p w14:paraId="04E32821"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es-ES"/>
              </w:rPr>
              <w:t xml:space="preserve">Kit introductorio de drenaje biliar SKATER </w:t>
            </w:r>
          </w:p>
        </w:tc>
        <w:tc>
          <w:tcPr>
            <w:tcW w:w="680" w:type="pct"/>
            <w:vAlign w:val="center"/>
          </w:tcPr>
          <w:p w14:paraId="19871BEF" w14:textId="77777777" w:rsidR="00E25AE9" w:rsidRPr="00451CE9" w:rsidRDefault="00E25AE9" w:rsidP="00A41BE9">
            <w:pPr>
              <w:spacing w:after="0" w:afterAutospacing="0"/>
              <w:jc w:val="center"/>
              <w:rPr>
                <w:rFonts w:cs="Times New Roman"/>
                <w:sz w:val="20"/>
                <w:szCs w:val="20"/>
              </w:rPr>
            </w:pPr>
            <w:r>
              <w:rPr>
                <w:rFonts w:cs="Times New Roman"/>
                <w:sz w:val="20"/>
                <w:szCs w:val="20"/>
                <w:lang w:val="es-ES"/>
              </w:rPr>
              <w:t>10696</w:t>
            </w:r>
          </w:p>
          <w:p w14:paraId="6F475E29" w14:textId="77777777" w:rsidR="00E25AE9" w:rsidRPr="00451CE9" w:rsidRDefault="00E25AE9" w:rsidP="00A41BE9">
            <w:pPr>
              <w:spacing w:after="0" w:afterAutospacing="0"/>
              <w:jc w:val="center"/>
              <w:rPr>
                <w:rFonts w:cs="Times New Roman"/>
                <w:sz w:val="20"/>
                <w:szCs w:val="20"/>
              </w:rPr>
            </w:pPr>
            <w:r>
              <w:rPr>
                <w:rFonts w:cs="Times New Roman"/>
                <w:sz w:val="20"/>
                <w:szCs w:val="20"/>
                <w:lang w:val="es-ES"/>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es-ES"/>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702087CA" w14:textId="14178DB5" w:rsidR="00CE798A" w:rsidRPr="00CD6AD6" w:rsidRDefault="009855C3" w:rsidP="00A41BE9">
      <w:pPr>
        <w:pStyle w:val="Heading1"/>
        <w:spacing w:before="240"/>
        <w:ind w:left="788" w:hanging="431"/>
        <w:rPr>
          <w:rFonts w:cs="Times New Roman"/>
        </w:rPr>
      </w:pPr>
      <w:bookmarkStart w:id="13" w:name="_Toc212114763"/>
      <w:r>
        <w:rPr>
          <w:rFonts w:cs="Times New Roman"/>
          <w:bCs/>
          <w:lang w:val="es-ES"/>
        </w:rPr>
        <w:lastRenderedPageBreak/>
        <w:t>Año en que se emitió el primer certificado (CE) que cubre el dispositivo</w:t>
      </w:r>
      <w:bookmarkEnd w:id="13"/>
    </w:p>
    <w:p w14:paraId="419DA4E3" w14:textId="751CE23F" w:rsidR="00AD1B03" w:rsidRPr="00451CE9" w:rsidRDefault="00AD1B03" w:rsidP="00A41BE9">
      <w:pPr>
        <w:spacing w:after="0" w:afterAutospacing="0"/>
        <w:jc w:val="both"/>
        <w:rPr>
          <w:rFonts w:cs="Times New Roman"/>
        </w:rPr>
      </w:pPr>
      <w:r>
        <w:rPr>
          <w:rFonts w:cs="Times New Roman"/>
          <w:lang w:val="es-ES"/>
        </w:rPr>
        <w:t xml:space="preserve">Los catéteres de drenaje SKATER se lanzaron al mercado por primera vez en la UE y obtuvieron la marca CE inicial en 1998 por PBN Medical. Posteriormente, los catéteres de drenaje SKATER fueron comercializados en Estados Unidos en 1999 por </w:t>
      </w:r>
      <w:proofErr w:type="spellStart"/>
      <w:r>
        <w:rPr>
          <w:rFonts w:cs="Times New Roman"/>
          <w:lang w:val="es-ES"/>
        </w:rPr>
        <w:t>Angiotech</w:t>
      </w:r>
      <w:proofErr w:type="spellEnd"/>
      <w:r>
        <w:rPr>
          <w:rFonts w:cs="Times New Roman"/>
          <w:lang w:val="es-ES"/>
        </w:rPr>
        <w:t xml:space="preserve">/Medical </w:t>
      </w:r>
      <w:proofErr w:type="spellStart"/>
      <w:r>
        <w:rPr>
          <w:rFonts w:cs="Times New Roman"/>
          <w:lang w:val="es-ES"/>
        </w:rPr>
        <w:t>Device</w:t>
      </w:r>
      <w:proofErr w:type="spellEnd"/>
      <w:r>
        <w:rPr>
          <w:rFonts w:cs="Times New Roman"/>
          <w:lang w:val="es-ES"/>
        </w:rPr>
        <w:t xml:space="preserve"> Technologies.</w:t>
      </w:r>
    </w:p>
    <w:p w14:paraId="6BA785EF" w14:textId="20FB8821" w:rsidR="00EC76C8" w:rsidRPr="00451CE9" w:rsidRDefault="00AD1B03" w:rsidP="00A41BE9">
      <w:pPr>
        <w:spacing w:before="240" w:after="0" w:afterAutospacing="0"/>
        <w:jc w:val="both"/>
        <w:rPr>
          <w:rFonts w:cs="Times New Roman"/>
        </w:rPr>
      </w:pPr>
      <w:r>
        <w:rPr>
          <w:rFonts w:cs="Times New Roman"/>
          <w:lang w:val="es-ES"/>
        </w:rPr>
        <w:t xml:space="preserve">En 2013, </w:t>
      </w:r>
      <w:proofErr w:type="spellStart"/>
      <w:r>
        <w:rPr>
          <w:rFonts w:cs="Times New Roman"/>
          <w:lang w:val="es-ES"/>
        </w:rPr>
        <w:t>Argon</w:t>
      </w:r>
      <w:proofErr w:type="spellEnd"/>
      <w:r>
        <w:rPr>
          <w:rFonts w:cs="Times New Roman"/>
          <w:lang w:val="es-ES"/>
        </w:rPr>
        <w:t xml:space="preserve"> Medical </w:t>
      </w:r>
      <w:proofErr w:type="spellStart"/>
      <w:r>
        <w:rPr>
          <w:rFonts w:cs="Times New Roman"/>
          <w:lang w:val="es-ES"/>
        </w:rPr>
        <w:t>Devices</w:t>
      </w:r>
      <w:proofErr w:type="spellEnd"/>
      <w:r>
        <w:rPr>
          <w:rFonts w:cs="Times New Roman"/>
          <w:lang w:val="es-ES"/>
        </w:rPr>
        <w:t xml:space="preserve">, Inc. adquirió la línea de productos con la adquisición de </w:t>
      </w:r>
      <w:proofErr w:type="spellStart"/>
      <w:r>
        <w:rPr>
          <w:rFonts w:cs="Times New Roman"/>
          <w:lang w:val="es-ES"/>
        </w:rPr>
        <w:t>Angiotech</w:t>
      </w:r>
      <w:proofErr w:type="spellEnd"/>
      <w:r>
        <w:rPr>
          <w:rFonts w:cs="Times New Roman"/>
          <w:lang w:val="es-ES"/>
        </w:rPr>
        <w:t>/</w:t>
      </w:r>
      <w:r w:rsidR="00511704">
        <w:rPr>
          <w:rFonts w:cs="Times New Roman"/>
          <w:lang w:val="es-ES"/>
        </w:rPr>
        <w:br/>
      </w:r>
      <w:r>
        <w:rPr>
          <w:rFonts w:cs="Times New Roman"/>
          <w:lang w:val="es-ES"/>
        </w:rPr>
        <w:t xml:space="preserve">Medical </w:t>
      </w:r>
      <w:proofErr w:type="spellStart"/>
      <w:r>
        <w:rPr>
          <w:rFonts w:cs="Times New Roman"/>
          <w:lang w:val="es-ES"/>
        </w:rPr>
        <w:t>Device</w:t>
      </w:r>
      <w:proofErr w:type="spellEnd"/>
      <w:r>
        <w:rPr>
          <w:rFonts w:cs="Times New Roman"/>
          <w:lang w:val="es-ES"/>
        </w:rPr>
        <w:t xml:space="preserve"> Technologies, que actualmente se vende en la UE bajo las marcas CE 565719 y NB 2797. Estos dispositivos contaban previamente con la marca CE bajo la MDD como dispositivos de Clase </w:t>
      </w:r>
      <w:proofErr w:type="spellStart"/>
      <w:r>
        <w:rPr>
          <w:rFonts w:cs="Times New Roman"/>
          <w:lang w:val="es-ES"/>
        </w:rPr>
        <w:t>IIb</w:t>
      </w:r>
      <w:proofErr w:type="spellEnd"/>
      <w:r>
        <w:rPr>
          <w:rFonts w:cs="Times New Roman"/>
          <w:lang w:val="es-ES"/>
        </w:rPr>
        <w:t xml:space="preserve"> de acuerdo con el Anexo IX, Regla 8 de la MDD 93/42/EEC. El número de archivo técnico histórico de los catéteres y kits de drenaje SKATER era TF-82238. Los catéteres y kits de drenaje SKATER seguirán siendo dispositivos de clase </w:t>
      </w:r>
      <w:proofErr w:type="spellStart"/>
      <w:r>
        <w:rPr>
          <w:rFonts w:cs="Times New Roman"/>
          <w:lang w:val="es-ES"/>
        </w:rPr>
        <w:t>IIb</w:t>
      </w:r>
      <w:proofErr w:type="spellEnd"/>
      <w:r>
        <w:rPr>
          <w:rFonts w:cs="Times New Roman"/>
          <w:lang w:val="es-ES"/>
        </w:rPr>
        <w:t xml:space="preserve"> tras la aplicación de los criterios establecidos en el Anexo VIII, Capítulo III del MDR de la UE 2017/745, Regla 8.</w:t>
      </w:r>
    </w:p>
    <w:p w14:paraId="07BD252B" w14:textId="77777777" w:rsidR="001B22F6" w:rsidRPr="00451CE9" w:rsidRDefault="001B22F6" w:rsidP="001B22F6">
      <w:pPr>
        <w:spacing w:after="0" w:afterAutospacing="0"/>
        <w:rPr>
          <w:rFonts w:cs="Times New Roman"/>
        </w:rPr>
      </w:pPr>
    </w:p>
    <w:p w14:paraId="10A04209" w14:textId="66A403B0" w:rsidR="009855C3" w:rsidRPr="00451CE9" w:rsidRDefault="009855C3" w:rsidP="00A41BE9">
      <w:pPr>
        <w:pStyle w:val="Heading1"/>
        <w:spacing w:after="120"/>
        <w:ind w:left="788" w:hanging="431"/>
        <w:rPr>
          <w:rFonts w:cs="Times New Roman"/>
          <w:szCs w:val="24"/>
        </w:rPr>
      </w:pPr>
      <w:r>
        <w:rPr>
          <w:rFonts w:cs="Times New Roman"/>
          <w:b w:val="0"/>
          <w:lang w:val="es-ES"/>
        </w:rPr>
        <w:t xml:space="preserve"> </w:t>
      </w:r>
      <w:bookmarkStart w:id="14" w:name="_Toc212114764"/>
      <w:r>
        <w:rPr>
          <w:rFonts w:cs="Times New Roman"/>
          <w:bCs/>
          <w:szCs w:val="24"/>
          <w:lang w:val="es-ES"/>
        </w:rPr>
        <w:t>Nombre, dirección y SRN del fabricante</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es-ES"/>
              </w:rPr>
              <w:t>Información sobre el fabricante</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es-ES"/>
              </w:rPr>
              <w:t>SRN del fabricante: US-MF-000002324</w:t>
            </w:r>
          </w:p>
        </w:tc>
        <w:tc>
          <w:tcPr>
            <w:tcW w:w="5314" w:type="dxa"/>
          </w:tcPr>
          <w:p w14:paraId="0EAB8F03" w14:textId="77777777" w:rsidR="00E102E6" w:rsidRPr="00451CE9" w:rsidRDefault="00E102E6" w:rsidP="00B066F7">
            <w:pPr>
              <w:spacing w:after="0" w:afterAutospacing="0"/>
              <w:rPr>
                <w:szCs w:val="24"/>
              </w:rPr>
            </w:pPr>
            <w:r>
              <w:rPr>
                <w:szCs w:val="24"/>
                <w:lang w:val="es-ES"/>
              </w:rPr>
              <w:t xml:space="preserve">Nombre del fabricante: </w:t>
            </w:r>
            <w:proofErr w:type="spellStart"/>
            <w:r>
              <w:rPr>
                <w:szCs w:val="24"/>
                <w:lang w:val="es-ES"/>
              </w:rPr>
              <w:t>Argon</w:t>
            </w:r>
            <w:proofErr w:type="spellEnd"/>
            <w:r>
              <w:rPr>
                <w:szCs w:val="24"/>
                <w:lang w:val="es-ES"/>
              </w:rPr>
              <w:t xml:space="preserve"> Medical </w:t>
            </w:r>
            <w:proofErr w:type="spellStart"/>
            <w:r>
              <w:rPr>
                <w:szCs w:val="24"/>
                <w:lang w:val="es-ES"/>
              </w:rPr>
              <w:t>Devices</w:t>
            </w:r>
            <w:proofErr w:type="spellEnd"/>
            <w:r>
              <w:rPr>
                <w:szCs w:val="24"/>
                <w:lang w:val="es-ES"/>
              </w:rPr>
              <w:t>, Inc.</w:t>
            </w:r>
          </w:p>
        </w:tc>
      </w:tr>
      <w:tr w:rsidR="00E102E6" w:rsidRPr="00451CE9" w14:paraId="7ADFB6AB" w14:textId="77777777" w:rsidTr="00B066F7">
        <w:trPr>
          <w:trHeight w:val="525"/>
        </w:trPr>
        <w:tc>
          <w:tcPr>
            <w:tcW w:w="4315" w:type="dxa"/>
          </w:tcPr>
          <w:p w14:paraId="4337E5CD" w14:textId="77777777" w:rsidR="00E102E6" w:rsidRPr="00451CE9" w:rsidRDefault="00E102E6" w:rsidP="00B066F7">
            <w:pPr>
              <w:spacing w:after="0" w:afterAutospacing="0"/>
              <w:jc w:val="both"/>
              <w:rPr>
                <w:spacing w:val="-2"/>
                <w:szCs w:val="24"/>
              </w:rPr>
            </w:pPr>
            <w:r>
              <w:rPr>
                <w:szCs w:val="24"/>
                <w:lang w:val="es-ES"/>
              </w:rPr>
              <w:t xml:space="preserve">Nombre y apellido de la persona de contacto: Scott </w:t>
            </w:r>
            <w:proofErr w:type="spellStart"/>
            <w:r>
              <w:rPr>
                <w:szCs w:val="24"/>
                <w:lang w:val="es-ES"/>
              </w:rPr>
              <w:t>Bishop</w:t>
            </w:r>
            <w:proofErr w:type="spellEnd"/>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es-ES"/>
              </w:rPr>
              <w:t>Correo electrónico:</w:t>
            </w:r>
            <w:r>
              <w:rPr>
                <w:sz w:val="22"/>
                <w:lang w:val="es-ES"/>
              </w:rPr>
              <w:t xml:space="preserve"> </w:t>
            </w:r>
            <w:hyperlink r:id="rId11" w:history="1">
              <w:r>
                <w:rPr>
                  <w:color w:val="0563C1"/>
                  <w:szCs w:val="24"/>
                  <w:u w:val="single"/>
                  <w:lang w:val="es-ES"/>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es-ES"/>
              </w:rPr>
              <w:t>Número de teléfono: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es-ES"/>
              </w:rPr>
              <w:t>Dirección:</w:t>
            </w:r>
          </w:p>
          <w:p w14:paraId="3DE85E54" w14:textId="77777777" w:rsidR="009A0041" w:rsidRPr="00451CE9" w:rsidRDefault="009A0041" w:rsidP="009A0041">
            <w:pPr>
              <w:pStyle w:val="TableParagraph"/>
              <w:ind w:left="0"/>
              <w:rPr>
                <w:spacing w:val="-2"/>
                <w:sz w:val="24"/>
                <w:szCs w:val="24"/>
              </w:rPr>
            </w:pPr>
            <w:r>
              <w:rPr>
                <w:sz w:val="24"/>
                <w:szCs w:val="24"/>
                <w:lang w:val="es-ES"/>
              </w:rPr>
              <w:t>1445 Flat Creek Road,</w:t>
            </w:r>
          </w:p>
          <w:p w14:paraId="16779DC7" w14:textId="77777777" w:rsidR="009A0041" w:rsidRPr="00451CE9" w:rsidRDefault="009A0041" w:rsidP="009A0041">
            <w:pPr>
              <w:pStyle w:val="TableParagraph"/>
              <w:ind w:left="0"/>
              <w:rPr>
                <w:spacing w:val="-2"/>
                <w:sz w:val="24"/>
                <w:szCs w:val="24"/>
              </w:rPr>
            </w:pPr>
            <w:r>
              <w:rPr>
                <w:sz w:val="24"/>
                <w:szCs w:val="24"/>
                <w:lang w:val="es-ES"/>
              </w:rPr>
              <w:t>Athens, Texas 75751</w:t>
            </w:r>
          </w:p>
          <w:p w14:paraId="352A790C" w14:textId="05EC85EE" w:rsidR="00E102E6" w:rsidRPr="00451CE9" w:rsidRDefault="009A0041" w:rsidP="00A41BE9">
            <w:pPr>
              <w:widowControl w:val="0"/>
              <w:autoSpaceDE w:val="0"/>
              <w:autoSpaceDN w:val="0"/>
              <w:spacing w:after="0" w:afterAutospacing="0"/>
              <w:rPr>
                <w:spacing w:val="-2"/>
                <w:szCs w:val="24"/>
              </w:rPr>
            </w:pPr>
            <w:r>
              <w:rPr>
                <w:szCs w:val="24"/>
                <w:lang w:val="es-ES"/>
              </w:rPr>
              <w:t>EE. UU.</w:t>
            </w:r>
          </w:p>
        </w:tc>
      </w:tr>
    </w:tbl>
    <w:p w14:paraId="09014EE0" w14:textId="3D2E53D9" w:rsidR="00420B5C" w:rsidRPr="00451CE9" w:rsidRDefault="009855C3" w:rsidP="003D3B64">
      <w:pPr>
        <w:spacing w:after="0" w:afterAutospacing="0" w:line="240" w:lineRule="auto"/>
        <w:ind w:left="1440"/>
        <w:rPr>
          <w:rFonts w:cs="Times New Roman"/>
          <w:szCs w:val="24"/>
        </w:rPr>
      </w:pPr>
      <w:r>
        <w:rPr>
          <w:rFonts w:cs="Times New Roman"/>
          <w:szCs w:val="24"/>
          <w:lang w:val="es-ES"/>
        </w:rPr>
        <w:t xml:space="preserve"> </w:t>
      </w:r>
    </w:p>
    <w:p w14:paraId="6F9BDD52" w14:textId="35538EAA" w:rsidR="00157058" w:rsidRPr="00451CE9" w:rsidRDefault="00887E5D" w:rsidP="00157058">
      <w:pPr>
        <w:pStyle w:val="Heading1"/>
        <w:rPr>
          <w:rFonts w:cs="Times New Roman"/>
          <w:szCs w:val="24"/>
        </w:rPr>
      </w:pPr>
      <w:bookmarkStart w:id="15" w:name="_Toc212114765"/>
      <w:r>
        <w:rPr>
          <w:rFonts w:cs="Times New Roman"/>
          <w:bCs/>
          <w:szCs w:val="24"/>
          <w:lang w:val="es-ES"/>
        </w:rPr>
        <w:t>Nombre y SRN del representante autorizado</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es-ES"/>
              </w:rPr>
              <w:t>Información del representante autorizado</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es-ES"/>
              </w:rPr>
              <w:t>SRN: NL-AR-000000116</w:t>
            </w:r>
          </w:p>
        </w:tc>
        <w:tc>
          <w:tcPr>
            <w:tcW w:w="5314" w:type="dxa"/>
          </w:tcPr>
          <w:p w14:paraId="4FCA785C" w14:textId="77777777" w:rsidR="007F055C" w:rsidRPr="00451CE9" w:rsidRDefault="007F055C" w:rsidP="00A41BE9">
            <w:pPr>
              <w:widowControl w:val="0"/>
              <w:autoSpaceDE w:val="0"/>
              <w:autoSpaceDN w:val="0"/>
              <w:spacing w:after="0" w:afterAutospacing="0"/>
              <w:rPr>
                <w:bCs/>
                <w:szCs w:val="24"/>
              </w:rPr>
            </w:pPr>
            <w:r>
              <w:rPr>
                <w:szCs w:val="24"/>
                <w:lang w:val="es-ES"/>
              </w:rPr>
              <w:t>Nombre de la organización del representante autorizado:</w:t>
            </w:r>
          </w:p>
          <w:p w14:paraId="257852B7" w14:textId="77777777" w:rsidR="007F055C" w:rsidRPr="00451CE9" w:rsidRDefault="007F055C" w:rsidP="00B066F7">
            <w:pPr>
              <w:spacing w:after="0" w:afterAutospacing="0"/>
              <w:rPr>
                <w:szCs w:val="24"/>
              </w:rPr>
            </w:pPr>
            <w:proofErr w:type="spellStart"/>
            <w:r>
              <w:rPr>
                <w:szCs w:val="24"/>
                <w:lang w:val="es-ES"/>
              </w:rPr>
              <w:t>Emergo</w:t>
            </w:r>
            <w:proofErr w:type="spellEnd"/>
            <w:r>
              <w:rPr>
                <w:szCs w:val="24"/>
                <w:lang w:val="es-ES"/>
              </w:rPr>
              <w:t xml:space="preserve"> </w:t>
            </w:r>
            <w:proofErr w:type="spellStart"/>
            <w:r>
              <w:rPr>
                <w:szCs w:val="24"/>
                <w:lang w:val="es-ES"/>
              </w:rPr>
              <w:t>Europe</w:t>
            </w:r>
            <w:proofErr w:type="spellEnd"/>
          </w:p>
        </w:tc>
      </w:tr>
      <w:tr w:rsidR="007F055C" w:rsidRPr="00451CE9"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es-ES"/>
              </w:rPr>
              <w:t>Información de contacto: Equipo de vigilancia</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es-ES"/>
              </w:rPr>
              <w:t xml:space="preserve">Correo electrónico: </w:t>
            </w:r>
            <w:hyperlink r:id="rId12" w:history="1">
              <w:r>
                <w:rPr>
                  <w:color w:val="0563C1"/>
                  <w:szCs w:val="24"/>
                  <w:u w:val="single"/>
                  <w:lang w:val="es-ES"/>
                </w:rPr>
                <w:t>EmergoVigilancia@ul.com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es-ES"/>
              </w:rPr>
              <w:t>Número de teléfono: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es-ES"/>
              </w:rPr>
              <w:t>Fax:+31 (0)70 346 7299</w:t>
            </w:r>
          </w:p>
        </w:tc>
        <w:tc>
          <w:tcPr>
            <w:tcW w:w="5314" w:type="dxa"/>
          </w:tcPr>
          <w:p w14:paraId="29C123D6" w14:textId="77777777" w:rsidR="007F055C" w:rsidRPr="00451CE9" w:rsidRDefault="007F055C" w:rsidP="00B066F7">
            <w:pPr>
              <w:widowControl w:val="0"/>
              <w:autoSpaceDE w:val="0"/>
              <w:autoSpaceDN w:val="0"/>
              <w:spacing w:before="42" w:after="0" w:afterAutospacing="0"/>
              <w:rPr>
                <w:spacing w:val="-2"/>
                <w:szCs w:val="24"/>
              </w:rPr>
            </w:pPr>
            <w:r>
              <w:rPr>
                <w:szCs w:val="24"/>
                <w:lang w:val="es-ES"/>
              </w:rPr>
              <w:t>Dirección:</w:t>
            </w:r>
          </w:p>
          <w:p w14:paraId="71888847" w14:textId="77777777" w:rsidR="007F055C" w:rsidRPr="00451CE9" w:rsidRDefault="007F055C" w:rsidP="00B066F7">
            <w:pPr>
              <w:widowControl w:val="0"/>
              <w:autoSpaceDE w:val="0"/>
              <w:autoSpaceDN w:val="0"/>
              <w:spacing w:before="42" w:after="0" w:afterAutospacing="0"/>
              <w:rPr>
                <w:spacing w:val="-2"/>
                <w:szCs w:val="24"/>
              </w:rPr>
            </w:pPr>
            <w:r>
              <w:rPr>
                <w:szCs w:val="24"/>
                <w:lang w:val="es-ES"/>
              </w:rPr>
              <w:t>Número y nombre de la calle:</w:t>
            </w:r>
            <w:r>
              <w:rPr>
                <w:sz w:val="22"/>
                <w:lang w:val="es-ES"/>
              </w:rPr>
              <w:t xml:space="preserve"> 60 </w:t>
            </w:r>
            <w:proofErr w:type="spellStart"/>
            <w:r>
              <w:rPr>
                <w:szCs w:val="24"/>
                <w:lang w:val="es-ES"/>
              </w:rPr>
              <w:t>Westervoortsedijk</w:t>
            </w:r>
            <w:proofErr w:type="spellEnd"/>
          </w:p>
          <w:p w14:paraId="1DE10D32" w14:textId="77777777" w:rsidR="007F055C" w:rsidRPr="00451CE9" w:rsidRDefault="007F055C" w:rsidP="00B066F7">
            <w:pPr>
              <w:widowControl w:val="0"/>
              <w:autoSpaceDE w:val="0"/>
              <w:autoSpaceDN w:val="0"/>
              <w:spacing w:before="42" w:after="0" w:afterAutospacing="0"/>
              <w:rPr>
                <w:spacing w:val="-2"/>
                <w:szCs w:val="24"/>
              </w:rPr>
            </w:pPr>
            <w:r>
              <w:rPr>
                <w:szCs w:val="24"/>
                <w:lang w:val="es-ES"/>
              </w:rPr>
              <w:t>Ciudad: Arnhem</w:t>
            </w:r>
          </w:p>
          <w:p w14:paraId="5DC40550" w14:textId="77777777" w:rsidR="007F055C" w:rsidRPr="00451CE9" w:rsidRDefault="007F055C" w:rsidP="00B066F7">
            <w:pPr>
              <w:widowControl w:val="0"/>
              <w:autoSpaceDE w:val="0"/>
              <w:autoSpaceDN w:val="0"/>
              <w:spacing w:before="42" w:after="0" w:afterAutospacing="0"/>
              <w:rPr>
                <w:spacing w:val="-2"/>
                <w:szCs w:val="24"/>
              </w:rPr>
            </w:pPr>
            <w:r>
              <w:rPr>
                <w:szCs w:val="24"/>
                <w:lang w:val="es-ES"/>
              </w:rPr>
              <w:t>Código postal: 6827 AT</w:t>
            </w:r>
          </w:p>
          <w:p w14:paraId="440CB936" w14:textId="77777777" w:rsidR="007F055C" w:rsidRPr="00451CE9" w:rsidRDefault="007F055C" w:rsidP="00B066F7">
            <w:pPr>
              <w:widowControl w:val="0"/>
              <w:autoSpaceDE w:val="0"/>
              <w:autoSpaceDN w:val="0"/>
              <w:spacing w:before="42" w:after="0" w:afterAutospacing="0"/>
              <w:rPr>
                <w:spacing w:val="-2"/>
                <w:szCs w:val="24"/>
              </w:rPr>
            </w:pPr>
            <w:r>
              <w:rPr>
                <w:szCs w:val="24"/>
                <w:lang w:val="es-ES"/>
              </w:rPr>
              <w:t>País: Países Bajos</w:t>
            </w:r>
          </w:p>
        </w:tc>
      </w:tr>
    </w:tbl>
    <w:p w14:paraId="30C3AC52" w14:textId="77777777" w:rsidR="007F055C" w:rsidRPr="00451CE9" w:rsidRDefault="007F055C" w:rsidP="007F055C">
      <w:pPr>
        <w:rPr>
          <w:rFonts w:cs="Times New Roman"/>
          <w:highlight w:val="green"/>
        </w:rPr>
      </w:pPr>
    </w:p>
    <w:p w14:paraId="5B70EC0F" w14:textId="77777777" w:rsidR="004777A5" w:rsidRPr="00451CE9" w:rsidRDefault="004777A5" w:rsidP="007F055C">
      <w:pPr>
        <w:rPr>
          <w:rFonts w:cs="Times New Roman"/>
          <w:highlight w:val="green"/>
        </w:rPr>
      </w:pPr>
    </w:p>
    <w:p w14:paraId="1107ED26" w14:textId="10BB6D3E" w:rsidR="009855C3" w:rsidRPr="00451CE9" w:rsidRDefault="009855C3" w:rsidP="00A41BE9">
      <w:pPr>
        <w:pStyle w:val="Heading1"/>
        <w:spacing w:after="120"/>
        <w:ind w:left="788" w:hanging="431"/>
        <w:rPr>
          <w:rFonts w:cs="Times New Roman"/>
          <w:szCs w:val="24"/>
        </w:rPr>
      </w:pPr>
      <w:bookmarkStart w:id="16" w:name="_Toc212114766"/>
      <w:r>
        <w:rPr>
          <w:rFonts w:cs="Times New Roman"/>
          <w:bCs/>
          <w:szCs w:val="24"/>
          <w:lang w:val="es-ES"/>
        </w:rPr>
        <w:lastRenderedPageBreak/>
        <w:t>Nombre y número de identificación único del organismo notificado</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A41BE9">
        <w:trPr>
          <w:trHeight w:val="346"/>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es-ES"/>
              </w:rPr>
              <w:t>Organismo notificado</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Nombre:</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proofErr w:type="spellStart"/>
            <w:r>
              <w:rPr>
                <w:rFonts w:cs="Times New Roman"/>
                <w:szCs w:val="24"/>
                <w:lang w:val="es-ES"/>
              </w:rPr>
              <w:t>The</w:t>
            </w:r>
            <w:proofErr w:type="spellEnd"/>
            <w:r>
              <w:rPr>
                <w:rFonts w:cs="Times New Roman"/>
                <w:szCs w:val="24"/>
                <w:lang w:val="es-ES"/>
              </w:rPr>
              <w:t xml:space="preserve"> British </w:t>
            </w:r>
            <w:proofErr w:type="spellStart"/>
            <w:r>
              <w:rPr>
                <w:rFonts w:cs="Times New Roman"/>
                <w:szCs w:val="24"/>
                <w:lang w:val="es-ES"/>
              </w:rPr>
              <w:t>Standards</w:t>
            </w:r>
            <w:proofErr w:type="spellEnd"/>
            <w:r>
              <w:rPr>
                <w:rFonts w:cs="Times New Roman"/>
                <w:szCs w:val="24"/>
                <w:lang w:val="es-ES"/>
              </w:rPr>
              <w:t xml:space="preserve"> </w:t>
            </w:r>
            <w:proofErr w:type="spellStart"/>
            <w:r>
              <w:rPr>
                <w:rFonts w:cs="Times New Roman"/>
                <w:szCs w:val="24"/>
                <w:lang w:val="es-ES"/>
              </w:rPr>
              <w:t>Institution</w:t>
            </w:r>
            <w:proofErr w:type="spellEnd"/>
            <w:r>
              <w:rPr>
                <w:rFonts w:cs="Times New Roman"/>
                <w:szCs w:val="24"/>
                <w:lang w:val="es-ES"/>
              </w:rPr>
              <w:t xml:space="preserve"> (BSI) </w:t>
            </w:r>
            <w:proofErr w:type="spellStart"/>
            <w:r>
              <w:rPr>
                <w:rFonts w:cs="Times New Roman"/>
                <w:szCs w:val="24"/>
                <w:lang w:val="es-ES"/>
              </w:rPr>
              <w:t>Group</w:t>
            </w:r>
            <w:proofErr w:type="spellEnd"/>
            <w:r>
              <w:rPr>
                <w:rFonts w:cs="Times New Roman"/>
                <w:szCs w:val="24"/>
                <w:lang w:val="es-ES"/>
              </w:rPr>
              <w:t xml:space="preserve"> </w:t>
            </w:r>
            <w:proofErr w:type="spellStart"/>
            <w:r>
              <w:rPr>
                <w:rFonts w:cs="Times New Roman"/>
                <w:szCs w:val="24"/>
                <w:lang w:val="es-ES"/>
              </w:rPr>
              <w:t>the</w:t>
            </w:r>
            <w:proofErr w:type="spellEnd"/>
            <w:r>
              <w:rPr>
                <w:rFonts w:cs="Times New Roman"/>
                <w:szCs w:val="24"/>
                <w:lang w:val="es-ES"/>
              </w:rPr>
              <w:t xml:space="preserve"> </w:t>
            </w:r>
            <w:proofErr w:type="spellStart"/>
            <w:r>
              <w:rPr>
                <w:rFonts w:cs="Times New Roman"/>
                <w:szCs w:val="24"/>
                <w:lang w:val="es-ES"/>
              </w:rPr>
              <w:t>Netherlands</w:t>
            </w:r>
            <w:proofErr w:type="spellEnd"/>
            <w:r>
              <w:rPr>
                <w:rFonts w:cs="Times New Roman"/>
                <w:szCs w:val="24"/>
                <w:lang w:val="es-ES"/>
              </w:rPr>
              <w:t xml:space="preserve">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s-ES"/>
              </w:rPr>
              <w:t>Dirección:</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es-ES"/>
              </w:rPr>
              <w:t xml:space="preserve">John M. </w:t>
            </w:r>
            <w:proofErr w:type="spellStart"/>
            <w:r>
              <w:rPr>
                <w:rFonts w:eastAsia="Times New Roman" w:cs="Times New Roman"/>
                <w:szCs w:val="24"/>
                <w:lang w:val="es-ES"/>
              </w:rPr>
              <w:t>Keynesplein</w:t>
            </w:r>
            <w:proofErr w:type="spellEnd"/>
            <w:r>
              <w:rPr>
                <w:rFonts w:eastAsia="Times New Roman" w:cs="Times New Roman"/>
                <w:szCs w:val="24"/>
                <w:lang w:val="es-ES"/>
              </w:rPr>
              <w:t xml:space="preserve">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es-ES"/>
              </w:rPr>
              <w:t>1066 EP Ámsterdam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es-ES"/>
              </w:rPr>
              <w:t xml:space="preserve"> Países Bajos</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s-ES"/>
              </w:rPr>
              <w:t>Página web:</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es-ES"/>
                </w:rPr>
                <w:t>www.bsigroup.com</w:t>
              </w:r>
            </w:hyperlink>
            <w:r>
              <w:rPr>
                <w:rFonts w:eastAsia="Times New Roman" w:cs="Times New Roman"/>
                <w:szCs w:val="24"/>
                <w:lang w:val="es-ES"/>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Teléfono:</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es-ES"/>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es-ES"/>
              </w:rPr>
              <w:t>+31 (0) 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A41BE9">
            <w:pPr>
              <w:suppressAutoHyphens/>
              <w:spacing w:after="0" w:afterAutospacing="0" w:line="240" w:lineRule="exact"/>
              <w:ind w:left="150"/>
              <w:rPr>
                <w:rFonts w:eastAsia="Times New Roman" w:cs="Times New Roman"/>
                <w:bCs/>
                <w:szCs w:val="24"/>
              </w:rPr>
            </w:pPr>
            <w:r>
              <w:rPr>
                <w:rFonts w:eastAsia="Times New Roman" w:cs="Times New Roman"/>
                <w:szCs w:val="24"/>
                <w:lang w:val="es-ES"/>
              </w:rPr>
              <w:t>Número de organismo notificado:</w:t>
            </w:r>
            <w:r>
              <w:rPr>
                <w:rFonts w:eastAsia="Times New Roman" w:cs="Times New Roman"/>
                <w:szCs w:val="24"/>
                <w:lang w:val="es-ES"/>
              </w:rPr>
              <w:tab/>
            </w:r>
          </w:p>
        </w:tc>
        <w:tc>
          <w:tcPr>
            <w:tcW w:w="3406" w:type="pct"/>
          </w:tcPr>
          <w:p w14:paraId="42E78770" w14:textId="57A63BD8" w:rsidR="00D52A42" w:rsidRPr="00451CE9" w:rsidRDefault="00D52A42" w:rsidP="00A41BE9">
            <w:pPr>
              <w:suppressAutoHyphens/>
              <w:spacing w:after="0" w:afterAutospacing="0" w:line="240" w:lineRule="exact"/>
              <w:rPr>
                <w:rFonts w:eastAsia="Times New Roman" w:cs="Times New Roman"/>
                <w:bCs/>
                <w:szCs w:val="24"/>
              </w:rPr>
            </w:pPr>
            <w:r>
              <w:rPr>
                <w:rFonts w:eastAsia="Times New Roman" w:cs="Times New Roman"/>
                <w:szCs w:val="24"/>
                <w:lang w:val="es-ES"/>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767"/>
      <w:r>
        <w:rPr>
          <w:rFonts w:cs="Times New Roman"/>
          <w:bCs/>
          <w:szCs w:val="24"/>
          <w:lang w:val="es-ES"/>
        </w:rPr>
        <w:t>Uso previsto del dispositivo</w:t>
      </w:r>
      <w:bookmarkEnd w:id="17"/>
      <w:r>
        <w:rPr>
          <w:rFonts w:cs="Times New Roman"/>
          <w:bCs/>
          <w:szCs w:val="24"/>
          <w:lang w:val="es-ES"/>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A41BE9">
      <w:pPr>
        <w:pStyle w:val="Heading1"/>
        <w:jc w:val="both"/>
        <w:rPr>
          <w:rFonts w:cs="Times New Roman"/>
          <w:szCs w:val="24"/>
        </w:rPr>
      </w:pPr>
      <w:r>
        <w:rPr>
          <w:rFonts w:cs="Times New Roman"/>
          <w:bCs/>
          <w:szCs w:val="24"/>
          <w:lang w:val="es-ES"/>
        </w:rPr>
        <w:t xml:space="preserve"> </w:t>
      </w:r>
      <w:bookmarkStart w:id="18" w:name="_Toc212114768"/>
      <w:r>
        <w:rPr>
          <w:rFonts w:cs="Times New Roman"/>
          <w:bCs/>
          <w:szCs w:val="24"/>
          <w:lang w:val="es-ES"/>
        </w:rPr>
        <w:t>Uso/Fin previsto</w:t>
      </w:r>
      <w:bookmarkStart w:id="19" w:name="_Toc100654495"/>
      <w:bookmarkEnd w:id="18"/>
    </w:p>
    <w:bookmarkEnd w:id="19"/>
    <w:p w14:paraId="63A5A376" w14:textId="073AB754" w:rsidR="00042B91" w:rsidRPr="00451CE9" w:rsidRDefault="004A5CF7" w:rsidP="00A41BE9">
      <w:pPr>
        <w:spacing w:after="0" w:afterAutospacing="0" w:line="240" w:lineRule="auto"/>
        <w:ind w:left="792"/>
        <w:jc w:val="both"/>
        <w:rPr>
          <w:rFonts w:eastAsia="Times New Roman" w:cs="Times New Roman"/>
          <w:bCs/>
          <w:noProof/>
          <w:szCs w:val="24"/>
        </w:rPr>
      </w:pPr>
      <w:r>
        <w:rPr>
          <w:rFonts w:eastAsia="Times New Roman" w:cs="Times New Roman"/>
          <w:noProof/>
          <w:szCs w:val="24"/>
          <w:lang w:val="es-ES"/>
        </w:rPr>
        <w:t>El sistema de drenaje Skater está diseñado para ser utilizado por cualquier persona que requiera drenaje percutáneo o aspiración de abscesos y colecciones anormales de líquido para el diagnóstico y el tratamiento terapéutico de una amplia variedad de acumulaciones de líquido.</w:t>
      </w:r>
    </w:p>
    <w:p w14:paraId="776CF1A0" w14:textId="77777777" w:rsidR="00313AE5" w:rsidRPr="00451CE9" w:rsidRDefault="00313AE5" w:rsidP="00A41BE9">
      <w:pPr>
        <w:spacing w:after="0" w:afterAutospacing="0" w:line="240" w:lineRule="auto"/>
        <w:jc w:val="both"/>
        <w:rPr>
          <w:rFonts w:cs="Times New Roman"/>
          <w:iCs/>
          <w:color w:val="FF0000"/>
          <w:szCs w:val="24"/>
        </w:rPr>
      </w:pPr>
    </w:p>
    <w:p w14:paraId="0540FB4C" w14:textId="669153EB" w:rsidR="006F0810" w:rsidRPr="00451CE9" w:rsidRDefault="006F0810" w:rsidP="00A41BE9">
      <w:pPr>
        <w:pStyle w:val="Heading1"/>
        <w:jc w:val="both"/>
        <w:rPr>
          <w:rFonts w:cs="Times New Roman"/>
          <w:szCs w:val="24"/>
        </w:rPr>
      </w:pPr>
      <w:bookmarkStart w:id="20" w:name="_Toc212114769"/>
      <w:r>
        <w:rPr>
          <w:rFonts w:cs="Times New Roman"/>
          <w:bCs/>
          <w:szCs w:val="24"/>
          <w:lang w:val="es-ES"/>
        </w:rPr>
        <w:t>Indicaciones</w:t>
      </w:r>
      <w:bookmarkEnd w:id="20"/>
    </w:p>
    <w:p w14:paraId="250F03AC" w14:textId="147A3773" w:rsidR="00042B91" w:rsidRPr="00451CE9" w:rsidRDefault="00AB3339" w:rsidP="00A41BE9">
      <w:pPr>
        <w:ind w:left="792"/>
        <w:jc w:val="both"/>
        <w:rPr>
          <w:rFonts w:cs="Times New Roman"/>
          <w:b/>
          <w:bCs/>
        </w:rPr>
      </w:pPr>
      <w:r>
        <w:rPr>
          <w:rFonts w:cs="Times New Roman"/>
          <w:shd w:val="clear" w:color="auto" w:fill="FFFFFF"/>
          <w:lang w:val="es-ES"/>
        </w:rPr>
        <w:t xml:space="preserve">El producto es para drenaje percutáneo en distintas aplicaciones de drenaje (por ejemplo, quistes, abscesos, hematomas, exudados pleurales, ascitis, vesícula biliar, </w:t>
      </w:r>
      <w:proofErr w:type="spellStart"/>
      <w:r>
        <w:rPr>
          <w:rFonts w:cs="Times New Roman"/>
          <w:shd w:val="clear" w:color="auto" w:fill="FFFFFF"/>
          <w:lang w:val="es-ES"/>
        </w:rPr>
        <w:t>nefrostomía</w:t>
      </w:r>
      <w:proofErr w:type="spellEnd"/>
      <w:r>
        <w:rPr>
          <w:rFonts w:cs="Times New Roman"/>
          <w:shd w:val="clear" w:color="auto" w:fill="FFFFFF"/>
          <w:lang w:val="es-ES"/>
        </w:rPr>
        <w:t>, colecciones purulentas y sistema biliar).</w:t>
      </w:r>
    </w:p>
    <w:p w14:paraId="498EAE44" w14:textId="77777777" w:rsidR="00D20FA4" w:rsidRPr="00451CE9" w:rsidRDefault="00D20FA4" w:rsidP="00A41BE9">
      <w:pPr>
        <w:pStyle w:val="Heading1"/>
        <w:jc w:val="both"/>
        <w:rPr>
          <w:rFonts w:cs="Times New Roman"/>
        </w:rPr>
      </w:pPr>
      <w:bookmarkStart w:id="21" w:name="_Toc212114770"/>
      <w:r>
        <w:rPr>
          <w:rFonts w:cs="Times New Roman"/>
          <w:bCs/>
          <w:lang w:val="es-ES"/>
        </w:rPr>
        <w:t>Población diana</w:t>
      </w:r>
      <w:bookmarkEnd w:id="21"/>
    </w:p>
    <w:p w14:paraId="10B0E5A6" w14:textId="3784F816" w:rsidR="00AB77A3" w:rsidRPr="00451CE9" w:rsidRDefault="006D2807" w:rsidP="00A41BE9">
      <w:pPr>
        <w:ind w:left="792"/>
        <w:jc w:val="both"/>
        <w:rPr>
          <w:rFonts w:cs="Times New Roman"/>
        </w:rPr>
      </w:pPr>
      <w:r>
        <w:rPr>
          <w:rFonts w:cs="Times New Roman"/>
          <w:lang w:val="es-ES"/>
        </w:rPr>
        <w:t>Los pacientes pueden variar en edad, desde adolescentes hasta adultos de edad avanzada, género, raza o etnia, y los niveles de estado físico pueden variar desde pacientes activos y atléticos hasta pacientes con obesidad y sedentarios.</w:t>
      </w:r>
    </w:p>
    <w:p w14:paraId="28F544BD" w14:textId="4F93A450" w:rsidR="006F0810" w:rsidRPr="00451CE9" w:rsidRDefault="006F0810" w:rsidP="00A41BE9">
      <w:pPr>
        <w:pStyle w:val="Heading1"/>
        <w:jc w:val="both"/>
        <w:rPr>
          <w:rFonts w:cs="Times New Roman"/>
        </w:rPr>
      </w:pPr>
      <w:bookmarkStart w:id="22" w:name="_Toc212114771"/>
      <w:r>
        <w:rPr>
          <w:rFonts w:cs="Times New Roman"/>
          <w:bCs/>
          <w:lang w:val="es-ES"/>
        </w:rPr>
        <w:t>Contraindicaciones</w:t>
      </w:r>
      <w:bookmarkEnd w:id="22"/>
    </w:p>
    <w:p w14:paraId="5C8B137B" w14:textId="4266F8C7" w:rsidR="004F1BD8" w:rsidRPr="00451CE9" w:rsidRDefault="00DB5AE5" w:rsidP="00A41BE9">
      <w:pPr>
        <w:ind w:left="792"/>
        <w:jc w:val="both"/>
        <w:rPr>
          <w:rFonts w:cs="Times New Roman"/>
        </w:rPr>
      </w:pPr>
      <w:r>
        <w:rPr>
          <w:rFonts w:cs="Times New Roman"/>
          <w:lang w:val="es-ES"/>
        </w:rPr>
        <w:t xml:space="preserve">No se conocen contraindicaciones. </w:t>
      </w:r>
    </w:p>
    <w:p w14:paraId="0A9D601E" w14:textId="53FB771D" w:rsidR="00760400" w:rsidRPr="00451CE9" w:rsidRDefault="00D20FA4" w:rsidP="00A41BE9">
      <w:pPr>
        <w:pStyle w:val="Heading1"/>
        <w:numPr>
          <w:ilvl w:val="0"/>
          <w:numId w:val="2"/>
        </w:numPr>
        <w:jc w:val="both"/>
        <w:rPr>
          <w:rFonts w:cs="Times New Roman"/>
        </w:rPr>
      </w:pPr>
      <w:bookmarkStart w:id="23" w:name="_Toc212114772"/>
      <w:r>
        <w:rPr>
          <w:rFonts w:cs="Times New Roman"/>
          <w:bCs/>
          <w:lang w:val="es-ES"/>
        </w:rPr>
        <w:t>Descripción del dispositivo</w:t>
      </w:r>
      <w:bookmarkEnd w:id="23"/>
    </w:p>
    <w:p w14:paraId="7115673A" w14:textId="77777777" w:rsidR="00042B91" w:rsidRPr="00451CE9" w:rsidRDefault="00042B91" w:rsidP="00A41BE9">
      <w:pPr>
        <w:spacing w:after="0" w:afterAutospacing="0" w:line="240" w:lineRule="auto"/>
        <w:jc w:val="both"/>
        <w:rPr>
          <w:rFonts w:cs="Times New Roman"/>
        </w:rPr>
      </w:pPr>
    </w:p>
    <w:p w14:paraId="33649869" w14:textId="2635B429" w:rsidR="00D20FA4" w:rsidRPr="00451CE9" w:rsidRDefault="00D20FA4" w:rsidP="00A41BE9">
      <w:pPr>
        <w:pStyle w:val="Heading1"/>
        <w:jc w:val="both"/>
        <w:rPr>
          <w:rFonts w:cs="Times New Roman"/>
        </w:rPr>
      </w:pPr>
      <w:bookmarkStart w:id="24" w:name="_Toc212114773"/>
      <w:r>
        <w:rPr>
          <w:rFonts w:cs="Times New Roman"/>
          <w:bCs/>
          <w:lang w:val="es-ES"/>
        </w:rPr>
        <w:t>Descripción del dispositivo</w:t>
      </w:r>
      <w:bookmarkEnd w:id="24"/>
      <w:r>
        <w:rPr>
          <w:rFonts w:cs="Times New Roman"/>
          <w:bCs/>
          <w:lang w:val="es-ES"/>
        </w:rPr>
        <w:t xml:space="preserve"> </w:t>
      </w:r>
    </w:p>
    <w:p w14:paraId="67D8CDD1" w14:textId="035CAE96" w:rsidR="00320072" w:rsidRPr="00A41BE9" w:rsidRDefault="00300335" w:rsidP="00A41BE9">
      <w:pPr>
        <w:spacing w:after="0" w:afterAutospacing="0"/>
        <w:ind w:left="792"/>
        <w:jc w:val="both"/>
        <w:rPr>
          <w:rFonts w:cs="Times New Roman"/>
          <w:lang w:val="es-ES"/>
        </w:rPr>
      </w:pPr>
      <w:r w:rsidRPr="00E87FD4">
        <w:rPr>
          <w:rFonts w:cs="Times New Roman"/>
          <w:lang w:val="es-ES"/>
        </w:rPr>
        <w:t xml:space="preserve">Catéter de drenaje </w:t>
      </w:r>
      <w:proofErr w:type="spellStart"/>
      <w:r w:rsidRPr="00E87FD4">
        <w:rPr>
          <w:rFonts w:cs="Times New Roman"/>
          <w:lang w:val="es-ES"/>
        </w:rPr>
        <w:t>Skater</w:t>
      </w:r>
      <w:proofErr w:type="spellEnd"/>
      <w:r w:rsidRPr="00E87FD4">
        <w:rPr>
          <w:rFonts w:cs="Times New Roman"/>
          <w:lang w:val="es-ES"/>
        </w:rPr>
        <w:t>:</w:t>
      </w:r>
    </w:p>
    <w:p w14:paraId="182B3732" w14:textId="04DB304E" w:rsidR="00AB6AE8" w:rsidRPr="00A41BE9" w:rsidRDefault="00AB6AE8" w:rsidP="00A41BE9">
      <w:pPr>
        <w:ind w:left="792"/>
        <w:jc w:val="both"/>
        <w:rPr>
          <w:rFonts w:cs="Times New Roman"/>
          <w:lang w:val="es-ES"/>
        </w:rPr>
      </w:pPr>
      <w:r w:rsidRPr="00A41BE9">
        <w:rPr>
          <w:rFonts w:cs="Times New Roman"/>
          <w:lang w:val="es-ES"/>
        </w:rPr>
        <w:t xml:space="preserve">Los catéteres de drenaje </w:t>
      </w:r>
      <w:proofErr w:type="spellStart"/>
      <w:r w:rsidRPr="00A41BE9">
        <w:rPr>
          <w:rFonts w:cs="Times New Roman"/>
          <w:lang w:val="es-ES"/>
        </w:rPr>
        <w:t>Skater</w:t>
      </w:r>
      <w:proofErr w:type="spellEnd"/>
      <w:r w:rsidRPr="00A41BE9">
        <w:rPr>
          <w:rFonts w:cs="Times New Roman"/>
          <w:lang w:val="es-ES"/>
        </w:rPr>
        <w:t xml:space="preserve"> están diseñados para promover el máximo flujo de drenaje con un lumen grande y orificios de drenaje grandes. Están fabricados en poliuretano suave para mayor comodidad del paciente, óptima resistencia a las torceduras y facilidad de inserción y </w:t>
      </w:r>
      <w:proofErr w:type="spellStart"/>
      <w:r w:rsidRPr="00A41BE9">
        <w:rPr>
          <w:rFonts w:cs="Times New Roman"/>
          <w:lang w:val="es-ES"/>
        </w:rPr>
        <w:t>radiopacidad</w:t>
      </w:r>
      <w:proofErr w:type="spellEnd"/>
      <w:r w:rsidRPr="00A41BE9">
        <w:rPr>
          <w:rFonts w:cs="Times New Roman"/>
          <w:lang w:val="es-ES"/>
        </w:rPr>
        <w:t xml:space="preserve">. Los marcadores de posición visuales confirman la posición del catéter después de la colocación. Los </w:t>
      </w:r>
      <w:r w:rsidRPr="00A41BE9">
        <w:rPr>
          <w:rFonts w:cs="Times New Roman"/>
          <w:lang w:val="es-ES"/>
        </w:rPr>
        <w:lastRenderedPageBreak/>
        <w:t xml:space="preserve">catéteres están recubiertos con un revestimiento hidrófilo SLIP-COAT™ para una fricción mínima durante la inserción. </w:t>
      </w:r>
    </w:p>
    <w:p w14:paraId="5BB1DC98" w14:textId="2A79BB84" w:rsidR="00AB6AE8" w:rsidRPr="00A41BE9" w:rsidRDefault="00AB6AE8" w:rsidP="00A41BE9">
      <w:pPr>
        <w:ind w:left="792"/>
        <w:jc w:val="both"/>
        <w:rPr>
          <w:rFonts w:cs="Times New Roman"/>
          <w:lang w:val="es-ES"/>
        </w:rPr>
      </w:pPr>
      <w:r w:rsidRPr="00A41BE9">
        <w:rPr>
          <w:rFonts w:cs="Times New Roman"/>
          <w:lang w:val="es-ES"/>
        </w:rPr>
        <w:t xml:space="preserve">Las distintas configuraciones presentan cola de cerdo con o sin bloqueo, de 6 F a 16 F y de 15 cm a 60 cm, con refuerzo metálico, refuerzo flexible (para catéteres ≥8 F) o estilete de trocar </w:t>
      </w:r>
      <w:proofErr w:type="spellStart"/>
      <w:r w:rsidRPr="00A41BE9">
        <w:rPr>
          <w:rFonts w:cs="Times New Roman"/>
          <w:lang w:val="es-ES"/>
        </w:rPr>
        <w:t>Choice</w:t>
      </w:r>
      <w:proofErr w:type="spellEnd"/>
      <w:r w:rsidR="00C6609A">
        <w:rPr>
          <w:rFonts w:cs="Times New Roman"/>
          <w:lang w:val="es-ES"/>
        </w:rPr>
        <w:t> </w:t>
      </w:r>
      <w:proofErr w:type="spellStart"/>
      <w:r w:rsidRPr="00A41BE9">
        <w:rPr>
          <w:rFonts w:cs="Times New Roman"/>
          <w:lang w:val="es-ES"/>
        </w:rPr>
        <w:t>Lock</w:t>
      </w:r>
      <w:proofErr w:type="spellEnd"/>
      <w:r w:rsidRPr="00A41BE9">
        <w:rPr>
          <w:rFonts w:cs="Times New Roman"/>
          <w:lang w:val="es-ES"/>
        </w:rPr>
        <w:t>™.</w:t>
      </w:r>
    </w:p>
    <w:p w14:paraId="33AA821B" w14:textId="1B1B8734" w:rsidR="00AB6AE8" w:rsidRPr="00A41BE9" w:rsidRDefault="00AB6AE8" w:rsidP="00A41BE9">
      <w:pPr>
        <w:ind w:left="792"/>
        <w:jc w:val="both"/>
        <w:rPr>
          <w:rFonts w:cs="Times New Roman"/>
          <w:lang w:val="es-ES"/>
        </w:rPr>
      </w:pPr>
      <w:r w:rsidRPr="00A41BE9">
        <w:rPr>
          <w:rFonts w:cs="Times New Roman"/>
          <w:lang w:val="es-ES"/>
        </w:rPr>
        <w:t xml:space="preserve">Los catéteres de drenaje </w:t>
      </w:r>
      <w:proofErr w:type="spellStart"/>
      <w:r w:rsidRPr="00A41BE9">
        <w:rPr>
          <w:rFonts w:cs="Times New Roman"/>
          <w:lang w:val="es-ES"/>
        </w:rPr>
        <w:t>Skater</w:t>
      </w:r>
      <w:proofErr w:type="spellEnd"/>
      <w:r w:rsidRPr="00A41BE9">
        <w:rPr>
          <w:rFonts w:cs="Times New Roman"/>
          <w:lang w:val="es-ES"/>
        </w:rPr>
        <w:t xml:space="preserve"> Mini-</w:t>
      </w:r>
      <w:proofErr w:type="spellStart"/>
      <w:r w:rsidRPr="00A41BE9">
        <w:rPr>
          <w:rFonts w:cs="Times New Roman"/>
          <w:lang w:val="es-ES"/>
        </w:rPr>
        <w:t>Loop</w:t>
      </w:r>
      <w:proofErr w:type="spellEnd"/>
      <w:r w:rsidRPr="00A41BE9">
        <w:rPr>
          <w:rFonts w:cs="Times New Roman"/>
          <w:lang w:val="es-ES"/>
        </w:rPr>
        <w:t xml:space="preserve"> tienen una pequeña cola de cerdo para drenaje percutáneo en cavidades pequeñas.</w:t>
      </w:r>
    </w:p>
    <w:p w14:paraId="2F4E05E0" w14:textId="77777777" w:rsidR="00AB6AE8" w:rsidRPr="00A41BE9" w:rsidRDefault="00AB6AE8" w:rsidP="00A41BE9">
      <w:pPr>
        <w:ind w:left="792"/>
        <w:jc w:val="both"/>
        <w:rPr>
          <w:rFonts w:cs="Times New Roman"/>
          <w:lang w:val="es-ES"/>
        </w:rPr>
      </w:pPr>
      <w:r w:rsidRPr="00A41BE9">
        <w:rPr>
          <w:rFonts w:cs="Times New Roman"/>
          <w:lang w:val="es-ES"/>
        </w:rPr>
        <w:t xml:space="preserve">El catéter de drenaje biliar </w:t>
      </w:r>
      <w:proofErr w:type="spellStart"/>
      <w:r w:rsidRPr="00A41BE9">
        <w:rPr>
          <w:rFonts w:cs="Times New Roman"/>
          <w:lang w:val="es-ES"/>
        </w:rPr>
        <w:t>Skater</w:t>
      </w:r>
      <w:proofErr w:type="spellEnd"/>
      <w:r w:rsidRPr="00A41BE9">
        <w:rPr>
          <w:rFonts w:cs="Times New Roman"/>
          <w:lang w:val="es-ES"/>
        </w:rPr>
        <w:t xml:space="preserve"> cuenta con una banda marcadora radiopaca que proporciona una visión clara del orificio de drenaje más proximal para una colocación precisa en el tracto biliar y orificios de drenaje adicionales para el drenaje del conducto biliar al duodeno.</w:t>
      </w:r>
    </w:p>
    <w:p w14:paraId="53C4A9D2" w14:textId="0A1E9DFA" w:rsidR="00AB6AE8" w:rsidRPr="00A41BE9" w:rsidRDefault="00AB6AE8" w:rsidP="00A41BE9">
      <w:pPr>
        <w:ind w:left="792"/>
        <w:jc w:val="both"/>
        <w:rPr>
          <w:rFonts w:cs="Times New Roman"/>
          <w:lang w:val="es-ES"/>
        </w:rPr>
      </w:pPr>
      <w:r w:rsidRPr="00A41BE9">
        <w:rPr>
          <w:rFonts w:cs="Times New Roman"/>
          <w:lang w:val="es-ES"/>
        </w:rPr>
        <w:t>El dispositivo se suministra estéril y está destinado a un solo uso.</w:t>
      </w:r>
    </w:p>
    <w:p w14:paraId="3AB3C417" w14:textId="43ED710F" w:rsidR="00AB6AE8" w:rsidRPr="00A41BE9" w:rsidRDefault="00AB6AE8" w:rsidP="00A41BE9">
      <w:pPr>
        <w:ind w:left="792"/>
        <w:jc w:val="both"/>
        <w:rPr>
          <w:rFonts w:cs="Times New Roman"/>
          <w:lang w:val="es-ES"/>
        </w:rPr>
      </w:pPr>
      <w:r w:rsidRPr="00A41BE9">
        <w:rPr>
          <w:rFonts w:cs="Times New Roman"/>
          <w:lang w:val="es-ES"/>
        </w:rPr>
        <w:t xml:space="preserve">Catéter de drenaje SKATER que representa las distintas partes y drenaje </w:t>
      </w:r>
      <w:proofErr w:type="spellStart"/>
      <w:r w:rsidRPr="00A41BE9">
        <w:rPr>
          <w:rFonts w:cs="Times New Roman"/>
          <w:lang w:val="es-ES"/>
        </w:rPr>
        <w:t>Skater</w:t>
      </w:r>
      <w:proofErr w:type="spellEnd"/>
      <w:r w:rsidRPr="00A41BE9">
        <w:rPr>
          <w:rFonts w:cs="Times New Roman"/>
          <w:lang w:val="es-ES"/>
        </w:rPr>
        <w:t xml:space="preserve"> con estilete de trocar </w:t>
      </w:r>
      <w:proofErr w:type="spellStart"/>
      <w:r w:rsidRPr="00A41BE9">
        <w:rPr>
          <w:rFonts w:cs="Times New Roman"/>
          <w:lang w:val="es-ES"/>
        </w:rPr>
        <w:t>Choice</w:t>
      </w:r>
      <w:proofErr w:type="spellEnd"/>
      <w:r w:rsidRPr="00A41BE9">
        <w:rPr>
          <w:rFonts w:cs="Times New Roman"/>
          <w:lang w:val="es-ES"/>
        </w:rPr>
        <w:t xml:space="preserve"> </w:t>
      </w:r>
      <w:proofErr w:type="spellStart"/>
      <w:r w:rsidRPr="00A41BE9">
        <w:rPr>
          <w:rFonts w:cs="Times New Roman"/>
          <w:lang w:val="es-ES"/>
        </w:rPr>
        <w:t>Lock</w:t>
      </w:r>
      <w:proofErr w:type="spellEnd"/>
      <w:r w:rsidRPr="00A41BE9">
        <w:rPr>
          <w:rFonts w:cs="Times New Roman"/>
          <w:lang w:val="es-ES"/>
        </w:rPr>
        <w:t>.</w:t>
      </w:r>
    </w:p>
    <w:p w14:paraId="1D869789" w14:textId="77777777" w:rsidR="00320072" w:rsidRPr="00A41BE9" w:rsidRDefault="00320072" w:rsidP="00A41BE9">
      <w:pPr>
        <w:spacing w:after="0" w:afterAutospacing="0"/>
        <w:ind w:left="792"/>
        <w:jc w:val="both"/>
        <w:rPr>
          <w:rFonts w:cs="Times New Roman"/>
          <w:lang w:val="es-ES"/>
        </w:rPr>
      </w:pPr>
      <w:r>
        <w:rPr>
          <w:rFonts w:cs="Times New Roman"/>
          <w:lang w:val="es-ES"/>
        </w:rPr>
        <w:t xml:space="preserve">Kits de drenaje </w:t>
      </w:r>
      <w:proofErr w:type="spellStart"/>
      <w:r>
        <w:rPr>
          <w:rFonts w:cs="Times New Roman"/>
          <w:lang w:val="es-ES"/>
        </w:rPr>
        <w:t>Skater</w:t>
      </w:r>
      <w:proofErr w:type="spellEnd"/>
      <w:r>
        <w:rPr>
          <w:rFonts w:cs="Times New Roman"/>
          <w:lang w:val="es-ES"/>
        </w:rPr>
        <w:t>:</w:t>
      </w:r>
    </w:p>
    <w:p w14:paraId="1DE39497" w14:textId="539F2941" w:rsidR="00320072" w:rsidRPr="00A41BE9" w:rsidRDefault="00320072" w:rsidP="00A41BE9">
      <w:pPr>
        <w:ind w:left="792"/>
        <w:jc w:val="both"/>
        <w:rPr>
          <w:rFonts w:cs="Times New Roman"/>
          <w:lang w:val="es-ES"/>
        </w:rPr>
      </w:pPr>
      <w:r w:rsidRPr="00A41BE9">
        <w:rPr>
          <w:rFonts w:cs="Times New Roman"/>
          <w:lang w:val="es-ES"/>
        </w:rPr>
        <w:t xml:space="preserve">El kit introductor de drenaje biliar </w:t>
      </w:r>
      <w:proofErr w:type="spellStart"/>
      <w:r w:rsidRPr="00A41BE9">
        <w:rPr>
          <w:rFonts w:cs="Times New Roman"/>
          <w:lang w:val="es-ES"/>
        </w:rPr>
        <w:t>Skater</w:t>
      </w:r>
      <w:proofErr w:type="spellEnd"/>
      <w:r w:rsidRPr="00A41BE9">
        <w:rPr>
          <w:rFonts w:cs="Times New Roman"/>
          <w:lang w:val="es-ES"/>
        </w:rPr>
        <w:t xml:space="preserve"> consta de una aguja de trocar fina, un alambre guía de acceso y un dilatador coaxial que proporciona una colocación atraumática para un alambre guía de 0,035” o 0,038”. El producto cuenta con grandes orificios de drenaje ovalados y un gran lumen para una máxima capacidad de drenaje.</w:t>
      </w:r>
    </w:p>
    <w:p w14:paraId="4D82BBCA" w14:textId="1BFE8D9D" w:rsidR="00AC1B19" w:rsidRPr="00A41BE9" w:rsidRDefault="00320072" w:rsidP="00A41BE9">
      <w:pPr>
        <w:ind w:left="792"/>
        <w:jc w:val="both"/>
        <w:rPr>
          <w:rFonts w:cs="Times New Roman"/>
          <w:lang w:val="es-ES"/>
        </w:rPr>
      </w:pPr>
      <w:r w:rsidRPr="00A41BE9">
        <w:rPr>
          <w:rFonts w:cs="Times New Roman"/>
          <w:lang w:val="es-ES"/>
        </w:rPr>
        <w:t xml:space="preserve">Los kits de </w:t>
      </w:r>
      <w:proofErr w:type="spellStart"/>
      <w:r w:rsidRPr="00A41BE9">
        <w:rPr>
          <w:rFonts w:cs="Times New Roman"/>
          <w:lang w:val="es-ES"/>
        </w:rPr>
        <w:t>nefrostomía</w:t>
      </w:r>
      <w:proofErr w:type="spellEnd"/>
      <w:r w:rsidRPr="00A41BE9">
        <w:rPr>
          <w:rFonts w:cs="Times New Roman"/>
          <w:lang w:val="es-ES"/>
        </w:rPr>
        <w:t xml:space="preserve"> </w:t>
      </w:r>
      <w:proofErr w:type="spellStart"/>
      <w:r w:rsidRPr="00A41BE9">
        <w:rPr>
          <w:rFonts w:cs="Times New Roman"/>
          <w:lang w:val="es-ES"/>
        </w:rPr>
        <w:t>Skater</w:t>
      </w:r>
      <w:proofErr w:type="spellEnd"/>
      <w:r w:rsidRPr="00A41BE9">
        <w:rPr>
          <w:rFonts w:cs="Times New Roman"/>
          <w:lang w:val="es-ES"/>
        </w:rPr>
        <w:t xml:space="preserve"> y los kits introductores de </w:t>
      </w:r>
      <w:proofErr w:type="spellStart"/>
      <w:r w:rsidRPr="00A41BE9">
        <w:rPr>
          <w:rFonts w:cs="Times New Roman"/>
          <w:lang w:val="es-ES"/>
        </w:rPr>
        <w:t>nefrostomía</w:t>
      </w:r>
      <w:proofErr w:type="spellEnd"/>
      <w:r w:rsidRPr="00A41BE9">
        <w:rPr>
          <w:rFonts w:cs="Times New Roman"/>
          <w:lang w:val="es-ES"/>
        </w:rPr>
        <w:t xml:space="preserve"> </w:t>
      </w:r>
      <w:proofErr w:type="spellStart"/>
      <w:r w:rsidRPr="00A41BE9">
        <w:rPr>
          <w:rFonts w:cs="Times New Roman"/>
          <w:lang w:val="es-ES"/>
        </w:rPr>
        <w:t>Skater</w:t>
      </w:r>
      <w:proofErr w:type="spellEnd"/>
      <w:r w:rsidRPr="00A41BE9">
        <w:rPr>
          <w:rFonts w:cs="Times New Roman"/>
          <w:lang w:val="es-ES"/>
        </w:rPr>
        <w:t xml:space="preserve"> ofrecen cánulas de refuerzo metálicas o flexibles. El producto cuenta con un revestimiento hidrófilo SLIP-COAT™ en la punta distal para una fácil inserción, un lumen grande y orificios de drenaje ovalados grandes diseñados para una máxima capacidad de drenaje.</w:t>
      </w:r>
    </w:p>
    <w:p w14:paraId="7F644718" w14:textId="6765636F" w:rsidR="00D84175" w:rsidRPr="00A41BE9" w:rsidRDefault="00D84175" w:rsidP="00A41BE9">
      <w:pPr>
        <w:ind w:left="792"/>
        <w:jc w:val="both"/>
        <w:rPr>
          <w:rFonts w:cs="Times New Roman"/>
          <w:lang w:val="es-ES"/>
        </w:rPr>
      </w:pPr>
      <w:r w:rsidRPr="00A41BE9">
        <w:rPr>
          <w:rFonts w:cs="Times New Roman"/>
          <w:lang w:val="es-ES"/>
        </w:rPr>
        <w:t>La duración/vida útil de estos dispositivos es de hasta 12 semanas.</w:t>
      </w:r>
    </w:p>
    <w:p w14:paraId="5E22F305" w14:textId="785C9146" w:rsidR="00D84175" w:rsidRPr="00A41BE9" w:rsidRDefault="00D84175" w:rsidP="00A41BE9">
      <w:pPr>
        <w:ind w:left="792"/>
        <w:jc w:val="both"/>
        <w:rPr>
          <w:rFonts w:cs="Times New Roman"/>
          <w:lang w:val="es-ES"/>
        </w:rPr>
      </w:pPr>
      <w:r w:rsidRPr="00A41BE9">
        <w:rPr>
          <w:rFonts w:cs="Times New Roman"/>
          <w:lang w:val="es-ES"/>
        </w:rPr>
        <w:t>Las posibles complicaciones pueden incluir, entre otras, hemorragia/hematoma, infección/septicemia y oclusión o desprendimiento del catéter.</w:t>
      </w:r>
    </w:p>
    <w:p w14:paraId="7A2281FD" w14:textId="727E22A2" w:rsidR="00D84175" w:rsidRPr="00A41BE9" w:rsidRDefault="00D84175" w:rsidP="00A41BE9">
      <w:pPr>
        <w:ind w:left="792"/>
        <w:jc w:val="both"/>
        <w:rPr>
          <w:rFonts w:cs="Times New Roman"/>
          <w:lang w:val="es-ES"/>
        </w:rPr>
      </w:pPr>
      <w:r w:rsidRPr="00A41BE9">
        <w:rPr>
          <w:rFonts w:cs="Times New Roman"/>
          <w:lang w:val="es-ES"/>
        </w:rPr>
        <w:t xml:space="preserve">Tal y como sucede con cualquier procedimiento de drenaje, cuando el producto lo utilice un profesional sanitario según el modo previsto, los beneficios superarán los riesgos asociados. </w:t>
      </w:r>
    </w:p>
    <w:p w14:paraId="32DEFF24" w14:textId="51D3116A" w:rsidR="00D84175" w:rsidRPr="00A41BE9" w:rsidRDefault="00D84175" w:rsidP="00A41BE9">
      <w:pPr>
        <w:ind w:left="792"/>
        <w:jc w:val="both"/>
        <w:rPr>
          <w:rFonts w:cs="Times New Roman"/>
          <w:lang w:val="es-ES"/>
        </w:rPr>
      </w:pPr>
      <w:r w:rsidRPr="00A41BE9">
        <w:rPr>
          <w:rFonts w:cs="Times New Roman"/>
          <w:lang w:val="es-ES"/>
        </w:rPr>
        <w:t xml:space="preserve">El beneficio clínico del dispositivo es la eliminación de líquido infectado o acumulación de líquido de cavidades corporales. Resolución de los síntomas del paciente debido a líquido infectado o </w:t>
      </w:r>
      <w:r w:rsidRPr="00A41BE9">
        <w:rPr>
          <w:rFonts w:cs="Times New Roman"/>
          <w:lang w:val="es-ES"/>
        </w:rPr>
        <w:lastRenderedPageBreak/>
        <w:t>acumulación de líquido. Menores complicaciones y riesgos en comparación con la intervención quirúrgica.</w:t>
      </w:r>
    </w:p>
    <w:p w14:paraId="19796238" w14:textId="0F8B8233" w:rsidR="00042B91" w:rsidRPr="00451CE9" w:rsidRDefault="009429A9" w:rsidP="00A41BE9">
      <w:pPr>
        <w:ind w:left="792"/>
        <w:jc w:val="both"/>
        <w:rPr>
          <w:rFonts w:cs="Times New Roman"/>
          <w:i/>
          <w:color w:val="FF0000"/>
        </w:rPr>
      </w:pPr>
      <w:r w:rsidRPr="00C6609A">
        <w:rPr>
          <w:rFonts w:cs="Times New Roman"/>
          <w:lang w:val="es-ES"/>
        </w:rPr>
        <w:t>La duración/vida útil es de hasta 12 semanas.</w:t>
      </w:r>
    </w:p>
    <w:p w14:paraId="4C7769AE" w14:textId="77777777" w:rsidR="00D20FA4" w:rsidRPr="00451CE9" w:rsidRDefault="00D20FA4" w:rsidP="00A41BE9">
      <w:pPr>
        <w:pStyle w:val="Heading1"/>
        <w:jc w:val="both"/>
        <w:rPr>
          <w:rFonts w:cs="Times New Roman"/>
        </w:rPr>
      </w:pPr>
      <w:bookmarkStart w:id="25" w:name="_Toc212114774"/>
      <w:r>
        <w:rPr>
          <w:rFonts w:cs="Times New Roman"/>
          <w:bCs/>
          <w:lang w:val="es-ES"/>
        </w:rPr>
        <w:t>Variantes anteriores y diferencias</w:t>
      </w:r>
      <w:bookmarkEnd w:id="25"/>
    </w:p>
    <w:p w14:paraId="7B179EA2" w14:textId="7B206510" w:rsidR="00C20E90" w:rsidRPr="00A41BE9" w:rsidRDefault="00C20E90" w:rsidP="00A41BE9">
      <w:pPr>
        <w:ind w:left="792"/>
        <w:jc w:val="both"/>
        <w:rPr>
          <w:rFonts w:cs="Times New Roman"/>
          <w:lang w:val="es-ES"/>
        </w:rPr>
      </w:pPr>
      <w:r>
        <w:rPr>
          <w:rFonts w:cs="Times New Roman"/>
          <w:lang w:val="es-ES"/>
        </w:rPr>
        <w:t xml:space="preserve">Esta sección no es aplicable (N/A). </w:t>
      </w:r>
    </w:p>
    <w:p w14:paraId="26363C05" w14:textId="77777777" w:rsidR="00760400" w:rsidRPr="00451CE9" w:rsidRDefault="00760400" w:rsidP="00A41BE9">
      <w:pPr>
        <w:pStyle w:val="Heading1"/>
        <w:jc w:val="both"/>
        <w:rPr>
          <w:rFonts w:cs="Times New Roman"/>
        </w:rPr>
      </w:pPr>
      <w:bookmarkStart w:id="26" w:name="_Toc212114775"/>
      <w:r>
        <w:rPr>
          <w:rFonts w:cs="Times New Roman"/>
          <w:bCs/>
          <w:lang w:val="es-ES"/>
        </w:rPr>
        <w:t>Accesorios, dispositivos compatibles y otros productos que se pueden combinar</w:t>
      </w:r>
      <w:bookmarkEnd w:id="26"/>
    </w:p>
    <w:p w14:paraId="76CCF3A9" w14:textId="0C949BF2" w:rsidR="003B3539" w:rsidRPr="00A41BE9" w:rsidRDefault="003B3539" w:rsidP="00A41BE9">
      <w:pPr>
        <w:spacing w:after="0" w:afterAutospacing="0"/>
        <w:ind w:left="792"/>
        <w:jc w:val="both"/>
        <w:rPr>
          <w:rFonts w:cs="Times New Roman"/>
          <w:lang w:val="es-ES"/>
        </w:rPr>
      </w:pPr>
      <w:r w:rsidRPr="00A41BE9">
        <w:rPr>
          <w:rFonts w:cs="Times New Roman"/>
          <w:lang w:val="es-ES"/>
        </w:rPr>
        <w:t>Juegos introductores SKATER</w:t>
      </w:r>
    </w:p>
    <w:p w14:paraId="66DB9032" w14:textId="2CE182AE" w:rsidR="003B3539" w:rsidRPr="00A41BE9" w:rsidRDefault="003B3539" w:rsidP="00A41BE9">
      <w:pPr>
        <w:ind w:left="792"/>
        <w:jc w:val="both"/>
        <w:rPr>
          <w:rFonts w:cs="Times New Roman"/>
          <w:lang w:val="es-ES"/>
        </w:rPr>
      </w:pPr>
      <w:r w:rsidRPr="00A41BE9">
        <w:rPr>
          <w:rFonts w:cs="Times New Roman"/>
          <w:lang w:val="es-ES"/>
        </w:rPr>
        <w:t>El juego introductor SKATER permite una colocación fácil, precisa y atraumática de un alambre guía de hasta 0,038” en procedimientos no vasculares.</w:t>
      </w:r>
    </w:p>
    <w:p w14:paraId="07E81D0B" w14:textId="7526A6D8" w:rsidR="003B3539" w:rsidRPr="00A41BE9" w:rsidRDefault="003B3539" w:rsidP="00A41BE9">
      <w:pPr>
        <w:spacing w:after="0" w:afterAutospacing="0"/>
        <w:ind w:left="792"/>
        <w:jc w:val="both"/>
        <w:rPr>
          <w:rFonts w:cs="Times New Roman"/>
          <w:lang w:val="es-ES"/>
        </w:rPr>
      </w:pPr>
      <w:r w:rsidRPr="00A41BE9">
        <w:rPr>
          <w:rFonts w:cs="Times New Roman"/>
          <w:lang w:val="es-ES"/>
        </w:rPr>
        <w:t>Vainas/Agujas introductoras</w:t>
      </w:r>
    </w:p>
    <w:p w14:paraId="469BCD57" w14:textId="678FE663" w:rsidR="003B3539" w:rsidRPr="00A41BE9" w:rsidRDefault="003B3539" w:rsidP="00A41BE9">
      <w:pPr>
        <w:ind w:left="792"/>
        <w:jc w:val="both"/>
        <w:rPr>
          <w:rFonts w:cs="Times New Roman"/>
          <w:lang w:val="es-ES"/>
        </w:rPr>
      </w:pPr>
      <w:r w:rsidRPr="00A41BE9">
        <w:rPr>
          <w:rFonts w:cs="Times New Roman"/>
          <w:lang w:val="es-ES"/>
        </w:rPr>
        <w:t>La vaina o aguja introductora (ISN, por sus siglas en inglés) proporciona un acceso rápido y sencillo para la colocación de un alambre guía de hasta 0,038” en procedimientos no vasculares.</w:t>
      </w:r>
    </w:p>
    <w:p w14:paraId="48F34DF2" w14:textId="77777777" w:rsidR="003B3539" w:rsidRPr="00A41BE9" w:rsidRDefault="003B3539" w:rsidP="00A41BE9">
      <w:pPr>
        <w:spacing w:after="0" w:afterAutospacing="0"/>
        <w:ind w:left="792"/>
        <w:jc w:val="both"/>
        <w:rPr>
          <w:rFonts w:cs="Times New Roman"/>
          <w:lang w:val="es-ES"/>
        </w:rPr>
      </w:pPr>
      <w:r w:rsidRPr="00A41BE9">
        <w:rPr>
          <w:rFonts w:cs="Times New Roman"/>
          <w:lang w:val="es-ES"/>
        </w:rPr>
        <w:t>Sistema de acceso con aguja roma Hawkins™</w:t>
      </w:r>
    </w:p>
    <w:p w14:paraId="34321B1B" w14:textId="7E507B06" w:rsidR="003B3539" w:rsidRPr="00A41BE9" w:rsidRDefault="003B3539" w:rsidP="00A41BE9">
      <w:pPr>
        <w:ind w:left="792"/>
        <w:jc w:val="both"/>
        <w:rPr>
          <w:rFonts w:cs="Times New Roman"/>
          <w:lang w:val="es-ES"/>
        </w:rPr>
      </w:pPr>
      <w:r w:rsidRPr="00A41BE9">
        <w:rPr>
          <w:rFonts w:cs="Times New Roman"/>
          <w:lang w:val="es-ES"/>
        </w:rPr>
        <w:t>Las agujas romas Hawkins ofrecen estiletes afilados y romos para un acceso controlado en procedimientos de drenaje percutáneo.</w:t>
      </w:r>
    </w:p>
    <w:p w14:paraId="1E4CD184" w14:textId="77777777" w:rsidR="003B3539" w:rsidRPr="00A41BE9" w:rsidRDefault="003B3539" w:rsidP="00A41BE9">
      <w:pPr>
        <w:spacing w:after="0" w:afterAutospacing="0"/>
        <w:ind w:left="792"/>
        <w:jc w:val="both"/>
        <w:rPr>
          <w:rFonts w:cs="Times New Roman"/>
          <w:lang w:val="es-ES"/>
        </w:rPr>
      </w:pPr>
      <w:r w:rsidRPr="00A41BE9">
        <w:rPr>
          <w:rFonts w:cs="Times New Roman"/>
          <w:lang w:val="es-ES"/>
        </w:rPr>
        <w:t>Bolsas de drenaje</w:t>
      </w:r>
    </w:p>
    <w:p w14:paraId="17CCC4B6" w14:textId="7894A8DA" w:rsidR="00042B91" w:rsidRPr="00451CE9" w:rsidRDefault="003B3539" w:rsidP="00A41BE9">
      <w:pPr>
        <w:ind w:left="792"/>
        <w:jc w:val="both"/>
        <w:rPr>
          <w:rFonts w:cs="Times New Roman"/>
          <w:i/>
          <w:color w:val="FF0000"/>
        </w:rPr>
      </w:pPr>
      <w:r w:rsidRPr="00A41BE9">
        <w:rPr>
          <w:rFonts w:cs="Times New Roman"/>
          <w:lang w:val="es-ES"/>
        </w:rPr>
        <w:t>Las bolsas de drenaje están diseñadas para una recolección eficiente de líquidos durante los procedimientos de drenaje.</w:t>
      </w:r>
    </w:p>
    <w:p w14:paraId="45C0A245" w14:textId="61A622A4" w:rsidR="008745ED" w:rsidRPr="00451CE9" w:rsidRDefault="008745ED" w:rsidP="00A41BE9">
      <w:pPr>
        <w:pStyle w:val="Heading1"/>
        <w:numPr>
          <w:ilvl w:val="0"/>
          <w:numId w:val="2"/>
        </w:numPr>
        <w:jc w:val="both"/>
        <w:rPr>
          <w:rFonts w:cs="Times New Roman"/>
        </w:rPr>
      </w:pPr>
      <w:bookmarkStart w:id="27" w:name="_Toc212114776"/>
      <w:r>
        <w:rPr>
          <w:rFonts w:cs="Times New Roman"/>
          <w:bCs/>
          <w:lang w:val="es-ES"/>
        </w:rPr>
        <w:t>Riesgos y advertencias</w:t>
      </w:r>
      <w:bookmarkEnd w:id="27"/>
    </w:p>
    <w:p w14:paraId="3D8BE6E3" w14:textId="77777777" w:rsidR="00042B91" w:rsidRPr="00451CE9" w:rsidRDefault="00042B91" w:rsidP="00A41BE9">
      <w:pPr>
        <w:spacing w:after="0" w:afterAutospacing="0" w:line="240" w:lineRule="auto"/>
        <w:jc w:val="both"/>
        <w:rPr>
          <w:rFonts w:cs="Times New Roman"/>
        </w:rPr>
      </w:pPr>
    </w:p>
    <w:p w14:paraId="75321A3A" w14:textId="425B8A70" w:rsidR="00DF14A4" w:rsidRPr="00451CE9" w:rsidRDefault="008745ED" w:rsidP="00A41BE9">
      <w:pPr>
        <w:pStyle w:val="Heading1"/>
        <w:jc w:val="both"/>
        <w:rPr>
          <w:rFonts w:cs="Times New Roman"/>
        </w:rPr>
      </w:pPr>
      <w:bookmarkStart w:id="28" w:name="_Toc212114777"/>
      <w:r>
        <w:rPr>
          <w:rFonts w:cs="Times New Roman"/>
          <w:bCs/>
          <w:lang w:val="es-ES"/>
        </w:rPr>
        <w:t>Riesgos residuales y efectos secundarios adversos</w:t>
      </w:r>
      <w:bookmarkEnd w:id="28"/>
    </w:p>
    <w:p w14:paraId="145FD092" w14:textId="74E4784C" w:rsidR="00CC568F" w:rsidRPr="00451CE9" w:rsidRDefault="00CC568F" w:rsidP="00A41BE9">
      <w:pPr>
        <w:jc w:val="both"/>
        <w:rPr>
          <w:rFonts w:cs="Times New Roman"/>
        </w:rPr>
      </w:pPr>
      <w:r>
        <w:rPr>
          <w:rFonts w:cs="Times New Roman"/>
          <w:lang w:val="es-ES"/>
        </w:rPr>
        <w:t xml:space="preserve">El proceso de gestión de riesgos del </w:t>
      </w:r>
      <w:proofErr w:type="spellStart"/>
      <w:r>
        <w:rPr>
          <w:rFonts w:cs="Times New Roman"/>
          <w:lang w:val="es-ES"/>
        </w:rPr>
        <w:t>Argon</w:t>
      </w:r>
      <w:proofErr w:type="spellEnd"/>
      <w:r>
        <w:rPr>
          <w:rFonts w:cs="Times New Roman"/>
          <w:lang w:val="es-ES"/>
        </w:rPr>
        <w:t xml:space="preserve"> se lleva a cabo de acuerdo con la norma EN ISO 14971:2019. El resumen y la evaluación individual de riesgos residuales se realizaron mediante una revisión de la literatura clínica sobre el dispositivo en cuestión y el estado del arte en CER-031 </w:t>
      </w:r>
      <w:proofErr w:type="spellStart"/>
      <w:r>
        <w:rPr>
          <w:rFonts w:cs="Times New Roman"/>
          <w:lang w:val="es-ES"/>
        </w:rPr>
        <w:t>Rev</w:t>
      </w:r>
      <w:proofErr w:type="spellEnd"/>
      <w:r>
        <w:rPr>
          <w:rFonts w:cs="Times New Roman"/>
          <w:lang w:val="es-ES"/>
        </w:rPr>
        <w:t xml:space="preserve"> C. En la siguiente tabla se presentan únicamente los riesgos más relevantes desde el punto de vista clínico (eventos con implicación del paciente) identificados a partir de la evaluación clínica. </w:t>
      </w:r>
    </w:p>
    <w:p w14:paraId="05C6F04A" w14:textId="25523788" w:rsidR="00D00603" w:rsidRPr="002B2D11" w:rsidRDefault="0042600B" w:rsidP="00B47695">
      <w:pPr>
        <w:tabs>
          <w:tab w:val="left" w:pos="975"/>
          <w:tab w:val="left" w:pos="1110"/>
        </w:tabs>
        <w:spacing w:after="0" w:afterAutospacing="0"/>
        <w:rPr>
          <w:rFonts w:cs="Times New Roman"/>
          <w:szCs w:val="24"/>
        </w:rPr>
      </w:pPr>
      <w:r w:rsidRPr="002B2D11">
        <w:rPr>
          <w:rFonts w:cs="Times New Roman"/>
          <w:szCs w:val="24"/>
          <w:lang w:val="es-ES"/>
        </w:rPr>
        <w:t xml:space="preserve">Tabla 4.1-1: </w:t>
      </w:r>
      <w:r w:rsidRPr="00A41BE9">
        <w:rPr>
          <w:rFonts w:cs="Times New Roman"/>
          <w:szCs w:val="24"/>
          <w:lang w:val="es-ES"/>
        </w:rPr>
        <w:t xml:space="preserve">Perfil de riesgo-beneficio del producto (PMCFP-0030 </w:t>
      </w:r>
      <w:proofErr w:type="spellStart"/>
      <w:r w:rsidRPr="00A41BE9">
        <w:rPr>
          <w:rFonts w:cs="Times New Roman"/>
          <w:szCs w:val="24"/>
          <w:lang w:val="es-ES"/>
        </w:rPr>
        <w:t>Rev</w:t>
      </w:r>
      <w:proofErr w:type="spellEnd"/>
      <w:r w:rsidRPr="00A41BE9">
        <w:rPr>
          <w:rFonts w:cs="Times New Roman"/>
          <w:szCs w:val="24"/>
          <w:lang w:val="es-ES"/>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A41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es-ES"/>
              </w:rPr>
              <w:t>ID de riesgo</w:t>
            </w:r>
          </w:p>
        </w:tc>
        <w:tc>
          <w:tcPr>
            <w:tcW w:w="0"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es-ES"/>
              </w:rPr>
              <w:t>Riesgo residual</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es-ES"/>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es-ES"/>
              </w:rPr>
              <w:t>Sangrado (hemorragia/hematoma)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es-ES"/>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es-ES"/>
              </w:rPr>
              <w:t>Infección/Septicemia</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es-ES"/>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es-ES"/>
              </w:rPr>
              <w:t>Neumotórax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es-ES"/>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proofErr w:type="spellStart"/>
            <w:r>
              <w:rPr>
                <w:lang w:val="es-ES"/>
              </w:rPr>
              <w:t>Bilomas</w:t>
            </w:r>
            <w:proofErr w:type="spellEnd"/>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es-ES"/>
              </w:rPr>
              <w:t>ID de beneficio</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s-ES"/>
              </w:rPr>
              <w:t>Beneficio clínico</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es-ES"/>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es-ES"/>
              </w:rPr>
              <w:t>Eliminación de acumulación de líquido de cavidades corporales</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es-ES"/>
              </w:rPr>
              <w:lastRenderedPageBreak/>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s-ES"/>
              </w:rPr>
              <w:t>Resolución de los síntomas del paciente debido a líquido infectado o acumulación de líquido</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es-ES"/>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es-ES"/>
              </w:rPr>
              <w:t>Menores complicaciones y riesgos en comparación con la intervención quirúrgica</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es-ES"/>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es-ES"/>
              </w:rPr>
              <w:t>Facilitar el acceso percutáneo para la colocación de un catéter</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es-ES"/>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es-ES"/>
              </w:rPr>
              <w:t>Prevenir el desplazamiento y la migración del catéter, minimizando así el riesgo de procedimientos o intercambios adicionales</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129950B3" w:rsidR="00024137" w:rsidRPr="00451CE9" w:rsidRDefault="00024137" w:rsidP="00024137">
      <w:pPr>
        <w:spacing w:after="120" w:afterAutospacing="0" w:line="240" w:lineRule="auto"/>
        <w:rPr>
          <w:rFonts w:eastAsia="Times New Roman" w:cs="Times New Roman"/>
          <w:b/>
          <w:szCs w:val="24"/>
        </w:rPr>
      </w:pPr>
      <w:r>
        <w:rPr>
          <w:rFonts w:cs="Times New Roman"/>
          <w:lang w:val="es-ES"/>
        </w:rPr>
        <w:t xml:space="preserve">Tabla 4.1-2: Evaluación de beneficios (RMR-0022 </w:t>
      </w:r>
      <w:proofErr w:type="spellStart"/>
      <w:r>
        <w:rPr>
          <w:rFonts w:cs="Times New Roman"/>
          <w:lang w:val="es-ES"/>
        </w:rPr>
        <w:t>Rev</w:t>
      </w:r>
      <w:proofErr w:type="spellEnd"/>
      <w:r>
        <w:rPr>
          <w:rFonts w:cs="Times New Roman"/>
          <w:lang w:val="es-ES"/>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es-ES"/>
              </w:rPr>
              <w:t>Beneficios</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s-ES"/>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proofErr w:type="spellStart"/>
            <w:r>
              <w:rPr>
                <w:rFonts w:eastAsia="Times New Roman" w:cs="Times New Roman"/>
                <w:szCs w:val="24"/>
                <w:lang w:val="es-ES"/>
              </w:rPr>
              <w:t>OCCt</w:t>
            </w:r>
            <w:proofErr w:type="spellEnd"/>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s-ES"/>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es-ES"/>
              </w:rPr>
              <w:t>(BEN*</w:t>
            </w:r>
            <w:proofErr w:type="spellStart"/>
            <w:r>
              <w:rPr>
                <w:rFonts w:eastAsia="Times New Roman" w:cs="Times New Roman"/>
                <w:szCs w:val="24"/>
                <w:lang w:val="es-ES"/>
              </w:rPr>
              <w:t>OCCt</w:t>
            </w:r>
            <w:proofErr w:type="spellEnd"/>
            <w:r>
              <w:rPr>
                <w:rFonts w:eastAsia="Times New Roman" w:cs="Times New Roman"/>
                <w:szCs w:val="24"/>
                <w:lang w:val="es-ES"/>
              </w:rPr>
              <w: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s-ES"/>
              </w:rPr>
              <w:t>Eliminación de acumulación de líquido de cavidades corporales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s-ES"/>
              </w:rPr>
              <w:t>Resolución de los síntomas del paciente debido a líquido infectado o acumulación de líquido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24</w:t>
            </w:r>
          </w:p>
        </w:tc>
      </w:tr>
      <w:tr w:rsidR="00663547" w:rsidRPr="00451CE9" w14:paraId="65FF8070" w14:textId="77777777" w:rsidTr="00663547">
        <w:tc>
          <w:tcPr>
            <w:tcW w:w="324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s-ES"/>
              </w:rPr>
              <w:t>Menores complicaciones y riesgos en comparación con la intervención quirúrgica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24</w:t>
            </w:r>
          </w:p>
        </w:tc>
      </w:tr>
      <w:tr w:rsidR="00663547" w:rsidRPr="00451CE9" w14:paraId="6B53AFFF" w14:textId="77777777" w:rsidTr="00663547">
        <w:tc>
          <w:tcPr>
            <w:tcW w:w="324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es-ES"/>
              </w:rPr>
              <w:t>Facilitar el acceso percutáneo para la colocación de un catéter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es-ES"/>
              </w:rPr>
              <w:t>Prevenir la migración del catéter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es-ES"/>
              </w:rPr>
              <w:t>BPN en el peor de los casos:</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es-ES"/>
              </w:rPr>
              <w:t>24</w:t>
            </w:r>
          </w:p>
        </w:tc>
      </w:tr>
    </w:tbl>
    <w:p w14:paraId="1D4AD2DC" w14:textId="6726FC3A" w:rsidR="00663547" w:rsidRPr="00451CE9" w:rsidRDefault="00663547" w:rsidP="00C03BE4">
      <w:pPr>
        <w:spacing w:after="120" w:afterAutospacing="0" w:line="240" w:lineRule="auto"/>
        <w:rPr>
          <w:rFonts w:eastAsia="Times New Roman" w:cs="Times New Roman"/>
          <w:iCs/>
          <w:sz w:val="20"/>
          <w:szCs w:val="20"/>
        </w:rPr>
      </w:pPr>
      <w:r>
        <w:rPr>
          <w:rFonts w:eastAsia="Times New Roman" w:cs="Times New Roman"/>
          <w:sz w:val="20"/>
          <w:szCs w:val="20"/>
          <w:lang w:val="es-ES"/>
        </w:rPr>
        <w:t xml:space="preserve">La </w:t>
      </w:r>
      <w:proofErr w:type="spellStart"/>
      <w:r>
        <w:rPr>
          <w:rFonts w:eastAsia="Times New Roman" w:cs="Times New Roman"/>
          <w:sz w:val="20"/>
          <w:szCs w:val="20"/>
          <w:lang w:val="es-ES"/>
        </w:rPr>
        <w:t>OCCt</w:t>
      </w:r>
      <w:proofErr w:type="spellEnd"/>
      <w:r>
        <w:rPr>
          <w:rFonts w:eastAsia="Times New Roman" w:cs="Times New Roman"/>
          <w:sz w:val="20"/>
          <w:szCs w:val="20"/>
          <w:lang w:val="es-ES"/>
        </w:rPr>
        <w:t xml:space="preserve"> </w:t>
      </w:r>
      <w:r w:rsidR="00E07079">
        <w:rPr>
          <w:rFonts w:eastAsia="Times New Roman" w:cs="Times New Roman"/>
          <w:sz w:val="20"/>
          <w:szCs w:val="20"/>
          <w:lang w:val="es-ES"/>
        </w:rPr>
        <w:t xml:space="preserve">(probabilidad de que se produzca el beneficio del tratamiento/resultado) </w:t>
      </w:r>
      <w:r>
        <w:rPr>
          <w:rFonts w:eastAsia="Times New Roman" w:cs="Times New Roman"/>
          <w:sz w:val="20"/>
          <w:szCs w:val="20"/>
          <w:lang w:val="es-ES"/>
        </w:rPr>
        <w:t>se basa en datos de CER-031 Rev. C</w:t>
      </w:r>
      <w:r w:rsidR="00E07079">
        <w:rPr>
          <w:rFonts w:eastAsia="Times New Roman" w:cs="Times New Roman"/>
          <w:sz w:val="20"/>
          <w:szCs w:val="20"/>
          <w:lang w:val="es-ES"/>
        </w:rPr>
        <w:t>.</w:t>
      </w:r>
    </w:p>
    <w:p w14:paraId="323C2F0D" w14:textId="77777777" w:rsidR="00C03BE4" w:rsidRPr="00451CE9" w:rsidRDefault="00C03BE4" w:rsidP="00B47695">
      <w:pPr>
        <w:spacing w:after="0" w:afterAutospacing="0" w:line="240" w:lineRule="auto"/>
        <w:rPr>
          <w:rFonts w:eastAsia="Arial" w:cs="Times New Roman"/>
          <w:sz w:val="22"/>
        </w:rPr>
      </w:pPr>
    </w:p>
    <w:p w14:paraId="54A96677" w14:textId="50412245" w:rsidR="00B66CEA" w:rsidRPr="00A41BE9" w:rsidRDefault="00B47695" w:rsidP="00A41BE9">
      <w:pPr>
        <w:spacing w:after="120" w:afterAutospacing="0" w:line="240" w:lineRule="auto"/>
        <w:rPr>
          <w:rFonts w:eastAsia="Arial" w:cs="Times New Roman"/>
          <w:szCs w:val="24"/>
        </w:rPr>
      </w:pPr>
      <w:r w:rsidRPr="00A41BE9">
        <w:rPr>
          <w:rFonts w:cs="Times New Roman"/>
          <w:szCs w:val="24"/>
          <w:lang w:val="es-ES"/>
        </w:rPr>
        <w:t>Tabla 4.1.-3:</w:t>
      </w:r>
      <w:r w:rsidRPr="005F7481">
        <w:rPr>
          <w:rFonts w:cs="Times New Roman"/>
          <w:szCs w:val="24"/>
          <w:lang w:val="es-ES"/>
        </w:rPr>
        <w:t xml:space="preserve"> </w:t>
      </w:r>
      <w:r w:rsidRPr="00A41BE9">
        <w:rPr>
          <w:rFonts w:cs="Times New Roman"/>
          <w:szCs w:val="24"/>
          <w:lang w:val="es-ES"/>
        </w:rPr>
        <w:t xml:space="preserve">Acontecimientos adversos notificados en la literatura (CER-031 </w:t>
      </w:r>
      <w:proofErr w:type="spellStart"/>
      <w:r w:rsidRPr="00A41BE9">
        <w:rPr>
          <w:rFonts w:cs="Times New Roman"/>
          <w:szCs w:val="24"/>
          <w:lang w:val="es-ES"/>
        </w:rPr>
        <w:t>Rev</w:t>
      </w:r>
      <w:proofErr w:type="spellEnd"/>
      <w:r w:rsidRPr="00A41BE9">
        <w:rPr>
          <w:rFonts w:cs="Times New Roman"/>
          <w:szCs w:val="24"/>
          <w:lang w:val="es-ES"/>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es-ES"/>
              </w:rPr>
              <w:t>Acontecimientos adversos</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es-ES"/>
              </w:rPr>
              <w:t>Acontecimiento adverso</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es-ES"/>
              </w:rPr>
              <w:t>Tasa de notificación (rango,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es-ES"/>
              </w:rPr>
              <w:t>Umbral sugerido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es-ES"/>
              </w:rPr>
              <w:t>Complicaciones mayores</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es-ES"/>
              </w:rPr>
              <w:t>7,2 % (4,5 %–9 %)</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es-ES"/>
              </w:rPr>
              <w:t>10,0 %</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es-ES"/>
              </w:rPr>
              <w:t>Complicaciones menores</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es-ES"/>
              </w:rPr>
              <w:t>22,2 % (1,6 %–37,6 %)</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es-ES"/>
              </w:rPr>
              <w:t>45,2 %</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es-ES"/>
              </w:rPr>
              <w:t>Muerte</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es-ES"/>
              </w:rPr>
              <w:t>1,1 % (0 %–3,7 %)</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es-ES"/>
              </w:rPr>
              <w:t>3,3 %</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es-ES"/>
              </w:rPr>
              <w:t>Septicemia</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es-ES"/>
              </w:rPr>
              <w:t>2,3 % (0,4 %–26,4 %)</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es-ES"/>
              </w:rPr>
              <w:t>15,2 %</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es-ES"/>
              </w:rPr>
              <w:t>Hemorragia</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es-ES"/>
              </w:rPr>
              <w:t>1,7 % (0,3 %–9,3 %)</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es-ES"/>
              </w:rPr>
              <w:t>5,7 %</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Pr>
                <w:rFonts w:cs="Times New Roman"/>
                <w:sz w:val="22"/>
                <w:lang w:val="es-ES"/>
              </w:rPr>
              <w:t>Inflamación/Infección (absceso, peritonitis, colecistitis, pancreatitis)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es-ES"/>
              </w:rPr>
              <w:t>3,6 % (0,4 %–28,4 %)</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es-ES"/>
              </w:rPr>
              <w:t>18,4 %</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es-ES"/>
              </w:rPr>
              <w:t>Desplazamiento del catéter</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es-ES"/>
              </w:rPr>
              <w:t>7,9 % (3,6 %–14 %)</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es-ES"/>
              </w:rPr>
              <w:t>17 %</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es-ES"/>
              </w:rPr>
              <w:t xml:space="preserve">Fuga en el </w:t>
            </w:r>
            <w:proofErr w:type="spellStart"/>
            <w:r>
              <w:rPr>
                <w:rFonts w:cs="Times New Roman"/>
                <w:sz w:val="22"/>
                <w:lang w:val="es-ES"/>
              </w:rPr>
              <w:t>pericatéter</w:t>
            </w:r>
            <w:proofErr w:type="spellEnd"/>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es-ES"/>
              </w:rPr>
              <w:t>2,2 % (0,4 %–10 %)</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es-ES"/>
              </w:rPr>
              <w:t>8,3 %</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es-ES"/>
              </w:rPr>
              <w:t>Eliminación de cálculos</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es-ES"/>
              </w:rPr>
              <w:t>Colangitis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es-ES"/>
              </w:rPr>
              <w:t>2 % (1,8 %–2,7 %)</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es-ES"/>
              </w:rPr>
              <w:t>3 %</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proofErr w:type="spellStart"/>
            <w:r>
              <w:rPr>
                <w:rFonts w:cs="Times New Roman"/>
                <w:sz w:val="22"/>
                <w:lang w:val="es-ES"/>
              </w:rPr>
              <w:t>Hemobilia</w:t>
            </w:r>
            <w:proofErr w:type="spellEnd"/>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es-ES"/>
              </w:rPr>
              <w:t>1 %</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es-ES"/>
              </w:rPr>
              <w:t>2 %</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es-ES"/>
              </w:rPr>
              <w:t>Complicaciones menores</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es-ES"/>
              </w:rPr>
              <w:t>8 % (5,7 %–8,8 %)</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es-ES"/>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451CE9" w:rsidRDefault="006866F0" w:rsidP="006866F0">
      <w:pPr>
        <w:spacing w:after="0" w:afterAutospacing="0"/>
        <w:jc w:val="both"/>
        <w:rPr>
          <w:rFonts w:cs="Times New Roman"/>
        </w:rPr>
      </w:pPr>
      <w:r>
        <w:rPr>
          <w:rFonts w:cs="Times New Roman"/>
          <w:lang w:val="es-ES"/>
        </w:rPr>
        <w:t xml:space="preserve">Se han evaluado el beneficio clínico y cualquier riesgo detectado o residual para el paciente identificado en los datos clínicos. Utilizando objetivos de seguridad y rendimiento clínicos aplicables que sean relevantes para el beneficio clínico previsto, se determinó la aceptabilidad de la relación beneficio-riesgo con base al estado del arte en el campo médico. </w:t>
      </w:r>
    </w:p>
    <w:p w14:paraId="7EEFC60D" w14:textId="7E0928CE" w:rsidR="00310BF1" w:rsidRPr="00451CE9" w:rsidRDefault="006866F0" w:rsidP="006866F0">
      <w:pPr>
        <w:spacing w:after="0" w:afterAutospacing="0"/>
        <w:jc w:val="both"/>
        <w:rPr>
          <w:rFonts w:cs="Times New Roman"/>
        </w:rPr>
      </w:pPr>
      <w:r>
        <w:rPr>
          <w:rFonts w:cs="Times New Roman"/>
          <w:lang w:val="es-ES"/>
        </w:rPr>
        <w:lastRenderedPageBreak/>
        <w:t>Los peligros asociados con el uso del sistema de drenaje SKATER no representan un riesgo irrazonable para el usuario, el paciente o el medio ambiente. Como resultado, se ha determinado que los beneficios clínicos del sistema de drenaje SKATER superan su riesgo residual general. La evaluación de los datos clínicos no identificó nuevos riesgos para el sistema de drenaje SKATER.</w:t>
      </w:r>
    </w:p>
    <w:p w14:paraId="77B9E5FA" w14:textId="77777777" w:rsidR="00310BF1" w:rsidRPr="00451CE9" w:rsidRDefault="00310BF1" w:rsidP="00E138A7">
      <w:pPr>
        <w:spacing w:after="0" w:afterAutospacing="0"/>
        <w:rPr>
          <w:rFonts w:cs="Times New Roman"/>
        </w:rPr>
      </w:pPr>
    </w:p>
    <w:p w14:paraId="49600333" w14:textId="212CB35E" w:rsidR="001C0092" w:rsidRPr="00451CE9" w:rsidRDefault="008745ED" w:rsidP="00740F34">
      <w:pPr>
        <w:pStyle w:val="Heading1"/>
        <w:rPr>
          <w:rFonts w:cs="Times New Roman"/>
        </w:rPr>
      </w:pPr>
      <w:bookmarkStart w:id="31" w:name="_Toc212114778"/>
      <w:r>
        <w:rPr>
          <w:rFonts w:cs="Times New Roman"/>
          <w:bCs/>
          <w:lang w:val="es-ES"/>
        </w:rPr>
        <w:t>Advertencias y precauciones</w:t>
      </w:r>
      <w:bookmarkEnd w:id="31"/>
    </w:p>
    <w:p w14:paraId="07938BB1" w14:textId="5C584220" w:rsidR="00740F34" w:rsidRPr="00451CE9" w:rsidRDefault="00BD2BE9" w:rsidP="00A41BE9">
      <w:pPr>
        <w:spacing w:before="120" w:after="120" w:afterAutospacing="0"/>
        <w:rPr>
          <w:rFonts w:cs="Times New Roman"/>
        </w:rPr>
      </w:pPr>
      <w:r>
        <w:rPr>
          <w:rFonts w:cs="Times New Roman"/>
          <w:lang w:val="es-ES"/>
        </w:rPr>
        <w:t xml:space="preserve">Tabla 4.2.-1: Referencias de las instrucciones de uso para advertencias y precauciones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es-ES"/>
              </w:rPr>
              <w:t>Dispositivo/Componente del sistema</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es-ES"/>
              </w:rPr>
              <w:t>Instrucciones de uso</w:t>
            </w:r>
          </w:p>
        </w:tc>
      </w:tr>
      <w:tr w:rsidR="00FB5D70" w:rsidRPr="00451CE9" w14:paraId="29BB28EC" w14:textId="77777777" w:rsidTr="006C59ED">
        <w:tc>
          <w:tcPr>
            <w:tcW w:w="5238" w:type="dxa"/>
          </w:tcPr>
          <w:p w14:paraId="42AF28D6" w14:textId="0AEB78F0" w:rsidR="00FB5D70" w:rsidRPr="00451CE9" w:rsidRDefault="00FB5D70" w:rsidP="00FB5D70">
            <w:pPr>
              <w:spacing w:before="40" w:after="40" w:afterAutospacing="0"/>
              <w:rPr>
                <w:rFonts w:eastAsia="Arial Unicode MS"/>
                <w:iCs/>
                <w:sz w:val="20"/>
              </w:rPr>
            </w:pPr>
            <w:r>
              <w:rPr>
                <w:rFonts w:eastAsia="Arial Unicode MS"/>
                <w:sz w:val="20"/>
                <w:lang w:val="es-ES"/>
              </w:rPr>
              <w:t xml:space="preserve">Catéteres de drenaje </w:t>
            </w:r>
            <w:r w:rsidR="000825F8">
              <w:rPr>
                <w:rFonts w:eastAsia="Arial Unicode MS"/>
                <w:sz w:val="20"/>
                <w:lang w:val="es-ES"/>
              </w:rPr>
              <w:t xml:space="preserve">SKATER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Pr>
                <w:rFonts w:eastAsia="Arial Unicode MS"/>
                <w:sz w:val="20"/>
                <w:lang w:val="es-ES"/>
              </w:rPr>
              <w:t xml:space="preserve">IFU7000M </w:t>
            </w:r>
            <w:proofErr w:type="spellStart"/>
            <w:r>
              <w:rPr>
                <w:rFonts w:eastAsia="Arial Unicode MS"/>
                <w:sz w:val="20"/>
                <w:lang w:val="es-ES"/>
              </w:rPr>
              <w:t>Rev</w:t>
            </w:r>
            <w:proofErr w:type="spellEnd"/>
            <w:r>
              <w:rPr>
                <w:rFonts w:eastAsia="Arial Unicode MS"/>
                <w:sz w:val="20"/>
                <w:lang w:val="es-ES"/>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es-ES"/>
              </w:rPr>
              <w:t>Kits de drenaje SKATER</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es-ES"/>
              </w:rPr>
              <w:t>IFU7653M</w:t>
            </w:r>
            <w:r>
              <w:rPr>
                <w:lang w:val="es-ES"/>
              </w:rPr>
              <w:t xml:space="preserve"> </w:t>
            </w:r>
            <w:proofErr w:type="spellStart"/>
            <w:r>
              <w:rPr>
                <w:sz w:val="20"/>
                <w:lang w:val="es-ES"/>
              </w:rPr>
              <w:t>Rev</w:t>
            </w:r>
            <w:proofErr w:type="spellEnd"/>
            <w:r>
              <w:rPr>
                <w:sz w:val="20"/>
                <w:lang w:val="es-ES"/>
              </w:rPr>
              <w:t xml:space="preserve"> B</w:t>
            </w:r>
          </w:p>
        </w:tc>
      </w:tr>
    </w:tbl>
    <w:p w14:paraId="06457357" w14:textId="77777777" w:rsidR="00D82EF4" w:rsidRPr="00451CE9" w:rsidRDefault="00D82EF4" w:rsidP="00A41BE9">
      <w:pPr>
        <w:spacing w:after="0" w:afterAutospacing="0" w:line="240" w:lineRule="auto"/>
        <w:jc w:val="both"/>
        <w:rPr>
          <w:rFonts w:eastAsia="Times New Roman" w:cs="Times New Roman"/>
          <w:b/>
          <w:bCs/>
          <w:szCs w:val="24"/>
        </w:rPr>
      </w:pPr>
    </w:p>
    <w:p w14:paraId="4BE7ED01" w14:textId="79DF4ACC" w:rsidR="00587A0D" w:rsidRPr="00451CE9" w:rsidRDefault="00587A0D" w:rsidP="00A41BE9">
      <w:pPr>
        <w:spacing w:after="0" w:afterAutospacing="0" w:line="240" w:lineRule="auto"/>
        <w:jc w:val="both"/>
        <w:rPr>
          <w:rFonts w:eastAsia="Times New Roman" w:cs="Times New Roman"/>
          <w:b/>
          <w:bCs/>
          <w:szCs w:val="24"/>
        </w:rPr>
      </w:pPr>
      <w:r>
        <w:rPr>
          <w:rFonts w:eastAsia="Times New Roman" w:cs="Times New Roman"/>
          <w:b/>
          <w:bCs/>
          <w:szCs w:val="24"/>
          <w:lang w:val="es-ES"/>
        </w:rPr>
        <w:t>Advertencias</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 xml:space="preserve">Este dispositivo no debe </w:t>
      </w:r>
      <w:proofErr w:type="spellStart"/>
      <w:r>
        <w:rPr>
          <w:rFonts w:eastAsia="Calibri" w:cs="Times New Roman"/>
          <w:szCs w:val="24"/>
          <w:lang w:val="es-ES"/>
        </w:rPr>
        <w:t>reesterilizarse</w:t>
      </w:r>
      <w:proofErr w:type="spellEnd"/>
      <w:r>
        <w:rPr>
          <w:rFonts w:eastAsia="Calibri" w:cs="Times New Roman"/>
          <w:szCs w:val="24"/>
          <w:lang w:val="es-ES"/>
        </w:rPr>
        <w:t>, reutilizarse ni reprocesarse.</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 xml:space="preserve">No lo use si el paquete está abierto, el dispositivo está dañado o si se ha excedido la fecha de vencimiento.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Durante la inserción y colocación del catéter, evite el contacto con el hueso, el cartílago y el tejido cicatricial que puedan dañar la punta del catéter.</w:t>
      </w:r>
    </w:p>
    <w:p w14:paraId="5C34CAF5" w14:textId="77777777" w:rsidR="00587A0D" w:rsidRPr="00451CE9" w:rsidRDefault="00587A0D" w:rsidP="00A41BE9">
      <w:pPr>
        <w:spacing w:before="240" w:after="0" w:afterAutospacing="0" w:line="240" w:lineRule="auto"/>
        <w:jc w:val="both"/>
        <w:rPr>
          <w:rFonts w:eastAsia="Times New Roman" w:cs="Times New Roman"/>
          <w:b/>
          <w:bCs/>
          <w:szCs w:val="24"/>
        </w:rPr>
      </w:pPr>
      <w:r>
        <w:rPr>
          <w:rFonts w:eastAsia="Times New Roman" w:cs="Times New Roman"/>
          <w:b/>
          <w:bCs/>
          <w:szCs w:val="24"/>
          <w:lang w:val="es-ES"/>
        </w:rPr>
        <w:t>Precauciones</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Asegúrese de activar el recubrimiento hidrofílico del catéter con agua estéril o solución salina antes de usarlo.</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Asegúrese de que el drenaje esté sujeto y que el sistema esté intacto para evitar que se desplace. Fíjelo con un dispositivo de fijación para catéteres, sutura o cinta.</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Evalúe el sitio de inserción del drenaje para detectar signos de fugas, enrojecimiento o exudado. Estos signos pueden indicar una infección o irritación de la piel circundante.</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Vigile los cambios en el carácter o en el volumen del líquido o el sangrado.</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Se recomienda fijar el catéter en línea recta y que cualquier curvatura se aplique al tubo de conexión.</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Si se va a retirar un catéter con cola de cerdo con bloqueo en otra sala, recomendamos añadir estas notas orientativas a las notas del historial del paciente para asegurar que el personal pertinente sea consciente de la presencia de un catéter con bloqueo. También es recomendable informar al paciente.</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es-ES"/>
        </w:rPr>
        <w:t>La aguja introductora tiene un conector para ayudar a evitar que los dedos entren en contacto con el alambre o tiren de él. No pase el alambre guía a través de la aguja (para kits de drenaje SKATER).</w:t>
      </w:r>
    </w:p>
    <w:p w14:paraId="5240AF40" w14:textId="77777777" w:rsidR="00042B91" w:rsidRPr="00451CE9" w:rsidRDefault="00042B91" w:rsidP="00042B91">
      <w:pPr>
        <w:spacing w:after="0" w:afterAutospacing="0" w:line="240" w:lineRule="auto"/>
        <w:rPr>
          <w:rFonts w:cs="Times New Roman"/>
          <w:i/>
          <w:color w:val="FF0000"/>
        </w:rPr>
      </w:pPr>
    </w:p>
    <w:p w14:paraId="09A94B0F" w14:textId="72488AB9" w:rsidR="00760400" w:rsidRPr="00451CE9" w:rsidRDefault="008745ED" w:rsidP="00042B91">
      <w:pPr>
        <w:pStyle w:val="Heading1"/>
        <w:rPr>
          <w:rFonts w:cs="Times New Roman"/>
        </w:rPr>
      </w:pPr>
      <w:bookmarkStart w:id="33" w:name="_Toc212114779"/>
      <w:r>
        <w:rPr>
          <w:rFonts w:cs="Times New Roman"/>
          <w:bCs/>
          <w:lang w:val="es-ES"/>
        </w:rPr>
        <w:t>Otros aspectos relevantes de seguridad, incluido un resumen sobre cualquier acción correctiva de seguridad de campo (FSCA, por sus siglas en inglés), incluidas las notas de seguridad de campo (FSN, por sus siglas en inglés), si corresponden</w:t>
      </w:r>
      <w:bookmarkEnd w:id="33"/>
    </w:p>
    <w:p w14:paraId="659122B4" w14:textId="1C4FFC0F" w:rsidR="00A829EC" w:rsidRPr="00A41BE9" w:rsidRDefault="005008E6" w:rsidP="00A41BE9">
      <w:pPr>
        <w:tabs>
          <w:tab w:val="left" w:pos="8100"/>
        </w:tabs>
        <w:spacing w:after="0" w:afterAutospacing="0" w:line="240" w:lineRule="auto"/>
        <w:rPr>
          <w:rFonts w:cs="Times New Roman"/>
          <w:lang w:val="es-ES"/>
        </w:rPr>
      </w:pPr>
      <w:r>
        <w:rPr>
          <w:rFonts w:cs="Times New Roman"/>
          <w:lang w:val="es-ES"/>
        </w:rPr>
        <w:t>No hubo FSCA durante el período de referencia.</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A41BE9">
      <w:pPr>
        <w:pStyle w:val="Heading1"/>
        <w:keepNext/>
        <w:numPr>
          <w:ilvl w:val="0"/>
          <w:numId w:val="2"/>
        </w:numPr>
        <w:rPr>
          <w:rFonts w:cs="Times New Roman"/>
        </w:rPr>
      </w:pPr>
      <w:bookmarkStart w:id="34" w:name="_Toc212114780"/>
      <w:r>
        <w:rPr>
          <w:rFonts w:cs="Times New Roman"/>
          <w:bCs/>
          <w:lang w:val="es-ES"/>
        </w:rPr>
        <w:lastRenderedPageBreak/>
        <w:t xml:space="preserve">Resumen de </w:t>
      </w:r>
      <w:proofErr w:type="gramStart"/>
      <w:r>
        <w:rPr>
          <w:rFonts w:cs="Times New Roman"/>
          <w:bCs/>
          <w:lang w:val="es-ES"/>
        </w:rPr>
        <w:t xml:space="preserve">evaluación clínica y </w:t>
      </w:r>
      <w:bookmarkStart w:id="35" w:name="_Hlk176256981"/>
      <w:r>
        <w:rPr>
          <w:rFonts w:cs="Times New Roman"/>
          <w:bCs/>
          <w:lang w:val="es-ES"/>
        </w:rPr>
        <w:t>seguimiento clínico</w:t>
      </w:r>
      <w:proofErr w:type="gramEnd"/>
      <w:r>
        <w:rPr>
          <w:rFonts w:cs="Times New Roman"/>
          <w:bCs/>
          <w:lang w:val="es-ES"/>
        </w:rPr>
        <w:t xml:space="preserve"> </w:t>
      </w:r>
      <w:proofErr w:type="spellStart"/>
      <w:r>
        <w:rPr>
          <w:rFonts w:cs="Times New Roman"/>
          <w:bCs/>
          <w:lang w:val="es-ES"/>
        </w:rPr>
        <w:t>poscomercialización</w:t>
      </w:r>
      <w:proofErr w:type="spellEnd"/>
      <w:r>
        <w:rPr>
          <w:rFonts w:cs="Times New Roman"/>
          <w:bCs/>
          <w:lang w:val="es-ES"/>
        </w:rPr>
        <w:t xml:space="preserve"> </w:t>
      </w:r>
      <w:bookmarkEnd w:id="35"/>
      <w:r>
        <w:rPr>
          <w:rFonts w:cs="Times New Roman"/>
          <w:bCs/>
          <w:lang w:val="es-ES"/>
        </w:rPr>
        <w:t>(PMCF, por sus siglas en inglés)</w:t>
      </w:r>
      <w:bookmarkEnd w:id="34"/>
    </w:p>
    <w:p w14:paraId="056DD745" w14:textId="77777777" w:rsidR="00C34970" w:rsidRPr="00451CE9" w:rsidRDefault="00C34970" w:rsidP="00A41BE9">
      <w:pPr>
        <w:keepNext/>
        <w:tabs>
          <w:tab w:val="left" w:pos="8100"/>
        </w:tabs>
        <w:spacing w:after="0" w:afterAutospacing="0" w:line="240" w:lineRule="auto"/>
        <w:rPr>
          <w:rStyle w:val="normaltextrun1"/>
          <w:rFonts w:cs="Times New Roman"/>
          <w:b/>
          <w:color w:val="000000" w:themeColor="text1"/>
        </w:rPr>
      </w:pPr>
    </w:p>
    <w:p w14:paraId="264C5BDB" w14:textId="09B1CF64" w:rsidR="00FB2370" w:rsidRPr="00451CE9" w:rsidRDefault="009E72CD" w:rsidP="00A41BE9">
      <w:pPr>
        <w:keepNext/>
        <w:tabs>
          <w:tab w:val="left" w:pos="8100"/>
        </w:tabs>
        <w:spacing w:after="0" w:afterAutospacing="0" w:line="240" w:lineRule="auto"/>
        <w:rPr>
          <w:rFonts w:cs="Times New Roman"/>
        </w:rPr>
      </w:pPr>
      <w:r>
        <w:rPr>
          <w:rFonts w:cs="Times New Roman"/>
          <w:lang w:val="es-ES"/>
        </w:rPr>
        <w:t xml:space="preserve">Informe resumen de evaluación clínica CER-031 </w:t>
      </w:r>
      <w:proofErr w:type="spellStart"/>
      <w:r>
        <w:rPr>
          <w:rFonts w:cs="Times New Roman"/>
          <w:lang w:val="es-ES"/>
        </w:rPr>
        <w:t>Rev</w:t>
      </w:r>
      <w:proofErr w:type="spellEnd"/>
      <w:r>
        <w:rPr>
          <w:rFonts w:cs="Times New Roman"/>
          <w:lang w:val="es-ES"/>
        </w:rPr>
        <w:t xml:space="preserve"> C:</w:t>
      </w:r>
    </w:p>
    <w:p w14:paraId="7D1C9871" w14:textId="77777777" w:rsidR="00D42228" w:rsidRPr="00451CE9" w:rsidRDefault="00D42228" w:rsidP="00D42228">
      <w:pPr>
        <w:pStyle w:val="BodyText"/>
        <w:rPr>
          <w:b w:val="0"/>
          <w:bCs/>
        </w:rPr>
      </w:pPr>
      <w:r>
        <w:rPr>
          <w:b w:val="0"/>
          <w:lang w:val="es-ES"/>
        </w:rPr>
        <w:t>Esta evaluación clínica se realizó para evaluar la seguridad y el rendimiento de los datos del sistema de drenaje SKATER. En este informe se evaluaron los datos obtenidos de fuentes externas y los datos en poder del fabricante.</w:t>
      </w:r>
    </w:p>
    <w:p w14:paraId="4D111425"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 xml:space="preserve">Los sistemas de drenaje SKATER son productos tradicionales con una larga trayectoria en el mercado. Esta evaluación clínica demostró que las características técnicas, biológicas y clínicas generales eran similares para los dispositivos. </w:t>
      </w:r>
    </w:p>
    <w:p w14:paraId="233EBB44"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Las pruebas de seguridad y rendimiento no clínicas y la evaluación de biocompatibilidad respaldan el rendimiento y la seguridad del sistema de drenaje SKATER cuando está en uso clínico. Esto incluye, entre otras cosas, pruebas de simulación, pruebas de funcionalidad del dispositivo, pruebas de rendimiento, pruebas de envejecimiento acelerado, pruebas de generación de partículas, pruebas de embalaje, inspecciones dimensionales y visuales, pruebas de fugas, pruebas de integridad del producto y pruebas de resistencia a la tracción. También se demostró que los dispositivos cumplen con las normas y directrices aplicables.</w:t>
      </w:r>
    </w:p>
    <w:p w14:paraId="38A2E1CA"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Con base en la revisión del estado del arte realizada sobre la literatura disponible sobre sistemas de drenaje para aplicaciones de drenaje, y la evaluación de dispositivos y técnicas alternativos disponibles en el mercado, el sistema de drenaje SKATER puede considerarse de última generación para el propósito previsto.</w:t>
      </w:r>
    </w:p>
    <w:p w14:paraId="5BBCE42A" w14:textId="2AF5053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 xml:space="preserve">De la revisión de datos de vigilancia </w:t>
      </w:r>
      <w:proofErr w:type="spellStart"/>
      <w:r>
        <w:rPr>
          <w:rFonts w:ascii="Times New Roman" w:hAnsi="Times New Roman"/>
          <w:lang w:val="es-ES"/>
        </w:rPr>
        <w:t>poscomercialización</w:t>
      </w:r>
      <w:proofErr w:type="spellEnd"/>
      <w:r>
        <w:rPr>
          <w:rFonts w:ascii="Times New Roman" w:hAnsi="Times New Roman"/>
          <w:lang w:val="es-ES"/>
        </w:rPr>
        <w:t xml:space="preserve"> (PMS, por sus siglas en inglés) o datos de bases de datos externas de productos sanitarios durante el intervalo de fechas del 1 de mayo de 2019 al 30 de abril de 2024. </w:t>
      </w:r>
      <w:bookmarkStart w:id="36" w:name="_Hlk169706695"/>
      <w:r>
        <w:rPr>
          <w:rFonts w:ascii="Times New Roman" w:hAnsi="Times New Roman"/>
          <w:lang w:val="es-ES"/>
        </w:rPr>
        <w:t xml:space="preserve">Las quejas de la UE notificadas para los catéteres de drenaje SKATER y los kits de drenaje SKATER fueron 225, con un porcentaje del 0,035 % para </w:t>
      </w:r>
      <w:r>
        <w:rPr>
          <w:rFonts w:ascii="Times New Roman" w:hAnsi="Times New Roman"/>
          <w:color w:val="000000"/>
          <w:lang w:val="es-ES"/>
        </w:rPr>
        <w:t>637.771 unidades</w:t>
      </w:r>
      <w:r>
        <w:rPr>
          <w:rFonts w:ascii="Times New Roman" w:hAnsi="Times New Roman"/>
          <w:lang w:val="es-ES"/>
        </w:rPr>
        <w:t xml:space="preserve"> vendidas para la UE durante el período de referencia. Las quejas de la UE notificadas para el juego introductor SKATER fueron 11, con un porcentaje del 0,043 % para 25.329 unidades vendidas para la UE durante el período de referencia. Las quejas de la UE notificadas para SKATER FIX fueron 2, con un porcentaje del 0,0003 % para 724</w:t>
      </w:r>
      <w:r w:rsidR="00533994">
        <w:rPr>
          <w:rFonts w:ascii="Times New Roman" w:hAnsi="Times New Roman"/>
          <w:lang w:val="es-ES"/>
        </w:rPr>
        <w:t>.</w:t>
      </w:r>
      <w:r>
        <w:rPr>
          <w:rFonts w:ascii="Times New Roman" w:hAnsi="Times New Roman"/>
          <w:lang w:val="es-ES"/>
        </w:rPr>
        <w:t xml:space="preserve">513 unidades vendidas para la UE durante el período de referencia. </w:t>
      </w:r>
      <w:bookmarkEnd w:id="36"/>
      <w:r>
        <w:rPr>
          <w:rFonts w:ascii="Times New Roman" w:hAnsi="Times New Roman"/>
          <w:lang w:val="es-ES"/>
        </w:rPr>
        <w:t xml:space="preserve">De esta forma, las quejas notificadas fueron bajas </w:t>
      </w:r>
      <w:proofErr w:type="gramStart"/>
      <w:r>
        <w:rPr>
          <w:rFonts w:ascii="Times New Roman" w:hAnsi="Times New Roman"/>
          <w:lang w:val="es-ES"/>
        </w:rPr>
        <w:t>en relación a</w:t>
      </w:r>
      <w:proofErr w:type="gramEnd"/>
      <w:r>
        <w:rPr>
          <w:rFonts w:ascii="Times New Roman" w:hAnsi="Times New Roman"/>
          <w:lang w:val="es-ES"/>
        </w:rPr>
        <w:t xml:space="preserve"> las unidades vendidas para el total de unidades de drenaje. No se identificaron nuevos riesgos a partir de la revisión de quejas, acciones correctivas y preventivas (CAPA, por sus siglas en inglés) o acciones de campo dentro del intervalo de fechas considerado. Los acontecimientos adversos notificados sobre dispositivos similares a partir de las bases de datos de seguridad no fueron riesgos nuevos y ya están abordados en la documentación de riesgos de los dispositivos en cuestión, que están mitigados a niveles aceptables.</w:t>
      </w:r>
    </w:p>
    <w:p w14:paraId="7889FAAB"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La revisión sistemática de la literatura realizada para evaluar la seguridad y el rendimiento del sistema de drenaje SKATER no identificó ningún acontecimiento relacionado con la seguridad en el uso de los dispositivos. Además, no se identificaron nuevos riesgos ni un aumento en las tendencias de riesgos conocidos con el uso de estos dispositivos.</w:t>
      </w:r>
    </w:p>
    <w:p w14:paraId="60626309"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Los datos revisados durante esta evaluación clínica confirman que los efectos beneficiosos del sistema de drenaje SKATER superan los riesgos asociados con el uso de los dispositivos.</w:t>
      </w:r>
    </w:p>
    <w:p w14:paraId="397E464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lastRenderedPageBreak/>
        <w:t>En condiciones normales de uso y cuando se utiliza según las instrucciones del fabricante, se han cumplido los requisitos de rendimiento clínico del dispositivo y el dispositivo funciona según lo declarado y previsto.</w:t>
      </w:r>
    </w:p>
    <w:p w14:paraId="3C5B1538"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Los peligros identificados en los AMFE para los dispositivos se han mitigado de manera aceptable, y los riesgos residuales y los efectos secundarios identificados son aceptables cuando se comparan con los beneficios previstos de los dispositivos.</w:t>
      </w:r>
    </w:p>
    <w:p w14:paraId="0D49CFC0" w14:textId="77777777" w:rsidR="00D42228"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es-ES"/>
        </w:rPr>
        <w:t>El informe confirma que el uso del sistema de drenaje SKATER es compatible con un alto nivel de protección de la salud y la seguridad. Todos los riesgos y acontecimientos notificados para los dispositivos están abordados adecuadamente en los documentos de riesgo. Se consideró que los niveles de gravedad y ocurrencia de todos los riesgos potenciales estaban dentro de límites aceptables.</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proofErr w:type="spellStart"/>
      <w:r>
        <w:rPr>
          <w:rFonts w:ascii="Times New Roman" w:hAnsi="Times New Roman"/>
          <w:lang w:val="es-ES"/>
        </w:rPr>
        <w:t>Argon</w:t>
      </w:r>
      <w:proofErr w:type="spellEnd"/>
      <w:r>
        <w:rPr>
          <w:rFonts w:ascii="Times New Roman" w:hAnsi="Times New Roman"/>
          <w:lang w:val="es-ES"/>
        </w:rPr>
        <w:t xml:space="preserve"> Medical </w:t>
      </w:r>
      <w:proofErr w:type="spellStart"/>
      <w:r>
        <w:rPr>
          <w:rFonts w:ascii="Times New Roman" w:hAnsi="Times New Roman"/>
          <w:lang w:val="es-ES"/>
        </w:rPr>
        <w:t>Devices</w:t>
      </w:r>
      <w:proofErr w:type="spellEnd"/>
      <w:r>
        <w:rPr>
          <w:rFonts w:ascii="Times New Roman" w:hAnsi="Times New Roman"/>
          <w:lang w:val="es-ES"/>
        </w:rPr>
        <w:t xml:space="preserve"> ha demostrado que el dispositivo en cuestión, el sistema de drenaje SKATER, cumple con los GSPR pertinentes en materia de seguridad y rendimiento (GSPR 1, 2, 6 y 8). Por tanto, se cumplen los requisitos para la evaluación clínica.</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es-ES"/>
        </w:rPr>
        <w:t xml:space="preserve">Resumen del seguimiento clínico </w:t>
      </w:r>
      <w:proofErr w:type="spellStart"/>
      <w:r>
        <w:rPr>
          <w:rStyle w:val="normaltextrun1"/>
          <w:rFonts w:cs="Times New Roman"/>
          <w:b/>
          <w:bCs/>
          <w:lang w:val="es-ES"/>
        </w:rPr>
        <w:t>poscomercialización</w:t>
      </w:r>
      <w:proofErr w:type="spellEnd"/>
      <w:r>
        <w:rPr>
          <w:rStyle w:val="normaltextrun1"/>
          <w:rFonts w:cs="Times New Roman"/>
          <w:b/>
          <w:bCs/>
          <w:lang w:val="es-ES"/>
        </w:rPr>
        <w:t>:</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es-ES"/>
        </w:rPr>
        <w:t>El PMCF se evaluará como parte del Plan PMCF-0030, que forma parte del Plan PMS, el cual se actualizará en función de los resultados de este PMCF y de acuerdo con MEDDEV 2.12/2 Rev.</w:t>
      </w:r>
    </w:p>
    <w:p w14:paraId="3A2A75C7" w14:textId="0BEAD9AB" w:rsidR="00F952C8" w:rsidRPr="00DA3282" w:rsidRDefault="001F0A2A" w:rsidP="00F952C8">
      <w:pPr>
        <w:tabs>
          <w:tab w:val="left" w:pos="240"/>
          <w:tab w:val="left" w:pos="4470"/>
          <w:tab w:val="left" w:pos="8100"/>
        </w:tabs>
        <w:spacing w:after="0" w:afterAutospacing="0" w:line="240" w:lineRule="auto"/>
        <w:rPr>
          <w:rFonts w:cs="Times New Roman"/>
          <w:szCs w:val="24"/>
        </w:rPr>
      </w:pPr>
      <w:r w:rsidRPr="00DA3282">
        <w:rPr>
          <w:rStyle w:val="normaltextrun1"/>
          <w:rFonts w:cs="Times New Roman"/>
          <w:szCs w:val="24"/>
          <w:lang w:val="es-ES"/>
        </w:rPr>
        <w:t>El informe de PMCF incluirá:</w:t>
      </w:r>
    </w:p>
    <w:p w14:paraId="63E49DCB" w14:textId="31290E9B" w:rsidR="00684ABB" w:rsidRPr="00A41BE9" w:rsidRDefault="00684ABB" w:rsidP="00A41BE9">
      <w:pPr>
        <w:spacing w:after="120" w:afterAutospacing="0" w:line="240" w:lineRule="auto"/>
        <w:jc w:val="both"/>
        <w:rPr>
          <w:rFonts w:eastAsia="Times New Roman" w:cs="Times New Roman"/>
          <w:szCs w:val="24"/>
        </w:rPr>
      </w:pPr>
      <w:r w:rsidRPr="00A41BE9">
        <w:rPr>
          <w:rFonts w:eastAsia="Times New Roman" w:cs="Times New Roman"/>
          <w:szCs w:val="24"/>
          <w:lang w:val="es-ES"/>
        </w:rPr>
        <w:t xml:space="preserve">Los hallazgos de las actividades del PMCFR-0030 se analizarán y documentarán en un informe de evaluación de PMCF. El informe de evaluación de PMCF formará parte del informe de evaluación clínica y de la documentación técnica. </w:t>
      </w:r>
    </w:p>
    <w:p w14:paraId="54865E18" w14:textId="77777777" w:rsidR="00684ABB" w:rsidRPr="00A41BE9" w:rsidRDefault="00684ABB" w:rsidP="00684ABB">
      <w:pPr>
        <w:spacing w:after="120" w:afterAutospacing="0" w:line="240" w:lineRule="auto"/>
        <w:rPr>
          <w:rFonts w:eastAsia="Times New Roman" w:cs="Times New Roman"/>
          <w:szCs w:val="24"/>
        </w:rPr>
      </w:pPr>
      <w:r w:rsidRPr="00A41BE9">
        <w:rPr>
          <w:rFonts w:eastAsia="Times New Roman" w:cs="Times New Roman"/>
          <w:szCs w:val="24"/>
          <w:lang w:val="es-ES"/>
        </w:rPr>
        <w:t>El informe de PMCF incluirá lo siguiente:</w:t>
      </w:r>
    </w:p>
    <w:p w14:paraId="41D4A765" w14:textId="77777777" w:rsidR="00684ABB" w:rsidRPr="00A41BE9" w:rsidRDefault="00684ABB" w:rsidP="00390948">
      <w:pPr>
        <w:numPr>
          <w:ilvl w:val="0"/>
          <w:numId w:val="5"/>
        </w:numPr>
        <w:spacing w:after="120" w:afterAutospacing="0" w:line="240" w:lineRule="auto"/>
        <w:jc w:val="both"/>
        <w:rPr>
          <w:rFonts w:eastAsia="Times New Roman" w:cs="Times New Roman"/>
          <w:szCs w:val="24"/>
        </w:rPr>
      </w:pPr>
      <w:r w:rsidRPr="00A41BE9">
        <w:rPr>
          <w:rFonts w:eastAsia="Times New Roman" w:cs="Times New Roman"/>
          <w:szCs w:val="24"/>
          <w:lang w:val="es-ES"/>
        </w:rPr>
        <w:t>Población de pacientes: La población incluida en las actividades de PMCF (según corresponda) y la población total de pacientes impactada por el dispositivo.</w:t>
      </w:r>
    </w:p>
    <w:p w14:paraId="16269E04" w14:textId="77777777" w:rsidR="00684ABB" w:rsidRPr="00A41BE9" w:rsidRDefault="00684ABB" w:rsidP="00390948">
      <w:pPr>
        <w:numPr>
          <w:ilvl w:val="0"/>
          <w:numId w:val="5"/>
        </w:numPr>
        <w:spacing w:after="120" w:afterAutospacing="0" w:line="240" w:lineRule="auto"/>
        <w:jc w:val="both"/>
        <w:rPr>
          <w:rFonts w:eastAsia="Times New Roman" w:cs="Times New Roman"/>
          <w:szCs w:val="24"/>
        </w:rPr>
      </w:pPr>
      <w:r w:rsidRPr="00A41BE9">
        <w:rPr>
          <w:rFonts w:eastAsia="Times New Roman" w:cs="Times New Roman"/>
          <w:szCs w:val="24"/>
          <w:lang w:val="es-ES"/>
        </w:rPr>
        <w:t>Cualquier criterio de inclusión/exclusión para los datos recopilados.</w:t>
      </w:r>
    </w:p>
    <w:p w14:paraId="6288CE80" w14:textId="77777777" w:rsidR="00684ABB" w:rsidRPr="00A41BE9" w:rsidRDefault="00684ABB" w:rsidP="00390948">
      <w:pPr>
        <w:numPr>
          <w:ilvl w:val="0"/>
          <w:numId w:val="5"/>
        </w:numPr>
        <w:spacing w:after="120" w:afterAutospacing="0" w:line="240" w:lineRule="auto"/>
        <w:jc w:val="both"/>
        <w:rPr>
          <w:rFonts w:eastAsia="Times New Roman" w:cs="Times New Roman"/>
          <w:szCs w:val="24"/>
        </w:rPr>
      </w:pPr>
      <w:r w:rsidRPr="00A41BE9">
        <w:rPr>
          <w:rFonts w:eastAsia="Times New Roman" w:cs="Times New Roman"/>
          <w:szCs w:val="24"/>
          <w:lang w:val="es-ES"/>
        </w:rPr>
        <w:t xml:space="preserve">Resumen de datos: Se resumirán los datos de entrada identificados anteriormente. Si no hay datos nuevos que informar, esto se indicará en el resumen. Si hay una gran cantidad de datos similares, se puede presentar un análisis estadístico de esos datos. </w:t>
      </w:r>
    </w:p>
    <w:p w14:paraId="3566F68B" w14:textId="77777777" w:rsidR="00684ABB" w:rsidRPr="00A41BE9" w:rsidRDefault="00684ABB" w:rsidP="00390948">
      <w:pPr>
        <w:numPr>
          <w:ilvl w:val="0"/>
          <w:numId w:val="5"/>
        </w:numPr>
        <w:spacing w:after="120" w:afterAutospacing="0" w:line="240" w:lineRule="auto"/>
        <w:jc w:val="both"/>
        <w:rPr>
          <w:rFonts w:eastAsia="Times New Roman" w:cs="Times New Roman"/>
          <w:szCs w:val="24"/>
        </w:rPr>
      </w:pPr>
      <w:r w:rsidRPr="00A41BE9">
        <w:rPr>
          <w:rFonts w:eastAsia="Times New Roman" w:cs="Times New Roman"/>
          <w:szCs w:val="24"/>
          <w:lang w:val="es-ES"/>
        </w:rPr>
        <w:t>Discusión de datos: En esta sección, los datos de cada fuente de entrada del PMCF se analizarán por separado. En la discusión se indicará qué fuentes de entrada identificaron nuevos datos significativos o cambios en las tendencias de datos y se indicarán todos los cambios asociados con la gravedad del daño causado por cambios en el mal funcionamiento del dispositivo o la frecuencia de los incidentes.</w:t>
      </w:r>
    </w:p>
    <w:p w14:paraId="69641E71" w14:textId="496EC531" w:rsidR="008515F1" w:rsidRPr="00A41BE9" w:rsidRDefault="00684ABB" w:rsidP="00390948">
      <w:pPr>
        <w:numPr>
          <w:ilvl w:val="0"/>
          <w:numId w:val="5"/>
        </w:numPr>
        <w:spacing w:after="120" w:afterAutospacing="0" w:line="240" w:lineRule="auto"/>
        <w:jc w:val="both"/>
        <w:rPr>
          <w:rFonts w:eastAsia="Times New Roman" w:cs="Times New Roman"/>
          <w:szCs w:val="24"/>
        </w:rPr>
      </w:pPr>
      <w:r w:rsidRPr="00A41BE9">
        <w:rPr>
          <w:rFonts w:eastAsia="Times New Roman" w:cs="Times New Roman"/>
          <w:szCs w:val="24"/>
          <w:lang w:val="es-ES"/>
        </w:rPr>
        <w:t>Conclusiones: La conclusión del resumen de cada aportación del PMCF expondrá las conclusiones extraídas. Cualquier riesgo nuevo, cambio en los riesgos o cambio en la frecuencia de ocurrencia debe citarse y debe dar lugar a una actualización del informe de evaluación clínica, del análisis de riesgos de diseño/usabilidad o de ambos. La conclusión identificará cualquier riesgo, cambio en los riesgos u otras señales que requieran medidas preventivas o correctivas. La conclusión incluirá si se requieren actividades adicionales de PMCF y el plan de PMCF se actualizará en consecuencia.</w:t>
      </w:r>
    </w:p>
    <w:p w14:paraId="37CD9323" w14:textId="77777777" w:rsidR="00C53E29" w:rsidRPr="00451CE9" w:rsidRDefault="00C53E29" w:rsidP="00C53E29">
      <w:pPr>
        <w:tabs>
          <w:tab w:val="left" w:pos="8100"/>
        </w:tabs>
        <w:spacing w:after="0" w:afterAutospacing="0" w:line="240" w:lineRule="auto"/>
        <w:rPr>
          <w:rFonts w:cs="Times New Roman"/>
        </w:rPr>
      </w:pPr>
    </w:p>
    <w:p w14:paraId="155DE76E" w14:textId="69B150D2" w:rsidR="00042B91" w:rsidRPr="00451CE9" w:rsidRDefault="008745ED" w:rsidP="00355F6E">
      <w:pPr>
        <w:pStyle w:val="Heading1"/>
        <w:rPr>
          <w:rFonts w:cs="Times New Roman"/>
        </w:rPr>
      </w:pPr>
      <w:bookmarkStart w:id="37" w:name="_Toc212114781"/>
      <w:r>
        <w:rPr>
          <w:rFonts w:cs="Times New Roman"/>
          <w:bCs/>
          <w:lang w:val="es-ES"/>
        </w:rPr>
        <w:lastRenderedPageBreak/>
        <w:t>Resumen de los datos clínicos relativos a un dispositivo equivalente, si corresponde</w:t>
      </w:r>
      <w:bookmarkEnd w:id="37"/>
      <w:r>
        <w:rPr>
          <w:rFonts w:cs="Times New Roman"/>
          <w:bCs/>
          <w:lang w:val="es-ES"/>
        </w:rPr>
        <w:t xml:space="preserve"> </w:t>
      </w:r>
    </w:p>
    <w:p w14:paraId="3D348D69" w14:textId="6A224F8D" w:rsidR="00B17FFD" w:rsidRPr="00451CE9" w:rsidRDefault="00F952C8" w:rsidP="00596226">
      <w:pPr>
        <w:pStyle w:val="Caption"/>
      </w:pPr>
      <w:bookmarkStart w:id="38" w:name="_Toc146710755"/>
      <w:r>
        <w:tab/>
      </w:r>
    </w:p>
    <w:bookmarkEnd w:id="38"/>
    <w:p w14:paraId="7F4185CA" w14:textId="7FBFAE1A" w:rsidR="00667954" w:rsidRPr="00451CE9" w:rsidRDefault="00667954" w:rsidP="00A41BE9">
      <w:pPr>
        <w:spacing w:after="0" w:afterAutospacing="0" w:line="240" w:lineRule="auto"/>
        <w:jc w:val="both"/>
        <w:rPr>
          <w:rFonts w:eastAsia="Times New Roman" w:cs="Times New Roman"/>
          <w:szCs w:val="24"/>
        </w:rPr>
      </w:pPr>
      <w:r>
        <w:rPr>
          <w:rFonts w:eastAsia="Times New Roman" w:cs="Times New Roman"/>
          <w:szCs w:val="24"/>
          <w:lang w:val="es-ES"/>
        </w:rPr>
        <w:t xml:space="preserve">Estrategia de equivalencia para catéteres externos del sistema de drenaje SKATER según CER-031 </w:t>
      </w:r>
      <w:proofErr w:type="spellStart"/>
      <w:r>
        <w:rPr>
          <w:rFonts w:eastAsia="Times New Roman" w:cs="Times New Roman"/>
          <w:szCs w:val="24"/>
          <w:lang w:val="es-ES"/>
        </w:rPr>
        <w:t>Rev</w:t>
      </w:r>
      <w:proofErr w:type="spellEnd"/>
      <w:r>
        <w:rPr>
          <w:rFonts w:eastAsia="Times New Roman" w:cs="Times New Roman"/>
          <w:szCs w:val="24"/>
          <w:lang w:val="es-ES"/>
        </w:rPr>
        <w:t xml:space="preserve"> C Sección 6.1</w:t>
      </w:r>
    </w:p>
    <w:p w14:paraId="488DE6AE" w14:textId="77777777" w:rsidR="00097E12" w:rsidRPr="00451CE9" w:rsidRDefault="00097E12" w:rsidP="00A41BE9">
      <w:pPr>
        <w:spacing w:after="0" w:afterAutospacing="0" w:line="240" w:lineRule="auto"/>
        <w:jc w:val="both"/>
        <w:rPr>
          <w:rFonts w:eastAsia="Times New Roman" w:cs="Times New Roman"/>
          <w:szCs w:val="24"/>
        </w:rPr>
      </w:pPr>
    </w:p>
    <w:p w14:paraId="0FB68F05" w14:textId="2BF3F1BF" w:rsidR="00667954" w:rsidRPr="00451CE9" w:rsidRDefault="00667954" w:rsidP="00A41BE9">
      <w:pPr>
        <w:spacing w:after="0" w:afterAutospacing="0" w:line="240" w:lineRule="auto"/>
        <w:jc w:val="both"/>
        <w:rPr>
          <w:rFonts w:eastAsia="Times New Roman" w:cs="Times New Roman"/>
          <w:szCs w:val="24"/>
        </w:rPr>
      </w:pPr>
      <w:proofErr w:type="spellStart"/>
      <w:r>
        <w:rPr>
          <w:rFonts w:eastAsia="Times New Roman" w:cs="Times New Roman"/>
          <w:szCs w:val="24"/>
          <w:lang w:val="es-ES"/>
        </w:rPr>
        <w:t>Argon</w:t>
      </w:r>
      <w:proofErr w:type="spellEnd"/>
      <w:r>
        <w:rPr>
          <w:rFonts w:eastAsia="Times New Roman" w:cs="Times New Roman"/>
          <w:szCs w:val="24"/>
          <w:lang w:val="es-ES"/>
        </w:rPr>
        <w:t xml:space="preserve"> Medical está implementando una estrategia de equivalencia formal para los catéteres de drenaje externo dentro del sistema de drenaje SKATER, que se comercializan bajo los siguientes nombres comerciales:</w:t>
      </w:r>
    </w:p>
    <w:p w14:paraId="69997760" w14:textId="77777777" w:rsidR="00667954" w:rsidRPr="00451CE9" w:rsidRDefault="00667954" w:rsidP="00A41BE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es-ES"/>
        </w:rPr>
        <w:t xml:space="preserve">Juego de drenaje multiusos y para </w:t>
      </w:r>
      <w:proofErr w:type="spellStart"/>
      <w:r>
        <w:rPr>
          <w:rFonts w:eastAsia="Times New Roman" w:cs="Times New Roman"/>
          <w:szCs w:val="24"/>
          <w:lang w:val="es-ES"/>
        </w:rPr>
        <w:t>nefrostomía</w:t>
      </w:r>
      <w:proofErr w:type="spellEnd"/>
      <w:r>
        <w:rPr>
          <w:rFonts w:eastAsia="Times New Roman" w:cs="Times New Roman"/>
          <w:szCs w:val="24"/>
          <w:lang w:val="es-ES"/>
        </w:rPr>
        <w:t xml:space="preserve"> SKATER™</w:t>
      </w:r>
    </w:p>
    <w:p w14:paraId="3F857F6F" w14:textId="77777777" w:rsidR="00667954" w:rsidRPr="00451CE9" w:rsidRDefault="00667954" w:rsidP="00A41BE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es-ES"/>
        </w:rPr>
        <w:t>Juego de drenaje SKATER™ Mini-</w:t>
      </w:r>
      <w:proofErr w:type="spellStart"/>
      <w:r>
        <w:rPr>
          <w:rFonts w:eastAsia="Times New Roman" w:cs="Times New Roman"/>
          <w:szCs w:val="24"/>
          <w:lang w:val="es-ES"/>
        </w:rPr>
        <w:t>Loop</w:t>
      </w:r>
      <w:proofErr w:type="spellEnd"/>
    </w:p>
    <w:p w14:paraId="7F768BD4" w14:textId="77777777" w:rsidR="00667954" w:rsidRPr="00451CE9" w:rsidRDefault="00667954" w:rsidP="00A41BE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es-ES"/>
        </w:rPr>
        <w:t>Juego de drenaje de un solo paso SKATER™</w:t>
      </w:r>
    </w:p>
    <w:p w14:paraId="01DF414D" w14:textId="77777777" w:rsidR="00667954" w:rsidRPr="00451CE9" w:rsidRDefault="00667954" w:rsidP="00A41BE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es-ES"/>
        </w:rPr>
        <w:t>Catéter de drenaje SKATER™</w:t>
      </w:r>
    </w:p>
    <w:p w14:paraId="6CD8CF0F" w14:textId="77777777" w:rsidR="00667954" w:rsidRPr="00451CE9" w:rsidRDefault="00667954" w:rsidP="00A41BE9">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es-ES"/>
        </w:rPr>
        <w:t xml:space="preserve">Catéter de </w:t>
      </w:r>
      <w:proofErr w:type="spellStart"/>
      <w:r>
        <w:rPr>
          <w:rFonts w:eastAsia="Times New Roman" w:cs="Times New Roman"/>
          <w:szCs w:val="24"/>
          <w:lang w:val="es-ES"/>
        </w:rPr>
        <w:t>nefrostomía</w:t>
      </w:r>
      <w:proofErr w:type="spellEnd"/>
      <w:r>
        <w:rPr>
          <w:rFonts w:eastAsia="Times New Roman" w:cs="Times New Roman"/>
          <w:szCs w:val="24"/>
          <w:lang w:val="es-ES"/>
        </w:rPr>
        <w:t xml:space="preserve"> SKATER™</w:t>
      </w:r>
    </w:p>
    <w:p w14:paraId="548C531C" w14:textId="77777777" w:rsidR="00667954" w:rsidRPr="00451CE9" w:rsidRDefault="0066795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No existen diferencias en las características clínicas y biológicas de los catéteres de drenaje externos incluidos en los juegos de los nombres comerciales antes mencionados. Si bien existen variaciones en las características técnicas, como el diseño, las especificaciones y los métodos de despliegue, estas diferencias no son clínicamente significativas y no afectan la seguridad ni el rendimiento de los dispositivos cuando se utilizan según lo previsto.</w:t>
      </w:r>
    </w:p>
    <w:p w14:paraId="265D2FDE" w14:textId="77777777" w:rsidR="00667954" w:rsidRPr="00451CE9" w:rsidRDefault="0066795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La elección del diseño, las especificaciones y los métodos de despliegue pueden variar según las necesidades del paciente o la capacitación y preferencias del médico. Para adaptarse a estas variables, el sistema de drenaje SKATER está disponible en una variedad de configuraciones adaptadas a diferentes pacientes y técnicas seleccionadas por el médico.</w:t>
      </w:r>
    </w:p>
    <w:p w14:paraId="60021131" w14:textId="77777777" w:rsidR="00667954" w:rsidRPr="00451CE9" w:rsidRDefault="0066795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La mayoría de los juegos de catéteres incluyen accesorios que admiten los dos siguientes métodos de despliegue:</w:t>
      </w:r>
    </w:p>
    <w:p w14:paraId="4A5A71D2" w14:textId="77777777" w:rsidR="00667954" w:rsidRPr="00451CE9" w:rsidRDefault="00667954" w:rsidP="00A41BE9">
      <w:pPr>
        <w:numPr>
          <w:ilvl w:val="0"/>
          <w:numId w:val="18"/>
        </w:numPr>
        <w:spacing w:after="0" w:afterAutospacing="0" w:line="240" w:lineRule="auto"/>
        <w:jc w:val="both"/>
        <w:rPr>
          <w:rFonts w:eastAsia="Times New Roman" w:cs="Times New Roman"/>
          <w:szCs w:val="24"/>
        </w:rPr>
      </w:pPr>
      <w:r>
        <w:rPr>
          <w:rFonts w:eastAsia="Times New Roman" w:cs="Times New Roman"/>
          <w:b/>
          <w:bCs/>
          <w:szCs w:val="24"/>
          <w:lang w:val="es-ES"/>
        </w:rPr>
        <w:t>Acceso directo:</w:t>
      </w:r>
      <w:r>
        <w:rPr>
          <w:rFonts w:eastAsia="Times New Roman" w:cs="Times New Roman"/>
          <w:szCs w:val="24"/>
          <w:lang w:val="es-ES"/>
        </w:rPr>
        <w:t xml:space="preserve"> uso del estilete de trocar </w:t>
      </w:r>
      <w:proofErr w:type="spellStart"/>
      <w:r>
        <w:rPr>
          <w:rFonts w:eastAsia="Times New Roman" w:cs="Times New Roman"/>
          <w:szCs w:val="24"/>
          <w:lang w:val="es-ES"/>
        </w:rPr>
        <w:t>Choice</w:t>
      </w:r>
      <w:proofErr w:type="spellEnd"/>
      <w:r>
        <w:rPr>
          <w:rFonts w:eastAsia="Times New Roman" w:cs="Times New Roman"/>
          <w:szCs w:val="24"/>
          <w:lang w:val="es-ES"/>
        </w:rPr>
        <w:t xml:space="preserve"> </w:t>
      </w:r>
      <w:proofErr w:type="spellStart"/>
      <w:r>
        <w:rPr>
          <w:rFonts w:eastAsia="Times New Roman" w:cs="Times New Roman"/>
          <w:szCs w:val="24"/>
          <w:lang w:val="es-ES"/>
        </w:rPr>
        <w:t>Lock</w:t>
      </w:r>
      <w:proofErr w:type="spellEnd"/>
    </w:p>
    <w:p w14:paraId="0ACD6A25" w14:textId="77777777" w:rsidR="00667954" w:rsidRPr="00451CE9" w:rsidRDefault="00667954" w:rsidP="00A41BE9">
      <w:pPr>
        <w:numPr>
          <w:ilvl w:val="0"/>
          <w:numId w:val="18"/>
        </w:numPr>
        <w:spacing w:after="0" w:afterAutospacing="0" w:line="240" w:lineRule="auto"/>
        <w:jc w:val="both"/>
        <w:rPr>
          <w:rFonts w:eastAsia="Times New Roman" w:cs="Times New Roman"/>
          <w:szCs w:val="24"/>
        </w:rPr>
      </w:pPr>
      <w:r>
        <w:rPr>
          <w:rFonts w:eastAsia="Times New Roman" w:cs="Times New Roman"/>
          <w:b/>
          <w:bCs/>
          <w:szCs w:val="24"/>
          <w:lang w:val="es-ES"/>
        </w:rPr>
        <w:t>Sobre el cable:</w:t>
      </w:r>
      <w:r>
        <w:rPr>
          <w:rFonts w:eastAsia="Times New Roman" w:cs="Times New Roman"/>
          <w:szCs w:val="24"/>
          <w:lang w:val="es-ES"/>
        </w:rPr>
        <w:t xml:space="preserve"> uso de refuerzos de metal o plástico</w:t>
      </w:r>
    </w:p>
    <w:p w14:paraId="056DD3A7" w14:textId="77777777" w:rsidR="00667954" w:rsidRPr="00451CE9" w:rsidRDefault="0066795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La selección del método de despliegue se basa en la ubicación de la colección de líquido diana, con el objetivo de identificar la ruta más segura que minimice el riesgo de perforación no intencionada de órganos o vasos durante la colocación percutánea.</w:t>
      </w:r>
    </w:p>
    <w:p w14:paraId="6F777EF0" w14:textId="2489C539" w:rsidR="00643276" w:rsidRPr="00451CE9" w:rsidRDefault="0066795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Los juegos de catéteres comercializados bajo los nombres comerciales antes mencionados están disponibles en varios tamaños y longitudes para adaptarse a diferentes tipos de cuerpo y viscosidades de fluidos de los pacientes. Es fundamental que médicos y clínicos capacitados seleccionen el catéter de tamaño adecuado según la constitución corporal del paciente y la distancia entre la piel y la colección de líquido diana.</w:t>
      </w:r>
    </w:p>
    <w:p w14:paraId="7EEBDE15" w14:textId="77777777" w:rsidR="00EA32A6" w:rsidRPr="00451CE9" w:rsidRDefault="00EA32A6" w:rsidP="00A41BE9">
      <w:pPr>
        <w:spacing w:after="0" w:afterAutospacing="0" w:line="240" w:lineRule="auto"/>
        <w:jc w:val="both"/>
        <w:rPr>
          <w:rFonts w:eastAsia="Times New Roman" w:cs="Times New Roman"/>
          <w:szCs w:val="24"/>
        </w:rPr>
      </w:pPr>
    </w:p>
    <w:p w14:paraId="46CE7D79" w14:textId="2B10E133" w:rsidR="008745ED" w:rsidRPr="00451CE9" w:rsidRDefault="008745ED" w:rsidP="00A41BE9">
      <w:pPr>
        <w:pStyle w:val="Heading1"/>
        <w:jc w:val="both"/>
        <w:rPr>
          <w:rFonts w:cs="Times New Roman"/>
        </w:rPr>
      </w:pPr>
      <w:bookmarkStart w:id="39" w:name="_Toc212114782"/>
      <w:r>
        <w:rPr>
          <w:rFonts w:cs="Times New Roman"/>
          <w:bCs/>
          <w:lang w:val="es-ES"/>
        </w:rPr>
        <w:t>Resumen de los datos clínicos de las investigaciones realizadas sobre el dispositivo antes del marcado CE, si corresponde</w:t>
      </w:r>
      <w:bookmarkEnd w:id="39"/>
      <w:r>
        <w:rPr>
          <w:rFonts w:cs="Times New Roman"/>
          <w:bCs/>
          <w:lang w:val="es-ES"/>
        </w:rPr>
        <w:t xml:space="preserve"> </w:t>
      </w:r>
    </w:p>
    <w:p w14:paraId="46E9CF6A" w14:textId="6F94BC18" w:rsidR="006C320A" w:rsidRPr="00451CE9" w:rsidRDefault="007F2F84" w:rsidP="00A41BE9">
      <w:pPr>
        <w:jc w:val="both"/>
        <w:rPr>
          <w:rFonts w:cs="Times New Roman"/>
        </w:rPr>
      </w:pPr>
      <w:r>
        <w:rPr>
          <w:rFonts w:cs="Times New Roman"/>
          <w:lang w:val="es-ES"/>
        </w:rPr>
        <w:t>No corresponde. No se realizaron investigaciones clínicas antes del marcado CE.</w:t>
      </w:r>
    </w:p>
    <w:p w14:paraId="7A896071" w14:textId="00061818" w:rsidR="008745ED" w:rsidRPr="00451CE9" w:rsidRDefault="008745ED" w:rsidP="00A41BE9">
      <w:pPr>
        <w:pStyle w:val="Heading1"/>
        <w:keepNext/>
        <w:ind w:left="788" w:hanging="431"/>
        <w:jc w:val="both"/>
        <w:rPr>
          <w:rFonts w:cs="Times New Roman"/>
        </w:rPr>
      </w:pPr>
      <w:bookmarkStart w:id="40" w:name="_Toc212114783"/>
      <w:r>
        <w:rPr>
          <w:rFonts w:cs="Times New Roman"/>
          <w:bCs/>
          <w:lang w:val="es-ES"/>
        </w:rPr>
        <w:lastRenderedPageBreak/>
        <w:t>Resumen de datos clínicos de otras fuentes, si corresponde</w:t>
      </w:r>
      <w:bookmarkEnd w:id="40"/>
      <w:r>
        <w:rPr>
          <w:rFonts w:cs="Times New Roman"/>
          <w:bCs/>
          <w:lang w:val="es-ES"/>
        </w:rPr>
        <w:t xml:space="preserve"> </w:t>
      </w:r>
    </w:p>
    <w:p w14:paraId="2A6791C2" w14:textId="66507B57" w:rsidR="00D54409" w:rsidRPr="00043983" w:rsidRDefault="00524F68" w:rsidP="00A41BE9">
      <w:pPr>
        <w:spacing w:before="240"/>
        <w:jc w:val="both"/>
        <w:rPr>
          <w:rFonts w:cs="Times New Roman"/>
          <w:szCs w:val="24"/>
        </w:rPr>
      </w:pPr>
      <w:r w:rsidRPr="00A41BE9">
        <w:rPr>
          <w:rFonts w:cs="Times New Roman"/>
          <w:color w:val="000000" w:themeColor="text1"/>
          <w:szCs w:val="24"/>
          <w:lang w:val="es-ES"/>
        </w:rPr>
        <w:t xml:space="preserve">Los datos clínicos que respaldan el sistema de drenaje </w:t>
      </w:r>
      <w:proofErr w:type="spellStart"/>
      <w:r w:rsidRPr="00A41BE9">
        <w:rPr>
          <w:rFonts w:cs="Times New Roman"/>
          <w:color w:val="000000" w:themeColor="text1"/>
          <w:szCs w:val="24"/>
          <w:lang w:val="es-ES"/>
        </w:rPr>
        <w:t>Skater</w:t>
      </w:r>
      <w:proofErr w:type="spellEnd"/>
      <w:r w:rsidRPr="00A41BE9">
        <w:rPr>
          <w:rFonts w:cs="Times New Roman"/>
          <w:color w:val="000000" w:themeColor="text1"/>
          <w:szCs w:val="24"/>
          <w:lang w:val="es-ES"/>
        </w:rPr>
        <w:t xml:space="preserve"> se han derivado de las siguientes fuentes CER</w:t>
      </w:r>
      <w:r w:rsidR="00043983">
        <w:rPr>
          <w:rFonts w:cs="Times New Roman"/>
          <w:color w:val="000000" w:themeColor="text1"/>
          <w:szCs w:val="24"/>
          <w:lang w:val="es-ES"/>
        </w:rPr>
        <w:noBreakHyphen/>
      </w:r>
      <w:r w:rsidRPr="00A41BE9">
        <w:rPr>
          <w:rFonts w:cs="Times New Roman"/>
          <w:color w:val="000000" w:themeColor="text1"/>
          <w:szCs w:val="24"/>
          <w:lang w:val="es-ES"/>
        </w:rPr>
        <w:t xml:space="preserve">031 </w:t>
      </w:r>
      <w:proofErr w:type="spellStart"/>
      <w:r w:rsidRPr="00A41BE9">
        <w:rPr>
          <w:rFonts w:cs="Times New Roman"/>
          <w:color w:val="000000" w:themeColor="text1"/>
          <w:szCs w:val="24"/>
          <w:lang w:val="es-ES"/>
        </w:rPr>
        <w:t>Rev</w:t>
      </w:r>
      <w:proofErr w:type="spellEnd"/>
      <w:r w:rsidR="00F806E7" w:rsidRPr="00A41BE9">
        <w:rPr>
          <w:rFonts w:cs="Times New Roman"/>
          <w:color w:val="000000" w:themeColor="text1"/>
          <w:szCs w:val="24"/>
          <w:lang w:val="es-ES"/>
        </w:rPr>
        <w:t> </w:t>
      </w:r>
      <w:r w:rsidRPr="00A41BE9">
        <w:rPr>
          <w:rFonts w:cs="Times New Roman"/>
          <w:color w:val="000000" w:themeColor="text1"/>
          <w:szCs w:val="24"/>
          <w:lang w:val="es-ES"/>
        </w:rPr>
        <w:t>C</w:t>
      </w:r>
      <w:r w:rsidRPr="00043983">
        <w:rPr>
          <w:rFonts w:cs="Times New Roman"/>
          <w:szCs w:val="24"/>
          <w:lang w:val="es-ES"/>
        </w:rPr>
        <w:t>:</w:t>
      </w:r>
    </w:p>
    <w:p w14:paraId="4373A628" w14:textId="55DECD83" w:rsidR="003E2EF5" w:rsidRPr="00451CE9" w:rsidRDefault="00B63A39" w:rsidP="00A41BE9">
      <w:pPr>
        <w:spacing w:before="240" w:after="0" w:afterAutospacing="0"/>
        <w:jc w:val="both"/>
        <w:rPr>
          <w:rFonts w:cs="Times New Roman"/>
          <w:b/>
          <w:bCs/>
        </w:rPr>
      </w:pPr>
      <w:r>
        <w:rPr>
          <w:rFonts w:cs="Times New Roman"/>
          <w:b/>
          <w:bCs/>
          <w:lang w:val="es-ES"/>
        </w:rPr>
        <w:t>Literatura de estado del arte (</w:t>
      </w:r>
      <w:r>
        <w:rPr>
          <w:rFonts w:cs="Times New Roman"/>
          <w:b/>
          <w:bCs/>
          <w:color w:val="000000" w:themeColor="text1"/>
          <w:sz w:val="22"/>
          <w:lang w:val="es-ES"/>
        </w:rPr>
        <w:t xml:space="preserve">CER-031 </w:t>
      </w:r>
      <w:proofErr w:type="spellStart"/>
      <w:r>
        <w:rPr>
          <w:rFonts w:cs="Times New Roman"/>
          <w:b/>
          <w:bCs/>
          <w:color w:val="000000" w:themeColor="text1"/>
          <w:sz w:val="22"/>
          <w:lang w:val="es-ES"/>
        </w:rPr>
        <w:t>Rev</w:t>
      </w:r>
      <w:proofErr w:type="spellEnd"/>
      <w:r>
        <w:rPr>
          <w:rFonts w:cs="Times New Roman"/>
          <w:b/>
          <w:bCs/>
          <w:color w:val="000000" w:themeColor="text1"/>
          <w:sz w:val="22"/>
          <w:lang w:val="es-ES"/>
        </w:rPr>
        <w:t xml:space="preserve"> C</w:t>
      </w:r>
      <w:r>
        <w:rPr>
          <w:rFonts w:cs="Times New Roman"/>
          <w:b/>
          <w:bCs/>
          <w:lang w:val="es-ES"/>
        </w:rPr>
        <w:t xml:space="preserve"> Sección 3):</w:t>
      </w:r>
    </w:p>
    <w:p w14:paraId="0C0D67D8" w14:textId="0D6A560B" w:rsidR="0048121D" w:rsidRPr="00451CE9" w:rsidRDefault="0048121D" w:rsidP="00A41BE9">
      <w:pPr>
        <w:jc w:val="both"/>
        <w:rPr>
          <w:rFonts w:cs="Times New Roman"/>
          <w:b/>
          <w:bCs/>
        </w:rPr>
      </w:pPr>
      <w:r>
        <w:rPr>
          <w:rFonts w:eastAsia="Times New Roman" w:cs="Times New Roman"/>
          <w:szCs w:val="24"/>
          <w:lang w:val="es-ES"/>
        </w:rPr>
        <w:t>Esta sección evalúa el conocimiento actual y las prácticas de vanguardia en el drenaje de colecciones de líquido, abscesos o acumulaciones de las cavidades corporales. Se revisó la literatura para recopilar información sobre la población diana, las indicaciones del procedimiento en función de las alternativas disponibles y un análisis del escenario de dispositivos de la competencia o de referencia.</w:t>
      </w:r>
    </w:p>
    <w:p w14:paraId="79558F73" w14:textId="77777777" w:rsidR="0048121D" w:rsidRPr="00451CE9" w:rsidRDefault="0048121D" w:rsidP="00A41BE9">
      <w:pPr>
        <w:spacing w:before="100" w:beforeAutospacing="1" w:line="240" w:lineRule="auto"/>
        <w:jc w:val="both"/>
        <w:rPr>
          <w:rFonts w:eastAsia="Times New Roman" w:cs="Times New Roman"/>
          <w:szCs w:val="24"/>
        </w:rPr>
      </w:pPr>
      <w:r>
        <w:rPr>
          <w:rFonts w:eastAsia="Times New Roman" w:cs="Times New Roman"/>
          <w:szCs w:val="24"/>
          <w:lang w:val="es-ES"/>
        </w:rPr>
        <w:t>El drenaje con catéter percutáneo (DCP) se utiliza cada vez más como un procedimiento médico mínimamente invasivo para el drenaje de abscesos o colecciones de líquido. Este procedimiento, que generalmente se realiza bajo guía por imágenes, es adoptado principalmente por radiólogos intervencionistas y proveedores de atención médica con capacitación similar.</w:t>
      </w:r>
    </w:p>
    <w:p w14:paraId="626D21A4" w14:textId="77777777" w:rsidR="0048121D" w:rsidRPr="00451CE9" w:rsidRDefault="0048121D" w:rsidP="00A41BE9">
      <w:pPr>
        <w:spacing w:before="100" w:beforeAutospacing="1" w:line="240" w:lineRule="auto"/>
        <w:jc w:val="both"/>
        <w:rPr>
          <w:rFonts w:eastAsia="Times New Roman" w:cs="Times New Roman"/>
          <w:szCs w:val="24"/>
        </w:rPr>
      </w:pPr>
      <w:r>
        <w:rPr>
          <w:rFonts w:eastAsia="Times New Roman" w:cs="Times New Roman"/>
          <w:szCs w:val="24"/>
          <w:lang w:val="es-ES"/>
        </w:rPr>
        <w:t>La necesidad de drenaje surge cuando se desarrolla un absceso en cualquier parte del cuerpo. Si bien algunos casos pueden tratarse con una simple incisión y drenaje, afecciones más complicadas pueden requerir una intervención avanzada. Históricamente, los procedimientos quirúrgicos abiertos eran el enfoque estándar para estos casos. Sin embargo, el DCP sirve ahora como una opción intermedia, cerrando la brecha entre los tratamientos no invasivos y la cirugía más invasiva.</w:t>
      </w:r>
    </w:p>
    <w:p w14:paraId="0FB07BF4" w14:textId="77777777" w:rsidR="0048121D" w:rsidRPr="00451CE9" w:rsidRDefault="0048121D" w:rsidP="00A41BE9">
      <w:pPr>
        <w:spacing w:before="100" w:beforeAutospacing="1" w:line="240" w:lineRule="auto"/>
        <w:jc w:val="both"/>
        <w:rPr>
          <w:rFonts w:eastAsia="Times New Roman" w:cs="Times New Roman"/>
          <w:szCs w:val="24"/>
        </w:rPr>
      </w:pPr>
      <w:r>
        <w:rPr>
          <w:rFonts w:eastAsia="Times New Roman" w:cs="Times New Roman"/>
          <w:szCs w:val="24"/>
          <w:lang w:val="es-ES"/>
        </w:rPr>
        <w:t>Los estudios han demostrado que el DCP guiado por imágenes, particularmente con el uso de catéteres con cola de cerdo, es muy eficaz para drenar diversas colecciones de líquido. Esta técnica cuenta con una alta tasa de éxito y bajas tasas de complicaciones, lo que la convierte en una opción preferida en muchos escenarios clínicos (</w:t>
      </w:r>
      <w:proofErr w:type="spellStart"/>
      <w:r>
        <w:rPr>
          <w:rFonts w:eastAsia="Times New Roman" w:cs="Times New Roman"/>
          <w:szCs w:val="24"/>
          <w:lang w:val="es-ES"/>
        </w:rPr>
        <w:t>Mukthinuthalapati</w:t>
      </w:r>
      <w:proofErr w:type="spellEnd"/>
      <w:r>
        <w:rPr>
          <w:rFonts w:eastAsia="Times New Roman" w:cs="Times New Roman"/>
          <w:szCs w:val="24"/>
          <w:lang w:val="es-ES"/>
        </w:rPr>
        <w:t xml:space="preserve"> et al., 2020; Rai et al., 2022).</w:t>
      </w:r>
    </w:p>
    <w:p w14:paraId="1948A6FC" w14:textId="3BDB4569" w:rsidR="00CC5B04" w:rsidRPr="00451CE9" w:rsidRDefault="0048121D" w:rsidP="00A41BE9">
      <w:pPr>
        <w:spacing w:before="100" w:beforeAutospacing="1" w:line="240" w:lineRule="auto"/>
        <w:jc w:val="both"/>
        <w:rPr>
          <w:rFonts w:eastAsia="Times New Roman" w:cs="Times New Roman"/>
          <w:szCs w:val="24"/>
        </w:rPr>
      </w:pPr>
      <w:r>
        <w:rPr>
          <w:rFonts w:eastAsia="Times New Roman" w:cs="Times New Roman"/>
          <w:szCs w:val="24"/>
          <w:lang w:val="es-ES"/>
        </w:rPr>
        <w:t>Los criterios de aceptación se definieron estableciendo resultados de seguridad y rendimiento a partir del conocimiento actual y las prácticas de vanguardia en el campo, así como revisando la literatura publicada sobre dispositivos de la competencia. Estos criterios se utilizaron luego para comparar los resultados de los dispositivos en cuestión para garantizar que cumplieran con los estándares requeridos de seguridad y eficacia.</w:t>
      </w:r>
    </w:p>
    <w:p w14:paraId="0C5D05AE" w14:textId="18AB3EAC" w:rsidR="00CC5B04" w:rsidRPr="00451CE9" w:rsidRDefault="00B63A39" w:rsidP="00A41BE9">
      <w:pPr>
        <w:tabs>
          <w:tab w:val="center" w:pos="5220"/>
        </w:tabs>
        <w:spacing w:before="240" w:after="0" w:afterAutospacing="0"/>
        <w:jc w:val="both"/>
        <w:rPr>
          <w:rFonts w:cs="Times New Roman"/>
          <w:b/>
          <w:bCs/>
        </w:rPr>
      </w:pPr>
      <w:r>
        <w:rPr>
          <w:rFonts w:cs="Times New Roman"/>
          <w:b/>
          <w:bCs/>
          <w:lang w:val="es-ES"/>
        </w:rPr>
        <w:t>Datos recuperados de la literatura (</w:t>
      </w:r>
      <w:r>
        <w:rPr>
          <w:rFonts w:cs="Times New Roman"/>
          <w:b/>
          <w:bCs/>
          <w:color w:val="000000" w:themeColor="text1"/>
          <w:sz w:val="22"/>
          <w:lang w:val="es-ES"/>
        </w:rPr>
        <w:t xml:space="preserve">CER-031 </w:t>
      </w:r>
      <w:proofErr w:type="spellStart"/>
      <w:r>
        <w:rPr>
          <w:rFonts w:cs="Times New Roman"/>
          <w:b/>
          <w:bCs/>
          <w:color w:val="000000" w:themeColor="text1"/>
          <w:sz w:val="22"/>
          <w:lang w:val="es-ES"/>
        </w:rPr>
        <w:t>Rev</w:t>
      </w:r>
      <w:proofErr w:type="spellEnd"/>
      <w:r>
        <w:rPr>
          <w:rFonts w:cs="Times New Roman"/>
          <w:b/>
          <w:bCs/>
          <w:color w:val="000000" w:themeColor="text1"/>
          <w:sz w:val="22"/>
          <w:lang w:val="es-ES"/>
        </w:rPr>
        <w:t xml:space="preserve"> C</w:t>
      </w:r>
      <w:r>
        <w:rPr>
          <w:rFonts w:cs="Times New Roman"/>
          <w:b/>
          <w:bCs/>
          <w:lang w:val="es-ES"/>
        </w:rPr>
        <w:t xml:space="preserve"> Sección 7.5):</w:t>
      </w:r>
    </w:p>
    <w:p w14:paraId="263D12D2" w14:textId="77777777" w:rsidR="00CC5B04" w:rsidRPr="00451CE9" w:rsidRDefault="00CC5B04" w:rsidP="00A41BE9">
      <w:pPr>
        <w:spacing w:after="0" w:afterAutospacing="0" w:line="240" w:lineRule="auto"/>
        <w:jc w:val="both"/>
        <w:rPr>
          <w:rFonts w:eastAsia="Times New Roman" w:cs="Times New Roman"/>
          <w:szCs w:val="24"/>
        </w:rPr>
      </w:pPr>
      <w:r>
        <w:rPr>
          <w:rFonts w:eastAsia="Times New Roman" w:cs="Times New Roman"/>
          <w:szCs w:val="24"/>
          <w:lang w:val="es-ES"/>
        </w:rPr>
        <w:t xml:space="preserve">Se realizó una búsqueda exhaustiva de datos clínicos sobre los productos de drenaje SKATER de </w:t>
      </w:r>
      <w:proofErr w:type="spellStart"/>
      <w:r>
        <w:rPr>
          <w:rFonts w:eastAsia="Times New Roman" w:cs="Times New Roman"/>
          <w:szCs w:val="24"/>
          <w:lang w:val="es-ES"/>
        </w:rPr>
        <w:t>Argon</w:t>
      </w:r>
      <w:proofErr w:type="spellEnd"/>
      <w:r>
        <w:rPr>
          <w:rFonts w:eastAsia="Times New Roman" w:cs="Times New Roman"/>
          <w:szCs w:val="24"/>
          <w:lang w:val="es-ES"/>
        </w:rPr>
        <w:t xml:space="preserve"> Medical entre el 1 de enero de 2022 y el 3 de mayo de 2024. Esta búsqueda identificó 4 artículos relevantes. Una búsqueda anterior que abarcó el período del 1 de enero de 2009 al 31 de julio de 2022 había identificado 19 artículos. En total, se han incluido 23 artículos en esta evaluación de datos de uso (EDU).</w:t>
      </w:r>
    </w:p>
    <w:p w14:paraId="1007C2CE" w14:textId="77777777" w:rsidR="00CC5B04" w:rsidRPr="00451CE9" w:rsidRDefault="00CC5B04" w:rsidP="00A41BE9">
      <w:pPr>
        <w:keepNext/>
        <w:spacing w:before="240" w:after="0" w:afterAutospacing="0" w:line="240" w:lineRule="auto"/>
        <w:jc w:val="both"/>
        <w:rPr>
          <w:rFonts w:eastAsia="Times New Roman" w:cs="Times New Roman"/>
          <w:szCs w:val="24"/>
        </w:rPr>
      </w:pPr>
      <w:r>
        <w:rPr>
          <w:rFonts w:eastAsia="Times New Roman" w:cs="Times New Roman"/>
          <w:b/>
          <w:bCs/>
          <w:szCs w:val="24"/>
          <w:lang w:val="es-ES"/>
        </w:rPr>
        <w:lastRenderedPageBreak/>
        <w:t>Resultados de seguridad</w:t>
      </w:r>
    </w:p>
    <w:p w14:paraId="14C91B60" w14:textId="77777777" w:rsidR="00CC5B04" w:rsidRPr="00451CE9" w:rsidRDefault="00CC5B04" w:rsidP="00A41BE9">
      <w:pPr>
        <w:keepNext/>
        <w:spacing w:after="0" w:afterAutospacing="0" w:line="240" w:lineRule="auto"/>
        <w:jc w:val="both"/>
        <w:rPr>
          <w:rFonts w:eastAsia="Times New Roman" w:cs="Times New Roman"/>
          <w:szCs w:val="24"/>
        </w:rPr>
      </w:pPr>
      <w:r>
        <w:rPr>
          <w:rFonts w:eastAsia="Times New Roman" w:cs="Times New Roman"/>
          <w:szCs w:val="24"/>
          <w:lang w:val="es-ES"/>
        </w:rPr>
        <w:t>Los resultados de seguridad de los dispositivos objeto y las publicaciones de EDU se evaluaron en función de criterios de aceptación preestablecidos, derivados de la literatura sobre dispositivos similares. El análisis reveló lo siguiente:</w:t>
      </w:r>
    </w:p>
    <w:p w14:paraId="022BF0BE" w14:textId="77777777" w:rsidR="00CC5B04" w:rsidRPr="00451CE9" w:rsidRDefault="00CC5B04" w:rsidP="00A41BE9">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es-ES"/>
        </w:rPr>
        <w:t>Incidencia de sangrado:</w:t>
      </w:r>
      <w:r>
        <w:rPr>
          <w:rFonts w:eastAsia="Times New Roman" w:cs="Times New Roman"/>
          <w:szCs w:val="24"/>
          <w:lang w:val="es-ES"/>
        </w:rPr>
        <w:t xml:space="preserve"> se observaron incidencias bajas, con un 0,28 % (IC del 95 %: 0,271-0,290) para aplicaciones de drenaje general/multiuso y un 0,86 % (IC del 95 %: 0,835-0,886) para aplicaciones relacionadas con la vía biliar.</w:t>
      </w:r>
    </w:p>
    <w:p w14:paraId="6ABF6BB5" w14:textId="77777777" w:rsidR="00CC5B04" w:rsidRPr="00451CE9" w:rsidRDefault="00CC5B04" w:rsidP="00A41BE9">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es-ES"/>
        </w:rPr>
        <w:t>Tasas de infección:</w:t>
      </w:r>
      <w:r>
        <w:rPr>
          <w:rFonts w:eastAsia="Times New Roman" w:cs="Times New Roman"/>
          <w:szCs w:val="24"/>
          <w:lang w:val="es-ES"/>
        </w:rPr>
        <w:t xml:space="preserve"> las incidencias de infección fueron del 0 % (IC del 95 %: 0-0) y del 1,56 % (IC del 95 %: 1,500-1,622) para la </w:t>
      </w:r>
      <w:proofErr w:type="spellStart"/>
      <w:r>
        <w:rPr>
          <w:rFonts w:eastAsia="Times New Roman" w:cs="Times New Roman"/>
          <w:szCs w:val="24"/>
          <w:lang w:val="es-ES"/>
        </w:rPr>
        <w:t>nefrostomía</w:t>
      </w:r>
      <w:proofErr w:type="spellEnd"/>
      <w:r>
        <w:rPr>
          <w:rFonts w:eastAsia="Times New Roman" w:cs="Times New Roman"/>
          <w:szCs w:val="24"/>
          <w:lang w:val="es-ES"/>
        </w:rPr>
        <w:t xml:space="preserve"> y las aplicaciones relacionadas con la vía biliar, respectivamente.</w:t>
      </w:r>
    </w:p>
    <w:p w14:paraId="4C93F1EC" w14:textId="77777777" w:rsidR="00CC5B04" w:rsidRPr="00451CE9" w:rsidRDefault="00CC5B04" w:rsidP="00A41BE9">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es-ES"/>
        </w:rPr>
        <w:t>Tasas de mortalidad:</w:t>
      </w:r>
      <w:r>
        <w:rPr>
          <w:rFonts w:eastAsia="Times New Roman" w:cs="Times New Roman"/>
          <w:szCs w:val="24"/>
          <w:lang w:val="es-ES"/>
        </w:rPr>
        <w:t xml:space="preserve"> se registró una mortalidad del 0,32 % y del 0,8 % para aplicaciones generales/multiuso y relacionadas con la vía biliar, respectivamente.</w:t>
      </w:r>
    </w:p>
    <w:p w14:paraId="62B4BC2E" w14:textId="77777777" w:rsidR="00CC5B04" w:rsidRPr="00451CE9" w:rsidRDefault="00CC5B04" w:rsidP="00A41BE9">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es-ES"/>
        </w:rPr>
        <w:t>Tasas generales de complicaciones:</w:t>
      </w:r>
      <w:r>
        <w:rPr>
          <w:rFonts w:eastAsia="Times New Roman" w:cs="Times New Roman"/>
          <w:szCs w:val="24"/>
          <w:lang w:val="es-ES"/>
        </w:rPr>
        <w:t xml:space="preserve"> 6,19 % (IC del 95 %: 5,893-6,499) para aplicaciones generales/multiuso, 0 % (IC del 95 %: 0-0) para aplicaciones relacionadas con la </w:t>
      </w:r>
      <w:proofErr w:type="spellStart"/>
      <w:r>
        <w:rPr>
          <w:rFonts w:eastAsia="Times New Roman" w:cs="Times New Roman"/>
          <w:szCs w:val="24"/>
          <w:lang w:val="es-ES"/>
        </w:rPr>
        <w:t>nefrostomía</w:t>
      </w:r>
      <w:proofErr w:type="spellEnd"/>
      <w:r>
        <w:rPr>
          <w:rFonts w:eastAsia="Times New Roman" w:cs="Times New Roman"/>
          <w:szCs w:val="24"/>
          <w:lang w:val="es-ES"/>
        </w:rPr>
        <w:t xml:space="preserve"> y una tasa más alta del 9,95 % (IC del 95 %: 9,645-10,245) para aplicaciones relacionadas con la vía biliar.</w:t>
      </w:r>
    </w:p>
    <w:p w14:paraId="4AA41B8F" w14:textId="77777777" w:rsidR="00CC5B04" w:rsidRPr="00451CE9" w:rsidRDefault="00CC5B0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No se cumplió el criterio de tasa general de complicaciones al considerar el promedio ponderado de los datos de la EDU. Sin embargo, el tamaño de la muestra para la EDU (1863 pacientes) fue mayor que el utilizado para los criterios de aceptación del estado del arte (1289 pacientes), lo que sugiere que la tasa observada puede representar mejor a la población real.</w:t>
      </w:r>
    </w:p>
    <w:p w14:paraId="14C2178A" w14:textId="77777777" w:rsidR="00CC5B04" w:rsidRPr="00451CE9" w:rsidRDefault="00CC5B04" w:rsidP="00A41BE9">
      <w:pPr>
        <w:spacing w:before="240" w:after="0" w:afterAutospacing="0" w:line="240" w:lineRule="auto"/>
        <w:jc w:val="both"/>
        <w:rPr>
          <w:rFonts w:eastAsia="Times New Roman" w:cs="Times New Roman"/>
          <w:szCs w:val="24"/>
        </w:rPr>
      </w:pPr>
      <w:r>
        <w:rPr>
          <w:rFonts w:eastAsia="Times New Roman" w:cs="Times New Roman"/>
          <w:b/>
          <w:bCs/>
          <w:szCs w:val="24"/>
          <w:lang w:val="es-ES"/>
        </w:rPr>
        <w:t>Medidas de rendimiento</w:t>
      </w:r>
    </w:p>
    <w:p w14:paraId="750DD3C2" w14:textId="77777777" w:rsidR="00CC5B04" w:rsidRPr="00451CE9" w:rsidRDefault="00CC5B04" w:rsidP="00A41BE9">
      <w:pPr>
        <w:spacing w:after="0" w:afterAutospacing="0" w:line="240" w:lineRule="auto"/>
        <w:jc w:val="both"/>
        <w:rPr>
          <w:rFonts w:eastAsia="Times New Roman" w:cs="Times New Roman"/>
          <w:szCs w:val="24"/>
        </w:rPr>
      </w:pPr>
      <w:r>
        <w:rPr>
          <w:rFonts w:eastAsia="Times New Roman" w:cs="Times New Roman"/>
          <w:szCs w:val="24"/>
          <w:lang w:val="es-ES"/>
        </w:rPr>
        <w:t>Medidas de rendimiento centradas en las tasas de falla del catéter, incluyendo:</w:t>
      </w:r>
    </w:p>
    <w:p w14:paraId="2E81B662" w14:textId="77777777" w:rsidR="00CC5B04" w:rsidRPr="00451CE9" w:rsidRDefault="00CC5B04" w:rsidP="00A41BE9">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es-ES"/>
        </w:rPr>
        <w:t>Oclusión del catéter:</w:t>
      </w:r>
      <w:r>
        <w:rPr>
          <w:rFonts w:eastAsia="Times New Roman" w:cs="Times New Roman"/>
          <w:szCs w:val="24"/>
          <w:lang w:val="es-ES"/>
        </w:rPr>
        <w:t xml:space="preserve"> se registró un 0,47 % para aplicaciones generales/multiuso y relacionadas con la vía biliar.</w:t>
      </w:r>
    </w:p>
    <w:p w14:paraId="413E9FA6" w14:textId="77777777" w:rsidR="00CC5B04" w:rsidRPr="00451CE9" w:rsidRDefault="00CC5B04" w:rsidP="00A41BE9">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es-ES"/>
        </w:rPr>
        <w:t>Migración/Desplazamiento del catéter:</w:t>
      </w:r>
      <w:r>
        <w:rPr>
          <w:rFonts w:eastAsia="Times New Roman" w:cs="Times New Roman"/>
          <w:szCs w:val="24"/>
          <w:lang w:val="es-ES"/>
        </w:rPr>
        <w:t xml:space="preserve"> se produjo con una tasa del 2,2 % en aplicaciones generales/multiuso y relacionadas con la vía biliar.</w:t>
      </w:r>
    </w:p>
    <w:p w14:paraId="1A7F792D" w14:textId="77777777" w:rsidR="00CC5B04" w:rsidRPr="00451CE9" w:rsidRDefault="00CC5B04" w:rsidP="00A41BE9">
      <w:pPr>
        <w:numPr>
          <w:ilvl w:val="0"/>
          <w:numId w:val="14"/>
        </w:numPr>
        <w:spacing w:after="0" w:afterAutospacing="0" w:line="240" w:lineRule="auto"/>
        <w:jc w:val="both"/>
        <w:rPr>
          <w:rFonts w:eastAsia="Times New Roman" w:cs="Times New Roman"/>
          <w:szCs w:val="24"/>
        </w:rPr>
      </w:pPr>
      <w:r>
        <w:rPr>
          <w:rFonts w:eastAsia="Times New Roman" w:cs="Times New Roman"/>
          <w:b/>
          <w:bCs/>
          <w:szCs w:val="24"/>
          <w:lang w:val="es-ES"/>
        </w:rPr>
        <w:t>Rotura/Fractura de catéter:</w:t>
      </w:r>
      <w:r>
        <w:rPr>
          <w:rFonts w:eastAsia="Times New Roman" w:cs="Times New Roman"/>
          <w:szCs w:val="24"/>
          <w:lang w:val="es-ES"/>
        </w:rPr>
        <w:t xml:space="preserve"> registrada para aplicaciones relacionadas con la </w:t>
      </w:r>
      <w:proofErr w:type="spellStart"/>
      <w:r>
        <w:rPr>
          <w:rFonts w:eastAsia="Times New Roman" w:cs="Times New Roman"/>
          <w:szCs w:val="24"/>
          <w:lang w:val="es-ES"/>
        </w:rPr>
        <w:t>nefrostomía</w:t>
      </w:r>
      <w:proofErr w:type="spellEnd"/>
      <w:r>
        <w:rPr>
          <w:rFonts w:eastAsia="Times New Roman" w:cs="Times New Roman"/>
          <w:szCs w:val="24"/>
          <w:lang w:val="es-ES"/>
        </w:rPr>
        <w:t>.</w:t>
      </w:r>
    </w:p>
    <w:p w14:paraId="27586CF8" w14:textId="77777777" w:rsidR="00CC5B04" w:rsidRPr="00451CE9" w:rsidRDefault="00CC5B0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Las tasas de éxito técnico fueron notablemente altas en todas las aplicaciones:</w:t>
      </w:r>
    </w:p>
    <w:p w14:paraId="065933B9" w14:textId="77777777" w:rsidR="00CC5B04" w:rsidRPr="00451CE9" w:rsidRDefault="00CC5B04" w:rsidP="00A41BE9">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es-ES"/>
        </w:rPr>
        <w:t>Uso general/Multiuso:</w:t>
      </w:r>
      <w:r>
        <w:rPr>
          <w:rFonts w:eastAsia="Times New Roman" w:cs="Times New Roman"/>
          <w:szCs w:val="24"/>
          <w:lang w:val="es-ES"/>
        </w:rPr>
        <w:t xml:space="preserve"> 99,86 % (IC del 95 %: 99,858-99,866)</w:t>
      </w:r>
    </w:p>
    <w:p w14:paraId="2721FA94" w14:textId="77777777" w:rsidR="00CC5B04" w:rsidRPr="00451CE9" w:rsidRDefault="00CC5B04" w:rsidP="00A41BE9">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es-ES"/>
        </w:rPr>
        <w:t>Relacionado con la vía biliar:</w:t>
      </w:r>
      <w:r>
        <w:rPr>
          <w:rFonts w:eastAsia="Times New Roman" w:cs="Times New Roman"/>
          <w:szCs w:val="24"/>
          <w:lang w:val="es-ES"/>
        </w:rPr>
        <w:t xml:space="preserve"> 97,92 % (IC del 95 %: 97,823-98,023)</w:t>
      </w:r>
    </w:p>
    <w:p w14:paraId="5D96C659" w14:textId="77777777" w:rsidR="00CC5B04" w:rsidRPr="00451CE9" w:rsidRDefault="00CC5B04" w:rsidP="00A41BE9">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es-ES"/>
        </w:rPr>
        <w:t xml:space="preserve">Relacionado con la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w:t>
      </w:r>
      <w:r>
        <w:rPr>
          <w:rFonts w:eastAsia="Times New Roman" w:cs="Times New Roman"/>
          <w:szCs w:val="24"/>
          <w:lang w:val="es-ES"/>
        </w:rPr>
        <w:t xml:space="preserve"> 100 %</w:t>
      </w:r>
    </w:p>
    <w:p w14:paraId="7C442237" w14:textId="77777777" w:rsidR="00CC5B04" w:rsidRPr="00451CE9" w:rsidRDefault="00CC5B04" w:rsidP="00A41BE9">
      <w:pPr>
        <w:spacing w:before="240" w:after="0" w:afterAutospacing="0" w:line="240" w:lineRule="auto"/>
        <w:jc w:val="both"/>
        <w:rPr>
          <w:rFonts w:eastAsia="Times New Roman" w:cs="Times New Roman"/>
          <w:szCs w:val="24"/>
        </w:rPr>
      </w:pPr>
      <w:r>
        <w:rPr>
          <w:rFonts w:eastAsia="Times New Roman" w:cs="Times New Roman"/>
          <w:szCs w:val="24"/>
          <w:lang w:val="es-ES"/>
        </w:rPr>
        <w:t>Las tasas de éxito clínico también fueron altas:</w:t>
      </w:r>
    </w:p>
    <w:p w14:paraId="5CE188AC" w14:textId="77777777" w:rsidR="00CC5B04" w:rsidRPr="00451CE9" w:rsidRDefault="00CC5B04" w:rsidP="00A41BE9">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es-ES"/>
        </w:rPr>
        <w:t>Uso general/Multiuso:</w:t>
      </w:r>
      <w:r>
        <w:rPr>
          <w:rFonts w:eastAsia="Times New Roman" w:cs="Times New Roman"/>
          <w:szCs w:val="24"/>
          <w:lang w:val="es-ES"/>
        </w:rPr>
        <w:t xml:space="preserve"> 87,16 % (IC del 95 %: 85,644-88,676)</w:t>
      </w:r>
    </w:p>
    <w:p w14:paraId="53450F84" w14:textId="77777777" w:rsidR="00CC5B04" w:rsidRPr="00451CE9" w:rsidRDefault="00CC5B04" w:rsidP="00A41BE9">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es-ES"/>
        </w:rPr>
        <w:t>Relacionado con la vía biliar:</w:t>
      </w:r>
      <w:r>
        <w:rPr>
          <w:rFonts w:eastAsia="Times New Roman" w:cs="Times New Roman"/>
          <w:szCs w:val="24"/>
          <w:lang w:val="es-ES"/>
        </w:rPr>
        <w:t xml:space="preserve"> 87,44 % (IC del 95 %: 86,903-87,986)</w:t>
      </w:r>
    </w:p>
    <w:p w14:paraId="1B711D69" w14:textId="77777777" w:rsidR="00CC5B04" w:rsidRPr="00451CE9" w:rsidRDefault="00CC5B04" w:rsidP="00A41BE9">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es-ES"/>
        </w:rPr>
        <w:t xml:space="preserve">Relacionado con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w:t>
      </w:r>
      <w:r>
        <w:rPr>
          <w:rFonts w:eastAsia="Times New Roman" w:cs="Times New Roman"/>
          <w:szCs w:val="24"/>
          <w:lang w:val="es-ES"/>
        </w:rPr>
        <w:t xml:space="preserve"> 97,90 % (IC del 95 %: 97,605-98,206)</w:t>
      </w:r>
    </w:p>
    <w:p w14:paraId="5D82128B" w14:textId="77777777" w:rsidR="00CC5B04" w:rsidRPr="00451CE9" w:rsidRDefault="00CC5B04" w:rsidP="00A41BE9">
      <w:pPr>
        <w:spacing w:before="240" w:after="0" w:afterAutospacing="0" w:line="240" w:lineRule="auto"/>
        <w:jc w:val="both"/>
        <w:rPr>
          <w:rFonts w:cs="Times New Roman"/>
        </w:rPr>
      </w:pPr>
      <w:r>
        <w:rPr>
          <w:rFonts w:cs="Times New Roman"/>
          <w:szCs w:val="24"/>
          <w:lang w:val="es-ES"/>
        </w:rPr>
        <w:t>Los resultados de rendimiento cumplieron con los criterios de aceptación para los tres tipos de aplicaciones de drenaje. No se notificaron algunos criterios de evaluación para ciertos parámetros, y estos se revisarán en la próxima evaluación clínica.</w:t>
      </w:r>
      <w:r>
        <w:rPr>
          <w:rFonts w:cs="Times New Roman"/>
          <w:lang w:val="es-ES"/>
        </w:rPr>
        <w:t xml:space="preserve"> </w:t>
      </w:r>
    </w:p>
    <w:p w14:paraId="620E50AF" w14:textId="77777777" w:rsidR="00CC5B04" w:rsidRPr="00451CE9" w:rsidRDefault="00CC5B04" w:rsidP="00A41BE9">
      <w:pPr>
        <w:spacing w:after="0" w:afterAutospacing="0" w:line="240" w:lineRule="auto"/>
        <w:jc w:val="both"/>
        <w:rPr>
          <w:rFonts w:cs="Times New Roman"/>
          <w:b/>
          <w:bCs/>
          <w:iCs/>
        </w:rPr>
      </w:pPr>
    </w:p>
    <w:p w14:paraId="5A3A42E2" w14:textId="77777777" w:rsidR="00CC5B04" w:rsidRPr="00451CE9" w:rsidRDefault="00CC5B04" w:rsidP="00A41BE9">
      <w:pPr>
        <w:keepNext/>
        <w:spacing w:after="0" w:afterAutospacing="0" w:line="240" w:lineRule="auto"/>
        <w:jc w:val="both"/>
        <w:rPr>
          <w:rFonts w:cs="Times New Roman"/>
          <w:b/>
          <w:bCs/>
          <w:iCs/>
        </w:rPr>
      </w:pPr>
      <w:r>
        <w:rPr>
          <w:rFonts w:cs="Times New Roman"/>
          <w:b/>
          <w:bCs/>
          <w:lang w:val="es-ES"/>
        </w:rPr>
        <w:lastRenderedPageBreak/>
        <w:t>Conclusión</w:t>
      </w:r>
    </w:p>
    <w:p w14:paraId="570A9531" w14:textId="47381F81" w:rsidR="00B63A39" w:rsidRPr="00451CE9" w:rsidRDefault="00CC5B04" w:rsidP="00A41BE9">
      <w:pPr>
        <w:spacing w:after="0" w:afterAutospacing="0" w:line="240" w:lineRule="auto"/>
        <w:jc w:val="both"/>
        <w:rPr>
          <w:rFonts w:cs="Times New Roman"/>
          <w:iCs/>
        </w:rPr>
      </w:pPr>
      <w:r>
        <w:rPr>
          <w:rFonts w:cs="Times New Roman"/>
          <w:lang w:val="es-ES"/>
        </w:rPr>
        <w:t xml:space="preserve">Con base en el análisis, los productos de drenaje SKATER de </w:t>
      </w:r>
      <w:proofErr w:type="spellStart"/>
      <w:r>
        <w:rPr>
          <w:rFonts w:cs="Times New Roman"/>
          <w:lang w:val="es-ES"/>
        </w:rPr>
        <w:t>Argon</w:t>
      </w:r>
      <w:proofErr w:type="spellEnd"/>
      <w:r>
        <w:rPr>
          <w:rFonts w:cs="Times New Roman"/>
          <w:lang w:val="es-ES"/>
        </w:rPr>
        <w:t xml:space="preserve"> Medical han demostrado que son seguros de usar y funcionan según lo previsto.</w:t>
      </w:r>
      <w:r>
        <w:rPr>
          <w:rFonts w:cs="Times New Roman"/>
          <w:lang w:val="es-ES"/>
        </w:rPr>
        <w:tab/>
      </w:r>
    </w:p>
    <w:p w14:paraId="2ABD2B97" w14:textId="7C8FF910" w:rsidR="00350184" w:rsidRPr="00451CE9" w:rsidRDefault="00F0445F" w:rsidP="00A41BE9">
      <w:pPr>
        <w:keepNext/>
        <w:spacing w:before="100" w:beforeAutospacing="1" w:after="0" w:afterAutospacing="0" w:line="240" w:lineRule="auto"/>
        <w:jc w:val="both"/>
        <w:rPr>
          <w:rFonts w:eastAsia="Times New Roman" w:cs="Times New Roman"/>
          <w:b/>
          <w:bCs/>
          <w:szCs w:val="24"/>
        </w:rPr>
      </w:pPr>
      <w:r>
        <w:rPr>
          <w:rFonts w:cs="Times New Roman"/>
          <w:b/>
          <w:bCs/>
          <w:szCs w:val="24"/>
          <w:lang w:val="es-ES"/>
        </w:rPr>
        <w:t>Datos de PMS (</w:t>
      </w:r>
      <w:r>
        <w:rPr>
          <w:rFonts w:cs="Times New Roman"/>
          <w:b/>
          <w:bCs/>
          <w:color w:val="000000" w:themeColor="text1"/>
          <w:sz w:val="22"/>
          <w:lang w:val="es-ES"/>
        </w:rPr>
        <w:t xml:space="preserve">CER-031 </w:t>
      </w:r>
      <w:proofErr w:type="spellStart"/>
      <w:r>
        <w:rPr>
          <w:rFonts w:cs="Times New Roman"/>
          <w:b/>
          <w:bCs/>
          <w:color w:val="000000" w:themeColor="text1"/>
          <w:sz w:val="22"/>
          <w:lang w:val="es-ES"/>
        </w:rPr>
        <w:t>Rev</w:t>
      </w:r>
      <w:proofErr w:type="spellEnd"/>
      <w:r>
        <w:rPr>
          <w:rFonts w:cs="Times New Roman"/>
          <w:b/>
          <w:bCs/>
          <w:color w:val="000000" w:themeColor="text1"/>
          <w:sz w:val="22"/>
          <w:lang w:val="es-ES"/>
        </w:rPr>
        <w:t xml:space="preserve"> C</w:t>
      </w:r>
      <w:r>
        <w:rPr>
          <w:rFonts w:cs="Times New Roman"/>
          <w:b/>
          <w:bCs/>
          <w:lang w:val="es-ES"/>
        </w:rPr>
        <w:t xml:space="preserve"> </w:t>
      </w:r>
      <w:r>
        <w:rPr>
          <w:rFonts w:cs="Times New Roman"/>
          <w:b/>
          <w:bCs/>
          <w:szCs w:val="24"/>
          <w:lang w:val="es-ES"/>
        </w:rPr>
        <w:t>Sección 8):</w:t>
      </w:r>
    </w:p>
    <w:p w14:paraId="0E46AEFF" w14:textId="70453989" w:rsidR="0093375D" w:rsidRPr="00451CE9" w:rsidRDefault="0093375D" w:rsidP="00A41BE9">
      <w:pPr>
        <w:spacing w:after="0" w:afterAutospacing="0" w:line="240" w:lineRule="auto"/>
        <w:jc w:val="both"/>
        <w:rPr>
          <w:rFonts w:eastAsia="Times New Roman" w:cs="Times New Roman"/>
          <w:b/>
          <w:bCs/>
          <w:szCs w:val="24"/>
        </w:rPr>
      </w:pPr>
      <w:r>
        <w:rPr>
          <w:rFonts w:eastAsia="Times New Roman" w:cs="Times New Roman"/>
          <w:szCs w:val="24"/>
          <w:lang w:val="es-ES"/>
        </w:rPr>
        <w:t xml:space="preserve">Se realizó una revisión de los datos de vigilancia </w:t>
      </w:r>
      <w:proofErr w:type="spellStart"/>
      <w:r>
        <w:rPr>
          <w:rFonts w:eastAsia="Times New Roman" w:cs="Times New Roman"/>
          <w:szCs w:val="24"/>
          <w:lang w:val="es-ES"/>
        </w:rPr>
        <w:t>poscomercialización</w:t>
      </w:r>
      <w:proofErr w:type="spellEnd"/>
      <w:r>
        <w:rPr>
          <w:rFonts w:eastAsia="Times New Roman" w:cs="Times New Roman"/>
          <w:szCs w:val="24"/>
          <w:lang w:val="es-ES"/>
        </w:rPr>
        <w:t xml:space="preserve"> (PMS, por sus siglas en inglés), incluida información de bases de datos externas de productos sanitarios, durante el período comprendido entre el 1 de mayo de 2019 y el 30 de abril de 2024. Los resultados para los productos del sistema de drenaje SKATER son los siguientes:</w:t>
      </w:r>
    </w:p>
    <w:p w14:paraId="48B42103" w14:textId="77777777" w:rsidR="0093375D" w:rsidRPr="00451CE9" w:rsidRDefault="0093375D" w:rsidP="00A41BE9">
      <w:pPr>
        <w:spacing w:after="0" w:afterAutospacing="0" w:line="240" w:lineRule="auto"/>
        <w:ind w:left="720"/>
        <w:jc w:val="both"/>
        <w:rPr>
          <w:rFonts w:eastAsia="Times New Roman" w:cs="Times New Roman"/>
          <w:szCs w:val="24"/>
        </w:rPr>
      </w:pPr>
      <w:r>
        <w:rPr>
          <w:rFonts w:eastAsia="Times New Roman" w:cs="Times New Roman"/>
          <w:szCs w:val="24"/>
          <w:lang w:val="es-ES"/>
        </w:rPr>
        <w:t>Catéteres y kits de drenaje SKATER:</w:t>
      </w:r>
    </w:p>
    <w:p w14:paraId="416348A8" w14:textId="77777777" w:rsidR="0093375D" w:rsidRPr="00451CE9" w:rsidRDefault="0093375D" w:rsidP="00A41BE9">
      <w:pPr>
        <w:numPr>
          <w:ilvl w:val="1"/>
          <w:numId w:val="19"/>
        </w:numPr>
        <w:spacing w:after="0" w:afterAutospacing="0" w:line="240" w:lineRule="auto"/>
        <w:jc w:val="both"/>
        <w:rPr>
          <w:rFonts w:eastAsia="Times New Roman" w:cs="Times New Roman"/>
          <w:szCs w:val="24"/>
        </w:rPr>
      </w:pPr>
      <w:r>
        <w:rPr>
          <w:rFonts w:eastAsia="Times New Roman" w:cs="Times New Roman"/>
          <w:szCs w:val="24"/>
          <w:lang w:val="es-ES"/>
        </w:rPr>
        <w:t>Quejas ante la UE: 225</w:t>
      </w:r>
    </w:p>
    <w:p w14:paraId="18E72356" w14:textId="77777777" w:rsidR="0093375D" w:rsidRPr="00451CE9" w:rsidRDefault="0093375D" w:rsidP="00A41BE9">
      <w:pPr>
        <w:numPr>
          <w:ilvl w:val="1"/>
          <w:numId w:val="19"/>
        </w:numPr>
        <w:spacing w:line="240" w:lineRule="auto"/>
        <w:jc w:val="both"/>
        <w:rPr>
          <w:rFonts w:eastAsia="Times New Roman" w:cs="Times New Roman"/>
          <w:szCs w:val="24"/>
        </w:rPr>
      </w:pPr>
      <w:r>
        <w:rPr>
          <w:rFonts w:eastAsia="Times New Roman" w:cs="Times New Roman"/>
          <w:szCs w:val="24"/>
          <w:lang w:val="es-ES"/>
        </w:rPr>
        <w:t>Porcentaje de unidades vendidas: 0,035 %</w:t>
      </w:r>
    </w:p>
    <w:p w14:paraId="76434699" w14:textId="77777777" w:rsidR="0093375D" w:rsidRPr="00451CE9" w:rsidRDefault="0093375D" w:rsidP="00A41BE9">
      <w:pPr>
        <w:numPr>
          <w:ilvl w:val="1"/>
          <w:numId w:val="19"/>
        </w:numPr>
        <w:spacing w:line="240" w:lineRule="auto"/>
        <w:jc w:val="both"/>
        <w:rPr>
          <w:rFonts w:eastAsia="Times New Roman" w:cs="Times New Roman"/>
          <w:szCs w:val="24"/>
        </w:rPr>
      </w:pPr>
      <w:proofErr w:type="gramStart"/>
      <w:r>
        <w:rPr>
          <w:rFonts w:eastAsia="Times New Roman" w:cs="Times New Roman"/>
          <w:szCs w:val="24"/>
          <w:lang w:val="es-ES"/>
        </w:rPr>
        <w:t>Total</w:t>
      </w:r>
      <w:proofErr w:type="gramEnd"/>
      <w:r>
        <w:rPr>
          <w:rFonts w:eastAsia="Times New Roman" w:cs="Times New Roman"/>
          <w:szCs w:val="24"/>
          <w:lang w:val="es-ES"/>
        </w:rPr>
        <w:t xml:space="preserve"> de unidades vendidas en la UE: 637.771</w:t>
      </w:r>
    </w:p>
    <w:p w14:paraId="0DF849CE" w14:textId="77777777" w:rsidR="0093375D" w:rsidRPr="00451CE9" w:rsidRDefault="0093375D" w:rsidP="00A41BE9">
      <w:pPr>
        <w:spacing w:before="100" w:beforeAutospacing="1" w:line="240" w:lineRule="auto"/>
        <w:jc w:val="both"/>
        <w:rPr>
          <w:rFonts w:eastAsia="Times New Roman" w:cs="Times New Roman"/>
          <w:szCs w:val="24"/>
        </w:rPr>
      </w:pPr>
      <w:r>
        <w:rPr>
          <w:rFonts w:eastAsia="Times New Roman" w:cs="Times New Roman"/>
          <w:szCs w:val="24"/>
          <w:lang w:val="es-ES"/>
        </w:rPr>
        <w:t>Las quejas registradas para todas las unidades de drenaje SKATER fueron bajas en relación con el número de unidades vendidas. La revisión de quejas, CAPA y acciones de campo no identificó nuevos riesgos dentro del período considerado. Además, los acontecimientos adversos notificados en las bases de datos de seguridad para dispositivos similares no revelaron ningún riesgo nuevo; estos riesgos ya están documentados y mitigados a niveles aceptables en los archivos de gestión de riesgos de los dispositivos en cuestión.</w:t>
      </w:r>
    </w:p>
    <w:p w14:paraId="49E4AA89" w14:textId="49EC7518" w:rsidR="00042B91" w:rsidRPr="00451CE9" w:rsidRDefault="006D1CC7" w:rsidP="00A41BE9">
      <w:pPr>
        <w:spacing w:before="100" w:beforeAutospacing="1" w:line="240" w:lineRule="auto"/>
        <w:jc w:val="both"/>
        <w:rPr>
          <w:rFonts w:eastAsia="Times New Roman" w:cs="Times New Roman"/>
          <w:szCs w:val="24"/>
        </w:rPr>
      </w:pPr>
      <w:r>
        <w:rPr>
          <w:rFonts w:eastAsia="Times New Roman" w:cs="Times New Roman"/>
          <w:szCs w:val="24"/>
          <w:lang w:val="es-ES"/>
        </w:rPr>
        <w:t>La revisión sistemática de la literatura realizada para evaluar la seguridad y el rendimiento del sistema de drenaje SKATER no identificó ningún acontecimiento relacionado con la seguridad en el uso de los dispositivos. Además, no se identificaron nuevos riesgos ni un aumento en las tendencias de riesgos conocidos con el uso de estos dispositivos.</w:t>
      </w:r>
    </w:p>
    <w:p w14:paraId="77370917" w14:textId="6E74C42F" w:rsidR="00640DD6" w:rsidRPr="00A41BE9" w:rsidRDefault="008745ED" w:rsidP="00A41BE9">
      <w:pPr>
        <w:pStyle w:val="Heading1"/>
        <w:rPr>
          <w:rFonts w:eastAsia="Times New Roman" w:cs="Times New Roman"/>
          <w:b w:val="0"/>
          <w:bCs/>
          <w:szCs w:val="24"/>
        </w:rPr>
      </w:pPr>
      <w:bookmarkStart w:id="41" w:name="_Toc212114784"/>
      <w:r>
        <w:rPr>
          <w:rFonts w:cs="Times New Roman"/>
          <w:bCs/>
          <w:lang w:val="es-ES"/>
        </w:rPr>
        <w:t>Resumen general del rendimiento clínico y la seguridad</w:t>
      </w:r>
      <w:bookmarkEnd w:id="41"/>
      <w:r>
        <w:rPr>
          <w:rFonts w:cs="Times New Roman"/>
          <w:bCs/>
          <w:i/>
          <w:iCs/>
          <w:color w:val="FF0000"/>
          <w:lang w:val="es-ES"/>
        </w:rPr>
        <w:t xml:space="preserve"> </w:t>
      </w:r>
    </w:p>
    <w:p w14:paraId="49C46B06" w14:textId="3E0A1B0E" w:rsidR="006C131D" w:rsidRPr="00451CE9" w:rsidRDefault="00131B54" w:rsidP="0028594C">
      <w:pPr>
        <w:jc w:val="both"/>
        <w:rPr>
          <w:rFonts w:cs="Times New Roman"/>
        </w:rPr>
      </w:pPr>
      <w:r>
        <w:rPr>
          <w:rFonts w:cs="Times New Roman"/>
          <w:lang w:val="es-ES"/>
        </w:rPr>
        <w:t xml:space="preserve">Según la sección 4 de CER-031 </w:t>
      </w:r>
      <w:proofErr w:type="spellStart"/>
      <w:r>
        <w:rPr>
          <w:rFonts w:cs="Times New Roman"/>
          <w:lang w:val="es-ES"/>
        </w:rPr>
        <w:t>Rev</w:t>
      </w:r>
      <w:proofErr w:type="spellEnd"/>
      <w:r>
        <w:rPr>
          <w:rFonts w:cs="Times New Roman"/>
          <w:lang w:val="es-ES"/>
        </w:rPr>
        <w:t xml:space="preserve"> C, las medidas de resultados de seguridad y rendimiento y los puntos temporales se identificaron con base en una revisión de la literatura de estado del arte, dispositivos de la competencia y el dispositivo en cuestión, en consonancia con el uso previsto del sistema de drenaje SKATER.</w:t>
      </w:r>
    </w:p>
    <w:p w14:paraId="23328274" w14:textId="59816CD5" w:rsidR="0028594C" w:rsidRPr="00451CE9" w:rsidRDefault="0028594C" w:rsidP="0028594C">
      <w:pPr>
        <w:jc w:val="both"/>
        <w:rPr>
          <w:rFonts w:cs="Times New Roman"/>
        </w:rPr>
      </w:pPr>
      <w:r>
        <w:rPr>
          <w:rFonts w:cs="Times New Roman"/>
          <w:lang w:val="es-ES"/>
        </w:rPr>
        <w:t>El análisis de la literatura de estado del arte y dispositivos de la competencia informó sobre el escenario actual de los dispositivos comúnmente utilizados para el drenaje de abscesos o colecciones de líquido de las cavidades corporales. Se han establecido medidas de seguridad y rendimiento para el sistema de drenaje SKATER.</w:t>
      </w:r>
    </w:p>
    <w:p w14:paraId="31CAF508" w14:textId="58A8B8E2" w:rsidR="00FB0598" w:rsidRPr="00451CE9" w:rsidRDefault="00FB0598" w:rsidP="0028594C">
      <w:pPr>
        <w:jc w:val="both"/>
        <w:rPr>
          <w:rFonts w:cs="Times New Roman"/>
        </w:rPr>
      </w:pPr>
      <w:r>
        <w:rPr>
          <w:rFonts w:cs="Times New Roman"/>
          <w:lang w:val="es-ES"/>
        </w:rPr>
        <w:t>Los criterios de aceptación de seguridad y rendimiento se establecieron a partir del análisis de la literatura de estado del arte y del análisis de la competencia. Los criterios se formularon mediante el cálculo de promedios ponderados.</w:t>
      </w:r>
    </w:p>
    <w:p w14:paraId="63C36F02" w14:textId="077F1811" w:rsidR="0028594C" w:rsidRPr="00A41BE9" w:rsidRDefault="002A0EEC" w:rsidP="002A0EEC">
      <w:pPr>
        <w:pStyle w:val="TableHeader"/>
        <w:jc w:val="left"/>
        <w:rPr>
          <w:rFonts w:ascii="Times New Roman" w:hAnsi="Times New Roman"/>
          <w:b w:val="0"/>
          <w:bCs/>
        </w:rPr>
      </w:pPr>
      <w:bookmarkStart w:id="42" w:name="_Toc173769741"/>
      <w:r w:rsidRPr="00A41BE9">
        <w:rPr>
          <w:rFonts w:ascii="Times New Roman" w:hAnsi="Times New Roman"/>
          <w:b w:val="0"/>
          <w:lang w:val="es-ES"/>
        </w:rPr>
        <w:lastRenderedPageBreak/>
        <w:t>Tabla 5.4-1: Medidas de seguridad y rendimiento</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es-ES"/>
              </w:rPr>
              <w:t>Tipo de medida</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es-ES"/>
              </w:rPr>
              <w:t>Criterio(s) de evaluación clínica</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es-ES"/>
              </w:rPr>
              <w:t>Definición</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Seguridad</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Tasa de complicaciones</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1EA4CB3C"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Frecuencia de complicaciones y riesgos (sangrado, infección, recurrencia y muerte) asociados con el uso del dispositivo</w:t>
            </w:r>
            <w:r w:rsidR="007F18B7">
              <w:rPr>
                <w:rFonts w:ascii="Times New Roman" w:hAnsi="Times New Roman" w:cs="Times New Roman"/>
                <w:iCs w:val="0"/>
                <w:lang w:val="es-ES"/>
              </w:rPr>
              <w:t>.</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Rendimiento</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Tasa de fallos del catéter</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10664944"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Frecuencia de oclusión, migración/desplazamiento, acodamiento, rotura y fuga del catéter</w:t>
            </w:r>
            <w:r w:rsidR="007F18B7">
              <w:rPr>
                <w:rFonts w:ascii="Times New Roman" w:hAnsi="Times New Roman" w:cs="Times New Roman"/>
                <w:iCs w:val="0"/>
                <w:lang w:val="es-ES"/>
              </w:rPr>
              <w:t>.</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Rendimiento</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Tasa de éxito técnico</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Colocación del catéter de drenaje en las cavidades corporales para drenar el líquido infectado o acumulado.</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Rendimiento</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es-ES"/>
              </w:rPr>
              <w:t>Tasa de éxito clínico</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es-ES"/>
              </w:rPr>
              <w:t>Capacidad para lograr la resolución de los síntomas del paciente debido a infección/acumulación de líquidos.</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es-ES"/>
        </w:rPr>
        <w:t>Beneficios clínicos previstos</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es-ES"/>
        </w:rPr>
        <w:t>El sistema de drenaje SKATER contiene un portafolio de dispositivos que presentan beneficios clínicos directos e indirectos para el paciente medidos a través de diversas medidas de resultados clínicos.</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A41BE9">
      <w:pPr>
        <w:pStyle w:val="Caption"/>
      </w:pPr>
      <w:bookmarkStart w:id="43" w:name="_Ref170796748"/>
      <w:bookmarkStart w:id="44" w:name="_Toc173769758"/>
      <w:r>
        <w:t xml:space="preserve">Tabla </w:t>
      </w:r>
      <w:r>
        <w:rPr>
          <w:bCs/>
        </w:rPr>
        <w:fldChar w:fldCharType="begin"/>
      </w:r>
      <w:r>
        <w:instrText xml:space="preserve"> SEQ Table \* ARABIC </w:instrText>
      </w:r>
      <w:r>
        <w:rPr>
          <w:bCs/>
        </w:rPr>
        <w:fldChar w:fldCharType="separate"/>
      </w:r>
      <w:r>
        <w:rPr>
          <w:bCs/>
        </w:rPr>
        <w:fldChar w:fldCharType="end"/>
      </w:r>
      <w:bookmarkEnd w:id="43"/>
      <w:r>
        <w:t>5.4-2: Beneficios clínicos y criterios de evaluación asociados con el sistema de drenaje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26"/>
        <w:gridCol w:w="5126"/>
        <w:gridCol w:w="3978"/>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es-ES"/>
              </w:rPr>
              <w:t>N.º de identificación</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es-ES"/>
              </w:rPr>
              <w:t>Beneficios clínicos</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es-ES"/>
              </w:rPr>
              <w:t>Criterio(s) de evaluación clínica</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es-ES"/>
              </w:rPr>
              <w:t>1</w:t>
            </w:r>
          </w:p>
        </w:tc>
        <w:tc>
          <w:tcPr>
            <w:tcW w:w="2474" w:type="pct"/>
            <w:tcMar>
              <w:top w:w="0" w:type="dxa"/>
              <w:left w:w="85" w:type="dxa"/>
              <w:bottom w:w="0" w:type="dxa"/>
              <w:right w:w="85" w:type="dxa"/>
            </w:tcMar>
          </w:tcPr>
          <w:p w14:paraId="1C7C13A0" w14:textId="0270C32B" w:rsidR="00640DD6" w:rsidRPr="00451CE9" w:rsidRDefault="00640DD6" w:rsidP="00D74386">
            <w:pPr>
              <w:pStyle w:val="TableText"/>
              <w:jc w:val="both"/>
              <w:rPr>
                <w:sz w:val="20"/>
              </w:rPr>
            </w:pPr>
            <w:r>
              <w:rPr>
                <w:sz w:val="20"/>
                <w:lang w:val="es-ES"/>
              </w:rPr>
              <w:t>Eliminación de acumulación de líquido de cavidades corporales</w:t>
            </w:r>
            <w:r w:rsidR="00AC2DE6">
              <w:rPr>
                <w:sz w:val="20"/>
                <w:lang w:val="es-ES"/>
              </w:rPr>
              <w:t>.</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es-ES"/>
              </w:rPr>
              <w:t>Tasa de éxito técnico</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es-ES"/>
              </w:rPr>
              <w:t>2</w:t>
            </w:r>
          </w:p>
        </w:tc>
        <w:tc>
          <w:tcPr>
            <w:tcW w:w="2474" w:type="pct"/>
            <w:tcMar>
              <w:top w:w="0" w:type="dxa"/>
              <w:left w:w="85" w:type="dxa"/>
              <w:bottom w:w="0" w:type="dxa"/>
              <w:right w:w="85" w:type="dxa"/>
            </w:tcMar>
          </w:tcPr>
          <w:p w14:paraId="25A606DE" w14:textId="30B2DD05" w:rsidR="00640DD6" w:rsidRPr="00451CE9" w:rsidRDefault="00640DD6" w:rsidP="00D74386">
            <w:pPr>
              <w:pStyle w:val="TableText"/>
              <w:jc w:val="both"/>
              <w:rPr>
                <w:sz w:val="20"/>
              </w:rPr>
            </w:pPr>
            <w:r>
              <w:rPr>
                <w:sz w:val="20"/>
                <w:lang w:val="es-ES"/>
              </w:rPr>
              <w:t>Resolución de los síntomas del paciente debido a líquido infectado o acumulación de líquido</w:t>
            </w:r>
            <w:r w:rsidR="00AC2DE6">
              <w:rPr>
                <w:sz w:val="20"/>
                <w:lang w:val="es-ES"/>
              </w:rPr>
              <w:t>.</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es-ES"/>
              </w:rPr>
              <w:t>Tasa de éxito clínico</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es-ES"/>
              </w:rPr>
              <w:t>3</w:t>
            </w:r>
          </w:p>
        </w:tc>
        <w:tc>
          <w:tcPr>
            <w:tcW w:w="2474" w:type="pct"/>
            <w:tcMar>
              <w:top w:w="0" w:type="dxa"/>
              <w:left w:w="85" w:type="dxa"/>
              <w:bottom w:w="0" w:type="dxa"/>
              <w:right w:w="85" w:type="dxa"/>
            </w:tcMar>
          </w:tcPr>
          <w:p w14:paraId="3D2A63B4" w14:textId="1A214525" w:rsidR="00640DD6" w:rsidRPr="00451CE9" w:rsidRDefault="00640DD6" w:rsidP="00D74386">
            <w:pPr>
              <w:pStyle w:val="TableText"/>
              <w:jc w:val="both"/>
              <w:rPr>
                <w:sz w:val="20"/>
              </w:rPr>
            </w:pPr>
            <w:r>
              <w:rPr>
                <w:sz w:val="20"/>
                <w:lang w:val="es-ES"/>
              </w:rPr>
              <w:t>Menores complicaciones y riesgos en comparación con la intervención quirúrgica</w:t>
            </w:r>
            <w:r w:rsidR="00AC2DE6">
              <w:rPr>
                <w:sz w:val="20"/>
                <w:lang w:val="es-ES"/>
              </w:rPr>
              <w:t>.</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es-ES"/>
              </w:rPr>
              <w:t>Tasa de complicaciones</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es-ES"/>
              </w:rPr>
              <w:t>4</w:t>
            </w:r>
          </w:p>
        </w:tc>
        <w:tc>
          <w:tcPr>
            <w:tcW w:w="2474" w:type="pct"/>
            <w:tcMar>
              <w:top w:w="0" w:type="dxa"/>
              <w:left w:w="85" w:type="dxa"/>
              <w:bottom w:w="0" w:type="dxa"/>
              <w:right w:w="85" w:type="dxa"/>
            </w:tcMar>
          </w:tcPr>
          <w:p w14:paraId="778C8B8F" w14:textId="27815062" w:rsidR="00640DD6" w:rsidRPr="00451CE9" w:rsidRDefault="00640DD6" w:rsidP="00D74386">
            <w:pPr>
              <w:pStyle w:val="TableText"/>
              <w:jc w:val="both"/>
              <w:rPr>
                <w:sz w:val="20"/>
              </w:rPr>
            </w:pPr>
            <w:r>
              <w:rPr>
                <w:sz w:val="20"/>
                <w:lang w:val="es-ES"/>
              </w:rPr>
              <w:t>Facilitar el acceso percutáneo para la colocación de un catéter</w:t>
            </w:r>
            <w:r w:rsidR="00AC2DE6">
              <w:rPr>
                <w:sz w:val="20"/>
                <w:lang w:val="es-ES"/>
              </w:rPr>
              <w:t>.</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es-ES"/>
              </w:rPr>
              <w:t>Tasa de éxito técnico</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es-ES"/>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es-ES"/>
              </w:rPr>
              <w:t>Previene el desplazamiento y la migración del catéter, minimizando así el riesgo de procedimientos o intercambios adicionales.</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es-ES"/>
              </w:rPr>
              <w:t>Tasa de éxito de las complicaciones</w:t>
            </w:r>
          </w:p>
        </w:tc>
      </w:tr>
    </w:tbl>
    <w:p w14:paraId="3EE52340" w14:textId="77777777" w:rsidR="00640DD6" w:rsidRPr="00451CE9" w:rsidRDefault="00640DD6" w:rsidP="00A41BE9">
      <w:pPr>
        <w:spacing w:before="240" w:after="0" w:afterAutospacing="0"/>
        <w:jc w:val="both"/>
        <w:rPr>
          <w:rFonts w:cs="Times New Roman"/>
        </w:rPr>
      </w:pPr>
      <w:r>
        <w:rPr>
          <w:rFonts w:cs="Times New Roman"/>
          <w:lang w:val="es-ES"/>
        </w:rPr>
        <w:t>Estos dispositivos proporcionan los siguientes beneficios clínicos directos en pacientes sometidos a drenaje percutáneo o aspiración de colecciones de líquido:</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es-ES"/>
        </w:rPr>
        <w:t xml:space="preserve">Eliminación de acumulación de líquido de las cavidades corporales.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es-ES"/>
        </w:rPr>
        <w:t xml:space="preserve">Resolución de los síntomas del paciente debido a líquido infectado o acumulación de líquido.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es-ES"/>
        </w:rPr>
        <w:t>Menores complicaciones y riesgos en comparación con la intervención quirúrgica.</w:t>
      </w:r>
      <w:bookmarkStart w:id="45" w:name="_Ref139548872"/>
      <w:bookmarkStart w:id="46" w:name="_Toc173769790"/>
    </w:p>
    <w:p w14:paraId="2DF0C4C9" w14:textId="77777777" w:rsidR="006F2B24" w:rsidRPr="00451CE9" w:rsidRDefault="006F2B24">
      <w:pPr>
        <w:pStyle w:val="Caption"/>
      </w:pPr>
    </w:p>
    <w:p w14:paraId="01711ABE" w14:textId="6B476B6A" w:rsidR="00D35C8B" w:rsidRPr="00987490" w:rsidRDefault="00D35C8B">
      <w:pPr>
        <w:pStyle w:val="Caption"/>
      </w:pPr>
      <w:r w:rsidRPr="00987490">
        <w:t xml:space="preserve">Tabla </w:t>
      </w:r>
      <w:bookmarkEnd w:id="45"/>
      <w:r w:rsidRPr="00987490">
        <w:t xml:space="preserve">5.4-3: Criterios de aceptación de seguridad y rendimiento </w:t>
      </w:r>
      <w:bookmarkStart w:id="47" w:name="_Hlk138931070"/>
      <w:r w:rsidRPr="00987490">
        <w:t>Registrados a partir del análisis del dispositivo sujeto</w:t>
      </w:r>
      <w:bookmarkEnd w:id="47"/>
      <w:r w:rsidRPr="00987490">
        <w:t xml:space="preserve"> – </w:t>
      </w:r>
      <w:bookmarkStart w:id="48" w:name="_Hlk170340850"/>
      <w:r w:rsidRPr="00987490">
        <w:t>Aplicaciones de drenaje generales/multiuso</w:t>
      </w:r>
      <w:bookmarkEnd w:id="46"/>
      <w:bookmarkEnd w:id="48"/>
    </w:p>
    <w:tbl>
      <w:tblPr>
        <w:tblStyle w:val="TableGrid"/>
        <w:tblW w:w="5000" w:type="pct"/>
        <w:tblLook w:val="04A0" w:firstRow="1" w:lastRow="0" w:firstColumn="1" w:lastColumn="0" w:noHBand="0" w:noVBand="1"/>
      </w:tblPr>
      <w:tblGrid>
        <w:gridCol w:w="2971"/>
        <w:gridCol w:w="2231"/>
        <w:gridCol w:w="2708"/>
        <w:gridCol w:w="2520"/>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s-ES"/>
              </w:rPr>
              <w:t xml:space="preserve">Criterio de evaluación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s-ES"/>
              </w:rPr>
              <w:t>(objetivos)</w:t>
            </w:r>
          </w:p>
        </w:tc>
        <w:tc>
          <w:tcPr>
            <w:tcW w:w="1093" w:type="pct"/>
            <w:tcBorders>
              <w:left w:val="single" w:sz="4" w:space="0" w:color="auto"/>
            </w:tcBorders>
            <w:shd w:val="clear" w:color="auto" w:fill="D9D9D9" w:themeFill="background1" w:themeFillShade="D9"/>
          </w:tcPr>
          <w:p w14:paraId="512E34D1"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s-ES"/>
              </w:rPr>
              <w:t>Criterios de aceptación a partir del estado del arte y los análisis de la competencia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s-ES"/>
              </w:rPr>
              <w:t xml:space="preserve">Tasa registrada desde la EDU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s-ES"/>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es-ES"/>
              </w:rPr>
              <w:t>¿Cumple los criterios de aceptación?</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es-ES"/>
              </w:rPr>
              <w:t>Seguridad</w:t>
            </w:r>
          </w:p>
        </w:tc>
      </w:tr>
      <w:tr w:rsidR="00D35C8B" w:rsidRPr="00451CE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es-ES"/>
              </w:rPr>
              <w:t xml:space="preserve">Tasa de sangrado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s-ES"/>
              </w:rPr>
              <w:t>≤4,97 %</w:t>
            </w:r>
          </w:p>
        </w:tc>
        <w:tc>
          <w:tcPr>
            <w:tcW w:w="1321" w:type="pct"/>
          </w:tcPr>
          <w:p w14:paraId="17C53A61" w14:textId="07947DB4" w:rsidR="00D35C8B" w:rsidRPr="00451CE9" w:rsidRDefault="00D35C8B" w:rsidP="0036414A">
            <w:pPr>
              <w:pStyle w:val="TableEntry"/>
              <w:spacing w:before="0" w:after="0"/>
              <w:ind w:left="25" w:right="-55"/>
              <w:rPr>
                <w:rFonts w:ascii="Times New Roman" w:hAnsi="Times New Roman"/>
                <w:iCs/>
                <w:sz w:val="22"/>
                <w:szCs w:val="22"/>
              </w:rPr>
            </w:pPr>
            <w:r>
              <w:rPr>
                <w:rFonts w:ascii="Times New Roman" w:hAnsi="Times New Roman"/>
                <w:sz w:val="22"/>
                <w:szCs w:val="22"/>
                <w:lang w:val="es-ES"/>
              </w:rPr>
              <w:t xml:space="preserve">Promedio ponderado: </w:t>
            </w:r>
            <w:bookmarkStart w:id="49" w:name="_Hlk170341827"/>
            <w:r>
              <w:rPr>
                <w:rFonts w:ascii="Times New Roman" w:hAnsi="Times New Roman"/>
                <w:sz w:val="22"/>
                <w:szCs w:val="22"/>
                <w:lang w:val="es-ES"/>
              </w:rPr>
              <w:t>0,28 %;</w:t>
            </w:r>
            <w:r w:rsidR="0036414A">
              <w:rPr>
                <w:rFonts w:ascii="Times New Roman" w:hAnsi="Times New Roman"/>
                <w:sz w:val="22"/>
                <w:szCs w:val="22"/>
                <w:lang w:val="es-ES"/>
              </w:rPr>
              <w:t xml:space="preserve"> </w:t>
            </w:r>
            <w:r>
              <w:rPr>
                <w:rFonts w:ascii="Times New Roman" w:hAnsi="Times New Roman"/>
                <w:sz w:val="22"/>
                <w:szCs w:val="22"/>
                <w:lang w:val="es-ES"/>
              </w:rPr>
              <w:t>IC del 95 % (0,271, 0,290)</w:t>
            </w:r>
            <w:bookmarkEnd w:id="49"/>
          </w:p>
        </w:tc>
        <w:tc>
          <w:tcPr>
            <w:tcW w:w="1230"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s-ES"/>
              </w:rPr>
              <w:t>Sí, se cumplió el criterio de aceptación establecido.</w:t>
            </w:r>
          </w:p>
        </w:tc>
      </w:tr>
      <w:tr w:rsidR="00D35C8B" w:rsidRPr="00451CE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s-ES"/>
              </w:rPr>
              <w:t>Tasa de infección</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s-ES"/>
              </w:rPr>
              <w:t>≤2,17 %</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es-ES"/>
              </w:rPr>
              <w:t>Promedio ponderado: 0 %;</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s-ES"/>
              </w:rPr>
              <w:t>IC del 95 % (0, 0)</w:t>
            </w:r>
          </w:p>
        </w:tc>
        <w:tc>
          <w:tcPr>
            <w:tcW w:w="1230"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es-ES"/>
              </w:rPr>
              <w:t>Sí, se cumplió el criterio de aceptación establecido.</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s-ES"/>
              </w:rPr>
              <w:t>Tasa de recurrencia</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s-ES"/>
              </w:rPr>
              <w:t>≤10,42 %</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NN</w:t>
            </w:r>
          </w:p>
        </w:tc>
        <w:tc>
          <w:tcPr>
            <w:tcW w:w="1230" w:type="pct"/>
            <w:vAlign w:val="center"/>
          </w:tcPr>
          <w:p w14:paraId="66D8215B" w14:textId="77777777"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El criterio de aceptación establecido puede considerarse cumplido.</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s-ES"/>
              </w:rPr>
              <w:t>Tasa de mortalidad</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s-ES"/>
              </w:rPr>
              <w:t>≤5,84 %</w:t>
            </w:r>
          </w:p>
        </w:tc>
        <w:tc>
          <w:tcPr>
            <w:tcW w:w="1321" w:type="pct"/>
            <w:vAlign w:val="center"/>
          </w:tcPr>
          <w:p w14:paraId="061EBBF0" w14:textId="049FC9FB" w:rsidR="00D35C8B" w:rsidRPr="00451CE9" w:rsidRDefault="00D35C8B" w:rsidP="00A41BE9">
            <w:pPr>
              <w:pStyle w:val="TableEntry"/>
              <w:spacing w:before="0" w:after="0"/>
              <w:rPr>
                <w:rFonts w:ascii="Times New Roman" w:hAnsi="Times New Roman"/>
                <w:sz w:val="22"/>
                <w:szCs w:val="22"/>
              </w:rPr>
            </w:pPr>
            <w:r>
              <w:rPr>
                <w:rFonts w:ascii="Times New Roman" w:hAnsi="Times New Roman"/>
                <w:sz w:val="22"/>
                <w:szCs w:val="22"/>
                <w:lang w:val="es-ES"/>
              </w:rPr>
              <w:t xml:space="preserve">Promedio ponderado: </w:t>
            </w:r>
            <w:bookmarkStart w:id="50" w:name="_Hlk170342241"/>
            <w:r>
              <w:rPr>
                <w:rFonts w:ascii="Times New Roman" w:hAnsi="Times New Roman"/>
                <w:sz w:val="22"/>
                <w:szCs w:val="22"/>
                <w:lang w:val="es-ES"/>
              </w:rPr>
              <w:t>0,32 %</w:t>
            </w:r>
            <w:bookmarkEnd w:id="50"/>
            <w:r>
              <w:rPr>
                <w:rFonts w:ascii="Times New Roman" w:hAnsi="Times New Roman"/>
                <w:sz w:val="22"/>
                <w:szCs w:val="22"/>
                <w:lang w:val="es-ES"/>
              </w:rPr>
              <w:t>;</w:t>
            </w:r>
            <w:r w:rsidR="00EB1FC4">
              <w:rPr>
                <w:rFonts w:ascii="Times New Roman" w:hAnsi="Times New Roman"/>
                <w:sz w:val="22"/>
                <w:szCs w:val="22"/>
                <w:lang w:val="es-ES"/>
              </w:rPr>
              <w:t xml:space="preserve"> </w:t>
            </w:r>
            <w:r>
              <w:rPr>
                <w:rFonts w:ascii="Times New Roman" w:hAnsi="Times New Roman"/>
                <w:sz w:val="22"/>
                <w:szCs w:val="22"/>
                <w:lang w:val="es-ES"/>
              </w:rPr>
              <w:t>IC del 95 %: NA (los datos se informaron a partir de un artículo, por lo tanto, el IC no es aplicable)</w:t>
            </w:r>
          </w:p>
        </w:tc>
        <w:tc>
          <w:tcPr>
            <w:tcW w:w="1230" w:type="pct"/>
          </w:tcPr>
          <w:p w14:paraId="641C9EFB" w14:textId="77777777" w:rsidR="00D35C8B" w:rsidRPr="00451CE9" w:rsidRDefault="00D35C8B" w:rsidP="00A41BE9">
            <w:pPr>
              <w:pStyle w:val="TableEntry"/>
              <w:spacing w:before="0" w:after="0"/>
              <w:rPr>
                <w:rFonts w:ascii="Times New Roman" w:hAnsi="Times New Roman"/>
                <w:iCs/>
                <w:sz w:val="22"/>
                <w:szCs w:val="22"/>
                <w:highlight w:val="yellow"/>
              </w:rPr>
            </w:pPr>
            <w:r>
              <w:rPr>
                <w:rFonts w:ascii="Times New Roman" w:hAnsi="Times New Roman"/>
                <w:sz w:val="22"/>
                <w:szCs w:val="22"/>
                <w:lang w:val="es-ES"/>
              </w:rPr>
              <w:t>Sí, se cumplió el criterio de aceptación establecido.</w:t>
            </w:r>
          </w:p>
        </w:tc>
      </w:tr>
      <w:tr w:rsidR="00D35C8B" w:rsidRPr="00451CE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es-ES"/>
              </w:rPr>
              <w:t>Tasa global de complicaciones</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es-ES"/>
              </w:rPr>
              <w:t>≤13,72 %</w:t>
            </w:r>
          </w:p>
        </w:tc>
        <w:tc>
          <w:tcPr>
            <w:tcW w:w="1321" w:type="pct"/>
            <w:vAlign w:val="center"/>
          </w:tcPr>
          <w:p w14:paraId="3C979DBF" w14:textId="0114554A"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s-ES"/>
              </w:rPr>
              <w:t xml:space="preserve">Promedio ponderado: </w:t>
            </w:r>
            <w:bookmarkStart w:id="51" w:name="_Hlk170342335"/>
            <w:r>
              <w:rPr>
                <w:rFonts w:ascii="Times New Roman" w:hAnsi="Times New Roman"/>
                <w:sz w:val="22"/>
                <w:szCs w:val="22"/>
                <w:lang w:val="es-ES"/>
              </w:rPr>
              <w:t>6,19 %;</w:t>
            </w:r>
            <w:r w:rsidR="005C77E9">
              <w:rPr>
                <w:rFonts w:ascii="Times New Roman" w:hAnsi="Times New Roman"/>
                <w:sz w:val="22"/>
                <w:szCs w:val="22"/>
                <w:lang w:val="es-ES"/>
              </w:rPr>
              <w:t xml:space="preserve"> </w:t>
            </w:r>
            <w:r>
              <w:rPr>
                <w:rFonts w:ascii="Times New Roman" w:hAnsi="Times New Roman"/>
                <w:sz w:val="22"/>
                <w:szCs w:val="22"/>
                <w:lang w:val="es-ES"/>
              </w:rPr>
              <w:t>IC del 95 % (5,893, 6,499)</w:t>
            </w:r>
            <w:bookmarkEnd w:id="51"/>
          </w:p>
        </w:tc>
        <w:tc>
          <w:tcPr>
            <w:tcW w:w="1230" w:type="pct"/>
          </w:tcPr>
          <w:p w14:paraId="1F8B74D1" w14:textId="77777777" w:rsidR="00D35C8B" w:rsidRPr="00451CE9" w:rsidRDefault="00D35C8B" w:rsidP="00A41BE9">
            <w:pPr>
              <w:pStyle w:val="TableEntry"/>
              <w:spacing w:before="0" w:after="0"/>
              <w:rPr>
                <w:rFonts w:ascii="Times New Roman" w:hAnsi="Times New Roman"/>
                <w:sz w:val="22"/>
                <w:szCs w:val="22"/>
              </w:rPr>
            </w:pPr>
            <w:r>
              <w:rPr>
                <w:rFonts w:ascii="Times New Roman" w:hAnsi="Times New Roman"/>
                <w:sz w:val="22"/>
                <w:szCs w:val="22"/>
                <w:lang w:val="es-ES"/>
              </w:rPr>
              <w:t>Sí, se cumplió el criterio de aceptación establecido.</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es-ES"/>
              </w:rPr>
              <w:t>Rendimiento</w:t>
            </w:r>
          </w:p>
        </w:tc>
      </w:tr>
      <w:tr w:rsidR="00D35C8B" w:rsidRPr="00451CE9" w14:paraId="774B65E3" w14:textId="77777777" w:rsidTr="00A41BE9">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es-ES"/>
              </w:rPr>
              <w:t>Tasa de fallo del catéter:</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s-ES"/>
              </w:rPr>
              <w:t>Oclusión del catéter</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≤5,23 %</w:t>
            </w:r>
          </w:p>
        </w:tc>
        <w:tc>
          <w:tcPr>
            <w:tcW w:w="1321" w:type="pct"/>
            <w:vAlign w:val="center"/>
          </w:tcPr>
          <w:p w14:paraId="20485407" w14:textId="774DC944" w:rsidR="00D35C8B" w:rsidRPr="00451CE9" w:rsidRDefault="00D35C8B" w:rsidP="00A41BE9">
            <w:pPr>
              <w:pStyle w:val="TableEntry"/>
              <w:spacing w:before="0" w:after="0"/>
              <w:rPr>
                <w:rFonts w:ascii="Times New Roman" w:hAnsi="Times New Roman"/>
                <w:iCs/>
                <w:sz w:val="22"/>
                <w:szCs w:val="22"/>
                <w:highlight w:val="yellow"/>
              </w:rPr>
            </w:pPr>
            <w:r>
              <w:rPr>
                <w:rFonts w:ascii="Times New Roman" w:hAnsi="Times New Roman"/>
                <w:sz w:val="22"/>
                <w:szCs w:val="22"/>
                <w:lang w:val="es-ES"/>
              </w:rPr>
              <w:t>Promedio ponderado</w:t>
            </w:r>
            <w:bookmarkStart w:id="52" w:name="_Hlk170343238"/>
            <w:r>
              <w:rPr>
                <w:rFonts w:ascii="Times New Roman" w:hAnsi="Times New Roman"/>
                <w:sz w:val="22"/>
                <w:szCs w:val="22"/>
                <w:lang w:val="es-ES"/>
              </w:rPr>
              <w:t>: 0,47 %;</w:t>
            </w:r>
            <w:bookmarkEnd w:id="52"/>
            <w:r w:rsidR="009D0E99">
              <w:rPr>
                <w:rFonts w:ascii="Times New Roman" w:hAnsi="Times New Roman"/>
                <w:sz w:val="22"/>
                <w:szCs w:val="22"/>
                <w:lang w:val="es-ES"/>
              </w:rPr>
              <w:t xml:space="preserve"> </w:t>
            </w:r>
            <w:r>
              <w:rPr>
                <w:rFonts w:ascii="Times New Roman" w:hAnsi="Times New Roman"/>
                <w:sz w:val="22"/>
                <w:szCs w:val="22"/>
                <w:lang w:val="es-ES"/>
              </w:rPr>
              <w:t>IC del 95 %: NA (los datos se informaron a partir de un artículo, por lo tanto, el IC no es aplicable)</w:t>
            </w:r>
          </w:p>
        </w:tc>
        <w:tc>
          <w:tcPr>
            <w:tcW w:w="1230" w:type="pct"/>
            <w:vAlign w:val="center"/>
          </w:tcPr>
          <w:p w14:paraId="1D699A26" w14:textId="77777777" w:rsidR="00D35C8B" w:rsidRPr="00451CE9" w:rsidRDefault="00D35C8B" w:rsidP="00A41BE9">
            <w:pPr>
              <w:pStyle w:val="TableEntry"/>
              <w:spacing w:before="0" w:after="0"/>
              <w:rPr>
                <w:rFonts w:ascii="Times New Roman" w:hAnsi="Times New Roman"/>
                <w:iCs/>
                <w:sz w:val="22"/>
                <w:szCs w:val="22"/>
                <w:highlight w:val="yellow"/>
              </w:rPr>
            </w:pPr>
            <w:r>
              <w:rPr>
                <w:rFonts w:ascii="Times New Roman" w:hAnsi="Times New Roman"/>
                <w:sz w:val="22"/>
                <w:szCs w:val="22"/>
                <w:lang w:val="es-ES"/>
              </w:rPr>
              <w:t>Sí, se cumplió el criterio de aceptación establecido.</w:t>
            </w:r>
          </w:p>
        </w:tc>
      </w:tr>
      <w:tr w:rsidR="00D35C8B" w:rsidRPr="00451CE9" w14:paraId="08F043C5" w14:textId="77777777" w:rsidTr="00A41BE9">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s-ES"/>
              </w:rPr>
              <w:t>Migración/Desplazamiento del catéter</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≤5,4 %</w:t>
            </w:r>
          </w:p>
        </w:tc>
        <w:tc>
          <w:tcPr>
            <w:tcW w:w="1321" w:type="pct"/>
            <w:vAlign w:val="center"/>
          </w:tcPr>
          <w:p w14:paraId="1CBEFF54" w14:textId="7E2F25DE"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Promedio ponderado: 2,2 %;</w:t>
            </w:r>
            <w:r w:rsidR="006D2310">
              <w:rPr>
                <w:rFonts w:ascii="Times New Roman" w:hAnsi="Times New Roman"/>
                <w:sz w:val="22"/>
                <w:szCs w:val="22"/>
                <w:lang w:val="es-ES"/>
              </w:rPr>
              <w:t xml:space="preserve"> </w:t>
            </w:r>
            <w:r>
              <w:rPr>
                <w:rFonts w:ascii="Times New Roman" w:hAnsi="Times New Roman"/>
                <w:sz w:val="22"/>
                <w:szCs w:val="22"/>
                <w:lang w:val="es-ES"/>
              </w:rPr>
              <w:t>IC del 95 %: NA (los datos se informaron a partir de un artículo, por lo tanto, el IC no es aplicable)</w:t>
            </w:r>
          </w:p>
        </w:tc>
        <w:tc>
          <w:tcPr>
            <w:tcW w:w="1230" w:type="pct"/>
            <w:vAlign w:val="center"/>
          </w:tcPr>
          <w:p w14:paraId="6655E99E" w14:textId="77777777"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Sí, se cumplió el criterio de aceptación establecido.</w:t>
            </w:r>
          </w:p>
        </w:tc>
      </w:tr>
      <w:tr w:rsidR="00D35C8B" w:rsidRPr="00451CE9" w14:paraId="6015C61A" w14:textId="77777777" w:rsidTr="00A41BE9">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s-ES"/>
              </w:rPr>
              <w:t>Acodamiento del catéter</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≤3 %</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NN</w:t>
            </w:r>
          </w:p>
        </w:tc>
        <w:tc>
          <w:tcPr>
            <w:tcW w:w="1230" w:type="pct"/>
            <w:vAlign w:val="center"/>
          </w:tcPr>
          <w:p w14:paraId="0D9D215E" w14:textId="77777777"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El criterio de aceptación establecido puede considerarse cumplido.</w:t>
            </w:r>
          </w:p>
        </w:tc>
      </w:tr>
      <w:tr w:rsidR="00D35C8B" w:rsidRPr="00451CE9" w14:paraId="6838C910" w14:textId="77777777" w:rsidTr="00A41BE9">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es-ES"/>
              </w:rPr>
              <w:t xml:space="preserve">Rotura del catéter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≤1,8 %</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es-ES"/>
              </w:rPr>
              <w:t>NN</w:t>
            </w:r>
          </w:p>
        </w:tc>
        <w:tc>
          <w:tcPr>
            <w:tcW w:w="1230" w:type="pct"/>
            <w:vAlign w:val="center"/>
          </w:tcPr>
          <w:p w14:paraId="3F2421FD" w14:textId="77777777"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El criterio de aceptación establecido puede considerarse cumplido.</w:t>
            </w:r>
          </w:p>
        </w:tc>
      </w:tr>
      <w:tr w:rsidR="00D35C8B" w:rsidRPr="00451CE9" w14:paraId="65FFAD08" w14:textId="77777777" w:rsidTr="00A41BE9">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es-ES"/>
              </w:rPr>
              <w:t xml:space="preserve">Tasa de éxito técnico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es-ES"/>
              </w:rPr>
              <w:t>≥93,22 %</w:t>
            </w:r>
          </w:p>
        </w:tc>
        <w:tc>
          <w:tcPr>
            <w:tcW w:w="1321" w:type="pct"/>
            <w:vAlign w:val="center"/>
          </w:tcPr>
          <w:p w14:paraId="63F44D7B" w14:textId="71CCB2B3"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 xml:space="preserve">Promedio ponderado: </w:t>
            </w:r>
            <w:bookmarkStart w:id="53" w:name="_Hlk170340907"/>
            <w:r>
              <w:rPr>
                <w:rFonts w:ascii="Times New Roman" w:hAnsi="Times New Roman"/>
                <w:sz w:val="22"/>
                <w:szCs w:val="22"/>
                <w:lang w:val="es-ES"/>
              </w:rPr>
              <w:t>99,86 </w:t>
            </w:r>
            <w:proofErr w:type="gramStart"/>
            <w:r>
              <w:rPr>
                <w:rFonts w:ascii="Times New Roman" w:hAnsi="Times New Roman"/>
                <w:sz w:val="22"/>
                <w:szCs w:val="22"/>
                <w:lang w:val="es-ES"/>
              </w:rPr>
              <w:t>%;IC</w:t>
            </w:r>
            <w:proofErr w:type="gramEnd"/>
            <w:r>
              <w:rPr>
                <w:rFonts w:ascii="Times New Roman" w:hAnsi="Times New Roman"/>
                <w:sz w:val="22"/>
                <w:szCs w:val="22"/>
                <w:lang w:val="es-ES"/>
              </w:rPr>
              <w:t xml:space="preserve"> del 95 % (99,858, 99,866)</w:t>
            </w:r>
            <w:bookmarkEnd w:id="53"/>
          </w:p>
        </w:tc>
        <w:tc>
          <w:tcPr>
            <w:tcW w:w="1230" w:type="pct"/>
            <w:vAlign w:val="center"/>
          </w:tcPr>
          <w:p w14:paraId="2E4D493E" w14:textId="77777777"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Sí, se cumplió el criterio de aceptación establecido.</w:t>
            </w:r>
          </w:p>
        </w:tc>
      </w:tr>
      <w:tr w:rsidR="00D35C8B" w:rsidRPr="00451CE9" w14:paraId="71F653C9" w14:textId="77777777" w:rsidTr="00A41BE9">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es-ES"/>
              </w:rPr>
              <w:lastRenderedPageBreak/>
              <w:t>Tasa de éxito clínico</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es-ES"/>
              </w:rPr>
              <w:t>≥80,95 %</w:t>
            </w:r>
          </w:p>
        </w:tc>
        <w:tc>
          <w:tcPr>
            <w:tcW w:w="1321" w:type="pct"/>
            <w:vAlign w:val="center"/>
          </w:tcPr>
          <w:p w14:paraId="1A1B37C8" w14:textId="54F0835F" w:rsidR="00D35C8B" w:rsidRPr="00451CE9" w:rsidRDefault="00D35C8B" w:rsidP="00921B7A">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es-ES"/>
              </w:rPr>
              <w:t>Promedio ponderado: 87,16 %;</w:t>
            </w:r>
            <w:r w:rsidR="00A32E67">
              <w:rPr>
                <w:rFonts w:ascii="Times New Roman" w:hAnsi="Times New Roman"/>
                <w:sz w:val="22"/>
                <w:szCs w:val="22"/>
                <w:lang w:val="es-ES"/>
              </w:rPr>
              <w:t xml:space="preserve"> </w:t>
            </w:r>
            <w:r>
              <w:rPr>
                <w:rFonts w:ascii="Times New Roman" w:hAnsi="Times New Roman"/>
                <w:sz w:val="22"/>
                <w:szCs w:val="22"/>
                <w:lang w:val="es-ES"/>
              </w:rPr>
              <w:t>IC del 95 % (85,644, 88,676)</w:t>
            </w:r>
            <w:bookmarkEnd w:id="54"/>
          </w:p>
        </w:tc>
        <w:tc>
          <w:tcPr>
            <w:tcW w:w="1230" w:type="pct"/>
            <w:vAlign w:val="center"/>
          </w:tcPr>
          <w:p w14:paraId="2137BA64" w14:textId="77777777" w:rsidR="00D35C8B" w:rsidRPr="00451CE9" w:rsidRDefault="00D35C8B" w:rsidP="00A41BE9">
            <w:pPr>
              <w:pStyle w:val="TableEntry"/>
              <w:spacing w:before="0" w:after="0"/>
              <w:rPr>
                <w:rFonts w:ascii="Times New Roman" w:hAnsi="Times New Roman"/>
                <w:iCs/>
                <w:sz w:val="22"/>
                <w:szCs w:val="22"/>
              </w:rPr>
            </w:pPr>
            <w:r>
              <w:rPr>
                <w:rFonts w:ascii="Times New Roman" w:hAnsi="Times New Roman"/>
                <w:sz w:val="22"/>
                <w:szCs w:val="22"/>
                <w:lang w:val="es-ES"/>
              </w:rPr>
              <w:t>Sí, se cumplió el criterio de aceptación establecido.</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es-ES"/>
        </w:rPr>
        <w:t xml:space="preserve">NN: No notificado </w:t>
      </w:r>
    </w:p>
    <w:p w14:paraId="4CA79FAA" w14:textId="77777777" w:rsidR="002F2BA2" w:rsidRPr="00451CE9" w:rsidRDefault="002F2BA2" w:rsidP="00A41BE9">
      <w:pPr>
        <w:pStyle w:val="Caption"/>
        <w:spacing w:after="0"/>
      </w:pPr>
      <w:bookmarkStart w:id="55" w:name="_Toc173769791"/>
    </w:p>
    <w:p w14:paraId="6FC06507" w14:textId="3F842C63" w:rsidR="00D35C8B" w:rsidRPr="00451CE9" w:rsidRDefault="009006F7" w:rsidP="00A41BE9">
      <w:pPr>
        <w:pStyle w:val="Caption"/>
      </w:pPr>
      <w:r>
        <w:t>Tabla 5.4-4: Criterios de aceptación de seguridad y rendimiento declarados a partir del análisis del dispositivo sujeto - Aplicaciones de drenaje biliar</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s-ES"/>
              </w:rPr>
              <w:t>Criterio de evaluación (objetivo)</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s-ES"/>
              </w:rPr>
              <w:t>Criterios de aceptación a partir del estado del arte y los análisis de la competencia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s-ES"/>
              </w:rPr>
              <w:t xml:space="preserve">Tasa registrada desde la EDU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s-ES"/>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es-ES"/>
              </w:rPr>
              <w:t>¿Cumple los criterios de aceptación?</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es-ES"/>
              </w:rPr>
              <w:t>Seguridad</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es-ES"/>
              </w:rPr>
              <w:t xml:space="preserve">Tasa de sangrado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s-ES"/>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es-ES"/>
              </w:rPr>
              <w:t xml:space="preserve">Promedio ponderado: </w:t>
            </w:r>
            <w:r>
              <w:rPr>
                <w:rFonts w:ascii="Times New Roman" w:hAnsi="Times New Roman"/>
                <w:szCs w:val="20"/>
                <w:lang w:val="es-ES"/>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es-ES"/>
              </w:rPr>
              <w:t>IC del 95 %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s-ES"/>
              </w:rPr>
              <w:t>Tasa de infección</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s-ES"/>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 xml:space="preserve">Promedio ponderado: </w:t>
            </w:r>
            <w:bookmarkStart w:id="57" w:name="_Hlk170341976"/>
            <w:r>
              <w:rPr>
                <w:rFonts w:ascii="Times New Roman" w:hAnsi="Times New Roman"/>
                <w:lang w:val="es-ES"/>
              </w:rPr>
              <w:t>1,56</w:t>
            </w:r>
            <w:r>
              <w:rPr>
                <w:rFonts w:ascii="Times New Roman" w:hAnsi="Times New Roman"/>
                <w:szCs w:val="20"/>
                <w:lang w:val="es-ES"/>
              </w:rPr>
              <w:t> %;</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IC del 95 %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s-ES"/>
              </w:rPr>
              <w:t>Tasa de recurrencia</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s-ES"/>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32" w:type="pct"/>
            <w:vAlign w:val="center"/>
          </w:tcPr>
          <w:p w14:paraId="720EA260"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s-ES"/>
              </w:rPr>
              <w:t>Tasa de mortalidad</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s-ES"/>
              </w:rPr>
              <w:t>≤1,54 %</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 xml:space="preserve">Promedio ponderado: </w:t>
            </w:r>
            <w:r>
              <w:rPr>
                <w:rFonts w:ascii="Times New Roman" w:hAnsi="Times New Roman"/>
                <w:szCs w:val="20"/>
                <w:lang w:val="es-ES"/>
              </w:rPr>
              <w:t>0,8 %;</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es-ES"/>
              </w:rPr>
              <w:t>IC del 95 %: NA (los datos se informaron a partir de un artículo, por lo tanto, el IC no es aplicable)</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r w:rsidR="00D35C8B" w:rsidRPr="00451CE9" w14:paraId="4028968C" w14:textId="77777777" w:rsidTr="00A41BE9">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es-ES"/>
              </w:rPr>
              <w:t>Tasa global de complicaciones</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es-ES"/>
              </w:rPr>
              <w:t>≤9,24 %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 xml:space="preserve">Promedio ponderado: </w:t>
            </w:r>
            <w:bookmarkStart w:id="58" w:name="_Hlk170342554"/>
            <w:r>
              <w:rPr>
                <w:rFonts w:ascii="Times New Roman" w:hAnsi="Times New Roman"/>
                <w:lang w:val="es-ES"/>
              </w:rPr>
              <w:t>9,95</w:t>
            </w:r>
            <w:r>
              <w:rPr>
                <w:rFonts w:ascii="Times New Roman" w:hAnsi="Times New Roman"/>
                <w:szCs w:val="20"/>
                <w:lang w:val="es-ES"/>
              </w:rPr>
              <w:t> %;</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IC del 95 % (9,645, 10,245)</w:t>
            </w:r>
          </w:p>
        </w:tc>
        <w:tc>
          <w:tcPr>
            <w:tcW w:w="1232" w:type="pct"/>
            <w:vAlign w:val="center"/>
          </w:tcPr>
          <w:p w14:paraId="7D1CE9E0"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 xml:space="preserve">No, no se cumplió el criterio de aceptación establecido. </w:t>
            </w:r>
          </w:p>
          <w:p w14:paraId="594541D1" w14:textId="77777777" w:rsidR="00D35C8B" w:rsidRPr="00451CE9" w:rsidRDefault="00D35C8B" w:rsidP="00A41BE9">
            <w:pPr>
              <w:pStyle w:val="TableEntry"/>
              <w:spacing w:before="0" w:after="0"/>
              <w:rPr>
                <w:rFonts w:ascii="Times New Roman" w:hAnsi="Times New Roman"/>
                <w:iCs/>
                <w:szCs w:val="20"/>
              </w:rPr>
            </w:pPr>
          </w:p>
          <w:p w14:paraId="50FACA1D" w14:textId="22361C60" w:rsidR="00D35C8B" w:rsidRPr="00451CE9" w:rsidRDefault="00D35C8B" w:rsidP="00A41BE9">
            <w:pPr>
              <w:spacing w:after="0" w:afterAutospacing="0"/>
              <w:rPr>
                <w:rFonts w:cs="Times New Roman"/>
              </w:rPr>
            </w:pPr>
            <w:r>
              <w:rPr>
                <w:rFonts w:cs="Times New Roman"/>
                <w:sz w:val="20"/>
                <w:szCs w:val="20"/>
                <w:lang w:val="es-ES"/>
              </w:rPr>
              <w:t>El criterio de estado del arte se formuló utilizando únicamente publicaciones con 1289 pacientes, mientras que los artículos de la EDU evaluaron un total de 1863</w:t>
            </w:r>
            <w:r w:rsidR="00921B7A">
              <w:rPr>
                <w:rFonts w:cs="Times New Roman"/>
                <w:sz w:val="20"/>
                <w:szCs w:val="20"/>
                <w:lang w:val="es-ES"/>
              </w:rPr>
              <w:t> </w:t>
            </w:r>
            <w:r>
              <w:rPr>
                <w:rFonts w:cs="Times New Roman"/>
                <w:sz w:val="20"/>
                <w:szCs w:val="20"/>
                <w:lang w:val="es-ES"/>
              </w:rPr>
              <w:t xml:space="preserve">pacientes. Por lo tanto, el tamaño de muestra considerado para la formulación de los criterios de aceptación de estado del arte fue menor en comparación con el tamaño de muestra para la EDU. Por lo tanto, se espera que la tasa </w:t>
            </w:r>
            <w:r>
              <w:rPr>
                <w:rFonts w:cs="Times New Roman"/>
                <w:sz w:val="20"/>
                <w:szCs w:val="20"/>
                <w:lang w:val="es-ES"/>
              </w:rPr>
              <w:lastRenderedPageBreak/>
              <w:t>observada sea una representación real de la población.</w:t>
            </w:r>
          </w:p>
        </w:tc>
      </w:tr>
      <w:tr w:rsidR="00D35C8B" w:rsidRPr="00451CE9" w14:paraId="3CD5EB14" w14:textId="77777777" w:rsidTr="00A41BE9">
        <w:trPr>
          <w:gridAfter w:val="1"/>
          <w:wAfter w:w="7" w:type="pct"/>
        </w:trPr>
        <w:tc>
          <w:tcPr>
            <w:tcW w:w="4993" w:type="pct"/>
            <w:gridSpan w:val="4"/>
            <w:vAlign w:val="center"/>
          </w:tcPr>
          <w:p w14:paraId="702454CB"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b/>
                <w:bCs/>
                <w:szCs w:val="20"/>
                <w:lang w:val="es-ES"/>
              </w:rPr>
              <w:lastRenderedPageBreak/>
              <w:t>Rendimiento</w:t>
            </w:r>
          </w:p>
        </w:tc>
      </w:tr>
      <w:tr w:rsidR="00D35C8B" w:rsidRPr="00451CE9" w14:paraId="140C433C" w14:textId="77777777" w:rsidTr="00A41BE9">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es-ES"/>
              </w:rPr>
              <w:t>Tasa de fallo del catéter:</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Oclusión del catéter</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32" w:type="pct"/>
            <w:vAlign w:val="center"/>
          </w:tcPr>
          <w:p w14:paraId="1DA31293"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2876F51B" w14:textId="77777777" w:rsidTr="00A41BE9">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Migración/Desplazamiento del catéter</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s-ES"/>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32" w:type="pct"/>
            <w:vAlign w:val="center"/>
          </w:tcPr>
          <w:p w14:paraId="00DC8F6D"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00CA445F" w14:textId="77777777" w:rsidTr="00A41BE9">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Acodamiento del catéter</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s-ES"/>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32" w:type="pct"/>
            <w:vAlign w:val="center"/>
          </w:tcPr>
          <w:p w14:paraId="138F700C"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52A84BC2" w14:textId="77777777" w:rsidTr="00A41BE9">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 xml:space="preserve">Rotura del catéter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s-ES"/>
              </w:rPr>
              <w:t>NN</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32" w:type="pct"/>
            <w:vAlign w:val="center"/>
          </w:tcPr>
          <w:p w14:paraId="2E42C5BA"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4D5CA887" w14:textId="77777777" w:rsidTr="00A41BE9">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 xml:space="preserve">Fuga/Fuga </w:t>
            </w:r>
            <w:proofErr w:type="spellStart"/>
            <w:r>
              <w:rPr>
                <w:rFonts w:ascii="Times New Roman" w:hAnsi="Times New Roman"/>
                <w:szCs w:val="20"/>
                <w:lang w:val="es-ES"/>
              </w:rPr>
              <w:t>pericatéter</w:t>
            </w:r>
            <w:proofErr w:type="spellEnd"/>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32" w:type="pct"/>
            <w:vAlign w:val="center"/>
          </w:tcPr>
          <w:p w14:paraId="22987211"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0BDBA7A5" w14:textId="77777777" w:rsidTr="00A41BE9">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es-ES"/>
              </w:rPr>
              <w:t xml:space="preserve">Tasa de éxito técnico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s-ES"/>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 xml:space="preserve">Promedio ponderado: </w:t>
            </w:r>
            <w:bookmarkStart w:id="59" w:name="_Hlk170341017"/>
            <w:r>
              <w:rPr>
                <w:rFonts w:ascii="Times New Roman" w:hAnsi="Times New Roman"/>
                <w:szCs w:val="20"/>
                <w:lang w:val="es-ES"/>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IC del 95 % (97,823, 98,023)</w:t>
            </w:r>
            <w:bookmarkEnd w:id="59"/>
          </w:p>
        </w:tc>
        <w:tc>
          <w:tcPr>
            <w:tcW w:w="1232" w:type="pct"/>
            <w:vAlign w:val="center"/>
          </w:tcPr>
          <w:p w14:paraId="5DCC90CB"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r w:rsidR="00D35C8B" w:rsidRPr="00451CE9" w14:paraId="5B456931" w14:textId="77777777" w:rsidTr="00A41BE9">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es-ES"/>
              </w:rPr>
              <w:t>Tasa de éxito clínico</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es-ES"/>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 xml:space="preserve">Promedio ponderado: </w:t>
            </w:r>
            <w:bookmarkStart w:id="60" w:name="_Hlk170341375"/>
            <w:r>
              <w:rPr>
                <w:rFonts w:ascii="Times New Roman" w:hAnsi="Times New Roman"/>
                <w:lang w:val="es-ES"/>
              </w:rPr>
              <w:t>87,44</w:t>
            </w:r>
            <w:r>
              <w:rPr>
                <w:rFonts w:ascii="Times New Roman" w:hAnsi="Times New Roman"/>
                <w:szCs w:val="20"/>
                <w:lang w:val="es-ES"/>
              </w:rPr>
              <w:t> %;</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es-ES"/>
              </w:rPr>
              <w:t>IC del 95 % (86,903, 87,986)</w:t>
            </w:r>
            <w:bookmarkEnd w:id="60"/>
          </w:p>
        </w:tc>
        <w:tc>
          <w:tcPr>
            <w:tcW w:w="1232" w:type="pct"/>
            <w:vAlign w:val="center"/>
          </w:tcPr>
          <w:p w14:paraId="03B89554"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bl>
    <w:p w14:paraId="10E1670D" w14:textId="77777777" w:rsidR="00D35C8B" w:rsidRPr="00451CE9" w:rsidRDefault="00D35C8B" w:rsidP="00D35C8B">
      <w:pPr>
        <w:pStyle w:val="BT1BodyTextI1"/>
        <w:ind w:left="810" w:hanging="450"/>
        <w:rPr>
          <w:rFonts w:ascii="Times New Roman" w:hAnsi="Times New Roman" w:cs="Times New Roman"/>
          <w:sz w:val="18"/>
          <w:szCs w:val="18"/>
        </w:rPr>
      </w:pPr>
      <w:r>
        <w:rPr>
          <w:rFonts w:ascii="Times New Roman" w:hAnsi="Times New Roman" w:cs="Times New Roman"/>
          <w:sz w:val="18"/>
          <w:szCs w:val="18"/>
          <w:lang w:val="es-ES"/>
        </w:rPr>
        <w:t xml:space="preserve">     NN: No notificado</w:t>
      </w:r>
    </w:p>
    <w:p w14:paraId="21B8A936" w14:textId="77777777" w:rsidR="00D35C8B" w:rsidRPr="00451CE9" w:rsidRDefault="00D35C8B" w:rsidP="008C36F7">
      <w:pPr>
        <w:pStyle w:val="BT1BodyTextI1"/>
        <w:ind w:left="0"/>
        <w:rPr>
          <w:rFonts w:ascii="Times New Roman" w:hAnsi="Times New Roman" w:cs="Times New Roman"/>
          <w:iCs/>
          <w:sz w:val="16"/>
          <w:szCs w:val="16"/>
        </w:rPr>
      </w:pPr>
    </w:p>
    <w:p w14:paraId="44404466" w14:textId="4EAFB947" w:rsidR="00D35C8B" w:rsidRPr="00451CE9" w:rsidRDefault="00D74386">
      <w:pPr>
        <w:pStyle w:val="Caption"/>
      </w:pPr>
      <w:bookmarkStart w:id="61" w:name="_Toc173769792"/>
      <w:r>
        <w:t xml:space="preserve">Tabla 5.4-5: Criterios de aceptación de seguridad y rendimiento informados a partir del análisis del dispositivo sujeto - Aplicaciones de drenaje relacionadas con la </w:t>
      </w:r>
      <w:proofErr w:type="spellStart"/>
      <w:r>
        <w:t>nefrostomía</w:t>
      </w:r>
      <w:bookmarkEnd w:id="61"/>
      <w:proofErr w:type="spellEnd"/>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s-ES"/>
              </w:rPr>
              <w:t>Criterio de evaluación (objetivo)</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s-ES"/>
              </w:rPr>
              <w:t>Criterios de aceptación a partir del estado del arte y los análisis de la competencia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s-ES"/>
              </w:rPr>
              <w:t>Tasa registrada desde la EDU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es-ES"/>
              </w:rPr>
              <w:t>¿Cumple los criterios de aceptación?</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es-ES"/>
              </w:rPr>
              <w:t>Seguridad</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es-ES"/>
              </w:rPr>
              <w:t xml:space="preserve">Tasa de sangrado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s-ES"/>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es-ES"/>
              </w:rPr>
              <w:t>NN</w:t>
            </w:r>
          </w:p>
        </w:tc>
        <w:tc>
          <w:tcPr>
            <w:tcW w:w="1280" w:type="pct"/>
          </w:tcPr>
          <w:p w14:paraId="34F526B5"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s-ES"/>
              </w:rPr>
              <w:t>Tasa de infección</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s-ES"/>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80" w:type="pct"/>
          </w:tcPr>
          <w:p w14:paraId="2521406C"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s-ES"/>
              </w:rPr>
              <w:t>Tasa de recurrencia</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s-ES"/>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80" w:type="pct"/>
          </w:tcPr>
          <w:p w14:paraId="1691E085"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s-ES"/>
              </w:rPr>
              <w:t>Tasa de mortalidad</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es-ES"/>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80" w:type="pct"/>
          </w:tcPr>
          <w:p w14:paraId="47FEF14D"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es-ES"/>
              </w:rPr>
              <w:lastRenderedPageBreak/>
              <w:t>Tasa global de complicaciones</w:t>
            </w:r>
          </w:p>
        </w:tc>
        <w:tc>
          <w:tcPr>
            <w:tcW w:w="1090" w:type="pct"/>
            <w:vAlign w:val="center"/>
          </w:tcPr>
          <w:p w14:paraId="634F50CE" w14:textId="77777777" w:rsidR="00D35C8B" w:rsidRPr="00451CE9" w:rsidRDefault="00D35C8B" w:rsidP="00A41BE9">
            <w:pPr>
              <w:pStyle w:val="TableEntry"/>
              <w:spacing w:before="0" w:after="0"/>
              <w:jc w:val="center"/>
              <w:rPr>
                <w:rFonts w:ascii="Times New Roman" w:hAnsi="Times New Roman"/>
                <w:i/>
                <w:color w:val="FF0000"/>
                <w:szCs w:val="20"/>
              </w:rPr>
            </w:pPr>
            <w:r>
              <w:rPr>
                <w:rFonts w:ascii="Times New Roman" w:hAnsi="Times New Roman"/>
                <w:szCs w:val="20"/>
                <w:lang w:val="es-ES"/>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s-ES"/>
              </w:rPr>
              <w:t xml:space="preserve">Promedio ponderado: </w:t>
            </w:r>
            <w:r>
              <w:rPr>
                <w:rFonts w:ascii="Times New Roman" w:hAnsi="Times New Roman"/>
                <w:szCs w:val="20"/>
                <w:lang w:val="es-ES"/>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s-ES"/>
              </w:rPr>
              <w:t>IC del 95 %: (0, 0)</w:t>
            </w:r>
          </w:p>
        </w:tc>
        <w:tc>
          <w:tcPr>
            <w:tcW w:w="1280" w:type="pct"/>
            <w:vAlign w:val="center"/>
          </w:tcPr>
          <w:p w14:paraId="679AEBDC" w14:textId="77777777" w:rsidR="00D35C8B" w:rsidRPr="00451CE9" w:rsidRDefault="00D35C8B" w:rsidP="00B342CA">
            <w:pPr>
              <w:pStyle w:val="TableEntry"/>
              <w:spacing w:before="0" w:after="0"/>
              <w:rPr>
                <w:rFonts w:ascii="Times New Roman" w:hAnsi="Times New Roman"/>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es-ES"/>
              </w:rPr>
              <w:t>Rendimiento</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es-ES"/>
              </w:rPr>
              <w:t>Tasa de fallo del catéter:</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Oclusión del catéter</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80" w:type="pct"/>
          </w:tcPr>
          <w:p w14:paraId="05369C44"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Migración/Desplazamiento del catéter</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80" w:type="pct"/>
          </w:tcPr>
          <w:p w14:paraId="55CFEF73"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 xml:space="preserve">Rotura del catéter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s-ES"/>
              </w:rPr>
              <w:t>NN</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es-ES"/>
              </w:rPr>
              <w:t xml:space="preserve">Promedio ponderado: </w:t>
            </w:r>
            <w:r>
              <w:rPr>
                <w:rFonts w:ascii="Times New Roman" w:hAnsi="Times New Roman"/>
                <w:szCs w:val="20"/>
                <w:lang w:val="es-ES"/>
              </w:rPr>
              <w:t>1,7 %;</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es-ES"/>
              </w:rPr>
              <w:t>IC del 95 %: NA (los datos se informaron a partir de un artículo, por lo tanto, el IC no es aplicable)</w:t>
            </w:r>
          </w:p>
        </w:tc>
        <w:tc>
          <w:tcPr>
            <w:tcW w:w="1280" w:type="pct"/>
          </w:tcPr>
          <w:p w14:paraId="29DF5B33"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El criterio de aceptación establecido puede considerarse cumplido.</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es-ES"/>
              </w:rPr>
              <w:t xml:space="preserve">Fuga/Fuga </w:t>
            </w:r>
            <w:proofErr w:type="spellStart"/>
            <w:r>
              <w:rPr>
                <w:rFonts w:ascii="Times New Roman" w:hAnsi="Times New Roman"/>
                <w:szCs w:val="20"/>
                <w:lang w:val="es-ES"/>
              </w:rPr>
              <w:t>pericatéter</w:t>
            </w:r>
            <w:proofErr w:type="spellEnd"/>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es-ES"/>
              </w:rPr>
              <w:t>NN</w:t>
            </w:r>
          </w:p>
        </w:tc>
        <w:tc>
          <w:tcPr>
            <w:tcW w:w="1280" w:type="pct"/>
          </w:tcPr>
          <w:p w14:paraId="4C6AA9C4" w14:textId="77777777" w:rsidR="00D35C8B" w:rsidRPr="00451CE9" w:rsidRDefault="00D35C8B" w:rsidP="00A41BE9">
            <w:pPr>
              <w:pStyle w:val="TableEntry"/>
              <w:spacing w:before="0" w:after="0"/>
              <w:rPr>
                <w:rFonts w:ascii="Times New Roman" w:hAnsi="Times New Roman"/>
                <w:iCs/>
                <w:szCs w:val="20"/>
                <w:highlight w:val="yellow"/>
              </w:rPr>
            </w:pPr>
            <w:r>
              <w:rPr>
                <w:rFonts w:ascii="Times New Roman" w:hAnsi="Times New Roman"/>
                <w:szCs w:val="20"/>
                <w:lang w:val="es-ES"/>
              </w:rPr>
              <w:t>El criterio de aceptación establecido puede considerarse cumplido.</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es-ES"/>
              </w:rPr>
              <w:t>Tasa de éxito técnico</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s-ES"/>
              </w:rPr>
              <w:t>≥97,48 %</w:t>
            </w:r>
          </w:p>
        </w:tc>
        <w:tc>
          <w:tcPr>
            <w:tcW w:w="1280" w:type="pct"/>
            <w:vAlign w:val="center"/>
          </w:tcPr>
          <w:p w14:paraId="669FE292" w14:textId="77777777" w:rsidR="00D35C8B" w:rsidRPr="00451CE9" w:rsidRDefault="00D35C8B" w:rsidP="00B342CA">
            <w:pPr>
              <w:pStyle w:val="TableEntry"/>
              <w:spacing w:before="0" w:after="0"/>
              <w:rPr>
                <w:rFonts w:ascii="Times New Roman" w:hAnsi="Times New Roman"/>
                <w:iCs/>
                <w:szCs w:val="20"/>
              </w:rPr>
            </w:pPr>
            <w:r>
              <w:rPr>
                <w:rFonts w:ascii="Times New Roman" w:hAnsi="Times New Roman"/>
                <w:lang w:val="es-ES"/>
              </w:rPr>
              <w:t xml:space="preserve">Promedio ponderado: </w:t>
            </w:r>
            <w:bookmarkStart w:id="62" w:name="_Hlk170341138"/>
            <w:r>
              <w:rPr>
                <w:rFonts w:ascii="Times New Roman" w:hAnsi="Times New Roman"/>
                <w:szCs w:val="20"/>
                <w:lang w:val="es-ES"/>
              </w:rPr>
              <w:t>100 %</w:t>
            </w:r>
            <w:bookmarkEnd w:id="62"/>
            <w:r>
              <w:rPr>
                <w:rFonts w:ascii="Times New Roman" w:hAnsi="Times New Roman"/>
                <w:szCs w:val="20"/>
                <w:lang w:val="es-ES"/>
              </w:rPr>
              <w:t>;</w:t>
            </w:r>
          </w:p>
          <w:p w14:paraId="1EC3DBD9"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lang w:val="es-ES"/>
              </w:rPr>
              <w:t>IC del 95 %: NA (el valor de la desviación estándar es nulo, por lo tanto, no se puede calcular el IC)</w:t>
            </w:r>
          </w:p>
        </w:tc>
        <w:tc>
          <w:tcPr>
            <w:tcW w:w="1280" w:type="pct"/>
          </w:tcPr>
          <w:p w14:paraId="5AD5E162"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es-ES"/>
              </w:rPr>
              <w:t>Tasa de éxito clínico</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es-ES"/>
              </w:rPr>
              <w:t>≥84,7 %</w:t>
            </w:r>
          </w:p>
        </w:tc>
        <w:tc>
          <w:tcPr>
            <w:tcW w:w="1280" w:type="pct"/>
            <w:vAlign w:val="center"/>
          </w:tcPr>
          <w:p w14:paraId="4811939B" w14:textId="77777777" w:rsidR="00D35C8B" w:rsidRPr="00451CE9" w:rsidRDefault="00D35C8B" w:rsidP="00B342CA">
            <w:pPr>
              <w:pStyle w:val="TableEntry"/>
              <w:spacing w:before="0" w:after="0"/>
              <w:ind w:right="-58"/>
              <w:rPr>
                <w:rFonts w:ascii="Times New Roman" w:hAnsi="Times New Roman"/>
                <w:iCs/>
                <w:szCs w:val="20"/>
              </w:rPr>
            </w:pPr>
            <w:r>
              <w:rPr>
                <w:rFonts w:ascii="Times New Roman" w:hAnsi="Times New Roman"/>
                <w:lang w:val="es-ES"/>
              </w:rPr>
              <w:t xml:space="preserve">Promedio ponderado: </w:t>
            </w:r>
            <w:bookmarkStart w:id="63" w:name="_Hlk170341397"/>
            <w:r>
              <w:rPr>
                <w:rFonts w:ascii="Times New Roman" w:hAnsi="Times New Roman"/>
                <w:szCs w:val="20"/>
                <w:lang w:val="es-ES"/>
              </w:rPr>
              <w:t>97,90 %;</w:t>
            </w:r>
          </w:p>
          <w:p w14:paraId="65587095" w14:textId="77777777" w:rsidR="00D35C8B" w:rsidRPr="00451CE9" w:rsidRDefault="00D35C8B" w:rsidP="00B342CA">
            <w:pPr>
              <w:pStyle w:val="TableEntry"/>
              <w:spacing w:before="0" w:after="0"/>
              <w:rPr>
                <w:rFonts w:ascii="Times New Roman" w:hAnsi="Times New Roman"/>
                <w:iCs/>
                <w:szCs w:val="20"/>
              </w:rPr>
            </w:pPr>
            <w:r>
              <w:rPr>
                <w:rFonts w:ascii="Times New Roman" w:hAnsi="Times New Roman"/>
                <w:lang w:val="es-ES"/>
              </w:rPr>
              <w:t>IC del 95 % (97,605, 98,206)</w:t>
            </w:r>
            <w:bookmarkEnd w:id="63"/>
          </w:p>
        </w:tc>
        <w:tc>
          <w:tcPr>
            <w:tcW w:w="1280" w:type="pct"/>
          </w:tcPr>
          <w:p w14:paraId="0CE3E4B7" w14:textId="77777777" w:rsidR="00D35C8B" w:rsidRPr="00451CE9" w:rsidRDefault="00D35C8B" w:rsidP="00A41BE9">
            <w:pPr>
              <w:pStyle w:val="TableEntry"/>
              <w:spacing w:before="0" w:after="0"/>
              <w:rPr>
                <w:rFonts w:ascii="Times New Roman" w:hAnsi="Times New Roman"/>
                <w:iCs/>
                <w:szCs w:val="20"/>
              </w:rPr>
            </w:pPr>
            <w:r>
              <w:rPr>
                <w:rFonts w:ascii="Times New Roman" w:hAnsi="Times New Roman"/>
                <w:szCs w:val="20"/>
                <w:lang w:val="es-ES"/>
              </w:rPr>
              <w:t xml:space="preserve">Sí, </w:t>
            </w:r>
            <w:r>
              <w:rPr>
                <w:rFonts w:ascii="Times New Roman" w:hAnsi="Times New Roman"/>
                <w:lang w:val="es-ES"/>
              </w:rPr>
              <w:t>se cumplió el criterio de aceptación establecido.</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es-ES"/>
        </w:rPr>
        <w:t xml:space="preserve">    NN: No notificado</w:t>
      </w:r>
    </w:p>
    <w:p w14:paraId="44F3625E" w14:textId="10EB4E1E" w:rsidR="008745ED" w:rsidRPr="00451CE9" w:rsidRDefault="008745ED" w:rsidP="00A41BE9">
      <w:pPr>
        <w:pStyle w:val="Heading1"/>
        <w:spacing w:before="240"/>
        <w:rPr>
          <w:rFonts w:cs="Times New Roman"/>
          <w:color w:val="auto"/>
        </w:rPr>
      </w:pPr>
      <w:bookmarkStart w:id="64" w:name="_Toc212114785"/>
      <w:r>
        <w:rPr>
          <w:rFonts w:cs="Times New Roman"/>
          <w:bCs/>
          <w:color w:val="auto"/>
          <w:lang w:val="es-ES"/>
        </w:rPr>
        <w:t xml:space="preserve">Seguimiento clínico </w:t>
      </w:r>
      <w:proofErr w:type="spellStart"/>
      <w:r>
        <w:rPr>
          <w:rFonts w:cs="Times New Roman"/>
          <w:bCs/>
          <w:color w:val="auto"/>
          <w:lang w:val="es-ES"/>
        </w:rPr>
        <w:t>poscomercialización</w:t>
      </w:r>
      <w:proofErr w:type="spellEnd"/>
      <w:r>
        <w:rPr>
          <w:rFonts w:cs="Times New Roman"/>
          <w:bCs/>
          <w:color w:val="auto"/>
          <w:lang w:val="es-ES"/>
        </w:rPr>
        <w:t xml:space="preserve"> en curso o planificado</w:t>
      </w:r>
      <w:bookmarkEnd w:id="64"/>
    </w:p>
    <w:p w14:paraId="77ABA9EC" w14:textId="31AAEFEE" w:rsidR="002C1C0D" w:rsidRPr="00A41BE9" w:rsidRDefault="007122CE" w:rsidP="00A41BE9">
      <w:pPr>
        <w:spacing w:before="240" w:after="120" w:afterAutospacing="0" w:line="240" w:lineRule="auto"/>
        <w:rPr>
          <w:rFonts w:eastAsia="Times New Roman" w:cs="Times New Roman"/>
          <w:szCs w:val="24"/>
        </w:rPr>
      </w:pPr>
      <w:r w:rsidRPr="00A41BE9">
        <w:rPr>
          <w:rFonts w:cs="Times New Roman"/>
          <w:szCs w:val="24"/>
          <w:lang w:val="es-ES"/>
        </w:rPr>
        <w:t>Tabla 5.5-1: Método general para la recopilación de datos de PMCF: Literatura científica e</w:t>
      </w:r>
      <w:r w:rsidRPr="002158E2">
        <w:rPr>
          <w:rFonts w:cs="Times New Roman"/>
          <w:szCs w:val="24"/>
          <w:lang w:val="es-ES"/>
        </w:rPr>
        <w:t xml:space="preserve"> </w:t>
      </w:r>
      <w:r w:rsidRPr="00A41BE9">
        <w:rPr>
          <w:rFonts w:cs="Times New Roman"/>
          <w:szCs w:val="24"/>
          <w:lang w:val="es-ES"/>
        </w:rPr>
        <w:t xml:space="preserve">informes de vigilancia </w:t>
      </w:r>
      <w:proofErr w:type="spellStart"/>
      <w:r w:rsidRPr="00A41BE9">
        <w:rPr>
          <w:rFonts w:cs="Times New Roman"/>
          <w:szCs w:val="24"/>
          <w:lang w:val="es-ES"/>
        </w:rPr>
        <w:t>poscomercialización</w:t>
      </w:r>
      <w:proofErr w:type="spellEnd"/>
      <w:r w:rsidRPr="00A41BE9">
        <w:rPr>
          <w:rFonts w:cs="Times New Roman"/>
          <w:szCs w:val="24"/>
          <w:lang w:val="es-ES"/>
        </w:rPr>
        <w:t xml:space="preserve"> (PMCFP-0030 </w:t>
      </w:r>
      <w:proofErr w:type="spellStart"/>
      <w:r w:rsidRPr="00A41BE9">
        <w:rPr>
          <w:rFonts w:cs="Times New Roman"/>
          <w:szCs w:val="24"/>
          <w:lang w:val="es-ES"/>
        </w:rPr>
        <w:t>Rev</w:t>
      </w:r>
      <w:proofErr w:type="spellEnd"/>
      <w:r w:rsidRPr="00A41BE9">
        <w:rPr>
          <w:rFonts w:cs="Times New Roman"/>
          <w:szCs w:val="24"/>
          <w:lang w:val="es-ES"/>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910"/>
        <w:gridCol w:w="2766"/>
        <w:gridCol w:w="2257"/>
        <w:gridCol w:w="2492"/>
      </w:tblGrid>
      <w:tr w:rsidR="00A41BE9" w:rsidRPr="00451CE9" w14:paraId="3025227F" w14:textId="77777777" w:rsidTr="00247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221070" w14:textId="77777777" w:rsidR="009A79D0" w:rsidRPr="00A41BE9" w:rsidRDefault="009A79D0" w:rsidP="002A3B36">
            <w:pPr>
              <w:spacing w:after="0"/>
              <w:jc w:val="center"/>
              <w:rPr>
                <w:b w:val="0"/>
                <w:color w:val="auto"/>
                <w:sz w:val="20"/>
              </w:rPr>
            </w:pPr>
            <w:r w:rsidRPr="00A41BE9">
              <w:rPr>
                <w:color w:val="auto"/>
                <w:sz w:val="20"/>
                <w:lang w:val="es-ES"/>
              </w:rPr>
              <w:t>ID de actividad</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DDD54C8" w14:textId="77777777" w:rsidR="009A79D0" w:rsidRPr="00A41B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A41BE9">
              <w:rPr>
                <w:color w:val="auto"/>
                <w:sz w:val="20"/>
                <w:lang w:val="es-ES"/>
              </w:rPr>
              <w:t>Descripción</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6F0A4A0E" w14:textId="77777777" w:rsidR="009A79D0" w:rsidRPr="00A41B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A41BE9">
              <w:rPr>
                <w:color w:val="auto"/>
                <w:sz w:val="20"/>
                <w:lang w:val="es-ES"/>
              </w:rPr>
              <w:t>Objetivo de la actividad</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78C7ED46" w14:textId="77777777" w:rsidR="009A79D0" w:rsidRPr="00A41B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A41BE9">
              <w:rPr>
                <w:color w:val="auto"/>
                <w:sz w:val="20"/>
                <w:lang w:val="es-ES"/>
              </w:rPr>
              <w:t>Razonamiento y limitaciones conocidas de la actividad</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E68FBE" w14:textId="77777777" w:rsidR="009A79D0" w:rsidRPr="00A41B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A41BE9">
              <w:rPr>
                <w:color w:val="auto"/>
                <w:sz w:val="20"/>
                <w:lang w:val="es-ES"/>
              </w:rPr>
              <w:t>Cronología de la actividad</w:t>
            </w:r>
          </w:p>
        </w:tc>
      </w:tr>
      <w:tr w:rsidR="00A41BE9" w:rsidRPr="00451CE9" w14:paraId="7DE651BC" w14:textId="77777777" w:rsidTr="00247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shd w:val="clear" w:color="auto" w:fill="auto"/>
          </w:tcPr>
          <w:p w14:paraId="1BA93E00" w14:textId="77777777" w:rsidR="009A79D0" w:rsidRPr="00A41BE9" w:rsidRDefault="009A79D0" w:rsidP="002A3B36">
            <w:pPr>
              <w:spacing w:after="0"/>
              <w:jc w:val="center"/>
              <w:rPr>
                <w:sz w:val="20"/>
              </w:rPr>
            </w:pPr>
            <w:r w:rsidRPr="00A41BE9">
              <w:rPr>
                <w:sz w:val="20"/>
                <w:lang w:val="es-ES"/>
              </w:rPr>
              <w:t>01</w:t>
            </w:r>
          </w:p>
        </w:tc>
        <w:tc>
          <w:tcPr>
            <w:tcW w:w="0" w:type="pct"/>
            <w:tcBorders>
              <w:top w:val="single" w:sz="4" w:space="0" w:color="auto"/>
            </w:tcBorders>
            <w:shd w:val="clear" w:color="auto" w:fill="auto"/>
          </w:tcPr>
          <w:p w14:paraId="46BC5400" w14:textId="77777777" w:rsidR="009A79D0" w:rsidRPr="00A41B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Búsqueda bibliográfica sobre dispositivos bajo evaluación (DBE) </w:t>
            </w:r>
          </w:p>
          <w:p w14:paraId="41EF6136" w14:textId="77777777" w:rsidR="009A79D0" w:rsidRPr="00A41B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 </w:t>
            </w:r>
          </w:p>
        </w:tc>
        <w:tc>
          <w:tcPr>
            <w:tcW w:w="0" w:type="pct"/>
            <w:tcBorders>
              <w:top w:val="single" w:sz="4" w:space="0" w:color="auto"/>
            </w:tcBorders>
            <w:shd w:val="clear" w:color="auto" w:fill="auto"/>
          </w:tcPr>
          <w:p w14:paraId="17712CF6" w14:textId="77777777" w:rsidR="009A79D0" w:rsidRPr="00A41BE9" w:rsidRDefault="009A79D0" w:rsidP="002A3B36">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Evaluar la literatura científica, incluidos informes de casos y artículos no revisados por pares, como resúmenes de conferencias o cartas a editores para los dispositivos bajo evaluación (DBE) para:</w:t>
            </w:r>
          </w:p>
          <w:p w14:paraId="6BD692C3"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t>Confirmar la seguridad/rendimiento del sistema de drenaje SKATER</w:t>
            </w:r>
          </w:p>
          <w:p w14:paraId="21C921ED"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t xml:space="preserve">Identificar efectos secundarios previamente </w:t>
            </w:r>
            <w:r w:rsidRPr="00A41BE9">
              <w:rPr>
                <w:sz w:val="20"/>
                <w:lang w:val="es-ES"/>
              </w:rPr>
              <w:lastRenderedPageBreak/>
              <w:t>desconocidos (relacionados con los procedimientos o los productos sanitarios)</w:t>
            </w:r>
          </w:p>
          <w:p w14:paraId="3C2747E8"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Monitorizar los efectos secundarios y contraindicaciones identificados y garantizar la continua aceptabilidad de la relación riesgo/beneficio</w:t>
            </w:r>
          </w:p>
          <w:p w14:paraId="49FE5BB5"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t>Identificar y analizar riesgos emergentes</w:t>
            </w:r>
          </w:p>
          <w:p w14:paraId="3E111315"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Identificar el posible mal uso sistemático o no autorizado del dispositivo</w:t>
            </w:r>
          </w:p>
        </w:tc>
        <w:tc>
          <w:tcPr>
            <w:tcW w:w="0" w:type="pct"/>
            <w:tcBorders>
              <w:top w:val="single" w:sz="4" w:space="0" w:color="auto"/>
            </w:tcBorders>
            <w:shd w:val="clear" w:color="auto" w:fill="auto"/>
          </w:tcPr>
          <w:p w14:paraId="3015EEC9" w14:textId="77777777" w:rsidR="009A79D0" w:rsidRPr="00A41BE9" w:rsidRDefault="009A79D0" w:rsidP="002A3B36">
            <w:pPr>
              <w:spacing w:after="0" w:afterAutospacing="0"/>
              <w:cnfStyle w:val="000000100000" w:firstRow="0" w:lastRow="0" w:firstColumn="0" w:lastColumn="0" w:oddVBand="0" w:evenVBand="0" w:oddHBand="1" w:evenHBand="0" w:firstRowFirstColumn="0" w:firstRowLastColumn="0" w:lastRowFirstColumn="0" w:lastRowLastColumn="0"/>
              <w:rPr>
                <w:sz w:val="20"/>
                <w:u w:val="single"/>
              </w:rPr>
            </w:pPr>
            <w:r w:rsidRPr="00A41BE9">
              <w:rPr>
                <w:sz w:val="20"/>
                <w:u w:val="single"/>
                <w:lang w:val="es-ES"/>
              </w:rPr>
              <w:lastRenderedPageBreak/>
              <w:t>Razonamiento:</w:t>
            </w:r>
          </w:p>
          <w:p w14:paraId="601F8D8F" w14:textId="77777777" w:rsidR="00CD29A7" w:rsidRPr="00A41B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La evaluación de la literatura científica captura los datos clínicos disponibles sobre el uso de dispositivos en humanos, tal como se han declarado a nivel mundial y se han presentado en publicaciones revisadas por pares. La revisión de la literatura científica está diseñada para </w:t>
            </w:r>
            <w:r w:rsidRPr="00A41BE9">
              <w:rPr>
                <w:sz w:val="20"/>
                <w:lang w:val="es-ES"/>
              </w:rPr>
              <w:lastRenderedPageBreak/>
              <w:t>proporcionar datos relacionados específicamente con la seguridad clínica y el rendimiento del dispositivo de interés o dispositivos equivalentes.</w:t>
            </w:r>
          </w:p>
          <w:p w14:paraId="65A74273" w14:textId="473F3D4D" w:rsidR="009A79D0" w:rsidRPr="00A41BE9" w:rsidRDefault="009A79D0" w:rsidP="002A3B36">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A41BE9">
              <w:rPr>
                <w:sz w:val="20"/>
                <w:u w:val="single"/>
                <w:lang w:val="es-ES"/>
              </w:rPr>
              <w:t>Limitaciones conocidas:</w:t>
            </w:r>
          </w:p>
          <w:p w14:paraId="5CAD20A0"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t>Falta de estudios centrados en el dispositivo de interés o aplicación específica.</w:t>
            </w:r>
          </w:p>
          <w:p w14:paraId="78C974B6" w14:textId="77777777" w:rsidR="009A79D0" w:rsidRPr="00A41BE9" w:rsidRDefault="009A79D0" w:rsidP="00A41BE9">
            <w:pPr>
              <w:pStyle w:val="ListParagraph"/>
              <w:numPr>
                <w:ilvl w:val="0"/>
                <w:numId w:val="22"/>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0"/>
              </w:rPr>
            </w:pPr>
            <w:r w:rsidRPr="00A41BE9">
              <w:rPr>
                <w:sz w:val="20"/>
                <w:lang w:val="es-ES"/>
              </w:rPr>
              <w:t xml:space="preserve">Exclusión involuntaria de artículos relevantes debido a la deficiencia de los términos de búsqueda. </w:t>
            </w:r>
          </w:p>
        </w:tc>
        <w:tc>
          <w:tcPr>
            <w:tcW w:w="0" w:type="pct"/>
            <w:tcBorders>
              <w:top w:val="single" w:sz="4" w:space="0" w:color="auto"/>
            </w:tcBorders>
            <w:shd w:val="clear" w:color="auto" w:fill="auto"/>
          </w:tcPr>
          <w:p w14:paraId="638F5B1B" w14:textId="765371B6" w:rsidR="009A79D0" w:rsidRPr="00A41B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bookmarkStart w:id="65" w:name="_Hlk159757727"/>
            <w:r w:rsidRPr="00A41BE9">
              <w:rPr>
                <w:sz w:val="20"/>
                <w:lang w:val="es-ES"/>
              </w:rPr>
              <w:lastRenderedPageBreak/>
              <w:t xml:space="preserve">El intervalo de informe se basa en la clase de riesgo más alta del dispositivo </w:t>
            </w:r>
            <w:bookmarkEnd w:id="65"/>
            <w:r w:rsidRPr="00A41BE9">
              <w:rPr>
                <w:sz w:val="20"/>
                <w:lang w:val="es-ES"/>
              </w:rPr>
              <w:t xml:space="preserve">como se documenta en el Plan PMS para sistemas de catéter </w:t>
            </w:r>
            <w:proofErr w:type="spellStart"/>
            <w:r w:rsidRPr="00A41BE9">
              <w:rPr>
                <w:sz w:val="20"/>
                <w:lang w:val="es-ES"/>
              </w:rPr>
              <w:t>Skater</w:t>
            </w:r>
            <w:proofErr w:type="spellEnd"/>
            <w:r w:rsidRPr="00A41BE9">
              <w:rPr>
                <w:sz w:val="20"/>
                <w:lang w:val="es-ES"/>
              </w:rPr>
              <w:t>, PMSP</w:t>
            </w:r>
            <w:r w:rsidR="00484895" w:rsidRPr="00A41BE9">
              <w:rPr>
                <w:sz w:val="20"/>
                <w:lang w:val="es-ES"/>
              </w:rPr>
              <w:noBreakHyphen/>
            </w:r>
            <w:r w:rsidRPr="00A41BE9">
              <w:rPr>
                <w:sz w:val="20"/>
                <w:lang w:val="es-ES"/>
              </w:rPr>
              <w:t>0017. Como tal, esta actividad se realizará anualmente.</w:t>
            </w:r>
          </w:p>
          <w:p w14:paraId="5E459973" w14:textId="77777777" w:rsidR="009A79D0" w:rsidRPr="00A41B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La búsqueda de brechas se basará en la fecha en que se realizó la última búsqueda </w:t>
            </w:r>
            <w:r w:rsidRPr="00A41BE9">
              <w:rPr>
                <w:sz w:val="20"/>
                <w:lang w:val="es-ES"/>
              </w:rPr>
              <w:lastRenderedPageBreak/>
              <w:t>bibliográfica, que fue el 3 de mayo de 2024.</w:t>
            </w:r>
          </w:p>
          <w:p w14:paraId="2F1CC60B" w14:textId="77777777" w:rsidR="009A79D0" w:rsidRPr="00A41B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p>
        </w:tc>
      </w:tr>
      <w:tr w:rsidR="002107A1" w:rsidRPr="00451CE9" w14:paraId="2A857BC3" w14:textId="77777777" w:rsidTr="00A41BE9">
        <w:tc>
          <w:tcPr>
            <w:cnfStyle w:val="001000000000" w:firstRow="0" w:lastRow="0" w:firstColumn="1" w:lastColumn="0" w:oddVBand="0" w:evenVBand="0" w:oddHBand="0" w:evenHBand="0" w:firstRowFirstColumn="0" w:firstRowLastColumn="0" w:lastRowFirstColumn="0" w:lastRowLastColumn="0"/>
            <w:tcW w:w="0" w:type="pct"/>
          </w:tcPr>
          <w:p w14:paraId="07DA8CEA" w14:textId="77777777" w:rsidR="009A79D0" w:rsidRPr="00A41BE9" w:rsidRDefault="009A79D0" w:rsidP="002A3B36">
            <w:pPr>
              <w:spacing w:after="0"/>
              <w:jc w:val="center"/>
              <w:rPr>
                <w:sz w:val="20"/>
              </w:rPr>
            </w:pPr>
            <w:r w:rsidRPr="00A41BE9">
              <w:rPr>
                <w:sz w:val="20"/>
                <w:lang w:val="es-ES"/>
              </w:rPr>
              <w:lastRenderedPageBreak/>
              <w:t>02</w:t>
            </w:r>
          </w:p>
        </w:tc>
        <w:tc>
          <w:tcPr>
            <w:tcW w:w="0" w:type="pct"/>
          </w:tcPr>
          <w:p w14:paraId="665CAAF9" w14:textId="77777777" w:rsidR="009A79D0" w:rsidRPr="00A41B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Búsqueda bibliográfica de estado del arte</w:t>
            </w:r>
          </w:p>
        </w:tc>
        <w:tc>
          <w:tcPr>
            <w:tcW w:w="0" w:type="pct"/>
          </w:tcPr>
          <w:p w14:paraId="0E1002EE" w14:textId="2128B4B8" w:rsidR="009A79D0" w:rsidRPr="00A41BE9" w:rsidRDefault="009A79D0" w:rsidP="002A3B36">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Se realizará una revisión sistemática de la literatura sobre el escenario del estado del arte, incluidos dispositivos similares identificados previamente, para evaluar los datos clínicos relativos a las siguientes preguntas:</w:t>
            </w:r>
          </w:p>
          <w:p w14:paraId="174D1A6A" w14:textId="77777777" w:rsidR="009A79D0" w:rsidRPr="00A41B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¿Cuáles son los resultados comunes y las tasas de complicaciones de los procedimientos de drenaje percutáneo o aspiración de líquidos?</w:t>
            </w:r>
          </w:p>
          <w:p w14:paraId="03FAFF98" w14:textId="77777777" w:rsidR="009A79D0" w:rsidRPr="00A41B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¿Qué datos están disponibles para dispositivos con características técnicas, clínicas y biológicas similares? ¿Cómo difieren de las tasas generales?</w:t>
            </w:r>
          </w:p>
          <w:p w14:paraId="4F2C2EB4" w14:textId="77777777" w:rsidR="009A79D0" w:rsidRPr="00A41B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¿Cuáles son los resultados comunes y las tasas de </w:t>
            </w:r>
            <w:r w:rsidRPr="00A41BE9">
              <w:rPr>
                <w:sz w:val="20"/>
                <w:lang w:val="es-ES"/>
              </w:rPr>
              <w:lastRenderedPageBreak/>
              <w:t>complicaciones del tratamiento alternativo (drenaje quirúrgico abierto)?</w:t>
            </w:r>
          </w:p>
          <w:p w14:paraId="6D0889FA" w14:textId="77777777" w:rsidR="009A79D0" w:rsidRPr="00A41B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p>
        </w:tc>
        <w:tc>
          <w:tcPr>
            <w:tcW w:w="0" w:type="pct"/>
          </w:tcPr>
          <w:p w14:paraId="7BA22CCF" w14:textId="77777777" w:rsidR="009A79D0" w:rsidRPr="00A41BE9" w:rsidRDefault="009A79D0"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A41BE9">
              <w:rPr>
                <w:sz w:val="20"/>
                <w:u w:val="single"/>
                <w:lang w:val="es-ES"/>
              </w:rPr>
              <w:lastRenderedPageBreak/>
              <w:t>Razonamiento:</w:t>
            </w:r>
          </w:p>
          <w:p w14:paraId="232A23DB" w14:textId="5F0633C5" w:rsidR="009A79D0" w:rsidRPr="00A41B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La evaluación de la literatura científica captura los datos clínicos disponibles sobre el uso de dispositivos en humanos, tal como se han declarado a nivel mundial y se han presentado en publicaciones revisadas por pares. La revisión de la literatura científica está diseñada para proporcionar datos clínicos relacionados con dispositivos similares dentro del mismo escenario.</w:t>
            </w:r>
          </w:p>
          <w:p w14:paraId="22AE5E6E" w14:textId="77777777" w:rsidR="009A79D0" w:rsidRPr="00A41BE9" w:rsidRDefault="009A79D0"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A41BE9">
              <w:rPr>
                <w:sz w:val="20"/>
                <w:u w:val="single"/>
                <w:lang w:val="es-ES"/>
              </w:rPr>
              <w:t>Limitaciones conocidas:</w:t>
            </w:r>
          </w:p>
          <w:p w14:paraId="16695B95" w14:textId="39AC28BC" w:rsidR="009A79D0" w:rsidRPr="00A41B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0"/>
              </w:rPr>
            </w:pPr>
            <w:r w:rsidRPr="00A41BE9">
              <w:rPr>
                <w:sz w:val="20"/>
                <w:lang w:val="es-ES"/>
              </w:rPr>
              <w:t xml:space="preserve">Falta de estudios centrados en dispositivos de </w:t>
            </w:r>
            <w:r w:rsidRPr="00A41BE9">
              <w:rPr>
                <w:sz w:val="20"/>
                <w:lang w:val="es-ES"/>
              </w:rPr>
              <w:lastRenderedPageBreak/>
              <w:t>interés o aplicaciones específicas</w:t>
            </w:r>
            <w:r w:rsidRPr="00A41BE9">
              <w:rPr>
                <w:i/>
                <w:iCs/>
                <w:sz w:val="20"/>
                <w:lang w:val="es-ES"/>
              </w:rPr>
              <w:t xml:space="preserve">. </w:t>
            </w:r>
          </w:p>
          <w:p w14:paraId="62EB30C1" w14:textId="77777777" w:rsidR="009A79D0" w:rsidRPr="00A41B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Los artículos no revisados por pares pueden no ser una buena fuente de respaldo para la seguridad y el rendimiento.</w:t>
            </w:r>
          </w:p>
        </w:tc>
        <w:tc>
          <w:tcPr>
            <w:tcW w:w="0" w:type="pct"/>
          </w:tcPr>
          <w:p w14:paraId="4ABD176A" w14:textId="62949A06" w:rsidR="009A79D0" w:rsidRPr="00A41BE9" w:rsidRDefault="009A79D0" w:rsidP="00EC2975">
            <w:pPr>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lastRenderedPageBreak/>
              <w:t xml:space="preserve">El intervalo de referencia se basa en la clase de riesgo más alta del dispositivo, según lo documentado en el Plan PMS para sistemas de catéter </w:t>
            </w:r>
            <w:proofErr w:type="spellStart"/>
            <w:r w:rsidRPr="00A41BE9">
              <w:rPr>
                <w:sz w:val="20"/>
                <w:lang w:val="es-ES"/>
              </w:rPr>
              <w:t>Skater</w:t>
            </w:r>
            <w:proofErr w:type="spellEnd"/>
            <w:r w:rsidRPr="00A41BE9">
              <w:rPr>
                <w:sz w:val="20"/>
                <w:lang w:val="es-ES"/>
              </w:rPr>
              <w:t>, PMSP-0017. Como tal, esta actividad se realizará anualmente.</w:t>
            </w:r>
          </w:p>
          <w:p w14:paraId="53381B8B" w14:textId="7A3E5D48" w:rsidR="009A79D0" w:rsidRPr="00A41B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La búsqueda de estado del arte cubrirá hasta 5</w:t>
            </w:r>
            <w:r w:rsidR="00CF58D5" w:rsidRPr="00A41BE9">
              <w:rPr>
                <w:sz w:val="20"/>
                <w:lang w:val="es-ES"/>
              </w:rPr>
              <w:t> </w:t>
            </w:r>
            <w:r w:rsidRPr="00A41BE9">
              <w:rPr>
                <w:sz w:val="20"/>
                <w:lang w:val="es-ES"/>
              </w:rPr>
              <w:t xml:space="preserve">años, incluido el año en el que se realiza la búsqueda bibliográfica.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A41BE9" w:rsidRDefault="00964666" w:rsidP="00A41BE9">
            <w:pPr>
              <w:keepNext/>
              <w:jc w:val="center"/>
              <w:rPr>
                <w:bCs w:val="0"/>
                <w:sz w:val="20"/>
              </w:rPr>
            </w:pPr>
            <w:r w:rsidRPr="00A41BE9">
              <w:rPr>
                <w:sz w:val="20"/>
                <w:lang w:val="es-ES"/>
              </w:rPr>
              <w:t xml:space="preserve">Informes de vigilancia </w:t>
            </w:r>
            <w:proofErr w:type="spellStart"/>
            <w:r w:rsidRPr="00A41BE9">
              <w:rPr>
                <w:sz w:val="20"/>
                <w:lang w:val="es-ES"/>
              </w:rPr>
              <w:t>poscomercialización</w:t>
            </w:r>
            <w:proofErr w:type="spellEnd"/>
          </w:p>
        </w:tc>
      </w:tr>
      <w:tr w:rsidR="00964666" w:rsidRPr="00451CE9"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A41BE9" w:rsidRDefault="00B45D95" w:rsidP="002A3B36">
            <w:pPr>
              <w:spacing w:after="0"/>
              <w:jc w:val="center"/>
              <w:rPr>
                <w:b w:val="0"/>
                <w:bCs w:val="0"/>
                <w:sz w:val="20"/>
              </w:rPr>
            </w:pPr>
            <w:r w:rsidRPr="00A41BE9">
              <w:rPr>
                <w:sz w:val="20"/>
                <w:lang w:val="es-ES"/>
              </w:rPr>
              <w:t>03</w:t>
            </w:r>
          </w:p>
        </w:tc>
        <w:tc>
          <w:tcPr>
            <w:tcW w:w="625" w:type="pct"/>
          </w:tcPr>
          <w:p w14:paraId="532E1CE2" w14:textId="458D9143"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Informes de vigilancia </w:t>
            </w:r>
            <w:proofErr w:type="spellStart"/>
            <w:r w:rsidRPr="00A41BE9">
              <w:rPr>
                <w:sz w:val="20"/>
                <w:lang w:val="es-ES"/>
              </w:rPr>
              <w:t>poscomercialización</w:t>
            </w:r>
            <w:proofErr w:type="spellEnd"/>
            <w:r w:rsidRPr="00A41BE9">
              <w:rPr>
                <w:sz w:val="20"/>
                <w:lang w:val="es-ES"/>
              </w:rPr>
              <w:t>, incluidos informes de vigilancia e informes de tendencias</w:t>
            </w:r>
          </w:p>
        </w:tc>
        <w:tc>
          <w:tcPr>
            <w:tcW w:w="1430" w:type="pct"/>
          </w:tcPr>
          <w:p w14:paraId="2B16EBA9" w14:textId="77777777" w:rsidR="00B45D95" w:rsidRPr="00A41B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Confirmación de la seguridad del producto sanitario</w:t>
            </w:r>
          </w:p>
          <w:p w14:paraId="295B78E7" w14:textId="77777777" w:rsidR="00B45D95" w:rsidRPr="00A41B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Confirmación del rendimiento del producto sanitario</w:t>
            </w:r>
          </w:p>
          <w:p w14:paraId="353A0CD6" w14:textId="77777777" w:rsidR="00B45D95" w:rsidRPr="00A41B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Identificar efectos secundarios previamente desconocidos (relacionados con los procedimientos o los productos sanitarios)</w:t>
            </w:r>
          </w:p>
          <w:p w14:paraId="0F0B3C32" w14:textId="77777777" w:rsidR="00B45D95" w:rsidRPr="00A41B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Seguimiento de los efectos secundarios y contraindicaciones identificados</w:t>
            </w:r>
          </w:p>
          <w:p w14:paraId="3D110475" w14:textId="77777777" w:rsidR="00B45D95" w:rsidRPr="00A41B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Identificación y análisis de riesgos emergentes</w:t>
            </w:r>
          </w:p>
          <w:p w14:paraId="50E4E27B" w14:textId="77777777" w:rsidR="00B45D95" w:rsidRPr="00A41B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Garantizar la aceptabilidad continua de la relación riesgo/beneficio</w:t>
            </w:r>
          </w:p>
          <w:p w14:paraId="77D16AB0" w14:textId="77777777" w:rsidR="00B45D95" w:rsidRPr="00A41BE9" w:rsidRDefault="00B45D95"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i/>
                <w:iCs/>
                <w:sz w:val="20"/>
              </w:rPr>
            </w:pPr>
            <w:r w:rsidRPr="00A41BE9">
              <w:rPr>
                <w:sz w:val="20"/>
                <w:lang w:val="es-ES"/>
              </w:rPr>
              <w:t>Identificar un posible mal uso sistemático o no autorizado del dispositivo</w:t>
            </w:r>
          </w:p>
        </w:tc>
        <w:tc>
          <w:tcPr>
            <w:tcW w:w="1186" w:type="pct"/>
          </w:tcPr>
          <w:p w14:paraId="37F6D241" w14:textId="77777777" w:rsidR="00B45D95" w:rsidRPr="00A41BE9" w:rsidRDefault="00B45D95"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A41BE9">
              <w:rPr>
                <w:sz w:val="20"/>
                <w:u w:val="single"/>
                <w:lang w:val="es-ES"/>
              </w:rPr>
              <w:t>Razonamiento:</w:t>
            </w:r>
          </w:p>
          <w:p w14:paraId="12ECEC3F" w14:textId="77777777"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La evaluación de los datos puede identificar posibles correlaciones entre eventos posteriores a la comercialización y preocupaciones de seguridad o rendimiento.</w:t>
            </w:r>
          </w:p>
          <w:p w14:paraId="156BC536" w14:textId="77777777" w:rsidR="00B45D95" w:rsidRPr="00A41BE9" w:rsidRDefault="00B45D95"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A41BE9">
              <w:rPr>
                <w:sz w:val="20"/>
                <w:u w:val="single"/>
                <w:lang w:val="es-ES"/>
              </w:rPr>
              <w:t>Limitaciones conocidas:</w:t>
            </w:r>
          </w:p>
          <w:p w14:paraId="62796010" w14:textId="77777777"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0"/>
              </w:rPr>
            </w:pPr>
            <w:r w:rsidRPr="00A41BE9">
              <w:rPr>
                <w:sz w:val="20"/>
                <w:lang w:val="es-ES"/>
              </w:rPr>
              <w:t>Las limitaciones de las evaluaciones de acciones de campo pueden incluir la declaración deficiente de acontecimientos, un seguimiento incompleto, datos faltantes, etc.</w:t>
            </w:r>
          </w:p>
        </w:tc>
        <w:tc>
          <w:tcPr>
            <w:tcW w:w="1297" w:type="pct"/>
          </w:tcPr>
          <w:p w14:paraId="42977FEC" w14:textId="630A85CA"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El seguimiento relacionado con las acciones del mercado y las CAPA es continuo.</w:t>
            </w:r>
          </w:p>
          <w:p w14:paraId="491362D1" w14:textId="25BB770B" w:rsidR="00B45D95" w:rsidRPr="00A41BE9"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El intervalo de referencia se basa en la clase de riesgo más alta del dispositivo, según lo documentado en el Plan PMS para sistemas de catéter </w:t>
            </w:r>
            <w:proofErr w:type="spellStart"/>
            <w:r w:rsidRPr="00A41BE9">
              <w:rPr>
                <w:sz w:val="20"/>
                <w:lang w:val="es-ES"/>
              </w:rPr>
              <w:t>Skater</w:t>
            </w:r>
            <w:proofErr w:type="spellEnd"/>
            <w:r w:rsidRPr="00A41BE9">
              <w:rPr>
                <w:sz w:val="20"/>
                <w:lang w:val="es-ES"/>
              </w:rPr>
              <w:t>, PMSP</w:t>
            </w:r>
            <w:r w:rsidR="00537520" w:rsidRPr="00A41BE9">
              <w:rPr>
                <w:sz w:val="20"/>
                <w:lang w:val="es-ES"/>
              </w:rPr>
              <w:noBreakHyphen/>
            </w:r>
            <w:r w:rsidRPr="00A41BE9">
              <w:rPr>
                <w:sz w:val="20"/>
                <w:lang w:val="es-ES"/>
              </w:rPr>
              <w:t>0017. Como tal, esta actividad se realizará anualmente.</w:t>
            </w:r>
          </w:p>
          <w:p w14:paraId="07C2BCDA" w14:textId="77777777" w:rsidR="00B45D95" w:rsidRPr="00A41BE9"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Los informes de PMS utilizados para la última evaluación clínica cubrieron el período entre el 1 de mayo de 2019 y el 30 de abril de 2024. </w:t>
            </w:r>
          </w:p>
        </w:tc>
      </w:tr>
      <w:tr w:rsidR="000E5556" w:rsidRPr="00451CE9"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A41BE9" w:rsidRDefault="00B45D95" w:rsidP="002A3B36">
            <w:pPr>
              <w:spacing w:after="0"/>
              <w:jc w:val="center"/>
              <w:rPr>
                <w:sz w:val="20"/>
              </w:rPr>
            </w:pPr>
            <w:r w:rsidRPr="00A41BE9">
              <w:rPr>
                <w:sz w:val="20"/>
                <w:lang w:val="es-ES"/>
              </w:rPr>
              <w:t>04</w:t>
            </w:r>
          </w:p>
        </w:tc>
        <w:tc>
          <w:tcPr>
            <w:tcW w:w="625" w:type="pct"/>
            <w:shd w:val="clear" w:color="auto" w:fill="auto"/>
          </w:tcPr>
          <w:p w14:paraId="4F8EF04C" w14:textId="23D2A09D" w:rsidR="00B45D95" w:rsidRPr="00A41B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Búsqueda en bases de datos de acontecimientos adversos (por ejemplo, MAUDE, bases de datos de informes de vigilancia) para dispositivos en </w:t>
            </w:r>
            <w:r w:rsidRPr="00A41BE9">
              <w:rPr>
                <w:sz w:val="20"/>
                <w:lang w:val="es-ES"/>
              </w:rPr>
              <w:lastRenderedPageBreak/>
              <w:t>cuestión o equivalentes</w:t>
            </w:r>
          </w:p>
        </w:tc>
        <w:tc>
          <w:tcPr>
            <w:tcW w:w="1430" w:type="pct"/>
            <w:shd w:val="clear" w:color="auto" w:fill="auto"/>
          </w:tcPr>
          <w:p w14:paraId="39A582CE" w14:textId="77777777" w:rsidR="00B45D95" w:rsidRPr="00A41BE9" w:rsidRDefault="00B45D95" w:rsidP="00A41BE9">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lastRenderedPageBreak/>
              <w:t>Confirmación de la seguridad del producto sanitario</w:t>
            </w:r>
          </w:p>
          <w:p w14:paraId="1D97E198" w14:textId="77777777" w:rsidR="00B45D95" w:rsidRPr="00A41BE9" w:rsidRDefault="00B45D95" w:rsidP="00A41BE9">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t>Identificación y análisis de riesgos emergentes</w:t>
            </w:r>
          </w:p>
          <w:p w14:paraId="66B64601" w14:textId="77777777" w:rsidR="00B45D95" w:rsidRPr="00A41BE9" w:rsidRDefault="00B45D95" w:rsidP="00A41BE9">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lastRenderedPageBreak/>
              <w:t>Garantizar la aceptabilidad continua de la relación riesgo/beneficio</w:t>
            </w:r>
          </w:p>
          <w:p w14:paraId="79A880A2" w14:textId="77777777" w:rsidR="00B45D95" w:rsidRPr="00A41BE9" w:rsidRDefault="00B45D95" w:rsidP="00A41BE9">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es-ES"/>
              </w:rPr>
            </w:pPr>
            <w:r w:rsidRPr="00A41BE9">
              <w:rPr>
                <w:sz w:val="20"/>
                <w:lang w:val="es-ES"/>
              </w:rPr>
              <w:t>Seguimiento de los efectos secundarios y contraindicaciones identificados</w:t>
            </w:r>
          </w:p>
        </w:tc>
        <w:tc>
          <w:tcPr>
            <w:tcW w:w="1186" w:type="pct"/>
            <w:shd w:val="clear" w:color="auto" w:fill="auto"/>
          </w:tcPr>
          <w:p w14:paraId="505BB2BF" w14:textId="77777777" w:rsidR="00B45D95" w:rsidRPr="00A41B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lastRenderedPageBreak/>
              <w:t xml:space="preserve">La recopilación de datos de seguridad </w:t>
            </w:r>
            <w:proofErr w:type="spellStart"/>
            <w:r w:rsidRPr="00A41BE9">
              <w:rPr>
                <w:sz w:val="20"/>
                <w:lang w:val="es-ES"/>
              </w:rPr>
              <w:t>poscomercialización</w:t>
            </w:r>
            <w:proofErr w:type="spellEnd"/>
            <w:r w:rsidRPr="00A41BE9">
              <w:rPr>
                <w:sz w:val="20"/>
                <w:lang w:val="es-ES"/>
              </w:rPr>
              <w:t xml:space="preserve"> y la evaluación del riesgo clínico basada en datos de observación son fundamentales para evaluar y describir el perfil de riesgo de un </w:t>
            </w:r>
            <w:r w:rsidRPr="00A41BE9">
              <w:rPr>
                <w:sz w:val="20"/>
                <w:lang w:val="es-ES"/>
              </w:rPr>
              <w:lastRenderedPageBreak/>
              <w:t xml:space="preserve">producto y para tomar decisiones informadas sobre la minimización de los riesgos. También facilita la recopilación e interpretación de datos de una población de pacientes amplia y variada, lo que no sucede en los ensayos controlados, garantizando así que se verifique la seguridad en todas las poblaciones. </w:t>
            </w:r>
          </w:p>
          <w:p w14:paraId="3CC1147F" w14:textId="77777777" w:rsidR="00B45D95" w:rsidRPr="00A41B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Las limitaciones incluyen la incapacidad de calcular verdaderamente la tasa de acontecimientos informados o determinar la causalidad real.</w:t>
            </w:r>
          </w:p>
        </w:tc>
        <w:tc>
          <w:tcPr>
            <w:tcW w:w="1297" w:type="pct"/>
            <w:shd w:val="clear" w:color="auto" w:fill="auto"/>
          </w:tcPr>
          <w:p w14:paraId="5CD47621" w14:textId="626862AD" w:rsidR="00B45D95" w:rsidRPr="00A41B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lastRenderedPageBreak/>
              <w:t>El seguimiento relacionado con las acciones del mercado y las CAPA es continuo.</w:t>
            </w:r>
          </w:p>
          <w:p w14:paraId="5DC4B152" w14:textId="599E772A" w:rsidR="00B45D95" w:rsidRPr="00A41BE9" w:rsidRDefault="00B45D95" w:rsidP="002A3B36">
            <w:pPr>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El intervalo de referencia se basa en la clase de riesgo más alta del dispositivo, según lo documentado en el </w:t>
            </w:r>
            <w:r w:rsidRPr="00A41BE9">
              <w:rPr>
                <w:sz w:val="20"/>
                <w:lang w:val="es-ES"/>
              </w:rPr>
              <w:lastRenderedPageBreak/>
              <w:t xml:space="preserve">Plan PMS para sistemas de catéter </w:t>
            </w:r>
            <w:proofErr w:type="spellStart"/>
            <w:r w:rsidRPr="00A41BE9">
              <w:rPr>
                <w:sz w:val="20"/>
                <w:lang w:val="es-ES"/>
              </w:rPr>
              <w:t>Skater</w:t>
            </w:r>
            <w:proofErr w:type="spellEnd"/>
            <w:r w:rsidRPr="00A41BE9">
              <w:rPr>
                <w:sz w:val="20"/>
                <w:lang w:val="es-ES"/>
              </w:rPr>
              <w:t>, PMSP</w:t>
            </w:r>
            <w:r w:rsidR="002E5337" w:rsidRPr="00A41BE9">
              <w:rPr>
                <w:sz w:val="20"/>
                <w:lang w:val="es-ES"/>
              </w:rPr>
              <w:noBreakHyphen/>
            </w:r>
            <w:r w:rsidRPr="00A41BE9">
              <w:rPr>
                <w:sz w:val="20"/>
                <w:lang w:val="es-ES"/>
              </w:rPr>
              <w:t>0017. Como tal, esta actividad se realizará anualmente.</w:t>
            </w:r>
          </w:p>
          <w:p w14:paraId="5DD36EC1" w14:textId="77777777" w:rsidR="00B45D95" w:rsidRPr="00A41B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A41BE9">
              <w:rPr>
                <w:sz w:val="20"/>
                <w:lang w:val="es-ES"/>
              </w:rPr>
              <w:t xml:space="preserve">Los informes de PMS utilizados para la última evaluación clínica cubrieron el período entre el 1 de mayo de 2019 y el 30 de abril de 2024. </w:t>
            </w:r>
          </w:p>
        </w:tc>
      </w:tr>
      <w:tr w:rsidR="00964666" w:rsidRPr="00451CE9" w14:paraId="7C432DC4" w14:textId="77777777" w:rsidTr="00A41BE9">
        <w:trPr>
          <w:trHeight w:val="8415"/>
        </w:trPr>
        <w:tc>
          <w:tcPr>
            <w:cnfStyle w:val="001000000000" w:firstRow="0" w:lastRow="0" w:firstColumn="1" w:lastColumn="0" w:oddVBand="0" w:evenVBand="0" w:oddHBand="0" w:evenHBand="0" w:firstRowFirstColumn="0" w:firstRowLastColumn="0" w:lastRowFirstColumn="0" w:lastRowLastColumn="0"/>
            <w:tcW w:w="0" w:type="pct"/>
          </w:tcPr>
          <w:p w14:paraId="033D8105" w14:textId="77777777" w:rsidR="00B45D95" w:rsidRPr="00A41BE9" w:rsidDel="0084767F" w:rsidRDefault="00B45D95" w:rsidP="002A3B36">
            <w:pPr>
              <w:spacing w:after="0"/>
              <w:jc w:val="center"/>
              <w:rPr>
                <w:sz w:val="20"/>
              </w:rPr>
            </w:pPr>
            <w:r w:rsidRPr="00A41BE9">
              <w:rPr>
                <w:sz w:val="20"/>
                <w:lang w:val="es-ES"/>
              </w:rPr>
              <w:lastRenderedPageBreak/>
              <w:t>05</w:t>
            </w:r>
          </w:p>
        </w:tc>
        <w:tc>
          <w:tcPr>
            <w:tcW w:w="0" w:type="pct"/>
          </w:tcPr>
          <w:p w14:paraId="698B61AC" w14:textId="2F4E6AD0" w:rsidR="00B45D95" w:rsidRPr="00A41BE9"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Búsqueda en bases de datos de acontecimientos adversos (por ejemplo, MAUDE, bases de datos de informes de vigilancia) para dispositivos similares</w:t>
            </w:r>
          </w:p>
        </w:tc>
        <w:tc>
          <w:tcPr>
            <w:tcW w:w="0" w:type="pct"/>
          </w:tcPr>
          <w:p w14:paraId="232F00EB" w14:textId="77777777" w:rsidR="00B45D95" w:rsidRPr="00A41BE9" w:rsidRDefault="00B45D95"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sidRPr="00A41BE9">
              <w:rPr>
                <w:sz w:val="20"/>
                <w:lang w:val="es-ES"/>
              </w:rPr>
              <w:t>Identificación y análisis de riesgos emergentes</w:t>
            </w:r>
          </w:p>
          <w:p w14:paraId="5D430465" w14:textId="77777777" w:rsidR="00B45D95" w:rsidRPr="00A41BE9" w:rsidRDefault="00B45D95"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Seguimiento de los efectos secundarios y contraindicaciones identificados</w:t>
            </w:r>
          </w:p>
        </w:tc>
        <w:tc>
          <w:tcPr>
            <w:tcW w:w="0" w:type="pct"/>
          </w:tcPr>
          <w:p w14:paraId="6F0C8C67" w14:textId="77777777"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La recopilación de datos de seguridad </w:t>
            </w:r>
            <w:proofErr w:type="spellStart"/>
            <w:r w:rsidRPr="00A41BE9">
              <w:rPr>
                <w:sz w:val="20"/>
                <w:lang w:val="es-ES"/>
              </w:rPr>
              <w:t>poscomercialización</w:t>
            </w:r>
            <w:proofErr w:type="spellEnd"/>
            <w:r w:rsidRPr="00A41BE9">
              <w:rPr>
                <w:sz w:val="20"/>
                <w:lang w:val="es-ES"/>
              </w:rPr>
              <w:t xml:space="preserve"> y la evaluación del riesgo clínico basada en datos de observación son fundamentales para evaluar y describir el perfil de riesgo de un producto y para tomar decisiones informadas sobre la minimización de los riesgos. También facilita la recopilación e interpretación de datos de una población de pacientes amplia y variada, lo que no sucede en los ensayos controlados, garantizando así que se verifique la seguridad en todas las poblaciones. </w:t>
            </w:r>
          </w:p>
          <w:p w14:paraId="11772F23" w14:textId="204C9BDF" w:rsidR="00154EA9"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Las limitaciones incluyen la incapacidad de calcular verdaderamente la tasa de acontecimientos informados o determinar la causalidad real.</w:t>
            </w:r>
          </w:p>
        </w:tc>
        <w:tc>
          <w:tcPr>
            <w:tcW w:w="0" w:type="pct"/>
          </w:tcPr>
          <w:p w14:paraId="2457F96E" w14:textId="77777777"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El seguimiento relacionado con las acciones del mercado y las CAPA es continuo.</w:t>
            </w:r>
          </w:p>
          <w:p w14:paraId="0E25DC84" w14:textId="36047116" w:rsidR="00B45D95" w:rsidRPr="00A41BE9"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El intervalo de referencia se basa en la clase de riesgo más alta del dispositivo, según lo documentado en el Plan PMS para sistemas de catéter </w:t>
            </w:r>
            <w:proofErr w:type="spellStart"/>
            <w:r w:rsidRPr="00A41BE9">
              <w:rPr>
                <w:sz w:val="20"/>
                <w:lang w:val="es-ES"/>
              </w:rPr>
              <w:t>Skater</w:t>
            </w:r>
            <w:proofErr w:type="spellEnd"/>
            <w:r w:rsidRPr="00A41BE9">
              <w:rPr>
                <w:sz w:val="20"/>
                <w:lang w:val="es-ES"/>
              </w:rPr>
              <w:t>, PMSP</w:t>
            </w:r>
            <w:r w:rsidR="00C72BF5" w:rsidRPr="00A41BE9">
              <w:rPr>
                <w:sz w:val="20"/>
                <w:lang w:val="es-ES"/>
              </w:rPr>
              <w:noBreakHyphen/>
            </w:r>
            <w:r w:rsidRPr="00A41BE9">
              <w:rPr>
                <w:sz w:val="20"/>
                <w:lang w:val="es-ES"/>
              </w:rPr>
              <w:t>0017. Como tal, esta actividad se realizará anualmente.</w:t>
            </w:r>
          </w:p>
          <w:p w14:paraId="5D896DB9" w14:textId="77777777" w:rsidR="00B45D95" w:rsidRPr="00A41B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A41BE9">
              <w:rPr>
                <w:sz w:val="20"/>
                <w:lang w:val="es-ES"/>
              </w:rPr>
              <w:t xml:space="preserve">Los informes de PMS utilizados para la última evaluación clínica cubrieron el período entre el 1 de mayo de 2019 y el 30 de abril de 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A41BE9">
            <w:pPr>
              <w:keepNext/>
              <w:jc w:val="center"/>
              <w:rPr>
                <w:sz w:val="22"/>
              </w:rPr>
            </w:pPr>
            <w:r>
              <w:rPr>
                <w:sz w:val="22"/>
                <w:lang w:val="es-ES"/>
              </w:rPr>
              <w:lastRenderedPageBreak/>
              <w:t>Encuesta de PMCF</w:t>
            </w:r>
          </w:p>
        </w:tc>
      </w:tr>
      <w:tr w:rsidR="009C031B" w:rsidRPr="00451CE9" w14:paraId="2B475E75" w14:textId="77777777" w:rsidTr="00A41BE9">
        <w:trPr>
          <w:trHeight w:val="927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es-ES"/>
              </w:rPr>
              <w:t>06</w:t>
            </w:r>
          </w:p>
        </w:tc>
        <w:tc>
          <w:tcPr>
            <w:tcW w:w="0" w:type="pct"/>
            <w:tcBorders>
              <w:top w:val="single" w:sz="4" w:space="0" w:color="767171" w:themeColor="background2" w:themeShade="80"/>
            </w:tcBorders>
          </w:tcPr>
          <w:p w14:paraId="7523FCAE" w14:textId="63731FDF"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s-ES"/>
              </w:rPr>
              <w:t>Se enviará una encuesta de alta calidad a los clientes actuales que utilizan los productos del sistema de drenaje SKATER. El objetivo será obtener al menos 100</w:t>
            </w:r>
            <w:r w:rsidR="00250DF4">
              <w:rPr>
                <w:sz w:val="20"/>
                <w:lang w:val="es-ES"/>
              </w:rPr>
              <w:t> </w:t>
            </w:r>
            <w:r>
              <w:rPr>
                <w:sz w:val="20"/>
                <w:lang w:val="es-ES"/>
              </w:rPr>
              <w:t>encuestas de casos clínicos.</w:t>
            </w:r>
          </w:p>
          <w:p w14:paraId="62A0E4C3" w14:textId="00A19EBE"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r>
              <w:rPr>
                <w:sz w:val="20"/>
                <w:lang w:val="es-ES"/>
              </w:rPr>
              <w:t xml:space="preserve">Se revisarán los registros internos de ventas y distribución para identificar a los médicos que utilizan los dispositivos en cuestión. </w:t>
            </w:r>
          </w:p>
        </w:tc>
        <w:tc>
          <w:tcPr>
            <w:tcW w:w="0" w:type="pct"/>
            <w:tcBorders>
              <w:top w:val="single" w:sz="4" w:space="0" w:color="767171" w:themeColor="background2" w:themeShade="80"/>
            </w:tcBorders>
          </w:tcPr>
          <w:p w14:paraId="5353987E" w14:textId="77777777" w:rsidR="009C031B" w:rsidRPr="00451CE9" w:rsidRDefault="009C031B" w:rsidP="00A41BE9">
            <w:pPr>
              <w:spacing w:after="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es-ES"/>
              </w:rPr>
              <w:t>El objetivo de esta encuesta es recopilar de forma proactiva datos clínicos centrándose en los siguientes productos que se han identificado con evidencia clínica mínima:</w:t>
            </w:r>
          </w:p>
          <w:p w14:paraId="490DFFD4"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sidRPr="00901784">
              <w:rPr>
                <w:sz w:val="20"/>
                <w:lang w:val="es-ES"/>
              </w:rPr>
              <w:t xml:space="preserve">Catéteres de drenaje </w:t>
            </w:r>
            <w:proofErr w:type="spellStart"/>
            <w:r w:rsidRPr="00901784">
              <w:rPr>
                <w:sz w:val="20"/>
                <w:lang w:val="es-ES"/>
              </w:rPr>
              <w:t>Skater</w:t>
            </w:r>
            <w:proofErr w:type="spellEnd"/>
          </w:p>
          <w:p w14:paraId="391C3617"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sidRPr="00901784">
              <w:rPr>
                <w:sz w:val="20"/>
                <w:lang w:val="es-ES"/>
              </w:rPr>
              <w:t xml:space="preserve">Catéteres de punción </w:t>
            </w:r>
            <w:proofErr w:type="spellStart"/>
            <w:r w:rsidRPr="00901784">
              <w:rPr>
                <w:sz w:val="20"/>
                <w:lang w:val="es-ES"/>
              </w:rPr>
              <w:t>Skater</w:t>
            </w:r>
            <w:proofErr w:type="spellEnd"/>
          </w:p>
          <w:p w14:paraId="0A53F48A"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sidRPr="00901784">
              <w:rPr>
                <w:sz w:val="20"/>
                <w:lang w:val="es-ES"/>
              </w:rPr>
              <w:t xml:space="preserve">Juegos introductores </w:t>
            </w:r>
            <w:proofErr w:type="spellStart"/>
            <w:r w:rsidRPr="00901784">
              <w:rPr>
                <w:sz w:val="20"/>
                <w:lang w:val="es-ES"/>
              </w:rPr>
              <w:t>Skater</w:t>
            </w:r>
            <w:proofErr w:type="spellEnd"/>
          </w:p>
          <w:p w14:paraId="51D8FFFD" w14:textId="77777777" w:rsidR="009C031B" w:rsidRPr="00451CE9" w:rsidRDefault="009C031B" w:rsidP="00A41BE9">
            <w:pPr>
              <w:spacing w:before="24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es-ES"/>
              </w:rPr>
              <w:t>Para cada caso clínico, la encuesta recopilará información sobre</w:t>
            </w:r>
          </w:p>
          <w:p w14:paraId="0CE16D0C"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Categoría de aplicación</w:t>
            </w:r>
          </w:p>
          <w:p w14:paraId="3F211A8F"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Indicación</w:t>
            </w:r>
          </w:p>
          <w:p w14:paraId="7404B870"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Duración del uso en el procedimiento</w:t>
            </w:r>
          </w:p>
          <w:p w14:paraId="74248E61"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Resultados clínicos relativos a la seguridad y el rendimiento</w:t>
            </w:r>
          </w:p>
          <w:p w14:paraId="5174F30B" w14:textId="77777777" w:rsidR="009C031B" w:rsidRPr="00451CE9"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0" w:type="pct"/>
            <w:tcBorders>
              <w:top w:val="single" w:sz="4" w:space="0" w:color="767171" w:themeColor="background2" w:themeShade="80"/>
            </w:tcBorders>
          </w:tcPr>
          <w:p w14:paraId="39771C72"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s-ES"/>
              </w:rPr>
              <w:t xml:space="preserve">El uso de encuestas a médicos proporciona una PMS activa con comentarios directos de los médicos que utilizan productos del portafolio del sistema de drenaje SKATER en un entorno clínico y que tienen conocimientos técnicos y experiencia con respecto al dispositivo y a los procedimientos asociados. </w:t>
            </w:r>
          </w:p>
          <w:p w14:paraId="298B08F9"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s-ES"/>
              </w:rPr>
              <w:t xml:space="preserve">Las limitaciones de las encuestas a médicos pueden incluir la falta de controles, evaluación incompleta, etc. </w:t>
            </w:r>
          </w:p>
          <w:p w14:paraId="0E9CBD8C"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0" w:type="pct"/>
            <w:tcBorders>
              <w:top w:val="single" w:sz="4" w:space="0" w:color="767171" w:themeColor="background2" w:themeShade="80"/>
            </w:tcBorders>
          </w:tcPr>
          <w:p w14:paraId="55E3FDD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es-ES"/>
              </w:rPr>
              <w:t>El objetivo será completar la encuesta, incluida la agregación y el análisis de datos, para el tercer trimestre de 2029, antes del próximo período de certificación.</w:t>
            </w:r>
          </w:p>
          <w:p w14:paraId="268E0297" w14:textId="77777777" w:rsidR="009C031B" w:rsidRPr="00451CE9" w:rsidRDefault="009C031B" w:rsidP="00A41BE9">
            <w:pPr>
              <w:spacing w:after="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es-ES"/>
              </w:rPr>
              <w:t>Los hitos clave para esta actividad son los siguientes:</w:t>
            </w:r>
          </w:p>
          <w:p w14:paraId="31061A65"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Finalizar el protocolo y el formulario de encuesta para el tercer trimestre de 2025</w:t>
            </w:r>
          </w:p>
          <w:p w14:paraId="522F6FBA"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Lanzamiento de la encuesta y el período de recopilación de datos para el primer trimestre de 2026</w:t>
            </w:r>
          </w:p>
          <w:p w14:paraId="00DE2703"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Periodo inicial de recopilación de datos: del segundo trimestre de 2026 al segundo trimestre de 2027</w:t>
            </w:r>
          </w:p>
          <w:p w14:paraId="658B5BE7"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El análisis de datos se completará en el cuarto trimestre de 2027</w:t>
            </w:r>
          </w:p>
          <w:p w14:paraId="2E51A781" w14:textId="77777777" w:rsidR="009C031B" w:rsidRPr="00A41BE9" w:rsidRDefault="009C031B" w:rsidP="00A41BE9">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Informe final para el segundo trimestre de 2028</w:t>
            </w:r>
          </w:p>
          <w:p w14:paraId="2E206174" w14:textId="529AA7C5" w:rsidR="009C031B" w:rsidRPr="00451CE9" w:rsidRDefault="009C031B" w:rsidP="00A41BE9">
            <w:pPr>
              <w:spacing w:before="240"/>
              <w:cnfStyle w:val="000000000000" w:firstRow="0" w:lastRow="0" w:firstColumn="0" w:lastColumn="0" w:oddVBand="0" w:evenVBand="0" w:oddHBand="0" w:evenHBand="0" w:firstRowFirstColumn="0" w:firstRowLastColumn="0" w:lastRowFirstColumn="0" w:lastRowLastColumn="0"/>
              <w:rPr>
                <w:sz w:val="22"/>
              </w:rPr>
            </w:pPr>
            <w:r>
              <w:rPr>
                <w:sz w:val="20"/>
                <w:lang w:val="es-ES"/>
              </w:rPr>
              <w:t>Si no se alcanza el objetivo mínimo de encuestas para el segundo trimestre de 2027, se podrá ampliar el período de recopilación de datos.</w:t>
            </w: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A41BE9">
      <w:pPr>
        <w:pStyle w:val="Heading1"/>
        <w:numPr>
          <w:ilvl w:val="0"/>
          <w:numId w:val="2"/>
        </w:numPr>
        <w:jc w:val="both"/>
        <w:rPr>
          <w:rFonts w:cs="Times New Roman"/>
        </w:rPr>
      </w:pPr>
      <w:bookmarkStart w:id="66" w:name="_Toc212114786"/>
      <w:r>
        <w:rPr>
          <w:rFonts w:cs="Times New Roman"/>
          <w:bCs/>
          <w:lang w:val="es-ES"/>
        </w:rPr>
        <w:t>Posibles alternativas diagnósticas o de tratamiento</w:t>
      </w:r>
      <w:bookmarkEnd w:id="66"/>
      <w:r>
        <w:rPr>
          <w:rFonts w:cs="Times New Roman"/>
          <w:bCs/>
          <w:lang w:val="es-ES"/>
        </w:rPr>
        <w:t xml:space="preserve"> </w:t>
      </w:r>
    </w:p>
    <w:p w14:paraId="60C316BA" w14:textId="31AEC7D0" w:rsidR="00042B91" w:rsidRPr="00451CE9" w:rsidRDefault="00EA3ACE" w:rsidP="00A41BE9">
      <w:pPr>
        <w:jc w:val="both"/>
        <w:rPr>
          <w:rFonts w:eastAsia="Times New Roman" w:cs="Times New Roman"/>
          <w:szCs w:val="24"/>
        </w:rPr>
      </w:pPr>
      <w:r>
        <w:rPr>
          <w:rFonts w:eastAsia="Calibri" w:cs="Times New Roman"/>
          <w:szCs w:val="24"/>
          <w:lang w:val="es-ES"/>
        </w:rPr>
        <w:t xml:space="preserve">En las últimas tres décadas, el drenaje percutáneo de líquidos ha tenido un efecto profundo en el tratamiento de una población de pacientes gravemente enfermos y es posiblemente el procedimiento más importante realizado por los radiólogos. Este procedimiento reduce notablemente la morbilidad y la mortalidad en comparación con el drenaje quirúrgico abierto al ofrecer una localización precisa y no invasiva de las </w:t>
      </w:r>
      <w:r>
        <w:rPr>
          <w:rFonts w:eastAsia="Calibri" w:cs="Times New Roman"/>
          <w:szCs w:val="24"/>
          <w:lang w:val="es-ES"/>
        </w:rPr>
        <w:lastRenderedPageBreak/>
        <w:t>colecciones de líquido, técnicas terapéuticas mínimamente invasivas, evitar la anestesia general en la mayoría de los casos y acortar la estancia en el hospital. El drenaje quirúrgico abierto se reserva ahora generalmente para los casos en los que el drenaje percutáneo no logra controlar la sepsis, no cierra las fístulas o no es posible debido a la presencia de estructuras interpuestas como el intestino. El éxito técnico se aprecia inmediatamente por la aspiración de contenidos y casi siempre se consigue, con índices que superan el 90 %.</w:t>
      </w:r>
    </w:p>
    <w:p w14:paraId="2CDE6FBF" w14:textId="77777777" w:rsidR="00042B91" w:rsidRPr="00451CE9" w:rsidRDefault="00042B91" w:rsidP="00A41BE9">
      <w:pPr>
        <w:pStyle w:val="Heading1"/>
        <w:numPr>
          <w:ilvl w:val="0"/>
          <w:numId w:val="2"/>
        </w:numPr>
        <w:jc w:val="both"/>
        <w:rPr>
          <w:rFonts w:cs="Times New Roman"/>
        </w:rPr>
      </w:pPr>
      <w:bookmarkStart w:id="67" w:name="_Toc212114787"/>
      <w:r>
        <w:rPr>
          <w:rFonts w:cs="Times New Roman"/>
          <w:bCs/>
          <w:lang w:val="es-ES"/>
        </w:rPr>
        <w:t>Perfil y formación sugeridos para los usuarios</w:t>
      </w:r>
      <w:bookmarkEnd w:id="67"/>
    </w:p>
    <w:p w14:paraId="4E38995B" w14:textId="71C104A9" w:rsidR="00DE3971" w:rsidRPr="00A41BE9" w:rsidRDefault="00F856AF" w:rsidP="00A41BE9">
      <w:pPr>
        <w:pStyle w:val="BT1BodyTextI1"/>
        <w:spacing w:after="0"/>
        <w:ind w:left="0"/>
        <w:jc w:val="both"/>
        <w:rPr>
          <w:rFonts w:ascii="Times New Roman" w:hAnsi="Times New Roman" w:cs="Times New Roman"/>
          <w:sz w:val="24"/>
          <w:szCs w:val="24"/>
        </w:rPr>
      </w:pPr>
      <w:bookmarkStart w:id="68" w:name="_Hlk167001763"/>
      <w:r w:rsidRPr="00A41BE9">
        <w:rPr>
          <w:rFonts w:ascii="Times New Roman" w:hAnsi="Times New Roman" w:cs="Times New Roman"/>
          <w:sz w:val="24"/>
          <w:szCs w:val="24"/>
          <w:lang w:val="es-ES"/>
        </w:rPr>
        <w:t xml:space="preserve">El sistema de drenaje </w:t>
      </w:r>
      <w:proofErr w:type="spellStart"/>
      <w:r w:rsidRPr="00A41BE9">
        <w:rPr>
          <w:rFonts w:ascii="Times New Roman" w:hAnsi="Times New Roman" w:cs="Times New Roman"/>
          <w:sz w:val="24"/>
          <w:szCs w:val="24"/>
          <w:lang w:val="es-ES"/>
        </w:rPr>
        <w:t>Skater</w:t>
      </w:r>
      <w:proofErr w:type="spellEnd"/>
      <w:r w:rsidRPr="00A41BE9">
        <w:rPr>
          <w:rFonts w:ascii="Times New Roman" w:hAnsi="Times New Roman" w:cs="Times New Roman"/>
          <w:sz w:val="24"/>
          <w:szCs w:val="24"/>
          <w:lang w:val="es-ES"/>
        </w:rPr>
        <w:t xml:space="preserve"> está destinado a ser utilizado por médicos certificados o personal clínico capacitado en técnicas diagnósticas e intervencionistas vasculares que estén familiarizados con el procedimiento.</w:t>
      </w:r>
    </w:p>
    <w:p w14:paraId="6D0FDE04" w14:textId="77777777" w:rsidR="00451CE9" w:rsidRPr="00451CE9" w:rsidRDefault="00451CE9" w:rsidP="00DF3BEF">
      <w:pPr>
        <w:pStyle w:val="BT1BodyTextI1"/>
        <w:ind w:left="0"/>
        <w:rPr>
          <w:rFonts w:ascii="Times New Roman" w:hAnsi="Times New Roman" w:cs="Times New Roman"/>
        </w:rPr>
      </w:pPr>
    </w:p>
    <w:p w14:paraId="146C4C77" w14:textId="51D87D6C" w:rsidR="00DE3971" w:rsidRPr="00235232" w:rsidRDefault="00760400" w:rsidP="00A41BE9">
      <w:pPr>
        <w:pStyle w:val="Heading1"/>
        <w:numPr>
          <w:ilvl w:val="0"/>
          <w:numId w:val="2"/>
        </w:numPr>
        <w:spacing w:after="120"/>
        <w:ind w:left="357" w:hanging="357"/>
        <w:rPr>
          <w:rFonts w:cs="Times New Roman"/>
        </w:rPr>
      </w:pPr>
      <w:bookmarkStart w:id="69" w:name="_Toc212114788"/>
      <w:bookmarkEnd w:id="68"/>
      <w:r>
        <w:rPr>
          <w:rFonts w:cs="Times New Roman"/>
          <w:bCs/>
          <w:lang w:val="es-ES"/>
        </w:rPr>
        <w:t>Normas armonizadas/Especificaciones comunes</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es-ES"/>
              </w:rPr>
              <w:t xml:space="preserve">Fecha/Versión de conformidad de </w:t>
            </w:r>
            <w:proofErr w:type="spellStart"/>
            <w:r>
              <w:rPr>
                <w:rFonts w:cs="Times New Roman"/>
                <w:b/>
                <w:bCs/>
                <w:sz w:val="22"/>
                <w:lang w:val="es-ES"/>
              </w:rPr>
              <w:t>Argon</w:t>
            </w:r>
            <w:proofErr w:type="spellEnd"/>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Título de la norma</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Etiquetado</w:t>
            </w:r>
          </w:p>
        </w:tc>
      </w:tr>
      <w:tr w:rsidR="00235232" w:rsidRPr="00DE3971" w14:paraId="69DBF532" w14:textId="77777777" w:rsidTr="00A41BE9">
        <w:trPr>
          <w:trHeight w:val="745"/>
        </w:trPr>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es-ES"/>
              </w:rPr>
              <w:t>EN ISO 15223-1:2021</w:t>
            </w:r>
          </w:p>
        </w:tc>
        <w:tc>
          <w:tcPr>
            <w:tcW w:w="3871" w:type="pct"/>
          </w:tcPr>
          <w:p w14:paraId="08DEAB69" w14:textId="77777777" w:rsidR="00235232" w:rsidRPr="00DE3971" w:rsidRDefault="00235232" w:rsidP="00704136">
            <w:pPr>
              <w:spacing w:after="0" w:afterAutospacing="0"/>
              <w:rPr>
                <w:rFonts w:cs="Times New Roman"/>
                <w:sz w:val="22"/>
              </w:rPr>
            </w:pPr>
            <w:r>
              <w:rPr>
                <w:rFonts w:cs="Times New Roman"/>
                <w:sz w:val="22"/>
                <w:lang w:val="es-ES"/>
              </w:rPr>
              <w:t xml:space="preserve">Productos sanitarios - Símbolos a utilizar con productos sanitarios. </w:t>
            </w:r>
          </w:p>
          <w:p w14:paraId="1C9060BD" w14:textId="13D746A5" w:rsidR="00235232" w:rsidRPr="00DE3971" w:rsidRDefault="00235232" w:rsidP="00704136">
            <w:pPr>
              <w:spacing w:after="0" w:afterAutospacing="0"/>
              <w:rPr>
                <w:rFonts w:cs="Times New Roman"/>
                <w:sz w:val="22"/>
              </w:rPr>
            </w:pPr>
            <w:r>
              <w:rPr>
                <w:rFonts w:cs="Times New Roman"/>
                <w:sz w:val="22"/>
                <w:lang w:val="es-ES"/>
              </w:rPr>
              <w:t>Etiquetas, etiquetado e información que debe suministrarse - Parte 1: Requisitos generales</w:t>
            </w:r>
          </w:p>
        </w:tc>
      </w:tr>
      <w:tr w:rsidR="00235232" w:rsidRPr="00DE3971"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es-ES"/>
              </w:rPr>
              <w:t>EN ISO 20417:2021</w:t>
            </w:r>
          </w:p>
        </w:tc>
        <w:tc>
          <w:tcPr>
            <w:tcW w:w="3871" w:type="pct"/>
          </w:tcPr>
          <w:p w14:paraId="44CA3961" w14:textId="77777777" w:rsidR="00235232" w:rsidRPr="00DE3971" w:rsidRDefault="00235232" w:rsidP="00704136">
            <w:pPr>
              <w:spacing w:after="0" w:afterAutospacing="0"/>
              <w:rPr>
                <w:rFonts w:cs="Times New Roman"/>
                <w:sz w:val="22"/>
              </w:rPr>
            </w:pPr>
            <w:r>
              <w:rPr>
                <w:rFonts w:cs="Times New Roman"/>
                <w:sz w:val="22"/>
                <w:lang w:val="es-ES"/>
              </w:rPr>
              <w:t>Terminología, símbolos e información proporcionada con los productos sanitarios: Información suministrada por el fabricante con los productos sanitarios</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Normas generales – Esterilización</w:t>
            </w:r>
          </w:p>
        </w:tc>
      </w:tr>
      <w:tr w:rsidR="00235232" w:rsidRPr="00DE3971"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es-ES"/>
              </w:rPr>
              <w:t>EN ISO 11070:2014/A1:2018</w:t>
            </w:r>
          </w:p>
        </w:tc>
        <w:tc>
          <w:tcPr>
            <w:tcW w:w="3871" w:type="pct"/>
          </w:tcPr>
          <w:p w14:paraId="00CDA0D4" w14:textId="77777777" w:rsidR="00235232" w:rsidRPr="00DE3971" w:rsidRDefault="00235232" w:rsidP="00704136">
            <w:pPr>
              <w:spacing w:after="0" w:afterAutospacing="0"/>
              <w:rPr>
                <w:rFonts w:cs="Times New Roman"/>
                <w:sz w:val="22"/>
              </w:rPr>
            </w:pPr>
            <w:r>
              <w:rPr>
                <w:rFonts w:cs="Times New Roman"/>
                <w:sz w:val="22"/>
                <w:lang w:val="es-ES"/>
              </w:rPr>
              <w:t>Introductores, dilatadores y alambres guía intravasculares estériles para un solo uso.</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es-ES"/>
              </w:rPr>
              <w:t>ISO 10555-1:2013</w:t>
            </w:r>
          </w:p>
        </w:tc>
        <w:tc>
          <w:tcPr>
            <w:tcW w:w="3871" w:type="pct"/>
          </w:tcPr>
          <w:p w14:paraId="32D1D266" w14:textId="77777777" w:rsidR="00235232" w:rsidRPr="00DE3971" w:rsidRDefault="00235232" w:rsidP="00704136">
            <w:pPr>
              <w:spacing w:after="0" w:afterAutospacing="0"/>
              <w:rPr>
                <w:rFonts w:cs="Times New Roman"/>
                <w:sz w:val="22"/>
              </w:rPr>
            </w:pPr>
            <w:r>
              <w:rPr>
                <w:rFonts w:cs="Times New Roman"/>
                <w:sz w:val="22"/>
                <w:lang w:val="es-ES"/>
              </w:rPr>
              <w:t>Catéteres intravasculares. Catéteres estériles y de un solo uso. Parte 1: Requisitos generales</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es-ES"/>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es-ES"/>
              </w:rPr>
              <w:t>Esterilización de productos sanitarios. Requisitos para que los dispositivos médicos sean designados como ESTÉRILES. Requisitos de los productos sanitarios esterilizados en su estado terminal.</w:t>
            </w:r>
          </w:p>
        </w:tc>
      </w:tr>
      <w:tr w:rsidR="00235232" w:rsidRPr="00DE3971"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es-ES"/>
              </w:rPr>
              <w:t>EN ISO 11135:2019</w:t>
            </w:r>
          </w:p>
        </w:tc>
        <w:tc>
          <w:tcPr>
            <w:tcW w:w="3871" w:type="pct"/>
          </w:tcPr>
          <w:p w14:paraId="3DC18B24" w14:textId="451E2C72" w:rsidR="00235232" w:rsidRPr="00DE3971" w:rsidRDefault="00235232" w:rsidP="00704136">
            <w:pPr>
              <w:spacing w:after="0" w:afterAutospacing="0"/>
              <w:rPr>
                <w:rFonts w:cs="Times New Roman"/>
                <w:sz w:val="22"/>
              </w:rPr>
            </w:pPr>
            <w:r>
              <w:rPr>
                <w:rFonts w:cs="Times New Roman"/>
                <w:sz w:val="22"/>
                <w:lang w:val="es-ES"/>
              </w:rPr>
              <w:t>Esterilización de productos para asistencia sanitaria. Óxido de etileno. Parte</w:t>
            </w:r>
            <w:r w:rsidR="000A5782">
              <w:rPr>
                <w:rFonts w:cs="Times New Roman"/>
                <w:sz w:val="22"/>
                <w:lang w:val="es-ES"/>
              </w:rPr>
              <w:t> </w:t>
            </w:r>
            <w:r>
              <w:rPr>
                <w:rFonts w:cs="Times New Roman"/>
                <w:sz w:val="22"/>
                <w:lang w:val="es-ES"/>
              </w:rPr>
              <w:t>1:</w:t>
            </w:r>
            <w:r w:rsidR="000A5782">
              <w:rPr>
                <w:rFonts w:cs="Times New Roman"/>
                <w:sz w:val="22"/>
                <w:lang w:val="es-ES"/>
              </w:rPr>
              <w:t> </w:t>
            </w:r>
            <w:r>
              <w:rPr>
                <w:rFonts w:cs="Times New Roman"/>
                <w:sz w:val="22"/>
                <w:lang w:val="es-ES"/>
              </w:rPr>
              <w:t>Requisitos para el desarrollo, la validación y el control de rutina de un proceso de esterilización para productos sanitarios.</w:t>
            </w:r>
          </w:p>
        </w:tc>
      </w:tr>
      <w:tr w:rsidR="00235232" w:rsidRPr="00DE3971"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es-ES"/>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DE3971" w:rsidRDefault="00235232" w:rsidP="00704136">
            <w:pPr>
              <w:spacing w:after="0" w:afterAutospacing="0"/>
              <w:rPr>
                <w:rFonts w:cs="Times New Roman"/>
                <w:sz w:val="22"/>
              </w:rPr>
            </w:pPr>
            <w:r>
              <w:rPr>
                <w:rFonts w:cs="Times New Roman"/>
                <w:sz w:val="22"/>
                <w:lang w:val="es-ES"/>
              </w:rPr>
              <w:t>Adopción de productos y equivalencia de procesos para la esterilización con óxido de etileno.</w:t>
            </w:r>
          </w:p>
        </w:tc>
      </w:tr>
      <w:tr w:rsidR="00235232" w:rsidRPr="00DE3971" w14:paraId="22EA6D54" w14:textId="77777777" w:rsidTr="00704136">
        <w:tc>
          <w:tcPr>
            <w:tcW w:w="1129" w:type="pct"/>
          </w:tcPr>
          <w:p w14:paraId="04C3528E" w14:textId="77777777" w:rsidR="00235232" w:rsidRPr="00A41BE9" w:rsidRDefault="00235232" w:rsidP="00A41BE9">
            <w:pPr>
              <w:spacing w:after="0" w:afterAutospacing="0"/>
              <w:rPr>
                <w:rFonts w:cs="Times New Roman"/>
                <w:sz w:val="22"/>
                <w:lang w:val="es-ES"/>
              </w:rPr>
            </w:pPr>
            <w:r>
              <w:rPr>
                <w:rFonts w:cs="Times New Roman"/>
                <w:sz w:val="22"/>
                <w:lang w:val="es-ES"/>
              </w:rPr>
              <w:t>EN ISO 14644-1:2015</w:t>
            </w:r>
          </w:p>
        </w:tc>
        <w:tc>
          <w:tcPr>
            <w:tcW w:w="3871" w:type="pct"/>
          </w:tcPr>
          <w:p w14:paraId="5442D4CC" w14:textId="44919A50" w:rsidR="00235232" w:rsidRPr="00DE3971" w:rsidRDefault="00235232" w:rsidP="00704136">
            <w:pPr>
              <w:spacing w:after="0" w:afterAutospacing="0"/>
              <w:rPr>
                <w:rFonts w:cs="Times New Roman"/>
                <w:sz w:val="22"/>
              </w:rPr>
            </w:pPr>
            <w:r>
              <w:rPr>
                <w:rFonts w:cs="Times New Roman"/>
                <w:sz w:val="22"/>
                <w:lang w:val="es-ES"/>
              </w:rPr>
              <w:t>Clasificación de la limpieza del aire, salas limpias y locales anexos controlados. Parte</w:t>
            </w:r>
            <w:r w:rsidR="001832D4">
              <w:rPr>
                <w:rFonts w:cs="Times New Roman"/>
                <w:sz w:val="22"/>
                <w:lang w:val="es-ES"/>
              </w:rPr>
              <w:t> </w:t>
            </w:r>
            <w:r>
              <w:rPr>
                <w:rFonts w:cs="Times New Roman"/>
                <w:sz w:val="22"/>
                <w:lang w:val="es-ES"/>
              </w:rPr>
              <w:t>1:</w:t>
            </w:r>
            <w:r w:rsidR="00237E7D">
              <w:rPr>
                <w:rFonts w:cs="Times New Roman"/>
                <w:sz w:val="22"/>
                <w:lang w:val="es-ES"/>
              </w:rPr>
              <w:t> </w:t>
            </w:r>
            <w:r>
              <w:rPr>
                <w:rFonts w:cs="Times New Roman"/>
                <w:sz w:val="22"/>
                <w:lang w:val="es-ES"/>
              </w:rPr>
              <w:t>Clasificación de la limpieza del aire.</w:t>
            </w:r>
          </w:p>
        </w:tc>
      </w:tr>
      <w:tr w:rsidR="00235232" w:rsidRPr="00DE3971" w14:paraId="3ECAE73F" w14:textId="77777777" w:rsidTr="00A41BE9">
        <w:trPr>
          <w:trHeight w:val="833"/>
        </w:trPr>
        <w:tc>
          <w:tcPr>
            <w:tcW w:w="1129" w:type="pct"/>
          </w:tcPr>
          <w:p w14:paraId="1670F37A" w14:textId="77777777" w:rsidR="00235232" w:rsidRPr="00A41BE9" w:rsidRDefault="00235232" w:rsidP="00A41BE9">
            <w:pPr>
              <w:spacing w:after="0" w:afterAutospacing="0"/>
              <w:rPr>
                <w:rFonts w:cs="Times New Roman"/>
                <w:sz w:val="22"/>
                <w:lang w:val="es-ES"/>
              </w:rPr>
            </w:pPr>
            <w:r>
              <w:rPr>
                <w:rFonts w:cs="Times New Roman"/>
                <w:sz w:val="22"/>
                <w:lang w:val="es-ES"/>
              </w:rPr>
              <w:t>EN ISO 14644-2:2015</w:t>
            </w:r>
          </w:p>
        </w:tc>
        <w:tc>
          <w:tcPr>
            <w:tcW w:w="3871" w:type="pct"/>
          </w:tcPr>
          <w:p w14:paraId="4CA7072B" w14:textId="5DDD7903" w:rsidR="00235232" w:rsidRPr="00DE3971" w:rsidRDefault="00235232" w:rsidP="00704136">
            <w:pPr>
              <w:spacing w:after="0" w:afterAutospacing="0"/>
              <w:rPr>
                <w:rFonts w:cs="Times New Roman"/>
                <w:sz w:val="22"/>
              </w:rPr>
            </w:pPr>
            <w:r>
              <w:rPr>
                <w:rFonts w:cs="Times New Roman"/>
                <w:sz w:val="22"/>
                <w:lang w:val="es-ES"/>
              </w:rPr>
              <w:t>Salas limpias y locales anexos controlados. Parte 2: Seguimiento para proporcionar evidencias del desempeño en relación con la limpieza del aire mediante la concentración de partículas.</w:t>
            </w:r>
          </w:p>
        </w:tc>
      </w:tr>
      <w:tr w:rsidR="00235232" w:rsidRPr="00DE3971"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A41BE9" w:rsidRDefault="00235232" w:rsidP="00A41BE9">
            <w:pPr>
              <w:spacing w:after="0" w:afterAutospacing="0"/>
              <w:rPr>
                <w:rFonts w:cs="Times New Roman"/>
                <w:sz w:val="22"/>
                <w:lang w:val="es-ES"/>
              </w:rPr>
            </w:pPr>
            <w:r w:rsidRPr="00A41BE9">
              <w:rPr>
                <w:rFonts w:cs="Times New Roman"/>
                <w:sz w:val="22"/>
                <w:lang w:val="es-E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65802DE1" w:rsidR="00235232" w:rsidRPr="00DE3971" w:rsidRDefault="00235232" w:rsidP="00704136">
            <w:pPr>
              <w:spacing w:after="0" w:afterAutospacing="0"/>
              <w:rPr>
                <w:rFonts w:cs="Times New Roman"/>
                <w:sz w:val="22"/>
              </w:rPr>
            </w:pPr>
            <w:r>
              <w:rPr>
                <w:rFonts w:eastAsia="Times New Roman" w:cs="Times New Roman"/>
                <w:sz w:val="22"/>
                <w:lang w:val="es-ES"/>
              </w:rPr>
              <w:t>Esterilización de productos para la salud. Métodos microbiológicos. Parte</w:t>
            </w:r>
            <w:r w:rsidR="009830D7">
              <w:rPr>
                <w:rFonts w:eastAsia="Times New Roman" w:cs="Times New Roman"/>
                <w:sz w:val="22"/>
                <w:lang w:val="es-ES"/>
              </w:rPr>
              <w:t> </w:t>
            </w:r>
            <w:r>
              <w:rPr>
                <w:rFonts w:eastAsia="Times New Roman" w:cs="Times New Roman"/>
                <w:sz w:val="22"/>
                <w:lang w:val="es-ES"/>
              </w:rPr>
              <w:t>1:</w:t>
            </w:r>
            <w:r w:rsidR="009830D7">
              <w:rPr>
                <w:rFonts w:eastAsia="Times New Roman" w:cs="Times New Roman"/>
                <w:sz w:val="22"/>
                <w:lang w:val="es-ES"/>
              </w:rPr>
              <w:t> </w:t>
            </w:r>
            <w:r>
              <w:rPr>
                <w:rFonts w:eastAsia="Times New Roman" w:cs="Times New Roman"/>
                <w:sz w:val="22"/>
                <w:lang w:val="es-ES"/>
              </w:rPr>
              <w:t>Determinación de la población de microorganismos en los productos.</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A41BE9" w:rsidRDefault="00235232" w:rsidP="00A41BE9">
            <w:pPr>
              <w:spacing w:after="0" w:afterAutospacing="0"/>
              <w:rPr>
                <w:rFonts w:cs="Times New Roman"/>
                <w:sz w:val="22"/>
                <w:lang w:val="es-ES"/>
              </w:rPr>
            </w:pPr>
            <w:r w:rsidRPr="00A41BE9">
              <w:rPr>
                <w:rFonts w:cs="Times New Roman"/>
                <w:sz w:val="22"/>
                <w:lang w:val="es-E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704136">
            <w:pPr>
              <w:spacing w:after="0" w:afterAutospacing="0"/>
              <w:rPr>
                <w:rFonts w:cs="Times New Roman"/>
                <w:sz w:val="22"/>
              </w:rPr>
            </w:pPr>
            <w:r>
              <w:rPr>
                <w:rFonts w:eastAsia="Times New Roman" w:cs="Times New Roman"/>
                <w:sz w:val="22"/>
                <w:lang w:val="es-ES"/>
              </w:rPr>
              <w:t>Evaluación biológica de productos sanitarios. Residuos de esterilización de óxido de etileno.</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es-ES"/>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es-ES"/>
              </w:rPr>
              <w:t>Prueba de endotoxinas bacterianas</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lastRenderedPageBreak/>
              <w:t>Normas generales – Sistemas de calidad</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es-ES"/>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es-ES"/>
              </w:rPr>
              <w:t>Dispositivos médicos/productos sanitarios (MD). Sistemas de gestión de calidad. Requisitos para fines reglamentarios.</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Gestión de riesgos</w:t>
            </w:r>
          </w:p>
        </w:tc>
      </w:tr>
      <w:tr w:rsidR="00235232" w:rsidRPr="00DE3971"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es-ES"/>
              </w:rPr>
              <w:t>EN ISO 14971:2019</w:t>
            </w:r>
          </w:p>
        </w:tc>
        <w:tc>
          <w:tcPr>
            <w:tcW w:w="3871" w:type="pct"/>
          </w:tcPr>
          <w:p w14:paraId="4B07BB58" w14:textId="77777777" w:rsidR="00235232" w:rsidRPr="00DE3971" w:rsidRDefault="00235232" w:rsidP="00704136">
            <w:pPr>
              <w:spacing w:after="0" w:afterAutospacing="0"/>
              <w:rPr>
                <w:rFonts w:cs="Times New Roman"/>
                <w:sz w:val="22"/>
              </w:rPr>
            </w:pPr>
            <w:r>
              <w:rPr>
                <w:rFonts w:cs="Times New Roman"/>
                <w:sz w:val="22"/>
                <w:lang w:val="es-ES"/>
              </w:rPr>
              <w:t>Aplicación de la gestión de riesgos a los productos sanitarios.</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es-ES"/>
              </w:rPr>
              <w:t>Seguridad biológica</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69B42A32" w14:textId="016D033C" w:rsidR="00235232" w:rsidRPr="00DE3971" w:rsidRDefault="00235232" w:rsidP="00A41BE9">
            <w:pPr>
              <w:spacing w:after="14" w:afterAutospacing="0"/>
              <w:rPr>
                <w:rFonts w:cs="Times New Roman"/>
                <w:sz w:val="22"/>
              </w:rPr>
            </w:pPr>
            <w:r>
              <w:rPr>
                <w:rFonts w:eastAsia="Arial" w:cs="Times New Roman"/>
                <w:sz w:val="22"/>
                <w:lang w:val="es-ES"/>
              </w:rPr>
              <w:t xml:space="preserve">Evaluación biológica de productos sanitarios. Parte 1: Evaluación y ensayos.  </w:t>
            </w:r>
          </w:p>
        </w:tc>
      </w:tr>
      <w:tr w:rsidR="00235232"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productos sanitarios. Parte 3: Ensayos de genotoxicidad, carcinogenicidad y toxicidad para la reproducción. </w:t>
            </w:r>
          </w:p>
        </w:tc>
      </w:tr>
      <w:tr w:rsidR="00235232" w:rsidRPr="00DE3971"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productos sanitarios. Parte 4: Selección de los ensayos para las interacciones con la sangre.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productos sanitarios. Parte 5: Ensayos de citotoxicidad in vitro. </w:t>
            </w:r>
          </w:p>
        </w:tc>
      </w:tr>
      <w:tr w:rsidR="00235232" w:rsidRPr="00DE3971"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productos sanitarios. Parte 10: Ensayos de irritación y sensibilización cutánea.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los productos sanitarios. Parte 11: Ensayos de toxicidad sistémica. </w:t>
            </w:r>
          </w:p>
        </w:tc>
      </w:tr>
      <w:tr w:rsidR="00235232" w:rsidRPr="00DE3971"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productos sanitarios. Parte 12: Preparación de muestras y materiales de referencia. </w:t>
            </w:r>
          </w:p>
        </w:tc>
      </w:tr>
      <w:tr w:rsidR="00235232" w:rsidRPr="00DE3971"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Evaluación biológica de productos sanitarios. Parte 19: Caracterización fisicoquímica, morfológica y topográfica de los materiales. </w:t>
            </w:r>
          </w:p>
        </w:tc>
      </w:tr>
      <w:tr w:rsidR="00235232"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es-ES"/>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es-ES"/>
              </w:rPr>
              <w:t>Guía estándar para la biocompatibilidad de los materiales de embalaje de productos sanitarios</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es-ES"/>
              </w:rPr>
              <w:t>Evaluación clínica</w:t>
            </w:r>
          </w:p>
        </w:tc>
      </w:tr>
      <w:tr w:rsidR="00235232" w:rsidRPr="00DE3971" w14:paraId="48FE2BC1" w14:textId="77777777" w:rsidTr="00704136">
        <w:tc>
          <w:tcPr>
            <w:tcW w:w="1129" w:type="pct"/>
          </w:tcPr>
          <w:p w14:paraId="2BEF70B8" w14:textId="2FE091E7" w:rsidR="00235232" w:rsidRPr="00DE3971" w:rsidRDefault="00235232" w:rsidP="00704136">
            <w:pPr>
              <w:spacing w:after="0" w:afterAutospacing="0"/>
              <w:rPr>
                <w:rFonts w:cs="Times New Roman"/>
                <w:bCs/>
                <w:sz w:val="22"/>
              </w:rPr>
            </w:pPr>
            <w:r>
              <w:rPr>
                <w:rFonts w:eastAsia="Arial" w:cs="Times New Roman"/>
                <w:sz w:val="22"/>
                <w:lang w:val="es-ES"/>
              </w:rPr>
              <w:t xml:space="preserve">MEDDEV 2.7/1 </w:t>
            </w:r>
            <w:proofErr w:type="spellStart"/>
            <w:r>
              <w:rPr>
                <w:rFonts w:eastAsia="Arial" w:cs="Times New Roman"/>
                <w:sz w:val="22"/>
                <w:lang w:val="es-ES"/>
              </w:rPr>
              <w:t>Rev</w:t>
            </w:r>
            <w:proofErr w:type="spellEnd"/>
            <w:r w:rsidR="006F5CF3">
              <w:rPr>
                <w:rFonts w:eastAsia="Arial" w:cs="Times New Roman"/>
                <w:sz w:val="22"/>
                <w:lang w:val="es-ES"/>
              </w:rPr>
              <w:t> </w:t>
            </w:r>
            <w:r>
              <w:rPr>
                <w:rFonts w:eastAsia="Arial" w:cs="Times New Roman"/>
                <w:sz w:val="22"/>
                <w:lang w:val="es-ES"/>
              </w:rPr>
              <w:t>4</w:t>
            </w:r>
          </w:p>
        </w:tc>
        <w:tc>
          <w:tcPr>
            <w:tcW w:w="3871" w:type="pct"/>
          </w:tcPr>
          <w:p w14:paraId="1BC3FE44" w14:textId="77777777" w:rsidR="00235232" w:rsidRPr="00DE3971" w:rsidRDefault="00235232" w:rsidP="00704136">
            <w:pPr>
              <w:spacing w:after="0" w:afterAutospacing="0"/>
              <w:rPr>
                <w:rFonts w:cs="Times New Roman"/>
                <w:sz w:val="22"/>
              </w:rPr>
            </w:pPr>
            <w:r>
              <w:rPr>
                <w:rFonts w:cs="Times New Roman"/>
                <w:sz w:val="22"/>
                <w:lang w:val="es-ES"/>
              </w:rPr>
              <w:t>Evaluación clínica: Guía para fabricantes y organismos notificados</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es-ES"/>
              </w:rPr>
              <w:t>Control de diseño</w:t>
            </w:r>
          </w:p>
        </w:tc>
      </w:tr>
      <w:tr w:rsidR="00235232" w:rsidRPr="00DE3971"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es-ES"/>
              </w:rPr>
              <w:t>EN ISO 14971</w:t>
            </w:r>
          </w:p>
        </w:tc>
        <w:tc>
          <w:tcPr>
            <w:tcW w:w="3871" w:type="pct"/>
          </w:tcPr>
          <w:p w14:paraId="32BEEB01" w14:textId="77777777" w:rsidR="00235232" w:rsidRPr="00DE3971" w:rsidRDefault="00235232" w:rsidP="00704136">
            <w:pPr>
              <w:spacing w:after="0" w:afterAutospacing="0"/>
              <w:rPr>
                <w:rFonts w:cs="Times New Roman"/>
                <w:sz w:val="22"/>
              </w:rPr>
            </w:pPr>
            <w:r>
              <w:rPr>
                <w:rFonts w:cs="Times New Roman"/>
                <w:sz w:val="22"/>
                <w:lang w:val="es-ES"/>
              </w:rPr>
              <w:t>Dispositivos médicos/productos sanitarios (MD). Aplicación de la gestión de riesgos a los MD.</w:t>
            </w: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Usabilidad</w:t>
            </w:r>
          </w:p>
        </w:tc>
      </w:tr>
      <w:tr w:rsidR="00235232" w:rsidRPr="00DE3971"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es-ES"/>
              </w:rPr>
              <w:t>IEC 62366-1:2015 y</w:t>
            </w:r>
          </w:p>
          <w:p w14:paraId="10F65144" w14:textId="77777777" w:rsidR="00235232" w:rsidRPr="00DE3971" w:rsidRDefault="00235232" w:rsidP="00704136">
            <w:pPr>
              <w:spacing w:after="0" w:afterAutospacing="0"/>
              <w:rPr>
                <w:rFonts w:cs="Times New Roman"/>
                <w:sz w:val="22"/>
              </w:rPr>
            </w:pPr>
            <w:r>
              <w:rPr>
                <w:rFonts w:cs="Times New Roman"/>
                <w:sz w:val="22"/>
                <w:lang w:val="es-ES"/>
              </w:rPr>
              <w:t>IEC 62366-1:2015/ COR1:2016</w:t>
            </w:r>
          </w:p>
        </w:tc>
        <w:tc>
          <w:tcPr>
            <w:tcW w:w="3871" w:type="pct"/>
          </w:tcPr>
          <w:p w14:paraId="54985958" w14:textId="77777777" w:rsidR="00235232" w:rsidRPr="00DE3971" w:rsidRDefault="00235232" w:rsidP="00704136">
            <w:pPr>
              <w:spacing w:after="0" w:afterAutospacing="0"/>
              <w:rPr>
                <w:rFonts w:cs="Times New Roman"/>
                <w:sz w:val="22"/>
              </w:rPr>
            </w:pPr>
            <w:r>
              <w:rPr>
                <w:rFonts w:cs="Times New Roman"/>
                <w:sz w:val="22"/>
                <w:lang w:val="es-ES"/>
              </w:rPr>
              <w:t>Productos sanitarios. Aplicación de la ingeniería de usabilidad a los productos sanitarios.</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Embalaje</w:t>
            </w:r>
          </w:p>
        </w:tc>
      </w:tr>
      <w:tr w:rsidR="00235232" w:rsidRPr="00DE3971"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es-ES"/>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E72151A" w:rsidR="00235232" w:rsidRPr="00DE3971" w:rsidRDefault="00235232" w:rsidP="00704136">
            <w:pPr>
              <w:spacing w:after="0" w:afterAutospacing="0"/>
              <w:rPr>
                <w:rFonts w:cs="Times New Roman"/>
                <w:sz w:val="22"/>
              </w:rPr>
            </w:pPr>
            <w:r>
              <w:rPr>
                <w:rFonts w:eastAsia="Arial" w:cs="Times New Roman"/>
                <w:sz w:val="22"/>
                <w:lang w:val="es-ES"/>
              </w:rPr>
              <w:t>Requisitos de los productos sanitarios esterilizados en su estado terminal. Parte</w:t>
            </w:r>
            <w:r w:rsidR="00670C3A">
              <w:rPr>
                <w:rFonts w:eastAsia="Arial" w:cs="Times New Roman"/>
                <w:sz w:val="22"/>
                <w:lang w:val="es-ES"/>
              </w:rPr>
              <w:t> </w:t>
            </w:r>
            <w:r>
              <w:rPr>
                <w:rFonts w:eastAsia="Arial" w:cs="Times New Roman"/>
                <w:sz w:val="22"/>
                <w:lang w:val="es-ES"/>
              </w:rPr>
              <w:t>1:</w:t>
            </w:r>
            <w:r w:rsidR="00670C3A">
              <w:rPr>
                <w:rFonts w:eastAsia="Arial" w:cs="Times New Roman"/>
                <w:sz w:val="22"/>
                <w:lang w:val="es-ES"/>
              </w:rPr>
              <w:t> </w:t>
            </w:r>
            <w:r>
              <w:rPr>
                <w:rFonts w:eastAsia="Arial" w:cs="Times New Roman"/>
                <w:sz w:val="22"/>
                <w:lang w:val="es-ES"/>
              </w:rPr>
              <w:t xml:space="preserve">Requisitos para los materiales, los sistemas de barrera estéril y sistemas de envasado.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es-ES"/>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1F8DF24A" w:rsidR="00235232" w:rsidRPr="00DE3971" w:rsidRDefault="00235232" w:rsidP="00704136">
            <w:pPr>
              <w:spacing w:after="0" w:afterAutospacing="0"/>
              <w:rPr>
                <w:rFonts w:cs="Times New Roman"/>
                <w:sz w:val="22"/>
              </w:rPr>
            </w:pPr>
            <w:r>
              <w:rPr>
                <w:rFonts w:eastAsia="Arial" w:cs="Times New Roman"/>
                <w:sz w:val="22"/>
                <w:lang w:val="es-ES"/>
              </w:rPr>
              <w:t>Requisitos de los productos sanitarios esterilizados en su estado terminal. Parte</w:t>
            </w:r>
            <w:r w:rsidR="00670C3A">
              <w:rPr>
                <w:rFonts w:eastAsia="Arial" w:cs="Times New Roman"/>
                <w:sz w:val="22"/>
                <w:lang w:val="es-ES"/>
              </w:rPr>
              <w:t> </w:t>
            </w:r>
            <w:r>
              <w:rPr>
                <w:rFonts w:eastAsia="Arial" w:cs="Times New Roman"/>
                <w:sz w:val="22"/>
                <w:lang w:val="es-ES"/>
              </w:rPr>
              <w:t>2:</w:t>
            </w:r>
            <w:r w:rsidR="00670C3A">
              <w:rPr>
                <w:rFonts w:eastAsia="Arial" w:cs="Times New Roman"/>
                <w:sz w:val="22"/>
                <w:lang w:val="es-ES"/>
              </w:rPr>
              <w:t> </w:t>
            </w:r>
            <w:r>
              <w:rPr>
                <w:rFonts w:eastAsia="Arial" w:cs="Times New Roman"/>
                <w:sz w:val="22"/>
                <w:lang w:val="es-ES"/>
              </w:rPr>
              <w:t xml:space="preserve">Requisitos de validación para procesos de conformación, sellado y ensamblado.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es-ES"/>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Envases y embalajes. Embalajes de expedición completos y llenos y unidades de carga. Acondicionamiento para ensayos. </w:t>
            </w:r>
          </w:p>
        </w:tc>
      </w:tr>
      <w:tr w:rsidR="00235232" w:rsidRPr="00DE3971"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2394D554" w:rsidR="00235232" w:rsidRPr="00DE3971" w:rsidRDefault="00235232" w:rsidP="00704136">
            <w:pPr>
              <w:spacing w:after="0" w:afterAutospacing="0"/>
              <w:rPr>
                <w:rFonts w:cs="Times New Roman"/>
                <w:bCs/>
                <w:sz w:val="22"/>
              </w:rPr>
            </w:pPr>
            <w:hyperlink r:id="rId14">
              <w:r>
                <w:rPr>
                  <w:rFonts w:eastAsia="Arial" w:cs="Times New Roman"/>
                  <w:sz w:val="22"/>
                  <w:lang w:val="es-ES"/>
                </w:rPr>
                <w:t>ASTM D4169</w:t>
              </w:r>
            </w:hyperlink>
            <w:r>
              <w:rPr>
                <w:rFonts w:eastAsia="Arial" w:cs="Times New Roman"/>
                <w:sz w:val="22"/>
                <w:lang w:val="es-ES"/>
              </w:rPr>
              <w:t>: 2022</w:t>
            </w:r>
            <w:hyperlink r:id="rId15">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Práctica estándar para ensayos de rendimiento de contenedores y sistemas de envío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es-ES"/>
                </w:rPr>
                <w:t xml:space="preserve">ASTM F2096 </w:t>
              </w:r>
            </w:hyperlink>
            <w:hyperlink r:id="rId17">
              <w:r>
                <w:rPr>
                  <w:rFonts w:eastAsia="Arial" w:cs="Times New Roman"/>
                  <w:sz w:val="22"/>
                  <w:lang w:val="es-ES"/>
                </w:rPr>
                <w:t xml:space="preserve"> – </w:t>
              </w:r>
            </w:hyperlink>
            <w:r>
              <w:rPr>
                <w:rFonts w:eastAsia="Arial" w:cs="Times New Roman"/>
                <w:sz w:val="22"/>
                <w:lang w:val="es-ES"/>
              </w:rPr>
              <w:t>20</w:t>
            </w:r>
            <w:hyperlink r:id="rId18">
              <w:r>
                <w:rPr>
                  <w:rFonts w:eastAsia="Arial" w:cs="Times New Roman"/>
                  <w:sz w:val="22"/>
                  <w:lang w:val="es-ES"/>
                </w:rPr>
                <w:t xml:space="preserve">11 (R2019) </w:t>
              </w:r>
            </w:hyperlink>
            <w:hyperlink r:id="rId19">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4EA18B6" w14:textId="746814FF" w:rsidR="00235232" w:rsidRPr="00DE3971" w:rsidRDefault="00235232" w:rsidP="00A41BE9">
            <w:pPr>
              <w:spacing w:after="14" w:afterAutospacing="0"/>
              <w:rPr>
                <w:rFonts w:cs="Times New Roman"/>
                <w:sz w:val="22"/>
              </w:rPr>
            </w:pPr>
            <w:r>
              <w:rPr>
                <w:rFonts w:eastAsia="Arial" w:cs="Times New Roman"/>
                <w:sz w:val="22"/>
                <w:lang w:val="es-ES"/>
              </w:rPr>
              <w:t xml:space="preserve">Método de ensayo estándar para detectar fugas graves en embalajes médicos mediante presurización interna (prueba de burbuja) - ASTM F 2096-11 (2019) </w:t>
            </w:r>
          </w:p>
        </w:tc>
      </w:tr>
      <w:tr w:rsidR="00235232" w:rsidRPr="00DE3971"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es-ES"/>
                </w:rPr>
                <w:t xml:space="preserve">ASTM F1929 </w:t>
              </w:r>
            </w:hyperlink>
            <w:hyperlink r:id="rId21">
              <w:r>
                <w:rPr>
                  <w:rFonts w:eastAsia="Arial" w:cs="Times New Roman"/>
                  <w:sz w:val="22"/>
                  <w:lang w:val="es-ES"/>
                </w:rPr>
                <w:t xml:space="preserve"> - </w:t>
              </w:r>
            </w:hyperlink>
            <w:hyperlink r:id="rId22">
              <w:r>
                <w:rPr>
                  <w:rFonts w:eastAsia="Arial" w:cs="Times New Roman"/>
                  <w:sz w:val="22"/>
                  <w:lang w:val="es-ES"/>
                </w:rPr>
                <w:t xml:space="preserve">15 </w:t>
              </w:r>
            </w:hyperlink>
            <w:hyperlink r:id="rId23">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A3F29DB" w14:textId="3F3EBC2A" w:rsidR="00235232" w:rsidRPr="00DE3971" w:rsidRDefault="00235232" w:rsidP="00A41BE9">
            <w:pPr>
              <w:spacing w:after="14" w:afterAutospacing="0"/>
              <w:rPr>
                <w:rFonts w:cs="Times New Roman"/>
                <w:sz w:val="22"/>
              </w:rPr>
            </w:pPr>
            <w:r>
              <w:rPr>
                <w:rFonts w:eastAsia="Arial" w:cs="Times New Roman"/>
                <w:sz w:val="22"/>
                <w:lang w:val="es-ES"/>
              </w:rPr>
              <w:t xml:space="preserve">Método de ensayo estándar para detectar fugas de sellos en embalajes médicos porosos por penetración de colorante - ASTM F1929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es-ES"/>
                </w:rPr>
                <w:t xml:space="preserve">ASTM F88 / F88M </w:t>
              </w:r>
            </w:hyperlink>
            <w:hyperlink r:id="rId25">
              <w:r>
                <w:rPr>
                  <w:rFonts w:eastAsia="Arial" w:cs="Times New Roman"/>
                  <w:sz w:val="22"/>
                  <w:lang w:val="es-ES"/>
                </w:rPr>
                <w:t xml:space="preserve"> - </w:t>
              </w:r>
            </w:hyperlink>
            <w:r>
              <w:rPr>
                <w:rFonts w:eastAsia="Arial" w:cs="Times New Roman"/>
                <w:sz w:val="22"/>
                <w:lang w:val="es-ES"/>
              </w:rPr>
              <w:t>2021</w:t>
            </w:r>
            <w:hyperlink r:id="rId26">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Método de ensayo estándar para la resistencia del sellado de materiales de barrera flexibles - ASTM F88 </w:t>
            </w:r>
          </w:p>
        </w:tc>
      </w:tr>
      <w:tr w:rsidR="00235232" w:rsidRPr="00DE3971"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es-ES"/>
                </w:rPr>
                <w:t xml:space="preserve">ASTM F1980 </w:t>
              </w:r>
            </w:hyperlink>
            <w:hyperlink r:id="rId28">
              <w:r>
                <w:rPr>
                  <w:rFonts w:eastAsia="Arial" w:cs="Times New Roman"/>
                  <w:sz w:val="22"/>
                  <w:lang w:val="es-ES"/>
                </w:rPr>
                <w:t xml:space="preserve"> - </w:t>
              </w:r>
            </w:hyperlink>
            <w:r>
              <w:rPr>
                <w:rFonts w:eastAsia="Arial" w:cs="Times New Roman"/>
                <w:sz w:val="22"/>
                <w:lang w:val="es-ES"/>
              </w:rPr>
              <w:t>2021</w:t>
            </w:r>
            <w:hyperlink r:id="rId29">
              <w:r>
                <w:rPr>
                  <w:rFonts w:eastAsia="Arial" w:cs="Times New Roman"/>
                  <w:sz w:val="22"/>
                  <w:lang w:val="es-ES"/>
                </w:rPr>
                <w:t xml:space="preserve"> </w:t>
              </w:r>
            </w:hyperlink>
            <w:hyperlink r:id="rId30">
              <w:r>
                <w:rPr>
                  <w:rFonts w:eastAsia="Arial" w:cs="Times New Roman"/>
                  <w:sz w:val="22"/>
                  <w:lang w:val="es-ES"/>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es-ES"/>
              </w:rPr>
              <w:t xml:space="preserve">Guía estándar para el envejecimiento acelerado de sistemas de barrera estériles para productos sanitarios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 xml:space="preserve">Seguimiento clínico </w:t>
            </w:r>
            <w:proofErr w:type="spellStart"/>
            <w:r>
              <w:rPr>
                <w:rFonts w:cs="Times New Roman"/>
                <w:b/>
                <w:bCs/>
                <w:sz w:val="22"/>
                <w:lang w:val="es-ES"/>
              </w:rPr>
              <w:t>poscomercialización</w:t>
            </w:r>
            <w:proofErr w:type="spellEnd"/>
          </w:p>
        </w:tc>
      </w:tr>
      <w:tr w:rsidR="00235232" w:rsidRPr="00DE3971" w14:paraId="4C7F0483" w14:textId="77777777" w:rsidTr="00704136">
        <w:tc>
          <w:tcPr>
            <w:tcW w:w="1129" w:type="pct"/>
          </w:tcPr>
          <w:p w14:paraId="0C4E56AA" w14:textId="43D1EA0D" w:rsidR="00235232" w:rsidRPr="00DE3971" w:rsidRDefault="00235232" w:rsidP="00704136">
            <w:pPr>
              <w:spacing w:after="0" w:afterAutospacing="0"/>
              <w:jc w:val="center"/>
              <w:rPr>
                <w:rFonts w:cs="Times New Roman"/>
                <w:sz w:val="22"/>
              </w:rPr>
            </w:pPr>
            <w:r>
              <w:rPr>
                <w:rFonts w:cs="Times New Roman"/>
                <w:sz w:val="22"/>
                <w:lang w:val="es-ES"/>
              </w:rPr>
              <w:t xml:space="preserve">MEDDEV 2.12/2 </w:t>
            </w:r>
            <w:proofErr w:type="spellStart"/>
            <w:r>
              <w:rPr>
                <w:rFonts w:cs="Times New Roman"/>
                <w:sz w:val="22"/>
                <w:lang w:val="es-ES"/>
              </w:rPr>
              <w:t>Rev</w:t>
            </w:r>
            <w:proofErr w:type="spellEnd"/>
            <w:r w:rsidR="006C5CC0">
              <w:rPr>
                <w:rFonts w:cs="Times New Roman"/>
                <w:sz w:val="22"/>
                <w:lang w:val="es-ES"/>
              </w:rPr>
              <w:t> </w:t>
            </w:r>
            <w:r>
              <w:rPr>
                <w:rFonts w:cs="Times New Roman"/>
                <w:sz w:val="22"/>
                <w:lang w:val="es-ES"/>
              </w:rPr>
              <w:t>2</w:t>
            </w:r>
          </w:p>
        </w:tc>
        <w:tc>
          <w:tcPr>
            <w:tcW w:w="3871" w:type="pct"/>
          </w:tcPr>
          <w:p w14:paraId="345F7101" w14:textId="77777777" w:rsidR="00235232" w:rsidRPr="00DE3971" w:rsidRDefault="00235232" w:rsidP="00704136">
            <w:pPr>
              <w:spacing w:after="0" w:afterAutospacing="0"/>
              <w:rPr>
                <w:rFonts w:cs="Times New Roman"/>
                <w:sz w:val="22"/>
              </w:rPr>
            </w:pPr>
            <w:r>
              <w:rPr>
                <w:rFonts w:cs="Times New Roman"/>
                <w:sz w:val="22"/>
                <w:lang w:val="es-ES"/>
              </w:rPr>
              <w:t xml:space="preserve">Estudios de seguimiento clínico </w:t>
            </w:r>
            <w:proofErr w:type="spellStart"/>
            <w:r>
              <w:rPr>
                <w:rFonts w:cs="Times New Roman"/>
                <w:sz w:val="22"/>
                <w:lang w:val="es-ES"/>
              </w:rPr>
              <w:t>poscomercialización</w:t>
            </w:r>
            <w:proofErr w:type="spellEnd"/>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es-ES"/>
              </w:rPr>
              <w:t>Vigilancia</w:t>
            </w:r>
          </w:p>
        </w:tc>
      </w:tr>
      <w:tr w:rsidR="00235232" w:rsidRPr="00DE3971" w14:paraId="5BAF0CFF" w14:textId="77777777" w:rsidTr="00704136">
        <w:tc>
          <w:tcPr>
            <w:tcW w:w="1129" w:type="pct"/>
          </w:tcPr>
          <w:p w14:paraId="6A40C618" w14:textId="07029BC0" w:rsidR="00235232" w:rsidRPr="00DE3971" w:rsidRDefault="00235232" w:rsidP="00704136">
            <w:pPr>
              <w:spacing w:after="0" w:afterAutospacing="0"/>
              <w:jc w:val="center"/>
              <w:rPr>
                <w:rFonts w:cs="Times New Roman"/>
                <w:sz w:val="22"/>
              </w:rPr>
            </w:pPr>
            <w:r>
              <w:rPr>
                <w:rFonts w:cs="Times New Roman"/>
                <w:sz w:val="22"/>
                <w:lang w:val="es-ES"/>
              </w:rPr>
              <w:t xml:space="preserve">MEDDEV 2.12/1 </w:t>
            </w:r>
            <w:proofErr w:type="spellStart"/>
            <w:r>
              <w:rPr>
                <w:rFonts w:cs="Times New Roman"/>
                <w:sz w:val="22"/>
                <w:lang w:val="es-ES"/>
              </w:rPr>
              <w:t>Rev</w:t>
            </w:r>
            <w:proofErr w:type="spellEnd"/>
            <w:r w:rsidR="006C5CC0">
              <w:rPr>
                <w:rFonts w:cs="Times New Roman"/>
                <w:sz w:val="22"/>
                <w:lang w:val="es-ES"/>
              </w:rPr>
              <w:t> </w:t>
            </w:r>
            <w:r>
              <w:rPr>
                <w:rFonts w:cs="Times New Roman"/>
                <w:sz w:val="22"/>
                <w:lang w:val="es-ES"/>
              </w:rPr>
              <w:t>8</w:t>
            </w:r>
          </w:p>
        </w:tc>
        <w:tc>
          <w:tcPr>
            <w:tcW w:w="3871" w:type="pct"/>
          </w:tcPr>
          <w:p w14:paraId="51FC6B59" w14:textId="77777777" w:rsidR="00235232" w:rsidRPr="00DE3971" w:rsidRDefault="00235232" w:rsidP="00704136">
            <w:pPr>
              <w:spacing w:after="0" w:afterAutospacing="0"/>
              <w:rPr>
                <w:rFonts w:cs="Times New Roman"/>
                <w:sz w:val="22"/>
              </w:rPr>
            </w:pPr>
            <w:r>
              <w:rPr>
                <w:rFonts w:cs="Times New Roman"/>
                <w:sz w:val="22"/>
                <w:lang w:val="es-ES"/>
              </w:rPr>
              <w:t>Directrices sobre un sistema de vigilancia de productos sanitarios</w:t>
            </w:r>
          </w:p>
        </w:tc>
      </w:tr>
    </w:tbl>
    <w:p w14:paraId="3BE2833A" w14:textId="31A3935A" w:rsidR="002C60C8" w:rsidRPr="00451CE9" w:rsidRDefault="002C60C8" w:rsidP="00A41BE9">
      <w:pPr>
        <w:pStyle w:val="Heading1"/>
        <w:numPr>
          <w:ilvl w:val="0"/>
          <w:numId w:val="2"/>
        </w:numPr>
        <w:spacing w:before="240"/>
        <w:rPr>
          <w:rFonts w:cs="Times New Roman"/>
        </w:rPr>
      </w:pPr>
      <w:bookmarkStart w:id="71" w:name="_Toc212114789"/>
      <w:r>
        <w:rPr>
          <w:rFonts w:cs="Times New Roman"/>
          <w:bCs/>
          <w:lang w:val="es-ES"/>
        </w:rPr>
        <w:t>B. Resumen de seguridad y rendimiento para pacientes/no profesionales</w:t>
      </w:r>
      <w:bookmarkEnd w:id="70"/>
      <w:bookmarkEnd w:id="71"/>
    </w:p>
    <w:p w14:paraId="7BD123EE" w14:textId="54E6C14C"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s-ES"/>
        </w:rPr>
        <w:t xml:space="preserve">Revisión del documento: SSCP-0002 </w:t>
      </w:r>
      <w:proofErr w:type="spellStart"/>
      <w:r>
        <w:rPr>
          <w:rFonts w:eastAsia="Times New Roman" w:cs="Times New Roman"/>
          <w:szCs w:val="24"/>
          <w:lang w:val="es-ES"/>
        </w:rPr>
        <w:t>Rev</w:t>
      </w:r>
      <w:proofErr w:type="spellEnd"/>
      <w:r>
        <w:rPr>
          <w:rFonts w:eastAsia="Times New Roman" w:cs="Times New Roman"/>
          <w:szCs w:val="24"/>
          <w:lang w:val="es-ES"/>
        </w:rPr>
        <w:t xml:space="preserve"> B (borrador)</w:t>
      </w:r>
      <w:r>
        <w:rPr>
          <w:rFonts w:eastAsia="Times New Roman" w:cs="Times New Roman"/>
          <w:szCs w:val="24"/>
          <w:lang w:val="es-ES"/>
        </w:rPr>
        <w:br/>
        <w:t xml:space="preserve">Fecha de emisión: </w:t>
      </w:r>
      <w:r w:rsidR="009C246E">
        <w:rPr>
          <w:rFonts w:eastAsia="Times New Roman" w:cs="Times New Roman"/>
          <w:szCs w:val="24"/>
          <w:lang w:val="es-ES"/>
        </w:rPr>
        <w:t>12</w:t>
      </w:r>
      <w:r>
        <w:rPr>
          <w:rFonts w:eastAsia="Times New Roman" w:cs="Times New Roman"/>
          <w:szCs w:val="24"/>
          <w:lang w:val="es-ES"/>
        </w:rPr>
        <w:t>/</w:t>
      </w:r>
      <w:r w:rsidR="009C246E">
        <w:rPr>
          <w:rFonts w:eastAsia="Times New Roman" w:cs="Times New Roman"/>
          <w:szCs w:val="24"/>
          <w:lang w:val="es-ES"/>
        </w:rPr>
        <w:t>09</w:t>
      </w:r>
      <w:r>
        <w:rPr>
          <w:rFonts w:eastAsia="Times New Roman" w:cs="Times New Roman"/>
          <w:szCs w:val="24"/>
          <w:lang w:val="es-ES"/>
        </w:rPr>
        <w:t>/2024</w:t>
      </w:r>
    </w:p>
    <w:p w14:paraId="215C55D4" w14:textId="77777777" w:rsidR="002C60C8" w:rsidRPr="00451CE9" w:rsidRDefault="002C60C8" w:rsidP="00A41BE9">
      <w:pPr>
        <w:spacing w:before="100" w:beforeAutospacing="1" w:line="240" w:lineRule="auto"/>
        <w:jc w:val="both"/>
        <w:rPr>
          <w:rFonts w:eastAsia="Times New Roman" w:cs="Times New Roman"/>
          <w:szCs w:val="24"/>
        </w:rPr>
      </w:pPr>
      <w:r>
        <w:rPr>
          <w:rFonts w:eastAsia="Times New Roman" w:cs="Times New Roman"/>
          <w:szCs w:val="24"/>
          <w:lang w:val="es-ES"/>
        </w:rPr>
        <w:t xml:space="preserve">Este resumen explica la seguridad y el uso del sistema de drenaje </w:t>
      </w:r>
      <w:proofErr w:type="spellStart"/>
      <w:r>
        <w:rPr>
          <w:rFonts w:eastAsia="Times New Roman" w:cs="Times New Roman"/>
          <w:szCs w:val="24"/>
          <w:lang w:val="es-ES"/>
        </w:rPr>
        <w:t>Skater</w:t>
      </w:r>
      <w:proofErr w:type="spellEnd"/>
      <w:r>
        <w:rPr>
          <w:rFonts w:eastAsia="Times New Roman" w:cs="Times New Roman"/>
          <w:szCs w:val="24"/>
          <w:lang w:val="es-ES"/>
        </w:rPr>
        <w:t>. Está escrito para pacientes. Su médico tiene una versión más detallada si necesita más información. Este resumen no reemplaza el consejo de su médico, por lo que consulte siempre a su médico si tiene alguna pregunta sobre su salud o el dispositivo.</w:t>
      </w:r>
    </w:p>
    <w:p w14:paraId="6E555CF0" w14:textId="530A5BF9" w:rsidR="002C60C8" w:rsidRPr="00451CE9" w:rsidRDefault="00E2194A" w:rsidP="008646A3">
      <w:pPr>
        <w:pStyle w:val="Heading1"/>
        <w:rPr>
          <w:rFonts w:cs="Times New Roman"/>
        </w:rPr>
      </w:pPr>
      <w:bookmarkStart w:id="72" w:name="_Toc212114790"/>
      <w:bookmarkStart w:id="73" w:name="_Hlk180068460"/>
      <w:r>
        <w:rPr>
          <w:rFonts w:cs="Times New Roman"/>
          <w:bCs/>
          <w:lang w:val="es-ES"/>
        </w:rPr>
        <w:t>Identificación del dispositivo e información general</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s-ES"/>
        </w:rPr>
        <w:t>Nombre y dirección del fabricante:</w:t>
      </w:r>
      <w:r>
        <w:rPr>
          <w:rFonts w:eastAsia="Times New Roman" w:cs="Times New Roman"/>
          <w:b/>
          <w:bCs/>
          <w:szCs w:val="24"/>
          <w:lang w:val="es-ES"/>
        </w:rPr>
        <w:br/>
      </w:r>
      <w:proofErr w:type="spellStart"/>
      <w:r>
        <w:rPr>
          <w:rFonts w:eastAsia="Times New Roman" w:cs="Times New Roman"/>
          <w:b/>
          <w:bCs/>
          <w:szCs w:val="24"/>
          <w:lang w:val="es-ES"/>
        </w:rPr>
        <w:t>Argon</w:t>
      </w:r>
      <w:proofErr w:type="spellEnd"/>
      <w:r>
        <w:rPr>
          <w:rFonts w:eastAsia="Times New Roman" w:cs="Times New Roman"/>
          <w:b/>
          <w:bCs/>
          <w:szCs w:val="24"/>
          <w:lang w:val="es-ES"/>
        </w:rPr>
        <w:t xml:space="preserve"> Medical </w:t>
      </w:r>
      <w:proofErr w:type="spellStart"/>
      <w:r>
        <w:rPr>
          <w:rFonts w:eastAsia="Times New Roman" w:cs="Times New Roman"/>
          <w:b/>
          <w:bCs/>
          <w:szCs w:val="24"/>
          <w:lang w:val="es-ES"/>
        </w:rPr>
        <w:t>Devices</w:t>
      </w:r>
      <w:proofErr w:type="spellEnd"/>
      <w:r>
        <w:rPr>
          <w:rFonts w:eastAsia="Times New Roman" w:cs="Times New Roman"/>
          <w:b/>
          <w:bCs/>
          <w:szCs w:val="24"/>
          <w:lang w:val="es-ES"/>
        </w:rPr>
        <w:t>, Inc.</w:t>
      </w:r>
      <w:r>
        <w:rPr>
          <w:rFonts w:eastAsia="Times New Roman" w:cs="Times New Roman"/>
          <w:szCs w:val="24"/>
          <w:lang w:val="es-ES"/>
        </w:rPr>
        <w:br/>
        <w:t xml:space="preserve">1445 Flat Creek </w:t>
      </w:r>
      <w:proofErr w:type="spellStart"/>
      <w:r>
        <w:rPr>
          <w:rFonts w:eastAsia="Times New Roman" w:cs="Times New Roman"/>
          <w:szCs w:val="24"/>
          <w:lang w:val="es-ES"/>
        </w:rPr>
        <w:t>Rd</w:t>
      </w:r>
      <w:proofErr w:type="spellEnd"/>
      <w:r>
        <w:rPr>
          <w:rFonts w:eastAsia="Times New Roman" w:cs="Times New Roman"/>
          <w:szCs w:val="24"/>
          <w:lang w:val="es-ES"/>
        </w:rPr>
        <w:t>, Athens, Texas 75751, EE. UU.</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s-ES"/>
        </w:rPr>
        <w:t>Nombre del dispositivo:</w:t>
      </w:r>
      <w:r>
        <w:rPr>
          <w:rFonts w:eastAsia="Times New Roman" w:cs="Times New Roman"/>
          <w:b/>
          <w:bCs/>
          <w:szCs w:val="24"/>
          <w:lang w:val="es-ES"/>
        </w:rPr>
        <w:br/>
        <w:t xml:space="preserve">Catéteres y kits de drenaje </w:t>
      </w:r>
      <w:proofErr w:type="spellStart"/>
      <w:r>
        <w:rPr>
          <w:rFonts w:eastAsia="Times New Roman" w:cs="Times New Roman"/>
          <w:b/>
          <w:bCs/>
          <w:szCs w:val="24"/>
          <w:lang w:val="es-ES"/>
        </w:rPr>
        <w:t>Skater</w:t>
      </w:r>
      <w:proofErr w:type="spellEnd"/>
      <w:r>
        <w:rPr>
          <w:rFonts w:eastAsia="Times New Roman" w:cs="Times New Roman"/>
          <w:szCs w:val="24"/>
          <w:lang w:val="es-ES"/>
        </w:rPr>
        <w:br/>
        <w:t>(Son tubos especiales que utilizan los médicos para drenar líquido de ciertas partes del cuerpo).</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s-ES"/>
        </w:rPr>
        <w:t>Clase de riesgo del dispositivo:</w:t>
      </w:r>
      <w:r>
        <w:rPr>
          <w:rFonts w:eastAsia="Times New Roman" w:cs="Times New Roman"/>
          <w:szCs w:val="24"/>
          <w:lang w:val="es-ES"/>
        </w:rPr>
        <w:br/>
        <w:t xml:space="preserve">Clase </w:t>
      </w:r>
      <w:proofErr w:type="spellStart"/>
      <w:r>
        <w:rPr>
          <w:rFonts w:eastAsia="Times New Roman" w:cs="Times New Roman"/>
          <w:szCs w:val="24"/>
          <w:lang w:val="es-ES"/>
        </w:rPr>
        <w:t>IIb</w:t>
      </w:r>
      <w:proofErr w:type="spellEnd"/>
      <w:r>
        <w:rPr>
          <w:rFonts w:eastAsia="Times New Roman" w:cs="Times New Roman"/>
          <w:szCs w:val="24"/>
          <w:lang w:val="es-ES"/>
        </w:rPr>
        <w:t xml:space="preserve"> (esto significa que el dispositivo tiene un riesgo medio y debe ser utilizado por profesionales).</w:t>
      </w:r>
    </w:p>
    <w:p w14:paraId="7AAAC38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es-ES"/>
        </w:rPr>
        <w:t>Primera venta en países de la Unión Europea:</w:t>
      </w:r>
      <w:r>
        <w:rPr>
          <w:rFonts w:eastAsia="Times New Roman" w:cs="Times New Roman"/>
          <w:szCs w:val="24"/>
          <w:lang w:val="es-ES"/>
        </w:rPr>
        <w:br/>
        <w:t>1998</w:t>
      </w:r>
    </w:p>
    <w:p w14:paraId="041C5C6E" w14:textId="77777777" w:rsidR="002C60C8" w:rsidRPr="00451CE9" w:rsidRDefault="002C60C8" w:rsidP="00A41BE9">
      <w:pPr>
        <w:keepNext/>
        <w:spacing w:before="100" w:beforeAutospacing="1" w:after="0" w:afterAutospacing="0" w:line="240" w:lineRule="auto"/>
        <w:rPr>
          <w:rFonts w:eastAsia="Times New Roman" w:cs="Times New Roman"/>
          <w:szCs w:val="24"/>
        </w:rPr>
      </w:pPr>
      <w:r>
        <w:rPr>
          <w:rFonts w:eastAsia="Times New Roman" w:cs="Times New Roman"/>
          <w:b/>
          <w:bCs/>
          <w:szCs w:val="24"/>
          <w:lang w:val="es-ES"/>
        </w:rPr>
        <w:lastRenderedPageBreak/>
        <w:t xml:space="preserve">Tipos de productos </w:t>
      </w:r>
      <w:proofErr w:type="spellStart"/>
      <w:r>
        <w:rPr>
          <w:rFonts w:eastAsia="Times New Roman" w:cs="Times New Roman"/>
          <w:b/>
          <w:bCs/>
          <w:szCs w:val="24"/>
          <w:lang w:val="es-ES"/>
        </w:rPr>
        <w:t>Skater</w:t>
      </w:r>
      <w:proofErr w:type="spellEnd"/>
      <w:r>
        <w:rPr>
          <w:rFonts w:eastAsia="Times New Roman" w:cs="Times New Roman"/>
          <w:b/>
          <w:bCs/>
          <w:szCs w:val="24"/>
          <w:lang w:val="es-ES"/>
        </w:rPr>
        <w:t>:</w:t>
      </w:r>
    </w:p>
    <w:p w14:paraId="4F128C9A" w14:textId="77777777" w:rsidR="002C60C8" w:rsidRPr="00451CE9" w:rsidRDefault="002C60C8" w:rsidP="00A41BE9">
      <w:pPr>
        <w:keepNext/>
        <w:numPr>
          <w:ilvl w:val="0"/>
          <w:numId w:val="35"/>
        </w:numPr>
        <w:spacing w:line="240" w:lineRule="auto"/>
        <w:rPr>
          <w:rFonts w:eastAsia="Times New Roman" w:cs="Times New Roman"/>
          <w:szCs w:val="24"/>
        </w:rPr>
      </w:pPr>
      <w:r>
        <w:rPr>
          <w:rFonts w:eastAsia="Times New Roman" w:cs="Times New Roman"/>
          <w:b/>
          <w:bCs/>
          <w:szCs w:val="24"/>
          <w:lang w:val="es-ES"/>
        </w:rPr>
        <w:t xml:space="preserve">Juego multiusos y para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sin bloqueo</w:t>
      </w:r>
      <w:r>
        <w:rPr>
          <w:rFonts w:eastAsia="Times New Roman" w:cs="Times New Roman"/>
          <w:szCs w:val="24"/>
          <w:lang w:val="es-ES"/>
        </w:rPr>
        <w:br/>
        <w:t>ID: 0886333010002XF</w:t>
      </w:r>
    </w:p>
    <w:p w14:paraId="15A8C2F8"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Juego multiusos y para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Juego de drenaje </w:t>
      </w:r>
      <w:proofErr w:type="spellStart"/>
      <w:r>
        <w:rPr>
          <w:rFonts w:eastAsia="Times New Roman" w:cs="Times New Roman"/>
          <w:b/>
          <w:bCs/>
          <w:szCs w:val="24"/>
          <w:lang w:val="es-ES"/>
        </w:rPr>
        <w:t>Skater</w:t>
      </w:r>
      <w:proofErr w:type="spellEnd"/>
      <w:r>
        <w:rPr>
          <w:rFonts w:eastAsia="Times New Roman" w:cs="Times New Roman"/>
          <w:b/>
          <w:bCs/>
          <w:szCs w:val="24"/>
          <w:lang w:val="es-ES"/>
        </w:rPr>
        <w:t>™ Mini-</w:t>
      </w:r>
      <w:proofErr w:type="spellStart"/>
      <w:r>
        <w:rPr>
          <w:rFonts w:eastAsia="Times New Roman" w:cs="Times New Roman"/>
          <w:b/>
          <w:bCs/>
          <w:szCs w:val="24"/>
          <w:lang w:val="es-ES"/>
        </w:rPr>
        <w:t>Loop</w:t>
      </w:r>
      <w:proofErr w:type="spellEnd"/>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Juego de catéter de drenaje de un solo paso </w:t>
      </w:r>
      <w:proofErr w:type="spellStart"/>
      <w:r>
        <w:rPr>
          <w:rFonts w:eastAsia="Times New Roman" w:cs="Times New Roman"/>
          <w:b/>
          <w:bCs/>
          <w:szCs w:val="24"/>
          <w:lang w:val="es-ES"/>
        </w:rPr>
        <w:t>Skater</w:t>
      </w:r>
      <w:proofErr w:type="spellEnd"/>
      <w:r>
        <w:rPr>
          <w:rFonts w:eastAsia="Times New Roman" w:cs="Times New Roman"/>
          <w:b/>
          <w:bCs/>
          <w:szCs w:val="24"/>
          <w:lang w:val="es-ES"/>
        </w:rPr>
        <w:t>™ sin bloqueo</w:t>
      </w:r>
      <w:r>
        <w:rPr>
          <w:rFonts w:eastAsia="Times New Roman" w:cs="Times New Roman"/>
          <w:szCs w:val="24"/>
          <w:lang w:val="es-ES"/>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Juego de catéter de drenaje de un solo paso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Catéter de drenaje </w:t>
      </w:r>
      <w:proofErr w:type="spellStart"/>
      <w:r>
        <w:rPr>
          <w:rFonts w:eastAsia="Times New Roman" w:cs="Times New Roman"/>
          <w:b/>
          <w:bCs/>
          <w:szCs w:val="24"/>
          <w:lang w:val="es-ES"/>
        </w:rPr>
        <w:t>Skater</w:t>
      </w:r>
      <w:proofErr w:type="spellEnd"/>
      <w:r>
        <w:rPr>
          <w:rFonts w:eastAsia="Times New Roman" w:cs="Times New Roman"/>
          <w:b/>
          <w:bCs/>
          <w:szCs w:val="24"/>
          <w:lang w:val="es-ES"/>
        </w:rPr>
        <w:t>™ sin bloqueo</w:t>
      </w:r>
      <w:r>
        <w:rPr>
          <w:rFonts w:eastAsia="Times New Roman" w:cs="Times New Roman"/>
          <w:szCs w:val="24"/>
          <w:lang w:val="es-ES"/>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Catéter de drenaje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Catéter de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sin bloqueo</w:t>
      </w:r>
      <w:r>
        <w:rPr>
          <w:rFonts w:eastAsia="Times New Roman" w:cs="Times New Roman"/>
          <w:szCs w:val="24"/>
          <w:lang w:val="es-ES"/>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Catéter de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Catéter de drenaje biliar </w:t>
      </w:r>
      <w:proofErr w:type="spellStart"/>
      <w:r>
        <w:rPr>
          <w:rFonts w:eastAsia="Times New Roman" w:cs="Times New Roman"/>
          <w:b/>
          <w:bCs/>
          <w:szCs w:val="24"/>
          <w:lang w:val="es-ES"/>
        </w:rPr>
        <w:t>Skater</w:t>
      </w:r>
      <w:proofErr w:type="spellEnd"/>
      <w:r>
        <w:rPr>
          <w:rFonts w:eastAsia="Times New Roman" w:cs="Times New Roman"/>
          <w:b/>
          <w:bCs/>
          <w:szCs w:val="24"/>
          <w:lang w:val="es-ES"/>
        </w:rPr>
        <w:t>™ sin bloqueo</w:t>
      </w:r>
      <w:r>
        <w:rPr>
          <w:rFonts w:eastAsia="Times New Roman" w:cs="Times New Roman"/>
          <w:szCs w:val="24"/>
          <w:lang w:val="es-ES"/>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es-ES"/>
        </w:rPr>
        <w:t xml:space="preserve">Catéter de drenaje biliar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0886333010004XK</w:t>
      </w:r>
    </w:p>
    <w:p w14:paraId="057F35B9" w14:textId="77777777" w:rsidR="002C60C8" w:rsidRPr="00451CE9" w:rsidRDefault="002C60C8" w:rsidP="00A41BE9">
      <w:pPr>
        <w:spacing w:after="0" w:afterAutospacing="0" w:line="240" w:lineRule="auto"/>
        <w:rPr>
          <w:rFonts w:eastAsia="Times New Roman" w:cs="Times New Roman"/>
          <w:szCs w:val="24"/>
        </w:rPr>
      </w:pPr>
      <w:r>
        <w:rPr>
          <w:rFonts w:eastAsia="Times New Roman" w:cs="Times New Roman"/>
          <w:b/>
          <w:bCs/>
          <w:szCs w:val="24"/>
          <w:lang w:val="es-ES"/>
        </w:rPr>
        <w:t xml:space="preserve">Kits de drenaje </w:t>
      </w:r>
      <w:proofErr w:type="spellStart"/>
      <w:r>
        <w:rPr>
          <w:rFonts w:eastAsia="Times New Roman" w:cs="Times New Roman"/>
          <w:b/>
          <w:bCs/>
          <w:szCs w:val="24"/>
          <w:lang w:val="es-ES"/>
        </w:rPr>
        <w:t>Skater</w:t>
      </w:r>
      <w:proofErr w:type="spellEnd"/>
      <w:r>
        <w:rPr>
          <w:rFonts w:eastAsia="Times New Roman" w:cs="Times New Roman"/>
          <w:b/>
          <w:bCs/>
          <w:szCs w:val="24"/>
          <w:lang w:val="es-ES"/>
        </w:rPr>
        <w:t>:</w:t>
      </w:r>
    </w:p>
    <w:p w14:paraId="7C3CB0AD" w14:textId="77777777" w:rsidR="002C60C8" w:rsidRPr="00451CE9" w:rsidRDefault="002C60C8" w:rsidP="00A41BE9">
      <w:pPr>
        <w:numPr>
          <w:ilvl w:val="0"/>
          <w:numId w:val="36"/>
        </w:numPr>
        <w:spacing w:line="240" w:lineRule="auto"/>
        <w:rPr>
          <w:rFonts w:eastAsia="Times New Roman" w:cs="Times New Roman"/>
          <w:szCs w:val="24"/>
        </w:rPr>
      </w:pPr>
      <w:r>
        <w:rPr>
          <w:rFonts w:eastAsia="Times New Roman" w:cs="Times New Roman"/>
          <w:b/>
          <w:bCs/>
          <w:szCs w:val="24"/>
          <w:lang w:val="es-ES"/>
        </w:rPr>
        <w:t xml:space="preserve">Kit de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sin bloqueo</w:t>
      </w:r>
      <w:r>
        <w:rPr>
          <w:rFonts w:eastAsia="Times New Roman" w:cs="Times New Roman"/>
          <w:szCs w:val="24"/>
          <w:lang w:val="es-ES"/>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es-ES"/>
        </w:rPr>
        <w:t xml:space="preserve">Kit de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es-ES"/>
        </w:rPr>
        <w:t xml:space="preserve">Kit introductor de </w:t>
      </w:r>
      <w:proofErr w:type="spellStart"/>
      <w:r>
        <w:rPr>
          <w:rFonts w:eastAsia="Times New Roman" w:cs="Times New Roman"/>
          <w:b/>
          <w:bCs/>
          <w:szCs w:val="24"/>
          <w:lang w:val="es-ES"/>
        </w:rPr>
        <w:t>nefrostomía</w:t>
      </w:r>
      <w:proofErr w:type="spellEnd"/>
      <w:r>
        <w:rPr>
          <w:rFonts w:eastAsia="Times New Roman" w:cs="Times New Roman"/>
          <w:b/>
          <w:bCs/>
          <w:szCs w:val="24"/>
          <w:lang w:val="es-ES"/>
        </w:rPr>
        <w:t xml:space="preserve">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es-ES"/>
        </w:rPr>
        <w:t xml:space="preserve">Kit introductor de drenaje biliar </w:t>
      </w:r>
      <w:proofErr w:type="spellStart"/>
      <w:r>
        <w:rPr>
          <w:rFonts w:eastAsia="Times New Roman" w:cs="Times New Roman"/>
          <w:b/>
          <w:bCs/>
          <w:szCs w:val="24"/>
          <w:lang w:val="es-ES"/>
        </w:rPr>
        <w:t>Skater</w:t>
      </w:r>
      <w:proofErr w:type="spellEnd"/>
      <w:r>
        <w:rPr>
          <w:rFonts w:eastAsia="Times New Roman" w:cs="Times New Roman"/>
          <w:b/>
          <w:bCs/>
          <w:szCs w:val="24"/>
          <w:lang w:val="es-ES"/>
        </w:rPr>
        <w:t>™ con bloqueo</w:t>
      </w:r>
      <w:r>
        <w:rPr>
          <w:rFonts w:eastAsia="Times New Roman" w:cs="Times New Roman"/>
          <w:szCs w:val="24"/>
          <w:lang w:val="es-ES"/>
        </w:rPr>
        <w:br/>
        <w:t>ID: 0886333010011XG</w:t>
      </w:r>
    </w:p>
    <w:p w14:paraId="02DCB805" w14:textId="32222205" w:rsidR="004A7ED1" w:rsidRPr="00451CE9" w:rsidRDefault="008646A3" w:rsidP="008646A3">
      <w:pPr>
        <w:pStyle w:val="Heading1"/>
        <w:rPr>
          <w:rFonts w:eastAsia="Times New Roman" w:cs="Times New Roman"/>
          <w:szCs w:val="24"/>
        </w:rPr>
      </w:pPr>
      <w:bookmarkStart w:id="74" w:name="_Toc212114791"/>
      <w:bookmarkStart w:id="75" w:name="_Hlk180068775"/>
      <w:r>
        <w:rPr>
          <w:rFonts w:eastAsia="Times New Roman" w:cs="Times New Roman"/>
          <w:bCs/>
          <w:szCs w:val="24"/>
          <w:lang w:val="es-ES"/>
        </w:rPr>
        <w:t>Motivo para utilizar este dispositivo</w:t>
      </w:r>
      <w:bookmarkEnd w:id="74"/>
    </w:p>
    <w:bookmarkEnd w:id="75"/>
    <w:p w14:paraId="52CDFE1C" w14:textId="77777777" w:rsidR="002C60C8" w:rsidRPr="00451CE9" w:rsidRDefault="002C60C8" w:rsidP="00A41BE9">
      <w:pPr>
        <w:spacing w:before="100" w:beforeAutospacing="1" w:after="0" w:afterAutospacing="0" w:line="240" w:lineRule="auto"/>
        <w:rPr>
          <w:rFonts w:eastAsia="Times New Roman" w:cs="Times New Roman"/>
          <w:b/>
          <w:bCs/>
          <w:szCs w:val="24"/>
        </w:rPr>
      </w:pPr>
      <w:r>
        <w:rPr>
          <w:rFonts w:eastAsia="Times New Roman" w:cs="Times New Roman"/>
          <w:b/>
          <w:bCs/>
          <w:szCs w:val="24"/>
          <w:lang w:val="es-ES"/>
        </w:rPr>
        <w:t>¿Para qué sirve este dispositivo?</w:t>
      </w:r>
    </w:p>
    <w:p w14:paraId="439A58AE" w14:textId="77777777" w:rsidR="002C60C8" w:rsidRPr="00451CE9" w:rsidRDefault="002C60C8" w:rsidP="00A41BE9">
      <w:pPr>
        <w:spacing w:line="240" w:lineRule="auto"/>
        <w:jc w:val="both"/>
        <w:rPr>
          <w:rFonts w:eastAsia="Times New Roman" w:cs="Times New Roman"/>
          <w:szCs w:val="24"/>
        </w:rPr>
      </w:pPr>
      <w:r>
        <w:rPr>
          <w:rFonts w:eastAsia="Times New Roman" w:cs="Times New Roman"/>
          <w:szCs w:val="24"/>
          <w:lang w:val="es-ES"/>
        </w:rPr>
        <w:t xml:space="preserve">El sistema de drenaje </w:t>
      </w:r>
      <w:proofErr w:type="spellStart"/>
      <w:r>
        <w:rPr>
          <w:rFonts w:eastAsia="Times New Roman" w:cs="Times New Roman"/>
          <w:szCs w:val="24"/>
          <w:lang w:val="es-ES"/>
        </w:rPr>
        <w:t>Skater</w:t>
      </w:r>
      <w:proofErr w:type="spellEnd"/>
      <w:r>
        <w:rPr>
          <w:rFonts w:eastAsia="Times New Roman" w:cs="Times New Roman"/>
          <w:szCs w:val="24"/>
          <w:lang w:val="es-ES"/>
        </w:rPr>
        <w:t xml:space="preserve"> ayuda a eliminar el exceso de líquido de su cuerpo. El líquido podría deberse a una infección, una cirugía u otra condición médica. Puede ayudar a reducir las molestias, prevenir infecciones y permitir que los médicos vean cómo se extrae el líquido.</w:t>
      </w:r>
    </w:p>
    <w:p w14:paraId="1348E341" w14:textId="77777777" w:rsidR="002C60C8" w:rsidRPr="00451CE9" w:rsidRDefault="002C60C8" w:rsidP="00A41BE9">
      <w:pPr>
        <w:keepNext/>
        <w:spacing w:before="100" w:beforeAutospacing="1" w:after="0" w:afterAutospacing="0" w:line="240" w:lineRule="auto"/>
        <w:rPr>
          <w:rFonts w:eastAsia="Times New Roman" w:cs="Times New Roman"/>
          <w:b/>
          <w:bCs/>
          <w:szCs w:val="24"/>
        </w:rPr>
      </w:pPr>
      <w:r>
        <w:rPr>
          <w:rFonts w:eastAsia="Times New Roman" w:cs="Times New Roman"/>
          <w:b/>
          <w:bCs/>
          <w:szCs w:val="24"/>
          <w:lang w:val="es-ES"/>
        </w:rPr>
        <w:t>¿Cuándo podría utilizarse?</w:t>
      </w:r>
    </w:p>
    <w:p w14:paraId="6E42F87F" w14:textId="77777777" w:rsidR="002C60C8" w:rsidRPr="00451CE9" w:rsidRDefault="002C60C8" w:rsidP="00A41BE9">
      <w:pPr>
        <w:keepNext/>
        <w:spacing w:after="0" w:afterAutospacing="0" w:line="240" w:lineRule="auto"/>
        <w:rPr>
          <w:rFonts w:eastAsia="Times New Roman" w:cs="Times New Roman"/>
          <w:szCs w:val="24"/>
        </w:rPr>
      </w:pPr>
      <w:r>
        <w:rPr>
          <w:rFonts w:eastAsia="Times New Roman" w:cs="Times New Roman"/>
          <w:szCs w:val="24"/>
          <w:lang w:val="es-ES"/>
        </w:rPr>
        <w:t>Su médico puede utilizar este dispositivo si usted tiene:</w:t>
      </w:r>
    </w:p>
    <w:p w14:paraId="1A440FB5" w14:textId="77777777" w:rsidR="002C60C8" w:rsidRPr="00451CE9" w:rsidRDefault="002C60C8" w:rsidP="00A41BE9">
      <w:pPr>
        <w:pStyle w:val="ListParagraph"/>
        <w:numPr>
          <w:ilvl w:val="0"/>
          <w:numId w:val="31"/>
        </w:numPr>
        <w:spacing w:after="0" w:afterAutospacing="0" w:line="240" w:lineRule="auto"/>
        <w:rPr>
          <w:rFonts w:eastAsia="Times New Roman" w:cs="Times New Roman"/>
          <w:szCs w:val="24"/>
        </w:rPr>
      </w:pPr>
      <w:r>
        <w:rPr>
          <w:rFonts w:eastAsia="Times New Roman" w:cs="Times New Roman"/>
          <w:szCs w:val="24"/>
          <w:lang w:val="es-ES"/>
        </w:rPr>
        <w:t>Un absceso (una bolsa de líquido infectado)</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s-ES"/>
        </w:rPr>
        <w:t>Acumulación de líquido después de una cirugía</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s-ES"/>
        </w:rPr>
        <w:lastRenderedPageBreak/>
        <w:t>Derrame pleural (líquido alrededor de los pulmones)</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s-ES"/>
        </w:rPr>
        <w:t>Ascitis (líquido en el abdomen)</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es-ES"/>
        </w:rPr>
        <w:t>Quistes u otras áreas llenas de líquido</w:t>
      </w:r>
    </w:p>
    <w:p w14:paraId="06457B90" w14:textId="77777777" w:rsidR="002C60C8" w:rsidRPr="00451CE9" w:rsidRDefault="002C60C8" w:rsidP="00A41BE9">
      <w:pPr>
        <w:spacing w:before="100" w:beforeAutospacing="1" w:after="0" w:afterAutospacing="0" w:line="240" w:lineRule="auto"/>
        <w:rPr>
          <w:rFonts w:eastAsia="Times New Roman" w:cs="Times New Roman"/>
          <w:b/>
          <w:bCs/>
          <w:szCs w:val="24"/>
        </w:rPr>
      </w:pPr>
      <w:r>
        <w:rPr>
          <w:rFonts w:eastAsia="Times New Roman" w:cs="Times New Roman"/>
          <w:b/>
          <w:bCs/>
          <w:szCs w:val="24"/>
          <w:lang w:val="es-ES"/>
        </w:rPr>
        <w:t>¿Cuándo no debería utilizarse?</w:t>
      </w:r>
    </w:p>
    <w:p w14:paraId="32A1EB40" w14:textId="77777777" w:rsidR="002C60C8" w:rsidRPr="00451CE9" w:rsidRDefault="002C60C8" w:rsidP="00A41BE9">
      <w:pPr>
        <w:spacing w:after="0" w:afterAutospacing="0" w:line="240" w:lineRule="auto"/>
        <w:rPr>
          <w:rFonts w:eastAsia="Times New Roman" w:cs="Times New Roman"/>
          <w:szCs w:val="24"/>
        </w:rPr>
      </w:pPr>
      <w:r>
        <w:rPr>
          <w:rFonts w:eastAsia="Times New Roman" w:cs="Times New Roman"/>
          <w:szCs w:val="24"/>
          <w:lang w:val="es-ES"/>
        </w:rPr>
        <w:t>Este dispositivo no debe utilizarse si:</w:t>
      </w:r>
    </w:p>
    <w:p w14:paraId="08CAC8F9" w14:textId="77777777" w:rsidR="002C60C8" w:rsidRPr="00451CE9" w:rsidRDefault="002C60C8" w:rsidP="00A41BE9">
      <w:pPr>
        <w:pStyle w:val="ListParagraph"/>
        <w:numPr>
          <w:ilvl w:val="0"/>
          <w:numId w:val="32"/>
        </w:numPr>
        <w:spacing w:line="240" w:lineRule="auto"/>
        <w:rPr>
          <w:rFonts w:eastAsia="Times New Roman" w:cs="Times New Roman"/>
          <w:szCs w:val="24"/>
        </w:rPr>
      </w:pPr>
      <w:r>
        <w:rPr>
          <w:rFonts w:eastAsia="Times New Roman" w:cs="Times New Roman"/>
          <w:szCs w:val="24"/>
          <w:lang w:val="es-ES"/>
        </w:rPr>
        <w:t>Tiene problemas con la coagulación de la sangre.</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es-ES"/>
        </w:rPr>
        <w:t>El líquido no se puede drenar de forma segura.</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es-ES"/>
        </w:rPr>
        <w:t>Es alérgico a los materiales del catéter.</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es-ES"/>
        </w:rPr>
        <w:t xml:space="preserve">Su médico decidirá si el sistema de drenaje </w:t>
      </w:r>
      <w:proofErr w:type="spellStart"/>
      <w:r>
        <w:rPr>
          <w:rFonts w:eastAsia="Times New Roman" w:cs="Times New Roman"/>
          <w:szCs w:val="24"/>
          <w:lang w:val="es-ES"/>
        </w:rPr>
        <w:t>Skater</w:t>
      </w:r>
      <w:proofErr w:type="spellEnd"/>
      <w:r>
        <w:rPr>
          <w:rFonts w:eastAsia="Times New Roman" w:cs="Times New Roman"/>
          <w:szCs w:val="24"/>
          <w:lang w:val="es-ES"/>
        </w:rPr>
        <w:t xml:space="preserve"> es seguro para usted.</w:t>
      </w:r>
    </w:p>
    <w:p w14:paraId="12C632DA" w14:textId="04F3C523" w:rsidR="008646A3" w:rsidRPr="00451CE9" w:rsidRDefault="008646A3" w:rsidP="00E536F5">
      <w:pPr>
        <w:pStyle w:val="Heading1"/>
        <w:rPr>
          <w:rFonts w:eastAsia="Times New Roman" w:cs="Times New Roman"/>
          <w:szCs w:val="24"/>
        </w:rPr>
      </w:pPr>
      <w:r>
        <w:rPr>
          <w:rFonts w:eastAsia="Times New Roman" w:cs="Times New Roman"/>
          <w:bCs/>
          <w:szCs w:val="24"/>
          <w:lang w:val="es-ES"/>
        </w:rPr>
        <w:t xml:space="preserve"> </w:t>
      </w:r>
      <w:bookmarkStart w:id="76" w:name="_Toc212114792"/>
      <w:r>
        <w:rPr>
          <w:rFonts w:eastAsia="Times New Roman" w:cs="Times New Roman"/>
          <w:bCs/>
          <w:szCs w:val="24"/>
          <w:lang w:val="es-ES"/>
        </w:rPr>
        <w:t>Descripción del dispositivo</w:t>
      </w:r>
      <w:bookmarkEnd w:id="76"/>
    </w:p>
    <w:p w14:paraId="2851866C" w14:textId="77777777" w:rsidR="002C60C8" w:rsidRPr="00451CE9" w:rsidRDefault="002C60C8" w:rsidP="00A41BE9">
      <w:pPr>
        <w:spacing w:before="100" w:beforeAutospacing="1" w:after="0" w:afterAutospacing="0" w:line="240" w:lineRule="auto"/>
        <w:rPr>
          <w:rFonts w:eastAsia="Times New Roman" w:cs="Times New Roman"/>
          <w:b/>
          <w:bCs/>
          <w:szCs w:val="24"/>
        </w:rPr>
      </w:pPr>
      <w:r>
        <w:rPr>
          <w:rFonts w:eastAsia="Times New Roman" w:cs="Times New Roman"/>
          <w:b/>
          <w:bCs/>
          <w:szCs w:val="24"/>
          <w:lang w:val="es-ES"/>
        </w:rPr>
        <w:t>¿Qué es el dispositivo?</w:t>
      </w:r>
      <w:bookmarkStart w:id="77" w:name="_Hlk177390880"/>
    </w:p>
    <w:bookmarkEnd w:id="77"/>
    <w:p w14:paraId="5A9EAA2F" w14:textId="77777777" w:rsidR="002C60C8" w:rsidRPr="00451CE9" w:rsidRDefault="002C60C8" w:rsidP="00A41BE9">
      <w:pPr>
        <w:spacing w:line="240" w:lineRule="auto"/>
        <w:jc w:val="both"/>
        <w:rPr>
          <w:rFonts w:eastAsia="Times New Roman" w:cs="Times New Roman"/>
          <w:szCs w:val="24"/>
        </w:rPr>
      </w:pPr>
      <w:r>
        <w:rPr>
          <w:rFonts w:eastAsia="Times New Roman" w:cs="Times New Roman"/>
          <w:szCs w:val="24"/>
          <w:lang w:val="es-ES"/>
        </w:rPr>
        <w:t xml:space="preserve">El sistema de drenaje </w:t>
      </w:r>
      <w:proofErr w:type="spellStart"/>
      <w:r>
        <w:rPr>
          <w:rFonts w:eastAsia="Times New Roman" w:cs="Times New Roman"/>
          <w:szCs w:val="24"/>
          <w:lang w:val="es-ES"/>
        </w:rPr>
        <w:t>Skater</w:t>
      </w:r>
      <w:proofErr w:type="spellEnd"/>
      <w:r>
        <w:rPr>
          <w:rFonts w:eastAsia="Times New Roman" w:cs="Times New Roman"/>
          <w:szCs w:val="24"/>
          <w:lang w:val="es-ES"/>
        </w:rPr>
        <w:t xml:space="preserve"> es un tubo suave y flexible (llamado catéter) que se utiliza para drenar líquido del cuerpo. Se inserta a través de un pequeño corte en la piel y el líquido se drena hacia una bolsa.</w:t>
      </w:r>
    </w:p>
    <w:p w14:paraId="13F3BBD2" w14:textId="77777777" w:rsidR="002C60C8" w:rsidRPr="00451CE9" w:rsidRDefault="002C60C8" w:rsidP="00A41BE9">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es-ES"/>
        </w:rPr>
        <w:t>¿Cómo funciona?</w:t>
      </w:r>
    </w:p>
    <w:p w14:paraId="08792C9A" w14:textId="77777777" w:rsidR="002C60C8" w:rsidRPr="00451CE9" w:rsidRDefault="002C60C8" w:rsidP="00A41BE9">
      <w:pPr>
        <w:spacing w:line="240" w:lineRule="auto"/>
        <w:jc w:val="both"/>
        <w:rPr>
          <w:rFonts w:eastAsia="Times New Roman" w:cs="Times New Roman"/>
          <w:szCs w:val="24"/>
        </w:rPr>
      </w:pPr>
      <w:r>
        <w:rPr>
          <w:rFonts w:eastAsia="Times New Roman" w:cs="Times New Roman"/>
          <w:szCs w:val="24"/>
          <w:lang w:val="es-ES"/>
        </w:rPr>
        <w:t>Los médicos colocan el catéter mediante un pequeño procedimiento llamado drenaje percutáneo. Utilizan herramientas como un ecógrafo o una tomografía computarizada para guiar el catéter hasta el lugar correcto. Una vez colocado el catéter, el líquido se drena hacia una bolsa de recolección.</w:t>
      </w:r>
    </w:p>
    <w:p w14:paraId="2BB0C419" w14:textId="77777777" w:rsidR="002C60C8" w:rsidRPr="00451CE9" w:rsidRDefault="002C60C8" w:rsidP="006F56FA">
      <w:pPr>
        <w:pStyle w:val="Heading1"/>
        <w:rPr>
          <w:rFonts w:eastAsia="Times New Roman" w:cs="Times New Roman"/>
          <w:szCs w:val="24"/>
        </w:rPr>
      </w:pPr>
      <w:bookmarkStart w:id="78" w:name="_Toc212114793"/>
      <w:r>
        <w:rPr>
          <w:rFonts w:eastAsia="Times New Roman" w:cs="Times New Roman"/>
          <w:bCs/>
          <w:szCs w:val="24"/>
          <w:lang w:val="es-ES"/>
        </w:rPr>
        <w:t>Riesgos y advertencias</w:t>
      </w:r>
      <w:bookmarkEnd w:id="78"/>
    </w:p>
    <w:p w14:paraId="375FB6BE" w14:textId="77777777" w:rsidR="002C60C8" w:rsidRPr="00451CE9" w:rsidRDefault="002C60C8" w:rsidP="00A41BE9">
      <w:pPr>
        <w:spacing w:line="240" w:lineRule="auto"/>
        <w:rPr>
          <w:rFonts w:eastAsia="Times New Roman" w:cs="Times New Roman"/>
          <w:szCs w:val="24"/>
        </w:rPr>
      </w:pPr>
      <w:r>
        <w:rPr>
          <w:rFonts w:eastAsia="Times New Roman" w:cs="Times New Roman"/>
          <w:szCs w:val="24"/>
          <w:lang w:val="es-ES"/>
        </w:rPr>
        <w:t>Llame a su médico si tiene algún síntoma o inquietud inusual mientras usa este dispositivo.</w:t>
      </w:r>
    </w:p>
    <w:p w14:paraId="6DF271AF" w14:textId="77777777" w:rsidR="002C60C8" w:rsidRPr="00451CE9" w:rsidRDefault="002C60C8" w:rsidP="00A41BE9">
      <w:pPr>
        <w:spacing w:after="0" w:afterAutospacing="0" w:line="240" w:lineRule="auto"/>
        <w:rPr>
          <w:rFonts w:eastAsia="Times New Roman" w:cs="Times New Roman"/>
          <w:b/>
          <w:bCs/>
          <w:szCs w:val="24"/>
        </w:rPr>
      </w:pPr>
      <w:r>
        <w:rPr>
          <w:rFonts w:eastAsia="Times New Roman" w:cs="Times New Roman"/>
          <w:b/>
          <w:bCs/>
          <w:szCs w:val="24"/>
          <w:lang w:val="es-ES"/>
        </w:rPr>
        <w:t>¿Qué efectos secundarios podrían ocurrir?</w:t>
      </w:r>
    </w:p>
    <w:p w14:paraId="09003E8A" w14:textId="77777777" w:rsidR="002C60C8" w:rsidRPr="00451CE9" w:rsidRDefault="002C60C8" w:rsidP="00A41BE9">
      <w:pPr>
        <w:spacing w:after="0" w:afterAutospacing="0" w:line="240" w:lineRule="auto"/>
        <w:rPr>
          <w:rFonts w:eastAsia="Times New Roman" w:cs="Times New Roman"/>
          <w:szCs w:val="24"/>
        </w:rPr>
      </w:pPr>
      <w:r>
        <w:rPr>
          <w:rFonts w:eastAsia="Times New Roman" w:cs="Times New Roman"/>
          <w:szCs w:val="24"/>
          <w:lang w:val="es-ES"/>
        </w:rPr>
        <w:t>Aunque son poco frecuentes, los efectos secundarios pueden incluir:</w:t>
      </w:r>
    </w:p>
    <w:p w14:paraId="696BE043" w14:textId="77777777" w:rsidR="002C60C8" w:rsidRPr="00451CE9" w:rsidRDefault="002C60C8" w:rsidP="00A41BE9">
      <w:pPr>
        <w:pStyle w:val="ListParagraph"/>
        <w:numPr>
          <w:ilvl w:val="0"/>
          <w:numId w:val="33"/>
        </w:numPr>
        <w:spacing w:line="240" w:lineRule="auto"/>
        <w:rPr>
          <w:rFonts w:eastAsia="Times New Roman" w:cs="Times New Roman"/>
          <w:szCs w:val="24"/>
        </w:rPr>
      </w:pPr>
      <w:r>
        <w:rPr>
          <w:rFonts w:eastAsia="Times New Roman" w:cs="Times New Roman"/>
          <w:szCs w:val="24"/>
          <w:lang w:val="es-ES"/>
        </w:rPr>
        <w:t>Infección en el lugar donde se insertó el tubo</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s-ES"/>
        </w:rPr>
        <w:t>Sangrado o hematomas leves</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s-ES"/>
        </w:rPr>
        <w:t>Dolor o molestias en el lugar donde está el tubo</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s-ES"/>
        </w:rPr>
        <w:t>Daño a tejidos u órganos cercanos</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es-ES"/>
        </w:rPr>
        <w:t>El tubo se mueve o se bloquea</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s-ES"/>
        </w:rPr>
        <w:t>Su equipo de atención médica controlará estos problemas y le dará instrucciones para evitarlos.</w:t>
      </w:r>
    </w:p>
    <w:p w14:paraId="29A5D758" w14:textId="77777777" w:rsidR="002C60C8" w:rsidRPr="00451CE9" w:rsidRDefault="002C60C8" w:rsidP="00A41BE9">
      <w:pPr>
        <w:spacing w:before="100" w:beforeAutospacing="1" w:after="0" w:afterAutospacing="0" w:line="240" w:lineRule="auto"/>
        <w:rPr>
          <w:rFonts w:eastAsia="Times New Roman" w:cs="Times New Roman"/>
          <w:b/>
          <w:bCs/>
          <w:szCs w:val="24"/>
        </w:rPr>
      </w:pPr>
      <w:r>
        <w:rPr>
          <w:rFonts w:eastAsia="Times New Roman" w:cs="Times New Roman"/>
          <w:b/>
          <w:bCs/>
          <w:szCs w:val="24"/>
          <w:lang w:val="es-ES"/>
        </w:rPr>
        <w:t>Cuidado extra</w:t>
      </w:r>
    </w:p>
    <w:p w14:paraId="5A431EBD" w14:textId="77777777" w:rsidR="002C60C8" w:rsidRPr="00451CE9" w:rsidRDefault="002C60C8" w:rsidP="00A41BE9">
      <w:pPr>
        <w:spacing w:line="240" w:lineRule="auto"/>
        <w:jc w:val="both"/>
        <w:rPr>
          <w:rFonts w:eastAsia="Times New Roman" w:cs="Times New Roman"/>
          <w:szCs w:val="24"/>
        </w:rPr>
      </w:pPr>
      <w:r>
        <w:rPr>
          <w:rFonts w:eastAsia="Times New Roman" w:cs="Times New Roman"/>
          <w:szCs w:val="24"/>
          <w:lang w:val="es-ES"/>
        </w:rPr>
        <w:t>Siga las instrucciones de su médico para cuidar el catéter. Mantenga el área limpia y seca. Llame a su médico si observa signos de infección, como fiebre, enrojecimiento, hinchazón o líquido con mal olor.</w:t>
      </w:r>
    </w:p>
    <w:p w14:paraId="5BFF1558" w14:textId="77777777" w:rsidR="002C60C8" w:rsidRPr="00451CE9" w:rsidRDefault="002C60C8" w:rsidP="00A41BE9">
      <w:pPr>
        <w:keepNext/>
        <w:spacing w:after="0" w:afterAutospacing="0" w:line="240" w:lineRule="auto"/>
        <w:rPr>
          <w:rFonts w:eastAsia="Times New Roman" w:cs="Times New Roman"/>
          <w:b/>
          <w:bCs/>
          <w:szCs w:val="24"/>
        </w:rPr>
      </w:pPr>
      <w:r>
        <w:rPr>
          <w:rFonts w:eastAsia="Times New Roman" w:cs="Times New Roman"/>
          <w:b/>
          <w:bCs/>
          <w:szCs w:val="24"/>
          <w:lang w:val="es-ES"/>
        </w:rPr>
        <w:t>Retiradas del mercado</w:t>
      </w:r>
    </w:p>
    <w:p w14:paraId="63E2C541" w14:textId="77777777" w:rsidR="002C60C8" w:rsidRPr="00451CE9" w:rsidRDefault="002C60C8" w:rsidP="00A41BE9">
      <w:pPr>
        <w:spacing w:line="240" w:lineRule="auto"/>
        <w:jc w:val="both"/>
        <w:rPr>
          <w:rFonts w:eastAsia="Times New Roman" w:cs="Times New Roman"/>
          <w:szCs w:val="24"/>
        </w:rPr>
      </w:pPr>
      <w:r>
        <w:rPr>
          <w:rFonts w:eastAsia="Times New Roman" w:cs="Times New Roman"/>
          <w:szCs w:val="24"/>
          <w:lang w:val="es-ES"/>
        </w:rPr>
        <w:t xml:space="preserve">No se han producido retiradas del mercado del sistema de drenaje </w:t>
      </w:r>
      <w:proofErr w:type="spellStart"/>
      <w:r>
        <w:rPr>
          <w:rFonts w:eastAsia="Times New Roman" w:cs="Times New Roman"/>
          <w:szCs w:val="24"/>
          <w:lang w:val="es-ES"/>
        </w:rPr>
        <w:t>Skater</w:t>
      </w:r>
      <w:proofErr w:type="spellEnd"/>
      <w:r>
        <w:rPr>
          <w:rFonts w:eastAsia="Times New Roman" w:cs="Times New Roman"/>
          <w:szCs w:val="24"/>
          <w:lang w:val="es-ES"/>
        </w:rPr>
        <w:t>. Su médico le informará de cualquier actualización.</w:t>
      </w:r>
    </w:p>
    <w:p w14:paraId="70BA14C1" w14:textId="6719F006" w:rsidR="0005698C" w:rsidRPr="00451CE9" w:rsidRDefault="0005698C" w:rsidP="00A41BE9">
      <w:pPr>
        <w:pStyle w:val="Heading1"/>
        <w:keepNext/>
        <w:ind w:left="788" w:hanging="431"/>
        <w:rPr>
          <w:rFonts w:eastAsia="Times New Roman" w:cs="Times New Roman"/>
          <w:szCs w:val="24"/>
        </w:rPr>
      </w:pPr>
      <w:bookmarkStart w:id="79" w:name="_Toc212114794"/>
      <w:r>
        <w:rPr>
          <w:rFonts w:eastAsia="Times New Roman" w:cs="Times New Roman"/>
          <w:bCs/>
          <w:szCs w:val="24"/>
          <w:lang w:val="es-ES"/>
        </w:rPr>
        <w:lastRenderedPageBreak/>
        <w:t xml:space="preserve">Resumen de </w:t>
      </w:r>
      <w:proofErr w:type="gramStart"/>
      <w:r>
        <w:rPr>
          <w:rFonts w:eastAsia="Times New Roman" w:cs="Times New Roman"/>
          <w:bCs/>
          <w:szCs w:val="24"/>
          <w:lang w:val="es-ES"/>
        </w:rPr>
        <w:t>evaluación clínica y seguimiento clínico</w:t>
      </w:r>
      <w:proofErr w:type="gramEnd"/>
      <w:r>
        <w:rPr>
          <w:rFonts w:eastAsia="Times New Roman" w:cs="Times New Roman"/>
          <w:bCs/>
          <w:szCs w:val="24"/>
          <w:lang w:val="es-ES"/>
        </w:rPr>
        <w:t xml:space="preserve"> </w:t>
      </w:r>
      <w:proofErr w:type="spellStart"/>
      <w:r>
        <w:rPr>
          <w:rFonts w:eastAsia="Times New Roman" w:cs="Times New Roman"/>
          <w:bCs/>
          <w:szCs w:val="24"/>
          <w:lang w:val="es-ES"/>
        </w:rPr>
        <w:t>poscomercialización</w:t>
      </w:r>
      <w:bookmarkEnd w:id="79"/>
      <w:proofErr w:type="spellEnd"/>
    </w:p>
    <w:p w14:paraId="2DBB10FF" w14:textId="2C6263DE" w:rsidR="0005698C" w:rsidRPr="00451CE9" w:rsidRDefault="0005698C" w:rsidP="00A41BE9">
      <w:pPr>
        <w:spacing w:before="100" w:beforeAutospacing="1" w:after="0" w:afterAutospacing="0" w:line="240" w:lineRule="auto"/>
        <w:jc w:val="both"/>
        <w:rPr>
          <w:rFonts w:eastAsia="Times New Roman" w:cs="Times New Roman"/>
          <w:b/>
          <w:bCs/>
          <w:szCs w:val="24"/>
        </w:rPr>
      </w:pPr>
      <w:r>
        <w:rPr>
          <w:rFonts w:eastAsia="Times New Roman" w:cs="Times New Roman"/>
          <w:b/>
          <w:bCs/>
          <w:szCs w:val="24"/>
          <w:lang w:val="es-ES"/>
        </w:rPr>
        <w:t>Antecedentes clínicos del dispositivo</w:t>
      </w:r>
    </w:p>
    <w:p w14:paraId="519F4B13" w14:textId="41A88370" w:rsidR="001F712B" w:rsidRPr="00451CE9" w:rsidRDefault="001F712B" w:rsidP="00A41BE9">
      <w:pPr>
        <w:spacing w:line="240" w:lineRule="auto"/>
        <w:jc w:val="both"/>
        <w:rPr>
          <w:rFonts w:eastAsia="Times New Roman" w:cs="Times New Roman"/>
          <w:szCs w:val="24"/>
        </w:rPr>
      </w:pPr>
      <w:r>
        <w:rPr>
          <w:rFonts w:eastAsia="Times New Roman" w:cs="Times New Roman"/>
          <w:b/>
          <w:bCs/>
          <w:szCs w:val="24"/>
          <w:lang w:val="es-ES"/>
        </w:rPr>
        <w:t>El sistema de drenaje SKATER</w:t>
      </w:r>
      <w:r>
        <w:rPr>
          <w:rFonts w:eastAsia="Times New Roman" w:cs="Times New Roman"/>
          <w:szCs w:val="24"/>
          <w:lang w:val="es-ES"/>
        </w:rPr>
        <w:t xml:space="preserve"> es una herramienta segura y eficaz para eliminar el exceso de líquidos del cuerpo. Se ha probado muchas veces en el laboratorio y en situaciones de la vida real para demostrar que funciona bien y cumple importantes estándares de seguridad. El sistema está fabricado con materiales seguros y las posibilidades de que surjan problemas son muy bajas.</w:t>
      </w:r>
    </w:p>
    <w:p w14:paraId="0FB8FFEB" w14:textId="7430D1B6" w:rsidR="0092009B" w:rsidRPr="00451CE9" w:rsidRDefault="001F712B" w:rsidP="00A41BE9">
      <w:pPr>
        <w:spacing w:before="100" w:beforeAutospacing="1" w:line="240" w:lineRule="auto"/>
        <w:jc w:val="both"/>
        <w:rPr>
          <w:rFonts w:eastAsia="Times New Roman" w:cs="Times New Roman"/>
          <w:szCs w:val="24"/>
        </w:rPr>
      </w:pPr>
      <w:r>
        <w:rPr>
          <w:rFonts w:eastAsia="Times New Roman" w:cs="Times New Roman"/>
          <w:szCs w:val="24"/>
          <w:lang w:val="es-ES"/>
        </w:rPr>
        <w:t>Los médicos y proveedores de atención médica confían en el sistema de drenaje SKATER porque ayuda a los pacientes a sentirse mejor al aliviar la acumulación de líquido y lo hace con riesgos mínimos. En general, los beneficios del sistema de drenaje SKATER son mucho mayores que los riesgos, lo que lo convierte en una opción fiable para los pacientes que necesitan un tratamiento de drenaje.</w:t>
      </w:r>
    </w:p>
    <w:p w14:paraId="7C87DB3A" w14:textId="559E0D9E" w:rsidR="0005698C" w:rsidRPr="00451CE9" w:rsidRDefault="0005698C" w:rsidP="00A41BE9">
      <w:pPr>
        <w:spacing w:after="0" w:afterAutospacing="0" w:line="240" w:lineRule="auto"/>
        <w:jc w:val="both"/>
        <w:rPr>
          <w:rFonts w:eastAsia="Times New Roman" w:cs="Times New Roman"/>
          <w:b/>
          <w:bCs/>
          <w:szCs w:val="24"/>
        </w:rPr>
      </w:pPr>
      <w:r>
        <w:rPr>
          <w:rFonts w:eastAsia="Times New Roman" w:cs="Times New Roman"/>
          <w:b/>
          <w:bCs/>
          <w:szCs w:val="24"/>
          <w:lang w:val="es-ES"/>
        </w:rPr>
        <w:t>Evidencia clínica del marcado CE</w:t>
      </w:r>
    </w:p>
    <w:p w14:paraId="476303F6" w14:textId="2980DEBD" w:rsidR="003A3FAD" w:rsidRPr="00451CE9" w:rsidRDefault="003A3FAD" w:rsidP="00A41BE9">
      <w:pPr>
        <w:spacing w:line="240" w:lineRule="auto"/>
        <w:jc w:val="both"/>
        <w:rPr>
          <w:rFonts w:eastAsia="Times New Roman" w:cs="Times New Roman"/>
          <w:szCs w:val="24"/>
        </w:rPr>
      </w:pPr>
      <w:r>
        <w:rPr>
          <w:rFonts w:eastAsia="Times New Roman" w:cs="Times New Roman"/>
          <w:szCs w:val="24"/>
          <w:lang w:val="es-ES"/>
        </w:rPr>
        <w:t xml:space="preserve">El sistema de drenaje SKATER ha obtenido el marcado CE, lo que significa que cumple con estrictas normas de seguridad y rendimiento en Europa. Para obtener esta aprobación, el sistema tuvo que pasar por muchas pruebas y revisiones para demostrar que funciona bien y es seguro para los pacientes. </w:t>
      </w:r>
    </w:p>
    <w:p w14:paraId="71AA1457" w14:textId="77777777" w:rsidR="003A3FAD" w:rsidRPr="00451CE9" w:rsidRDefault="003A3FAD" w:rsidP="00A41BE9">
      <w:pPr>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es-ES"/>
        </w:rPr>
        <w:t>¿Cómo se probó el sistema de drenaje SKATER?</w:t>
      </w:r>
    </w:p>
    <w:p w14:paraId="24DB4A37" w14:textId="6CC642D0" w:rsidR="003A3FAD" w:rsidRPr="00451CE9" w:rsidRDefault="003A3FAD" w:rsidP="00A41BE9">
      <w:pPr>
        <w:numPr>
          <w:ilvl w:val="0"/>
          <w:numId w:val="45"/>
        </w:numPr>
        <w:spacing w:line="240" w:lineRule="auto"/>
        <w:jc w:val="both"/>
        <w:rPr>
          <w:rFonts w:eastAsia="Times New Roman" w:cs="Times New Roman"/>
          <w:szCs w:val="24"/>
        </w:rPr>
      </w:pPr>
      <w:r>
        <w:rPr>
          <w:rFonts w:eastAsia="Times New Roman" w:cs="Times New Roman"/>
          <w:b/>
          <w:bCs/>
          <w:szCs w:val="24"/>
          <w:lang w:val="es-ES"/>
        </w:rPr>
        <w:t>Pruebas no clínicas</w:t>
      </w:r>
      <w:r w:rsidRPr="00A41BE9">
        <w:rPr>
          <w:rFonts w:eastAsia="Times New Roman" w:cs="Times New Roman"/>
          <w:b/>
          <w:bCs/>
          <w:szCs w:val="24"/>
          <w:lang w:val="es-ES"/>
        </w:rPr>
        <w:t>:</w:t>
      </w:r>
      <w:r>
        <w:rPr>
          <w:rFonts w:eastAsia="Times New Roman" w:cs="Times New Roman"/>
          <w:szCs w:val="24"/>
          <w:lang w:val="es-ES"/>
        </w:rPr>
        <w:t xml:space="preserve"> antes de ser utilizado en pacientes, el sistema pasó por muchas pruebas en el laboratorio para asegurarse de que funciona correctamente. Estas pruebas analizaron el correcto funcionamiento del sistema a lo largo del tiempo, cómo se mantiene y la seguridad de su uso dentro del cuerpo. Pruebas incluidas:</w:t>
      </w:r>
    </w:p>
    <w:p w14:paraId="0BBAD628" w14:textId="77777777" w:rsidR="003A3FAD" w:rsidRPr="00451CE9" w:rsidRDefault="003A3FAD" w:rsidP="00A41BE9">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es-ES"/>
        </w:rPr>
        <w:t>Pruebas de funcionalidad (correcto funcionamiento)</w:t>
      </w:r>
    </w:p>
    <w:p w14:paraId="19B67C86" w14:textId="77777777" w:rsidR="003A3FAD" w:rsidRPr="00451CE9" w:rsidRDefault="003A3FAD" w:rsidP="00A41BE9">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es-ES"/>
        </w:rPr>
        <w:t>Pruebas de embalaje (para garantizar que sea seguro antes de su uso)</w:t>
      </w:r>
    </w:p>
    <w:p w14:paraId="08D3D8CE" w14:textId="77777777" w:rsidR="003A3FAD" w:rsidRPr="00451CE9" w:rsidRDefault="003A3FAD" w:rsidP="00A41BE9">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es-ES"/>
        </w:rPr>
        <w:t>Pruebas de fugas y resistencia (para comprobar si hay debilidades)</w:t>
      </w:r>
    </w:p>
    <w:p w14:paraId="42310C2F" w14:textId="77777777" w:rsidR="003A3FAD" w:rsidRPr="00451CE9" w:rsidRDefault="003A3FAD" w:rsidP="00A41BE9">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es-ES"/>
        </w:rPr>
        <w:t>Pruebas de biocompatibilidad</w:t>
      </w:r>
      <w:r w:rsidRPr="00A41BE9">
        <w:rPr>
          <w:rFonts w:eastAsia="Times New Roman" w:cs="Times New Roman"/>
          <w:b/>
          <w:bCs/>
          <w:szCs w:val="24"/>
          <w:lang w:val="es-ES"/>
        </w:rPr>
        <w:t>:</w:t>
      </w:r>
      <w:r>
        <w:rPr>
          <w:rFonts w:eastAsia="Times New Roman" w:cs="Times New Roman"/>
          <w:szCs w:val="24"/>
          <w:lang w:val="es-ES"/>
        </w:rPr>
        <w:t xml:space="preserve"> estas pruebas verifican que los materiales utilizados en el sistema sean seguros para su uso dentro del cuerpo humano. Los resultados mostraron que los materiales son seguros y no causan daño a los pacientes.</w:t>
      </w:r>
    </w:p>
    <w:p w14:paraId="6EAD4D80" w14:textId="77777777" w:rsidR="003A3FAD" w:rsidRPr="00451CE9" w:rsidRDefault="003A3FAD" w:rsidP="00A41BE9">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es-ES"/>
        </w:rPr>
        <w:t>Revisión de la literatura</w:t>
      </w:r>
      <w:r w:rsidRPr="00A41BE9">
        <w:rPr>
          <w:rFonts w:eastAsia="Times New Roman" w:cs="Times New Roman"/>
          <w:b/>
          <w:bCs/>
          <w:szCs w:val="24"/>
          <w:lang w:val="es-ES"/>
        </w:rPr>
        <w:t>:</w:t>
      </w:r>
      <w:r>
        <w:rPr>
          <w:rFonts w:eastAsia="Times New Roman" w:cs="Times New Roman"/>
          <w:szCs w:val="24"/>
          <w:lang w:val="es-ES"/>
        </w:rPr>
        <w:t xml:space="preserve"> expertos médicos revisaron investigaciones y otros dispositivos similares al sistema de drenaje SKATER para comparar su seguridad y rendimiento. Los resultados mostraron que el sistema SKATER funciona tan bien, o incluso mejor, que otros sistemas de drenaje disponibles.</w:t>
      </w:r>
    </w:p>
    <w:p w14:paraId="09830CF5" w14:textId="77777777" w:rsidR="003A3FAD" w:rsidRPr="00451CE9" w:rsidRDefault="003A3FAD" w:rsidP="00A41BE9">
      <w:pPr>
        <w:numPr>
          <w:ilvl w:val="0"/>
          <w:numId w:val="45"/>
        </w:numPr>
        <w:spacing w:before="100" w:beforeAutospacing="1" w:line="240" w:lineRule="auto"/>
        <w:jc w:val="both"/>
        <w:rPr>
          <w:rFonts w:eastAsia="Times New Roman" w:cs="Times New Roman"/>
          <w:szCs w:val="24"/>
        </w:rPr>
      </w:pPr>
      <w:r>
        <w:rPr>
          <w:rFonts w:eastAsia="Times New Roman" w:cs="Times New Roman"/>
          <w:b/>
          <w:bCs/>
          <w:szCs w:val="24"/>
          <w:lang w:val="es-ES"/>
        </w:rPr>
        <w:t xml:space="preserve">Datos </w:t>
      </w:r>
      <w:proofErr w:type="spellStart"/>
      <w:r>
        <w:rPr>
          <w:rFonts w:eastAsia="Times New Roman" w:cs="Times New Roman"/>
          <w:b/>
          <w:bCs/>
          <w:szCs w:val="24"/>
          <w:lang w:val="es-ES"/>
        </w:rPr>
        <w:t>poscomercialización</w:t>
      </w:r>
      <w:proofErr w:type="spellEnd"/>
      <w:r w:rsidRPr="00A41BE9">
        <w:rPr>
          <w:rFonts w:eastAsia="Times New Roman" w:cs="Times New Roman"/>
          <w:b/>
          <w:bCs/>
          <w:szCs w:val="24"/>
          <w:lang w:val="es-ES"/>
        </w:rPr>
        <w:t>:</w:t>
      </w:r>
      <w:r>
        <w:rPr>
          <w:rFonts w:eastAsia="Times New Roman" w:cs="Times New Roman"/>
          <w:szCs w:val="24"/>
          <w:lang w:val="es-ES"/>
        </w:rPr>
        <w:t xml:space="preserve"> después de la venta del sistema y su uso por médicos, el fabricante continuó recopilando datos sobre su buen funcionamiento y si se produjo algún problema. Los resultados mostraron que el número de quejas fue muy bajo en comparación con el número de dispositivos utilizados, lo que significa que funciona de forma segura y eficaz en situaciones de la vida real.</w:t>
      </w:r>
    </w:p>
    <w:p w14:paraId="066FF7E4" w14:textId="097DD608" w:rsidR="00813A11" w:rsidRPr="00451CE9" w:rsidRDefault="006B5613" w:rsidP="00A41BE9">
      <w:pPr>
        <w:keepNext/>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es-ES"/>
        </w:rPr>
        <w:t>¿Por qué es seguro el sistema de drenaje SKATER?</w:t>
      </w:r>
    </w:p>
    <w:p w14:paraId="76CB770D" w14:textId="77777777" w:rsidR="006B5613" w:rsidRPr="00451CE9" w:rsidRDefault="006B5613" w:rsidP="00A41BE9">
      <w:pPr>
        <w:numPr>
          <w:ilvl w:val="0"/>
          <w:numId w:val="46"/>
        </w:numPr>
        <w:spacing w:line="240" w:lineRule="auto"/>
        <w:jc w:val="both"/>
        <w:rPr>
          <w:rFonts w:eastAsia="Times New Roman" w:cs="Times New Roman"/>
          <w:szCs w:val="24"/>
        </w:rPr>
      </w:pPr>
      <w:r>
        <w:rPr>
          <w:rFonts w:eastAsia="Times New Roman" w:cs="Times New Roman"/>
          <w:b/>
          <w:bCs/>
          <w:szCs w:val="24"/>
          <w:lang w:val="es-ES"/>
        </w:rPr>
        <w:t>Pruebas exhaustivas</w:t>
      </w:r>
      <w:r w:rsidRPr="00A41BE9">
        <w:rPr>
          <w:rFonts w:eastAsia="Times New Roman" w:cs="Times New Roman"/>
          <w:b/>
          <w:bCs/>
          <w:szCs w:val="24"/>
          <w:lang w:val="es-ES"/>
        </w:rPr>
        <w:t>:</w:t>
      </w:r>
      <w:r>
        <w:rPr>
          <w:rFonts w:eastAsia="Times New Roman" w:cs="Times New Roman"/>
          <w:szCs w:val="24"/>
          <w:lang w:val="es-ES"/>
        </w:rPr>
        <w:t xml:space="preserve"> antes de permitir el uso del sistema de drenaje SKATER, este fue sometido a muchas pruebas para comprobar su correcto funcionamiento y su seguridad. Estas pruebas garantizaron que el sistema no se rompa, tenga fugas o cause problemas cuando se utiliza dentro del cuerpo.</w:t>
      </w:r>
    </w:p>
    <w:p w14:paraId="76A31665" w14:textId="77777777" w:rsidR="006B5613" w:rsidRPr="00451CE9" w:rsidRDefault="006B5613" w:rsidP="00A41BE9">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es-ES"/>
        </w:rPr>
        <w:lastRenderedPageBreak/>
        <w:t>Materiales seguros</w:t>
      </w:r>
      <w:r w:rsidRPr="00A41BE9">
        <w:rPr>
          <w:rFonts w:eastAsia="Times New Roman" w:cs="Times New Roman"/>
          <w:b/>
          <w:bCs/>
          <w:szCs w:val="24"/>
          <w:lang w:val="es-ES"/>
        </w:rPr>
        <w:t>:</w:t>
      </w:r>
      <w:r>
        <w:rPr>
          <w:rFonts w:eastAsia="Times New Roman" w:cs="Times New Roman"/>
          <w:szCs w:val="24"/>
          <w:lang w:val="es-ES"/>
        </w:rPr>
        <w:t xml:space="preserve"> el sistema está fabricado con materiales que son seguros para el cuerpo humano. Esto significa que el sistema no provocará reacciones adversas ni daños cuando se utilice para drenar líquidos.</w:t>
      </w:r>
    </w:p>
    <w:p w14:paraId="699F1773" w14:textId="77777777" w:rsidR="006B5613" w:rsidRPr="00451CE9" w:rsidRDefault="006B5613" w:rsidP="00A41BE9">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es-ES"/>
        </w:rPr>
        <w:t>Bajo riesgo de problemas</w:t>
      </w:r>
      <w:r w:rsidRPr="00A41BE9">
        <w:rPr>
          <w:rFonts w:eastAsia="Times New Roman" w:cs="Times New Roman"/>
          <w:b/>
          <w:bCs/>
          <w:szCs w:val="24"/>
          <w:lang w:val="es-ES"/>
        </w:rPr>
        <w:t>:</w:t>
      </w:r>
      <w:r>
        <w:rPr>
          <w:rFonts w:eastAsia="Times New Roman" w:cs="Times New Roman"/>
          <w:szCs w:val="24"/>
          <w:lang w:val="es-ES"/>
        </w:rPr>
        <w:t xml:space="preserve"> aunque todos los productos sanitarios tienen algún riesgo, el sistema de drenaje SKATER tiene un número muy bajo de problemas declarados. De hecho, menos del 1 % de los dispositivos utilizados han tenido algún problema. Esto demuestra que es fiable y seguro cuando se usa correctamente.</w:t>
      </w:r>
    </w:p>
    <w:p w14:paraId="1753933C" w14:textId="77777777" w:rsidR="006B5613" w:rsidRPr="00451CE9" w:rsidRDefault="006B5613" w:rsidP="00A41BE9">
      <w:pPr>
        <w:numPr>
          <w:ilvl w:val="0"/>
          <w:numId w:val="46"/>
        </w:numPr>
        <w:spacing w:before="100" w:beforeAutospacing="1" w:line="240" w:lineRule="auto"/>
        <w:jc w:val="both"/>
        <w:rPr>
          <w:rFonts w:eastAsia="Times New Roman" w:cs="Times New Roman"/>
          <w:szCs w:val="24"/>
        </w:rPr>
      </w:pPr>
      <w:r>
        <w:rPr>
          <w:rFonts w:eastAsia="Times New Roman" w:cs="Times New Roman"/>
          <w:b/>
          <w:bCs/>
          <w:szCs w:val="24"/>
          <w:lang w:val="es-ES"/>
        </w:rPr>
        <w:t>Supervisión continua</w:t>
      </w:r>
      <w:r w:rsidRPr="00A41BE9">
        <w:rPr>
          <w:rFonts w:eastAsia="Times New Roman" w:cs="Times New Roman"/>
          <w:b/>
          <w:bCs/>
          <w:szCs w:val="24"/>
          <w:lang w:val="es-ES"/>
        </w:rPr>
        <w:t>:</w:t>
      </w:r>
      <w:r>
        <w:rPr>
          <w:rFonts w:eastAsia="Times New Roman" w:cs="Times New Roman"/>
          <w:szCs w:val="24"/>
          <w:lang w:val="es-ES"/>
        </w:rPr>
        <w:t xml:space="preserve"> tras la venta del dispositivo y su uso por médicos, la empresa realiza un seguimiento de su rendimiento. Esto les ayuda a garantizar que el sistema se mantenga seguro para futuros pacientes. Si ocurre algún problema, se revisa y se soluciona rápidamente.</w:t>
      </w:r>
    </w:p>
    <w:p w14:paraId="12058300" w14:textId="77777777" w:rsidR="001F70AC" w:rsidRPr="00451CE9" w:rsidRDefault="001F70AC" w:rsidP="00A41BE9">
      <w:pPr>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es-ES"/>
        </w:rPr>
        <w:t>Seguridad y éxito comprobados</w:t>
      </w:r>
    </w:p>
    <w:p w14:paraId="787F4381" w14:textId="77777777" w:rsidR="001F70AC" w:rsidRPr="00451CE9" w:rsidRDefault="001F70AC" w:rsidP="00A41BE9">
      <w:pPr>
        <w:spacing w:line="240" w:lineRule="auto"/>
        <w:jc w:val="both"/>
        <w:rPr>
          <w:rFonts w:eastAsia="Times New Roman" w:cs="Times New Roman"/>
          <w:szCs w:val="24"/>
        </w:rPr>
      </w:pPr>
      <w:r>
        <w:rPr>
          <w:rFonts w:eastAsia="Times New Roman" w:cs="Times New Roman"/>
          <w:szCs w:val="24"/>
          <w:lang w:val="es-ES"/>
        </w:rPr>
        <w:t>El sistema de drenaje SKATER se ha utilizado durante muchos años y ha pasado por muchas pruebas para garantizar que sea seguro y eficaz. Los médicos confían en él porque funciona bien y tiene un bajo riesgo de problemas. Se ha convertido en una de las herramientas más fiables para el drenaje de líquidos en hospitales de todo el mundo.</w:t>
      </w:r>
    </w:p>
    <w:p w14:paraId="6AC3E58E" w14:textId="59ED7749" w:rsidR="001F70AC" w:rsidRPr="00451CE9" w:rsidRDefault="001F70AC" w:rsidP="00A41BE9">
      <w:pPr>
        <w:spacing w:before="100" w:beforeAutospacing="1" w:line="240" w:lineRule="auto"/>
        <w:jc w:val="both"/>
        <w:rPr>
          <w:rFonts w:eastAsia="Times New Roman" w:cs="Times New Roman"/>
          <w:szCs w:val="24"/>
        </w:rPr>
      </w:pPr>
      <w:r>
        <w:rPr>
          <w:rFonts w:eastAsia="Times New Roman" w:cs="Times New Roman"/>
          <w:szCs w:val="24"/>
          <w:lang w:val="es-ES"/>
        </w:rPr>
        <w:t>En general, el sistema de drenaje SKATER es una parte importante para ayudar a los pacientes a sentirse mejor al eliminar la acumulación de líquido dañino de una manera segura y eficaz.</w:t>
      </w:r>
    </w:p>
    <w:p w14:paraId="7C443352" w14:textId="77777777" w:rsidR="006B5613" w:rsidRPr="00451CE9" w:rsidRDefault="006B5613" w:rsidP="00A41BE9">
      <w:pPr>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es-ES"/>
        </w:rPr>
        <w:t>¿Qué pasa si algo sale mal?</w:t>
      </w:r>
    </w:p>
    <w:p w14:paraId="5F71B86A" w14:textId="77777777" w:rsidR="006B5613" w:rsidRPr="00451CE9" w:rsidRDefault="006B5613" w:rsidP="00A41BE9">
      <w:pPr>
        <w:spacing w:line="240" w:lineRule="auto"/>
        <w:jc w:val="both"/>
        <w:rPr>
          <w:rFonts w:eastAsia="Times New Roman" w:cs="Times New Roman"/>
          <w:szCs w:val="24"/>
        </w:rPr>
      </w:pPr>
      <w:r>
        <w:rPr>
          <w:rFonts w:eastAsia="Times New Roman" w:cs="Times New Roman"/>
          <w:szCs w:val="24"/>
          <w:lang w:val="es-ES"/>
        </w:rPr>
        <w:t>Aunque el sistema de drenaje SKATER es muy seguro, los médicos están capacitados para manejar cualquier problema que pueda ocurrir. Saben cómo solucionar problemas y asegurarse de que el paciente esté bien.</w:t>
      </w:r>
    </w:p>
    <w:p w14:paraId="28BC9C71" w14:textId="77777777" w:rsidR="006B5613" w:rsidRPr="00451CE9" w:rsidRDefault="006B5613" w:rsidP="00A41BE9">
      <w:pPr>
        <w:spacing w:before="100" w:beforeAutospacing="1" w:after="0" w:afterAutospacing="0" w:line="240" w:lineRule="auto"/>
        <w:outlineLvl w:val="3"/>
        <w:rPr>
          <w:rFonts w:eastAsia="Times New Roman" w:cs="Times New Roman"/>
          <w:b/>
          <w:bCs/>
          <w:szCs w:val="24"/>
        </w:rPr>
      </w:pPr>
      <w:r>
        <w:rPr>
          <w:rFonts w:eastAsia="Times New Roman" w:cs="Times New Roman"/>
          <w:b/>
          <w:bCs/>
          <w:szCs w:val="24"/>
          <w:lang w:val="es-ES"/>
        </w:rPr>
        <w:t>En resumen:</w:t>
      </w:r>
    </w:p>
    <w:p w14:paraId="2C5727CB" w14:textId="610C932A" w:rsidR="0005698C" w:rsidRPr="00451CE9" w:rsidRDefault="006B5613" w:rsidP="00A41BE9">
      <w:pPr>
        <w:spacing w:line="240" w:lineRule="auto"/>
        <w:jc w:val="both"/>
        <w:rPr>
          <w:rFonts w:eastAsia="Times New Roman" w:cs="Times New Roman"/>
          <w:szCs w:val="24"/>
        </w:rPr>
      </w:pPr>
      <w:r>
        <w:rPr>
          <w:rFonts w:eastAsia="Times New Roman" w:cs="Times New Roman"/>
          <w:szCs w:val="24"/>
          <w:lang w:val="es-ES"/>
        </w:rPr>
        <w:t>Se ha demostrado que el sistema de drenaje SKATER es una herramienta muy segura para drenar líquidos del cuerpo. Ha pasado importantes pruebas de seguridad, está fabricado con materiales seguros y tiene un riesgo muy bajo de problemas. Los pacientes pueden confiar en que este sistema funcionará según lo previsto para ayudarles a sentirse mejor y al mismo tiempo mantenerles seguros.</w:t>
      </w:r>
    </w:p>
    <w:p w14:paraId="67E3E138" w14:textId="77777777" w:rsidR="002C60C8" w:rsidRPr="00451CE9" w:rsidRDefault="002C60C8" w:rsidP="00693338">
      <w:pPr>
        <w:pStyle w:val="Heading1"/>
        <w:rPr>
          <w:rFonts w:eastAsia="Times New Roman" w:cs="Times New Roman"/>
          <w:szCs w:val="24"/>
        </w:rPr>
      </w:pPr>
      <w:bookmarkStart w:id="80" w:name="_Toc212114795"/>
      <w:r>
        <w:rPr>
          <w:rFonts w:eastAsia="Times New Roman" w:cs="Times New Roman"/>
          <w:bCs/>
          <w:szCs w:val="24"/>
          <w:lang w:val="es-ES"/>
        </w:rPr>
        <w:t>Otras opciones de tratamiento</w:t>
      </w:r>
      <w:bookmarkEnd w:id="80"/>
    </w:p>
    <w:p w14:paraId="2C4403F3" w14:textId="77777777" w:rsidR="002C60C8" w:rsidRPr="00451CE9" w:rsidRDefault="002C60C8" w:rsidP="00A41BE9">
      <w:pPr>
        <w:spacing w:after="0" w:afterAutospacing="0" w:line="240" w:lineRule="auto"/>
        <w:rPr>
          <w:rFonts w:eastAsia="Times New Roman" w:cs="Times New Roman"/>
          <w:szCs w:val="24"/>
        </w:rPr>
      </w:pPr>
      <w:r>
        <w:rPr>
          <w:rFonts w:eastAsia="Times New Roman" w:cs="Times New Roman"/>
          <w:szCs w:val="24"/>
          <w:lang w:val="es-ES"/>
        </w:rPr>
        <w:t>Otras formas de tratar la acumulación de líquido incluyen:</w:t>
      </w:r>
    </w:p>
    <w:p w14:paraId="48585C9D" w14:textId="77777777" w:rsidR="002C60C8" w:rsidRPr="00451CE9" w:rsidRDefault="002C60C8" w:rsidP="00A41BE9">
      <w:pPr>
        <w:pStyle w:val="ListParagraph"/>
        <w:numPr>
          <w:ilvl w:val="0"/>
          <w:numId w:val="34"/>
        </w:numPr>
        <w:spacing w:line="240" w:lineRule="auto"/>
        <w:rPr>
          <w:rFonts w:eastAsia="Times New Roman" w:cs="Times New Roman"/>
          <w:szCs w:val="24"/>
        </w:rPr>
      </w:pPr>
      <w:r>
        <w:rPr>
          <w:rFonts w:eastAsia="Times New Roman" w:cs="Times New Roman"/>
          <w:szCs w:val="24"/>
          <w:lang w:val="es-ES"/>
        </w:rPr>
        <w:t>Cirugía para drenar el líquido</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es-ES"/>
        </w:rPr>
        <w:t>Medicamentos para tratar infecciones u otras afecciones</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es-ES"/>
        </w:rPr>
        <w:t>A veces el líquido desaparece por sí solo</w:t>
      </w:r>
    </w:p>
    <w:p w14:paraId="0AC6B73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es-ES"/>
        </w:rPr>
        <w:t>Hable con su médico para determinar qué es lo mejor para usted.</w:t>
      </w:r>
    </w:p>
    <w:p w14:paraId="0470A313" w14:textId="77777777" w:rsidR="002C60C8" w:rsidRPr="00451CE9" w:rsidRDefault="002C60C8" w:rsidP="00FA4BC1">
      <w:pPr>
        <w:pStyle w:val="Heading1"/>
        <w:rPr>
          <w:rFonts w:eastAsia="Times New Roman" w:cs="Times New Roman"/>
          <w:szCs w:val="24"/>
        </w:rPr>
      </w:pPr>
      <w:bookmarkStart w:id="81" w:name="_Toc212114796"/>
      <w:r>
        <w:rPr>
          <w:rFonts w:eastAsia="Times New Roman" w:cs="Times New Roman"/>
          <w:bCs/>
          <w:szCs w:val="24"/>
          <w:lang w:val="es-ES"/>
        </w:rPr>
        <w:t>Formación para proveedores de atención médica</w:t>
      </w:r>
      <w:bookmarkEnd w:id="81"/>
    </w:p>
    <w:p w14:paraId="76EA44E0" w14:textId="6F3DE993" w:rsidR="00CE4FEB" w:rsidRPr="00451CE9" w:rsidRDefault="002C60C8" w:rsidP="00A41BE9">
      <w:pPr>
        <w:spacing w:line="240" w:lineRule="auto"/>
        <w:jc w:val="both"/>
        <w:rPr>
          <w:rFonts w:cs="Times New Roman"/>
          <w:i/>
          <w:color w:val="FF0000"/>
        </w:rPr>
      </w:pPr>
      <w:r>
        <w:rPr>
          <w:rFonts w:eastAsia="Times New Roman" w:cs="Times New Roman"/>
          <w:szCs w:val="24"/>
          <w:lang w:val="es-ES"/>
        </w:rPr>
        <w:t>Los médicos y enfermeras que utilizan este sistema deben recibir formación sobre la colocación y el cuidado del catéter.</w:t>
      </w:r>
    </w:p>
    <w:p w14:paraId="34364CD6" w14:textId="4F8A68F1" w:rsidR="00B11A66" w:rsidRPr="00451CE9" w:rsidRDefault="00042B91" w:rsidP="00A41BE9">
      <w:pPr>
        <w:pStyle w:val="Heading1"/>
        <w:keepNext/>
        <w:numPr>
          <w:ilvl w:val="0"/>
          <w:numId w:val="2"/>
        </w:numPr>
        <w:ind w:left="357" w:hanging="357"/>
        <w:rPr>
          <w:rFonts w:cs="Times New Roman"/>
        </w:rPr>
      </w:pPr>
      <w:bookmarkStart w:id="82" w:name="_Toc212114797"/>
      <w:r>
        <w:rPr>
          <w:rFonts w:cs="Times New Roman"/>
          <w:bCs/>
          <w:lang w:val="es-ES"/>
        </w:rPr>
        <w:lastRenderedPageBreak/>
        <w:t>Historial de revisiones</w:t>
      </w:r>
      <w:bookmarkEnd w:id="82"/>
    </w:p>
    <w:tbl>
      <w:tblPr>
        <w:tblStyle w:val="TableGrid"/>
        <w:tblW w:w="5000" w:type="pct"/>
        <w:tblLook w:val="04A0" w:firstRow="1" w:lastRow="0" w:firstColumn="1" w:lastColumn="0" w:noHBand="0" w:noVBand="1"/>
      </w:tblPr>
      <w:tblGrid>
        <w:gridCol w:w="1023"/>
        <w:gridCol w:w="2657"/>
        <w:gridCol w:w="3855"/>
        <w:gridCol w:w="2895"/>
      </w:tblGrid>
      <w:tr w:rsidR="00042B91" w:rsidRPr="00451CE9" w14:paraId="2442DD3A" w14:textId="77777777" w:rsidTr="00A41BE9">
        <w:tc>
          <w:tcPr>
            <w:tcW w:w="490" w:type="pct"/>
          </w:tcPr>
          <w:p w14:paraId="4A93C5DE" w14:textId="3BB33BFF" w:rsidR="00042B91" w:rsidRPr="00A41BE9" w:rsidRDefault="00042B91" w:rsidP="00042B91">
            <w:pPr>
              <w:spacing w:after="0" w:afterAutospacing="0"/>
              <w:rPr>
                <w:rFonts w:cs="Times New Roman"/>
                <w:b/>
                <w:sz w:val="22"/>
              </w:rPr>
            </w:pPr>
            <w:r w:rsidRPr="00A41BE9">
              <w:rPr>
                <w:rFonts w:cs="Times New Roman"/>
                <w:b/>
                <w:bCs/>
                <w:sz w:val="22"/>
                <w:lang w:val="es-ES"/>
              </w:rPr>
              <w:t>Revisión</w:t>
            </w:r>
          </w:p>
        </w:tc>
        <w:tc>
          <w:tcPr>
            <w:tcW w:w="1274" w:type="pct"/>
          </w:tcPr>
          <w:p w14:paraId="221AB9E8" w14:textId="234B0FA1" w:rsidR="00042B91" w:rsidRPr="00A41BE9" w:rsidRDefault="00042B91" w:rsidP="00042B91">
            <w:pPr>
              <w:spacing w:after="0" w:afterAutospacing="0"/>
              <w:rPr>
                <w:rFonts w:cs="Times New Roman"/>
                <w:b/>
                <w:sz w:val="22"/>
              </w:rPr>
            </w:pPr>
            <w:r w:rsidRPr="00A41BE9">
              <w:rPr>
                <w:rFonts w:cs="Times New Roman"/>
                <w:b/>
                <w:bCs/>
                <w:sz w:val="22"/>
                <w:lang w:val="es-ES"/>
              </w:rPr>
              <w:t>Fecha de emisión</w:t>
            </w:r>
          </w:p>
        </w:tc>
        <w:tc>
          <w:tcPr>
            <w:tcW w:w="1848" w:type="pct"/>
          </w:tcPr>
          <w:p w14:paraId="765AAE1A" w14:textId="273653D5" w:rsidR="00042B91" w:rsidRPr="00A41BE9" w:rsidRDefault="00042B91" w:rsidP="00042B91">
            <w:pPr>
              <w:spacing w:after="0" w:afterAutospacing="0"/>
              <w:rPr>
                <w:rFonts w:cs="Times New Roman"/>
                <w:b/>
                <w:sz w:val="22"/>
              </w:rPr>
            </w:pPr>
            <w:r w:rsidRPr="00A41BE9">
              <w:rPr>
                <w:rFonts w:cs="Times New Roman"/>
                <w:b/>
                <w:bCs/>
                <w:sz w:val="22"/>
                <w:lang w:val="es-ES"/>
              </w:rPr>
              <w:t>Descripción del cambio</w:t>
            </w:r>
          </w:p>
        </w:tc>
        <w:tc>
          <w:tcPr>
            <w:tcW w:w="1388" w:type="pct"/>
          </w:tcPr>
          <w:p w14:paraId="0FD61DD3" w14:textId="020D1AAE" w:rsidR="00042B91" w:rsidRPr="00A41BE9" w:rsidRDefault="00042B91" w:rsidP="00042B91">
            <w:pPr>
              <w:spacing w:after="0" w:afterAutospacing="0"/>
              <w:rPr>
                <w:rFonts w:cs="Times New Roman"/>
                <w:b/>
                <w:sz w:val="22"/>
              </w:rPr>
            </w:pPr>
            <w:r w:rsidRPr="00A41BE9">
              <w:rPr>
                <w:rFonts w:cs="Times New Roman"/>
                <w:b/>
                <w:bCs/>
                <w:sz w:val="22"/>
                <w:lang w:val="es-ES"/>
              </w:rPr>
              <w:t>¿El organismo notificado validó la revisión?</w:t>
            </w:r>
          </w:p>
        </w:tc>
      </w:tr>
      <w:tr w:rsidR="00042B91" w:rsidRPr="00451CE9" w14:paraId="44CA5FF0" w14:textId="77777777" w:rsidTr="00A41BE9">
        <w:tc>
          <w:tcPr>
            <w:tcW w:w="490" w:type="pct"/>
          </w:tcPr>
          <w:p w14:paraId="342DCF0A" w14:textId="26EB807A" w:rsidR="00042B91" w:rsidRPr="00A41BE9" w:rsidRDefault="00FC79AC" w:rsidP="00042B91">
            <w:pPr>
              <w:spacing w:after="0" w:afterAutospacing="0"/>
              <w:rPr>
                <w:rFonts w:cs="Times New Roman"/>
                <w:sz w:val="22"/>
              </w:rPr>
            </w:pPr>
            <w:r w:rsidRPr="00A41BE9">
              <w:rPr>
                <w:rFonts w:cs="Times New Roman"/>
                <w:sz w:val="22"/>
                <w:lang w:val="es-ES"/>
              </w:rPr>
              <w:t>A</w:t>
            </w:r>
          </w:p>
        </w:tc>
        <w:tc>
          <w:tcPr>
            <w:tcW w:w="1274" w:type="pct"/>
          </w:tcPr>
          <w:p w14:paraId="5C6C8BB9" w14:textId="27D90015" w:rsidR="00093E01" w:rsidRPr="00A41BE9" w:rsidRDefault="00093E01" w:rsidP="00042B91">
            <w:pPr>
              <w:spacing w:after="0" w:afterAutospacing="0"/>
              <w:rPr>
                <w:rFonts w:cs="Times New Roman"/>
                <w:iCs/>
                <w:sz w:val="22"/>
              </w:rPr>
            </w:pPr>
            <w:r w:rsidRPr="00A41BE9">
              <w:rPr>
                <w:rFonts w:cs="Times New Roman"/>
                <w:sz w:val="22"/>
                <w:lang w:val="es-ES"/>
              </w:rPr>
              <w:t>22 de julio de 2021</w:t>
            </w:r>
          </w:p>
        </w:tc>
        <w:tc>
          <w:tcPr>
            <w:tcW w:w="1848" w:type="pct"/>
          </w:tcPr>
          <w:p w14:paraId="4B3910EC" w14:textId="07F4B14F" w:rsidR="00042B91" w:rsidRPr="00A41BE9" w:rsidRDefault="009C39DA" w:rsidP="00042B91">
            <w:pPr>
              <w:spacing w:after="0" w:afterAutospacing="0"/>
              <w:rPr>
                <w:rFonts w:cs="Times New Roman"/>
                <w:sz w:val="22"/>
              </w:rPr>
            </w:pPr>
            <w:r w:rsidRPr="00A41BE9">
              <w:rPr>
                <w:rFonts w:cs="Times New Roman"/>
                <w:sz w:val="22"/>
                <w:lang w:val="es-ES"/>
              </w:rPr>
              <w:t>Versión interna inicial: no validada por BSI</w:t>
            </w:r>
          </w:p>
        </w:tc>
        <w:tc>
          <w:tcPr>
            <w:tcW w:w="1388" w:type="pct"/>
          </w:tcPr>
          <w:p w14:paraId="674B09F8" w14:textId="01C0EA57" w:rsidR="00042B91" w:rsidRPr="00A41BE9" w:rsidRDefault="00000000" w:rsidP="00042B91">
            <w:pPr>
              <w:spacing w:after="0" w:afterAutospacing="0"/>
              <w:rPr>
                <w:rFonts w:cs="Times New Roman"/>
                <w:sz w:val="22"/>
              </w:rPr>
            </w:pPr>
            <w:sdt>
              <w:sdtPr>
                <w:rPr>
                  <w:rFonts w:ascii="MS Gothic" w:eastAsia="MS Gothic" w:hAnsi="MS Gothic" w:cs="Times New Roman"/>
                  <w:sz w:val="22"/>
                </w:rPr>
                <w:id w:val="-2083972194"/>
                <w14:checkbox>
                  <w14:checked w14:val="1"/>
                  <w14:checkedState w14:val="2612" w14:font="MS Gothic"/>
                  <w14:uncheckedState w14:val="2610" w14:font="MS Gothic"/>
                </w14:checkbox>
              </w:sdtPr>
              <w:sdtContent>
                <w:r w:rsidR="008F061F" w:rsidRPr="00A41BE9">
                  <w:rPr>
                    <w:rFonts w:ascii="MS Gothic" w:eastAsia="MS Gothic" w:hAnsi="MS Gothic" w:cs="Segoe UI Symbol"/>
                    <w:sz w:val="22"/>
                    <w:lang w:val="es-ES"/>
                  </w:rPr>
                  <w:t>☒</w:t>
                </w:r>
              </w:sdtContent>
            </w:sdt>
            <w:r w:rsidR="008F061F" w:rsidRPr="00A41BE9">
              <w:rPr>
                <w:rFonts w:eastAsia="MS Gothic"/>
                <w:sz w:val="22"/>
                <w:lang w:val="es-ES"/>
              </w:rPr>
              <w:t xml:space="preserve"> Solo para uso interno</w:t>
            </w:r>
          </w:p>
        </w:tc>
      </w:tr>
      <w:tr w:rsidR="00FC79AC" w:rsidRPr="00451CE9" w14:paraId="2AA5182E" w14:textId="77777777" w:rsidTr="00A41BE9">
        <w:tc>
          <w:tcPr>
            <w:tcW w:w="490" w:type="pct"/>
          </w:tcPr>
          <w:p w14:paraId="65E82C38" w14:textId="49F83FE6" w:rsidR="00FC79AC" w:rsidRPr="00A41BE9" w:rsidRDefault="00FC79AC" w:rsidP="00042B91">
            <w:pPr>
              <w:spacing w:after="0" w:afterAutospacing="0"/>
              <w:rPr>
                <w:rFonts w:cs="Times New Roman"/>
                <w:sz w:val="22"/>
              </w:rPr>
            </w:pPr>
            <w:r w:rsidRPr="00A41BE9">
              <w:rPr>
                <w:rFonts w:cs="Times New Roman"/>
                <w:sz w:val="22"/>
                <w:lang w:val="es-ES"/>
              </w:rPr>
              <w:t xml:space="preserve">B </w:t>
            </w:r>
          </w:p>
        </w:tc>
        <w:tc>
          <w:tcPr>
            <w:tcW w:w="1274" w:type="pct"/>
          </w:tcPr>
          <w:p w14:paraId="3597C730" w14:textId="3BC46F0A" w:rsidR="00FC2383" w:rsidRPr="00A41BE9" w:rsidRDefault="00FC2383" w:rsidP="00042B91">
            <w:pPr>
              <w:spacing w:after="0" w:afterAutospacing="0"/>
              <w:rPr>
                <w:rFonts w:cs="Times New Roman"/>
                <w:iCs/>
                <w:sz w:val="22"/>
              </w:rPr>
            </w:pPr>
            <w:r w:rsidRPr="00A41BE9">
              <w:rPr>
                <w:rFonts w:cs="Times New Roman"/>
                <w:sz w:val="22"/>
                <w:lang w:val="es-ES"/>
              </w:rPr>
              <w:t>9 de septiembre de 2024</w:t>
            </w:r>
          </w:p>
          <w:p w14:paraId="35A7DE59" w14:textId="62C29D5F" w:rsidR="00FC2383" w:rsidRPr="00A41BE9" w:rsidRDefault="00FC2383" w:rsidP="00042B91">
            <w:pPr>
              <w:spacing w:after="0" w:afterAutospacing="0"/>
              <w:rPr>
                <w:rFonts w:cs="Times New Roman"/>
                <w:iCs/>
                <w:sz w:val="22"/>
              </w:rPr>
            </w:pPr>
            <w:r w:rsidRPr="00A41BE9">
              <w:rPr>
                <w:rFonts w:cs="Times New Roman"/>
                <w:sz w:val="22"/>
                <w:lang w:val="es-ES"/>
              </w:rPr>
              <w:t>12 de septiembre de 2024</w:t>
            </w:r>
          </w:p>
          <w:p w14:paraId="16F546A0" w14:textId="60A6329B" w:rsidR="00E42DD4" w:rsidRPr="00A41BE9" w:rsidRDefault="00E42DD4" w:rsidP="00042B91">
            <w:pPr>
              <w:spacing w:after="0" w:afterAutospacing="0"/>
              <w:rPr>
                <w:rFonts w:cs="Times New Roman"/>
                <w:iCs/>
                <w:sz w:val="22"/>
              </w:rPr>
            </w:pPr>
            <w:r w:rsidRPr="00A41BE9">
              <w:rPr>
                <w:rFonts w:cs="Times New Roman"/>
                <w:sz w:val="22"/>
                <w:lang w:val="es-ES"/>
              </w:rPr>
              <w:t>22 de octubre de 2024</w:t>
            </w:r>
          </w:p>
        </w:tc>
        <w:tc>
          <w:tcPr>
            <w:tcW w:w="1848" w:type="pct"/>
          </w:tcPr>
          <w:p w14:paraId="334E2A94" w14:textId="77777777" w:rsidR="00FC79AC" w:rsidRPr="00A41BE9" w:rsidRDefault="005E71F3" w:rsidP="00042B91">
            <w:pPr>
              <w:spacing w:after="0" w:afterAutospacing="0"/>
              <w:rPr>
                <w:rFonts w:cs="Times New Roman"/>
                <w:sz w:val="22"/>
              </w:rPr>
            </w:pPr>
            <w:r w:rsidRPr="00A41BE9">
              <w:rPr>
                <w:rFonts w:cs="Times New Roman"/>
                <w:sz w:val="22"/>
                <w:lang w:val="es-ES"/>
              </w:rPr>
              <w:t>Presentación inicial a BSI para su revisión</w:t>
            </w:r>
          </w:p>
          <w:p w14:paraId="7664769E" w14:textId="77777777" w:rsidR="002C60C8" w:rsidRPr="00A41BE9" w:rsidRDefault="002C60C8" w:rsidP="00042B91">
            <w:pPr>
              <w:spacing w:after="0" w:afterAutospacing="0"/>
              <w:rPr>
                <w:rFonts w:cs="Times New Roman"/>
                <w:sz w:val="22"/>
              </w:rPr>
            </w:pPr>
            <w:r w:rsidRPr="00A41BE9">
              <w:rPr>
                <w:rFonts w:cs="Times New Roman"/>
                <w:sz w:val="22"/>
                <w:lang w:val="es-ES"/>
              </w:rPr>
              <w:t>Se agregó sección de pacientes</w:t>
            </w:r>
          </w:p>
          <w:p w14:paraId="5AA31947" w14:textId="2F5E08B9" w:rsidR="00DC742C" w:rsidRPr="00A41BE9" w:rsidRDefault="00EA229E" w:rsidP="00042B91">
            <w:pPr>
              <w:spacing w:after="0" w:afterAutospacing="0"/>
              <w:rPr>
                <w:rFonts w:cs="Times New Roman"/>
                <w:sz w:val="22"/>
              </w:rPr>
            </w:pPr>
            <w:r w:rsidRPr="00A41BE9">
              <w:rPr>
                <w:rFonts w:cs="Times New Roman"/>
                <w:sz w:val="22"/>
                <w:lang w:val="es-ES"/>
              </w:rPr>
              <w:t xml:space="preserve">Se añadió la sección de pacientes 9.5 </w:t>
            </w:r>
          </w:p>
        </w:tc>
        <w:tc>
          <w:tcPr>
            <w:tcW w:w="1388" w:type="pct"/>
          </w:tcPr>
          <w:p w14:paraId="7BC00CE1" w14:textId="5FED05B5" w:rsidR="005E71F3" w:rsidRPr="00A41BE9" w:rsidRDefault="00000000" w:rsidP="005E71F3">
            <w:pPr>
              <w:spacing w:after="0" w:afterAutospacing="0"/>
              <w:rPr>
                <w:rFonts w:cs="Times New Roman"/>
                <w:sz w:val="22"/>
              </w:rPr>
            </w:pPr>
            <w:sdt>
              <w:sdtPr>
                <w:rPr>
                  <w:rFonts w:ascii="MS Gothic" w:eastAsia="MS Gothic" w:hAnsi="MS Gothic" w:cs="Times New Roman"/>
                  <w:sz w:val="22"/>
                </w:rPr>
                <w:id w:val="-1642572381"/>
                <w14:checkbox>
                  <w14:checked w14:val="1"/>
                  <w14:checkedState w14:val="2612" w14:font="MS Gothic"/>
                  <w14:uncheckedState w14:val="2610" w14:font="MS Gothic"/>
                </w14:checkbox>
              </w:sdtPr>
              <w:sdtContent>
                <w:r w:rsidR="008F061F" w:rsidRPr="00A41BE9">
                  <w:rPr>
                    <w:rFonts w:ascii="MS Gothic" w:eastAsia="MS Gothic" w:hAnsi="MS Gothic" w:cs="Times New Roman"/>
                    <w:sz w:val="22"/>
                    <w:lang w:val="es-ES"/>
                  </w:rPr>
                  <w:t>☒</w:t>
                </w:r>
              </w:sdtContent>
            </w:sdt>
            <w:r w:rsidR="008F061F" w:rsidRPr="00A41BE9">
              <w:rPr>
                <w:rFonts w:eastAsia="MS Gothic" w:cs="Times New Roman"/>
                <w:sz w:val="22"/>
                <w:lang w:val="es-ES"/>
              </w:rPr>
              <w:t xml:space="preserve"> Sí </w:t>
            </w:r>
          </w:p>
          <w:p w14:paraId="3E0D98A0" w14:textId="7E089A1E" w:rsidR="00FC79AC" w:rsidRPr="00A41BE9" w:rsidRDefault="00666FDF" w:rsidP="005E71F3">
            <w:pPr>
              <w:spacing w:after="0" w:afterAutospacing="0"/>
              <w:rPr>
                <w:rFonts w:cs="Times New Roman"/>
                <w:sz w:val="22"/>
              </w:rPr>
            </w:pPr>
            <w:r w:rsidRPr="00A41BE9">
              <w:rPr>
                <w:sz w:val="22"/>
                <w:lang w:val="es-ES"/>
              </w:rPr>
              <w:t>Este SSCP ha sido validado en idioma inglés por el organismo notificado, de conformidad con las recomendaciones del MDCG</w:t>
            </w:r>
            <w:r w:rsidR="00D73931">
              <w:rPr>
                <w:sz w:val="22"/>
                <w:lang w:val="es-ES"/>
              </w:rPr>
              <w:t> </w:t>
            </w:r>
            <w:r w:rsidRPr="00A41BE9">
              <w:rPr>
                <w:sz w:val="22"/>
                <w:lang w:val="es-ES"/>
              </w:rPr>
              <w:t>2019-9</w:t>
            </w:r>
            <w:r w:rsidR="00D73931">
              <w:rPr>
                <w:sz w:val="22"/>
                <w:lang w:val="es-ES"/>
              </w:rPr>
              <w:t>.</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es-ES"/>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3175" w14:textId="77777777" w:rsidR="004C0085" w:rsidRDefault="004C0085" w:rsidP="009855C3">
      <w:r>
        <w:separator/>
      </w:r>
    </w:p>
  </w:endnote>
  <w:endnote w:type="continuationSeparator" w:id="0">
    <w:p w14:paraId="7358117A" w14:textId="77777777" w:rsidR="004C0085" w:rsidRDefault="004C0085" w:rsidP="009855C3">
      <w:r>
        <w:continuationSeparator/>
      </w:r>
    </w:p>
  </w:endnote>
  <w:endnote w:type="continuationNotice" w:id="1">
    <w:p w14:paraId="5D8FEB0C" w14:textId="77777777" w:rsidR="004C0085" w:rsidRDefault="004C0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F44E82" w:rsidRDefault="003036AD" w:rsidP="009855C3">
    <w:pPr>
      <w:pStyle w:val="Footer"/>
      <w:rPr>
        <w:szCs w:val="24"/>
      </w:rPr>
    </w:pPr>
    <w:r>
      <w:rPr>
        <w:rFonts w:ascii="Arial" w:hAnsi="Arial"/>
        <w:b/>
        <w:bCs/>
        <w:sz w:val="18"/>
        <w:szCs w:val="18"/>
        <w:lang w:val="es-ES"/>
      </w:rPr>
      <w:t xml:space="preserve">CAQ-QA-025-F1 </w:t>
    </w:r>
    <w:proofErr w:type="spellStart"/>
    <w:r>
      <w:rPr>
        <w:rFonts w:ascii="Arial" w:hAnsi="Arial"/>
        <w:b/>
        <w:bCs/>
        <w:sz w:val="18"/>
        <w:szCs w:val="18"/>
        <w:lang w:val="es-ES"/>
      </w:rPr>
      <w:t>Rev</w:t>
    </w:r>
    <w:proofErr w:type="spellEnd"/>
    <w:r>
      <w:rPr>
        <w:rFonts w:ascii="Arial" w:hAnsi="Arial"/>
        <w:b/>
        <w:bCs/>
        <w:sz w:val="18"/>
        <w:szCs w:val="18"/>
        <w:lang w:val="es-ES"/>
      </w:rPr>
      <w:t xml:space="preserve"> E: Resumen de seguridad y rendimiento clínico (SSCP)</w:t>
    </w:r>
    <w:r>
      <w:rPr>
        <w:lang w:val="es-ES"/>
      </w:rPr>
      <w:t xml:space="preserve"> </w:t>
    </w:r>
    <w:r>
      <w:rPr>
        <w:lang w:val="es-ES"/>
      </w:rPr>
      <w:tab/>
      <w:t xml:space="preserve">Página </w:t>
    </w:r>
    <w:r>
      <w:rPr>
        <w:lang w:val="es-ES"/>
      </w:rPr>
      <w:fldChar w:fldCharType="begin"/>
    </w:r>
    <w:r>
      <w:rPr>
        <w:lang w:val="es-ES"/>
      </w:rPr>
      <w:instrText xml:space="preserve"> PAGE  \* Arabic </w:instrText>
    </w:r>
    <w:r>
      <w:rPr>
        <w:lang w:val="es-ES"/>
      </w:rPr>
      <w:fldChar w:fldCharType="separate"/>
    </w:r>
    <w:r>
      <w:rPr>
        <w:lang w:val="es-ES"/>
      </w:rPr>
      <w:t>0</w:t>
    </w:r>
    <w:r>
      <w:rPr>
        <w:lang w:val="es-ES"/>
      </w:rPr>
      <w:fldChar w:fldCharType="end"/>
    </w:r>
    <w:r>
      <w:rPr>
        <w:lang w:val="es-ES"/>
      </w:rPr>
      <w:t xml:space="preserve"> de </w:t>
    </w:r>
    <w:r>
      <w:fldChar w:fldCharType="begin"/>
    </w:r>
    <w:r>
      <w:instrText xml:space="preserve"> NUMPAGES  </w:instrText>
    </w:r>
    <w:r>
      <w:fldChar w:fldCharType="separate"/>
    </w:r>
    <w:r>
      <w:rPr>
        <w:lang w:val="es-ES"/>
      </w:rPr>
      <w:t>12</w:t>
    </w:r>
    <w:r>
      <w:rPr>
        <w:lang w:val="es-ES"/>
      </w:rPr>
      <w:fldChar w:fldCharType="end"/>
    </w:r>
    <w:r>
      <w:rPr>
        <w:lang w:val="es-ES"/>
      </w:rPr>
      <w:t xml:space="preserve">  </w:t>
    </w:r>
    <w:r>
      <w:rPr>
        <w:lang w:val="es-ES"/>
      </w:rPr>
      <w:tab/>
    </w:r>
    <w:r>
      <w:rPr>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A06A" w14:textId="77777777" w:rsidR="004C0085" w:rsidRDefault="004C0085" w:rsidP="009855C3">
      <w:r>
        <w:separator/>
      </w:r>
    </w:p>
  </w:footnote>
  <w:footnote w:type="continuationSeparator" w:id="0">
    <w:p w14:paraId="0EA0D4CA" w14:textId="77777777" w:rsidR="004C0085" w:rsidRDefault="004C0085" w:rsidP="009855C3">
      <w:r>
        <w:continuationSeparator/>
      </w:r>
    </w:p>
  </w:footnote>
  <w:footnote w:type="continuationNotice" w:id="1">
    <w:p w14:paraId="43009305" w14:textId="77777777" w:rsidR="004C0085" w:rsidRDefault="004C0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es-ES"/>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es-ES"/>
            </w:rPr>
            <w:t>RESUMEN DE SEGURIDAD Y RENDIMIENTO CLÍNICO (SSCP)</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es-ES"/>
            </w:rPr>
            <w:t>SSCP-0002:</w:t>
          </w:r>
          <w:r>
            <w:rPr>
              <w:rFonts w:ascii="Arial" w:hAnsi="Arial" w:cs="Arial"/>
              <w:sz w:val="18"/>
              <w:szCs w:val="18"/>
              <w:lang w:val="es-ES"/>
            </w:rPr>
            <w:t xml:space="preserve"> Sistemas de catéteres de drenaje </w:t>
          </w:r>
          <w:proofErr w:type="spellStart"/>
          <w:r>
            <w:rPr>
              <w:rFonts w:ascii="Arial" w:hAnsi="Arial" w:cs="Arial"/>
              <w:sz w:val="18"/>
              <w:szCs w:val="18"/>
              <w:lang w:val="es-ES"/>
            </w:rPr>
            <w:t>Skater</w:t>
          </w:r>
          <w:proofErr w:type="spellEnd"/>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es-ES"/>
            </w:rPr>
            <w:t xml:space="preserve">Revisión: B </w:t>
          </w:r>
        </w:p>
        <w:p w14:paraId="2F5F8390" w14:textId="0ABFBBD1" w:rsidR="005450DC" w:rsidRPr="00C27487" w:rsidRDefault="005450DC" w:rsidP="005450DC">
          <w:pPr>
            <w:pStyle w:val="Header"/>
            <w:jc w:val="left"/>
            <w:rPr>
              <w:rFonts w:ascii="Arial" w:hAnsi="Arial" w:cs="Arial"/>
              <w:sz w:val="18"/>
            </w:rPr>
          </w:pPr>
          <w:r w:rsidRPr="00A41BE9">
            <w:rPr>
              <w:rFonts w:ascii="Arial" w:eastAsiaTheme="minorHAnsi" w:hAnsi="Arial" w:cs="Arial"/>
              <w:sz w:val="18"/>
              <w:szCs w:val="18"/>
              <w:lang w:val="es-ES"/>
            </w:rPr>
            <w:t xml:space="preserve">Ubicación de </w:t>
          </w:r>
          <w:proofErr w:type="spellStart"/>
          <w:r w:rsidRPr="00A41BE9">
            <w:rPr>
              <w:rFonts w:ascii="Arial" w:eastAsiaTheme="minorHAnsi" w:hAnsi="Arial" w:cs="Arial"/>
              <w:sz w:val="18"/>
              <w:szCs w:val="18"/>
              <w:lang w:val="es-ES"/>
            </w:rPr>
            <w:t>Argon</w:t>
          </w:r>
          <w:proofErr w:type="spellEnd"/>
          <w:r w:rsidRPr="00A41BE9">
            <w:rPr>
              <w:rFonts w:ascii="Arial" w:eastAsiaTheme="minorHAnsi" w:hAnsi="Arial" w:cs="Arial"/>
              <w:sz w:val="18"/>
              <w:szCs w:val="18"/>
              <w:lang w:val="es-ES"/>
            </w:rPr>
            <w:t>: Todos los sitios</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8C0A8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C1708E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363B"/>
    <w:rsid w:val="000141E0"/>
    <w:rsid w:val="000150C3"/>
    <w:rsid w:val="00015374"/>
    <w:rsid w:val="00017790"/>
    <w:rsid w:val="00020B50"/>
    <w:rsid w:val="00022FD9"/>
    <w:rsid w:val="00023EC5"/>
    <w:rsid w:val="00024137"/>
    <w:rsid w:val="00031D0B"/>
    <w:rsid w:val="0003484D"/>
    <w:rsid w:val="000350F3"/>
    <w:rsid w:val="00036F02"/>
    <w:rsid w:val="0003763F"/>
    <w:rsid w:val="00037894"/>
    <w:rsid w:val="000408B7"/>
    <w:rsid w:val="00042B91"/>
    <w:rsid w:val="00043557"/>
    <w:rsid w:val="00043983"/>
    <w:rsid w:val="00043FF5"/>
    <w:rsid w:val="00044179"/>
    <w:rsid w:val="000446B0"/>
    <w:rsid w:val="00044A1E"/>
    <w:rsid w:val="000458EE"/>
    <w:rsid w:val="00047D8C"/>
    <w:rsid w:val="00051382"/>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6F83"/>
    <w:rsid w:val="000770AE"/>
    <w:rsid w:val="00080877"/>
    <w:rsid w:val="000819DF"/>
    <w:rsid w:val="000825F8"/>
    <w:rsid w:val="00082AAC"/>
    <w:rsid w:val="00091FC4"/>
    <w:rsid w:val="00093E01"/>
    <w:rsid w:val="0009671C"/>
    <w:rsid w:val="00097E12"/>
    <w:rsid w:val="000A1FB4"/>
    <w:rsid w:val="000A578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4F0D"/>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2EC8"/>
    <w:rsid w:val="00165342"/>
    <w:rsid w:val="0016706B"/>
    <w:rsid w:val="001671B9"/>
    <w:rsid w:val="001734A4"/>
    <w:rsid w:val="00174030"/>
    <w:rsid w:val="00175A25"/>
    <w:rsid w:val="001774C4"/>
    <w:rsid w:val="00181E2B"/>
    <w:rsid w:val="001824AC"/>
    <w:rsid w:val="001832D4"/>
    <w:rsid w:val="00184BDF"/>
    <w:rsid w:val="001857F4"/>
    <w:rsid w:val="00185D12"/>
    <w:rsid w:val="00187947"/>
    <w:rsid w:val="00187E21"/>
    <w:rsid w:val="00187E29"/>
    <w:rsid w:val="00187F1B"/>
    <w:rsid w:val="001911DA"/>
    <w:rsid w:val="001919D6"/>
    <w:rsid w:val="00191D26"/>
    <w:rsid w:val="00191ED2"/>
    <w:rsid w:val="0019206C"/>
    <w:rsid w:val="0019312D"/>
    <w:rsid w:val="00195C76"/>
    <w:rsid w:val="00196322"/>
    <w:rsid w:val="001A0F31"/>
    <w:rsid w:val="001A2CB6"/>
    <w:rsid w:val="001A3916"/>
    <w:rsid w:val="001A3B15"/>
    <w:rsid w:val="001A6A74"/>
    <w:rsid w:val="001A6B0C"/>
    <w:rsid w:val="001A7C86"/>
    <w:rsid w:val="001B1B77"/>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8"/>
    <w:rsid w:val="001E7A0E"/>
    <w:rsid w:val="001F0A2A"/>
    <w:rsid w:val="001F4470"/>
    <w:rsid w:val="001F70AC"/>
    <w:rsid w:val="001F712B"/>
    <w:rsid w:val="001F7942"/>
    <w:rsid w:val="00200313"/>
    <w:rsid w:val="0020093D"/>
    <w:rsid w:val="00203C32"/>
    <w:rsid w:val="00207A7C"/>
    <w:rsid w:val="002107A1"/>
    <w:rsid w:val="002132DA"/>
    <w:rsid w:val="00214E2F"/>
    <w:rsid w:val="0021589A"/>
    <w:rsid w:val="002158E2"/>
    <w:rsid w:val="00215A0D"/>
    <w:rsid w:val="00216A89"/>
    <w:rsid w:val="00221CEF"/>
    <w:rsid w:val="00222699"/>
    <w:rsid w:val="00222D44"/>
    <w:rsid w:val="0022608D"/>
    <w:rsid w:val="00230011"/>
    <w:rsid w:val="0023390A"/>
    <w:rsid w:val="00235232"/>
    <w:rsid w:val="00237E7D"/>
    <w:rsid w:val="00245538"/>
    <w:rsid w:val="002456D5"/>
    <w:rsid w:val="00247337"/>
    <w:rsid w:val="00247DF9"/>
    <w:rsid w:val="00250DF4"/>
    <w:rsid w:val="002513F6"/>
    <w:rsid w:val="00253898"/>
    <w:rsid w:val="00256924"/>
    <w:rsid w:val="00257E9E"/>
    <w:rsid w:val="002617B6"/>
    <w:rsid w:val="00261812"/>
    <w:rsid w:val="00265746"/>
    <w:rsid w:val="0026576E"/>
    <w:rsid w:val="00271033"/>
    <w:rsid w:val="00271C84"/>
    <w:rsid w:val="00272B97"/>
    <w:rsid w:val="0027358A"/>
    <w:rsid w:val="00273D90"/>
    <w:rsid w:val="00274007"/>
    <w:rsid w:val="00275174"/>
    <w:rsid w:val="002756A5"/>
    <w:rsid w:val="002756C6"/>
    <w:rsid w:val="00275A54"/>
    <w:rsid w:val="002814B8"/>
    <w:rsid w:val="0028488B"/>
    <w:rsid w:val="002849D4"/>
    <w:rsid w:val="002852C9"/>
    <w:rsid w:val="002857CA"/>
    <w:rsid w:val="0028594C"/>
    <w:rsid w:val="00286F59"/>
    <w:rsid w:val="00290885"/>
    <w:rsid w:val="00291A3E"/>
    <w:rsid w:val="00292A13"/>
    <w:rsid w:val="002948DF"/>
    <w:rsid w:val="00295AFD"/>
    <w:rsid w:val="00296B25"/>
    <w:rsid w:val="0029740B"/>
    <w:rsid w:val="002A0EEC"/>
    <w:rsid w:val="002A3F0C"/>
    <w:rsid w:val="002A6405"/>
    <w:rsid w:val="002A72E4"/>
    <w:rsid w:val="002B1DC2"/>
    <w:rsid w:val="002B2717"/>
    <w:rsid w:val="002B2D11"/>
    <w:rsid w:val="002B4654"/>
    <w:rsid w:val="002B54C9"/>
    <w:rsid w:val="002B7DB8"/>
    <w:rsid w:val="002C1C0D"/>
    <w:rsid w:val="002C2F0C"/>
    <w:rsid w:val="002C49DE"/>
    <w:rsid w:val="002C4CB6"/>
    <w:rsid w:val="002C5390"/>
    <w:rsid w:val="002C60C8"/>
    <w:rsid w:val="002C69C7"/>
    <w:rsid w:val="002D10E8"/>
    <w:rsid w:val="002D3A9A"/>
    <w:rsid w:val="002D3C7F"/>
    <w:rsid w:val="002D5A2E"/>
    <w:rsid w:val="002E1895"/>
    <w:rsid w:val="002E2621"/>
    <w:rsid w:val="002E4094"/>
    <w:rsid w:val="002E5337"/>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36D4A"/>
    <w:rsid w:val="003414BB"/>
    <w:rsid w:val="003422A1"/>
    <w:rsid w:val="00342A7D"/>
    <w:rsid w:val="003453DC"/>
    <w:rsid w:val="00345599"/>
    <w:rsid w:val="00350184"/>
    <w:rsid w:val="00355A8B"/>
    <w:rsid w:val="00355F6E"/>
    <w:rsid w:val="0036092C"/>
    <w:rsid w:val="003626BF"/>
    <w:rsid w:val="00363EE0"/>
    <w:rsid w:val="0036414A"/>
    <w:rsid w:val="00366A7C"/>
    <w:rsid w:val="00367D0F"/>
    <w:rsid w:val="00371FB5"/>
    <w:rsid w:val="003723CF"/>
    <w:rsid w:val="00374072"/>
    <w:rsid w:val="00375AD8"/>
    <w:rsid w:val="0037614D"/>
    <w:rsid w:val="00383855"/>
    <w:rsid w:val="003853ED"/>
    <w:rsid w:val="00386825"/>
    <w:rsid w:val="003873D5"/>
    <w:rsid w:val="003876A5"/>
    <w:rsid w:val="00390948"/>
    <w:rsid w:val="00394151"/>
    <w:rsid w:val="003975EE"/>
    <w:rsid w:val="003978BF"/>
    <w:rsid w:val="003A1E91"/>
    <w:rsid w:val="003A1EC4"/>
    <w:rsid w:val="003A3FAD"/>
    <w:rsid w:val="003A5A04"/>
    <w:rsid w:val="003A7330"/>
    <w:rsid w:val="003B3539"/>
    <w:rsid w:val="003B3A26"/>
    <w:rsid w:val="003B495A"/>
    <w:rsid w:val="003B5B09"/>
    <w:rsid w:val="003C2958"/>
    <w:rsid w:val="003C6728"/>
    <w:rsid w:val="003D3B64"/>
    <w:rsid w:val="003D4ADF"/>
    <w:rsid w:val="003E23B6"/>
    <w:rsid w:val="003E2EF5"/>
    <w:rsid w:val="003E2F25"/>
    <w:rsid w:val="003E6B0C"/>
    <w:rsid w:val="003F01FC"/>
    <w:rsid w:val="003F2CC4"/>
    <w:rsid w:val="003F3F84"/>
    <w:rsid w:val="004002BA"/>
    <w:rsid w:val="0040173E"/>
    <w:rsid w:val="00403949"/>
    <w:rsid w:val="00404E1F"/>
    <w:rsid w:val="00407A0D"/>
    <w:rsid w:val="00407A9B"/>
    <w:rsid w:val="00410B50"/>
    <w:rsid w:val="00414182"/>
    <w:rsid w:val="00414747"/>
    <w:rsid w:val="00415D9A"/>
    <w:rsid w:val="004165B2"/>
    <w:rsid w:val="00417EED"/>
    <w:rsid w:val="00420B5C"/>
    <w:rsid w:val="00423035"/>
    <w:rsid w:val="00425627"/>
    <w:rsid w:val="0042600B"/>
    <w:rsid w:val="004263BF"/>
    <w:rsid w:val="004329F3"/>
    <w:rsid w:val="00434382"/>
    <w:rsid w:val="00435015"/>
    <w:rsid w:val="00437C4E"/>
    <w:rsid w:val="00440F7B"/>
    <w:rsid w:val="00441FF2"/>
    <w:rsid w:val="0044215F"/>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895"/>
    <w:rsid w:val="00484D24"/>
    <w:rsid w:val="0048662A"/>
    <w:rsid w:val="0049527E"/>
    <w:rsid w:val="004A00D3"/>
    <w:rsid w:val="004A287F"/>
    <w:rsid w:val="004A2B18"/>
    <w:rsid w:val="004A5222"/>
    <w:rsid w:val="004A5CF7"/>
    <w:rsid w:val="004A5F29"/>
    <w:rsid w:val="004A7ED1"/>
    <w:rsid w:val="004B1EB0"/>
    <w:rsid w:val="004B27B4"/>
    <w:rsid w:val="004C0085"/>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E7B08"/>
    <w:rsid w:val="004F1BD8"/>
    <w:rsid w:val="004F2CB7"/>
    <w:rsid w:val="004F6EAB"/>
    <w:rsid w:val="004F79D7"/>
    <w:rsid w:val="005008E6"/>
    <w:rsid w:val="0050130B"/>
    <w:rsid w:val="00505248"/>
    <w:rsid w:val="0050637D"/>
    <w:rsid w:val="00510784"/>
    <w:rsid w:val="00511704"/>
    <w:rsid w:val="00513AEC"/>
    <w:rsid w:val="005146F8"/>
    <w:rsid w:val="00515A20"/>
    <w:rsid w:val="0052462F"/>
    <w:rsid w:val="00524F68"/>
    <w:rsid w:val="00526972"/>
    <w:rsid w:val="00526AFC"/>
    <w:rsid w:val="00533994"/>
    <w:rsid w:val="00534B0D"/>
    <w:rsid w:val="00537520"/>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226"/>
    <w:rsid w:val="00596701"/>
    <w:rsid w:val="005A054F"/>
    <w:rsid w:val="005A48D7"/>
    <w:rsid w:val="005A5694"/>
    <w:rsid w:val="005A7977"/>
    <w:rsid w:val="005B2220"/>
    <w:rsid w:val="005B4380"/>
    <w:rsid w:val="005B7C61"/>
    <w:rsid w:val="005C09B1"/>
    <w:rsid w:val="005C1153"/>
    <w:rsid w:val="005C148E"/>
    <w:rsid w:val="005C3F49"/>
    <w:rsid w:val="005C4318"/>
    <w:rsid w:val="005C6CD0"/>
    <w:rsid w:val="005C6D48"/>
    <w:rsid w:val="005C6F2C"/>
    <w:rsid w:val="005C6F64"/>
    <w:rsid w:val="005C77E9"/>
    <w:rsid w:val="005C7C47"/>
    <w:rsid w:val="005C7F78"/>
    <w:rsid w:val="005D00E4"/>
    <w:rsid w:val="005D6E76"/>
    <w:rsid w:val="005E2698"/>
    <w:rsid w:val="005E27E8"/>
    <w:rsid w:val="005E3921"/>
    <w:rsid w:val="005E6692"/>
    <w:rsid w:val="005E71F3"/>
    <w:rsid w:val="005F1F10"/>
    <w:rsid w:val="005F2335"/>
    <w:rsid w:val="005F42B7"/>
    <w:rsid w:val="005F6EE9"/>
    <w:rsid w:val="005F7481"/>
    <w:rsid w:val="005F753A"/>
    <w:rsid w:val="00600266"/>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2D77"/>
    <w:rsid w:val="00643276"/>
    <w:rsid w:val="00645091"/>
    <w:rsid w:val="00650473"/>
    <w:rsid w:val="006522B1"/>
    <w:rsid w:val="006524A2"/>
    <w:rsid w:val="0065395B"/>
    <w:rsid w:val="0065417C"/>
    <w:rsid w:val="00654B25"/>
    <w:rsid w:val="006575B9"/>
    <w:rsid w:val="00660AE0"/>
    <w:rsid w:val="00663547"/>
    <w:rsid w:val="00664723"/>
    <w:rsid w:val="00665E1E"/>
    <w:rsid w:val="0066665C"/>
    <w:rsid w:val="00666FDF"/>
    <w:rsid w:val="00667954"/>
    <w:rsid w:val="00670A22"/>
    <w:rsid w:val="00670C3A"/>
    <w:rsid w:val="00676A01"/>
    <w:rsid w:val="0068138F"/>
    <w:rsid w:val="00681538"/>
    <w:rsid w:val="00682F1E"/>
    <w:rsid w:val="00683D4A"/>
    <w:rsid w:val="00684ABB"/>
    <w:rsid w:val="0068622E"/>
    <w:rsid w:val="006866F0"/>
    <w:rsid w:val="00690849"/>
    <w:rsid w:val="006923DD"/>
    <w:rsid w:val="006932D0"/>
    <w:rsid w:val="00693338"/>
    <w:rsid w:val="0069398D"/>
    <w:rsid w:val="006950E1"/>
    <w:rsid w:val="006962EB"/>
    <w:rsid w:val="0069734A"/>
    <w:rsid w:val="006A3465"/>
    <w:rsid w:val="006A3886"/>
    <w:rsid w:val="006B16B3"/>
    <w:rsid w:val="006B1AD5"/>
    <w:rsid w:val="006B3283"/>
    <w:rsid w:val="006B474F"/>
    <w:rsid w:val="006B4BE8"/>
    <w:rsid w:val="006B5613"/>
    <w:rsid w:val="006B5BFD"/>
    <w:rsid w:val="006B6056"/>
    <w:rsid w:val="006C022A"/>
    <w:rsid w:val="006C0F6F"/>
    <w:rsid w:val="006C131D"/>
    <w:rsid w:val="006C320A"/>
    <w:rsid w:val="006C59ED"/>
    <w:rsid w:val="006C5CC0"/>
    <w:rsid w:val="006D0243"/>
    <w:rsid w:val="006D0995"/>
    <w:rsid w:val="006D1CC7"/>
    <w:rsid w:val="006D2310"/>
    <w:rsid w:val="006D27BE"/>
    <w:rsid w:val="006D2807"/>
    <w:rsid w:val="006D6367"/>
    <w:rsid w:val="006D7AE1"/>
    <w:rsid w:val="006E07FC"/>
    <w:rsid w:val="006E329F"/>
    <w:rsid w:val="006E3A51"/>
    <w:rsid w:val="006F0810"/>
    <w:rsid w:val="006F0D7E"/>
    <w:rsid w:val="006F2B24"/>
    <w:rsid w:val="006F56FA"/>
    <w:rsid w:val="006F5CF3"/>
    <w:rsid w:val="006F6EB5"/>
    <w:rsid w:val="0070196C"/>
    <w:rsid w:val="0070268C"/>
    <w:rsid w:val="0070372B"/>
    <w:rsid w:val="00703E89"/>
    <w:rsid w:val="0071193F"/>
    <w:rsid w:val="007122CE"/>
    <w:rsid w:val="00717F3E"/>
    <w:rsid w:val="007232B2"/>
    <w:rsid w:val="00723386"/>
    <w:rsid w:val="007263BF"/>
    <w:rsid w:val="00726DB4"/>
    <w:rsid w:val="00727F95"/>
    <w:rsid w:val="007324DC"/>
    <w:rsid w:val="0073388F"/>
    <w:rsid w:val="007349B0"/>
    <w:rsid w:val="007354A2"/>
    <w:rsid w:val="00737E50"/>
    <w:rsid w:val="00740F34"/>
    <w:rsid w:val="0074191E"/>
    <w:rsid w:val="00744302"/>
    <w:rsid w:val="00752A12"/>
    <w:rsid w:val="00754114"/>
    <w:rsid w:val="007548F8"/>
    <w:rsid w:val="007577A4"/>
    <w:rsid w:val="00760400"/>
    <w:rsid w:val="00760544"/>
    <w:rsid w:val="0076176C"/>
    <w:rsid w:val="00762212"/>
    <w:rsid w:val="00765B21"/>
    <w:rsid w:val="00767334"/>
    <w:rsid w:val="00770069"/>
    <w:rsid w:val="00771CF6"/>
    <w:rsid w:val="00772B2E"/>
    <w:rsid w:val="007739C0"/>
    <w:rsid w:val="00780A58"/>
    <w:rsid w:val="00780E66"/>
    <w:rsid w:val="007811AA"/>
    <w:rsid w:val="007815A4"/>
    <w:rsid w:val="00781FAA"/>
    <w:rsid w:val="00786526"/>
    <w:rsid w:val="00790BF0"/>
    <w:rsid w:val="007910D3"/>
    <w:rsid w:val="0079233C"/>
    <w:rsid w:val="00793711"/>
    <w:rsid w:val="00793BDF"/>
    <w:rsid w:val="007945AA"/>
    <w:rsid w:val="007B0894"/>
    <w:rsid w:val="007B0AB7"/>
    <w:rsid w:val="007B4E76"/>
    <w:rsid w:val="007B72EE"/>
    <w:rsid w:val="007C2323"/>
    <w:rsid w:val="007C7E15"/>
    <w:rsid w:val="007D0BE5"/>
    <w:rsid w:val="007D1F88"/>
    <w:rsid w:val="007D38B3"/>
    <w:rsid w:val="007D5978"/>
    <w:rsid w:val="007D642B"/>
    <w:rsid w:val="007F055C"/>
    <w:rsid w:val="007F070C"/>
    <w:rsid w:val="007F18B7"/>
    <w:rsid w:val="007F19B9"/>
    <w:rsid w:val="007F1ACF"/>
    <w:rsid w:val="007F2DF5"/>
    <w:rsid w:val="007F2F84"/>
    <w:rsid w:val="008002AB"/>
    <w:rsid w:val="008020CB"/>
    <w:rsid w:val="0080249A"/>
    <w:rsid w:val="00802AAD"/>
    <w:rsid w:val="00805DD8"/>
    <w:rsid w:val="008067BB"/>
    <w:rsid w:val="00806C79"/>
    <w:rsid w:val="00806E06"/>
    <w:rsid w:val="008075F7"/>
    <w:rsid w:val="00810CC0"/>
    <w:rsid w:val="00813A11"/>
    <w:rsid w:val="008218B4"/>
    <w:rsid w:val="008325D7"/>
    <w:rsid w:val="008334BD"/>
    <w:rsid w:val="008401AC"/>
    <w:rsid w:val="008414C2"/>
    <w:rsid w:val="00844220"/>
    <w:rsid w:val="00850187"/>
    <w:rsid w:val="0085127F"/>
    <w:rsid w:val="008515F1"/>
    <w:rsid w:val="00854641"/>
    <w:rsid w:val="008616F1"/>
    <w:rsid w:val="00861D75"/>
    <w:rsid w:val="00862145"/>
    <w:rsid w:val="008646A3"/>
    <w:rsid w:val="00864E1E"/>
    <w:rsid w:val="00867DFE"/>
    <w:rsid w:val="00870F60"/>
    <w:rsid w:val="00871B42"/>
    <w:rsid w:val="0087231A"/>
    <w:rsid w:val="008745ED"/>
    <w:rsid w:val="00874BF7"/>
    <w:rsid w:val="0087596D"/>
    <w:rsid w:val="0087714A"/>
    <w:rsid w:val="008815B0"/>
    <w:rsid w:val="00881A58"/>
    <w:rsid w:val="00886633"/>
    <w:rsid w:val="0088793A"/>
    <w:rsid w:val="008879C4"/>
    <w:rsid w:val="00887E5D"/>
    <w:rsid w:val="00893E13"/>
    <w:rsid w:val="00896D96"/>
    <w:rsid w:val="008975A3"/>
    <w:rsid w:val="008A0ADE"/>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4924"/>
    <w:rsid w:val="008D547C"/>
    <w:rsid w:val="008E62D6"/>
    <w:rsid w:val="008E66CE"/>
    <w:rsid w:val="008F061F"/>
    <w:rsid w:val="008F4D55"/>
    <w:rsid w:val="008F500B"/>
    <w:rsid w:val="008F750F"/>
    <w:rsid w:val="008F7DCE"/>
    <w:rsid w:val="009006F7"/>
    <w:rsid w:val="00901784"/>
    <w:rsid w:val="00902199"/>
    <w:rsid w:val="00904E0E"/>
    <w:rsid w:val="00906B4A"/>
    <w:rsid w:val="00906E55"/>
    <w:rsid w:val="00910CBB"/>
    <w:rsid w:val="0091181E"/>
    <w:rsid w:val="00912F6E"/>
    <w:rsid w:val="0091485C"/>
    <w:rsid w:val="00916823"/>
    <w:rsid w:val="0092009B"/>
    <w:rsid w:val="00921055"/>
    <w:rsid w:val="00921B7A"/>
    <w:rsid w:val="0092457E"/>
    <w:rsid w:val="009258E3"/>
    <w:rsid w:val="00925D52"/>
    <w:rsid w:val="00926165"/>
    <w:rsid w:val="00926729"/>
    <w:rsid w:val="00931969"/>
    <w:rsid w:val="00931A2C"/>
    <w:rsid w:val="00932A0C"/>
    <w:rsid w:val="00932CB7"/>
    <w:rsid w:val="00933162"/>
    <w:rsid w:val="0093351A"/>
    <w:rsid w:val="0093375D"/>
    <w:rsid w:val="00940305"/>
    <w:rsid w:val="00941292"/>
    <w:rsid w:val="009429A9"/>
    <w:rsid w:val="00943D6D"/>
    <w:rsid w:val="00944E8B"/>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1B99"/>
    <w:rsid w:val="009830D7"/>
    <w:rsid w:val="009851B9"/>
    <w:rsid w:val="009855C3"/>
    <w:rsid w:val="00985DC8"/>
    <w:rsid w:val="00987490"/>
    <w:rsid w:val="0099114C"/>
    <w:rsid w:val="009952F2"/>
    <w:rsid w:val="009A0041"/>
    <w:rsid w:val="009A6E54"/>
    <w:rsid w:val="009A79D0"/>
    <w:rsid w:val="009B5070"/>
    <w:rsid w:val="009C031B"/>
    <w:rsid w:val="009C1779"/>
    <w:rsid w:val="009C1DDD"/>
    <w:rsid w:val="009C246E"/>
    <w:rsid w:val="009C32A9"/>
    <w:rsid w:val="009C3848"/>
    <w:rsid w:val="009C39DA"/>
    <w:rsid w:val="009D0E99"/>
    <w:rsid w:val="009D19D6"/>
    <w:rsid w:val="009D31AE"/>
    <w:rsid w:val="009D54C6"/>
    <w:rsid w:val="009E0290"/>
    <w:rsid w:val="009E18CD"/>
    <w:rsid w:val="009E4B77"/>
    <w:rsid w:val="009E62B3"/>
    <w:rsid w:val="009E72CD"/>
    <w:rsid w:val="009E782D"/>
    <w:rsid w:val="009F10AD"/>
    <w:rsid w:val="009F2A57"/>
    <w:rsid w:val="009F5147"/>
    <w:rsid w:val="009F51B0"/>
    <w:rsid w:val="009F7152"/>
    <w:rsid w:val="00A04144"/>
    <w:rsid w:val="00A04547"/>
    <w:rsid w:val="00A04D25"/>
    <w:rsid w:val="00A057CE"/>
    <w:rsid w:val="00A104F2"/>
    <w:rsid w:val="00A11A9B"/>
    <w:rsid w:val="00A1305D"/>
    <w:rsid w:val="00A15864"/>
    <w:rsid w:val="00A16F85"/>
    <w:rsid w:val="00A2055A"/>
    <w:rsid w:val="00A2378A"/>
    <w:rsid w:val="00A30FCC"/>
    <w:rsid w:val="00A32E67"/>
    <w:rsid w:val="00A34B6B"/>
    <w:rsid w:val="00A36237"/>
    <w:rsid w:val="00A3639B"/>
    <w:rsid w:val="00A37CD1"/>
    <w:rsid w:val="00A40F47"/>
    <w:rsid w:val="00A413A5"/>
    <w:rsid w:val="00A41BE9"/>
    <w:rsid w:val="00A43E60"/>
    <w:rsid w:val="00A45052"/>
    <w:rsid w:val="00A469C8"/>
    <w:rsid w:val="00A527B4"/>
    <w:rsid w:val="00A5424E"/>
    <w:rsid w:val="00A54C67"/>
    <w:rsid w:val="00A56D87"/>
    <w:rsid w:val="00A570BF"/>
    <w:rsid w:val="00A62D34"/>
    <w:rsid w:val="00A65AA7"/>
    <w:rsid w:val="00A665B4"/>
    <w:rsid w:val="00A67B27"/>
    <w:rsid w:val="00A70C6A"/>
    <w:rsid w:val="00A74FBA"/>
    <w:rsid w:val="00A771A9"/>
    <w:rsid w:val="00A7763E"/>
    <w:rsid w:val="00A77773"/>
    <w:rsid w:val="00A77A1A"/>
    <w:rsid w:val="00A77D98"/>
    <w:rsid w:val="00A8272E"/>
    <w:rsid w:val="00A829EC"/>
    <w:rsid w:val="00A83EEA"/>
    <w:rsid w:val="00A8438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1F4"/>
    <w:rsid w:val="00AC0E50"/>
    <w:rsid w:val="00AC1B19"/>
    <w:rsid w:val="00AC2DE6"/>
    <w:rsid w:val="00AD0CAE"/>
    <w:rsid w:val="00AD1B03"/>
    <w:rsid w:val="00AD4A16"/>
    <w:rsid w:val="00AD6857"/>
    <w:rsid w:val="00AE2514"/>
    <w:rsid w:val="00AE2B73"/>
    <w:rsid w:val="00AE3445"/>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42CA"/>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2070"/>
    <w:rsid w:val="00B83E66"/>
    <w:rsid w:val="00B924F1"/>
    <w:rsid w:val="00B95E9E"/>
    <w:rsid w:val="00BA30F3"/>
    <w:rsid w:val="00BA38C6"/>
    <w:rsid w:val="00BA473F"/>
    <w:rsid w:val="00BA4AD9"/>
    <w:rsid w:val="00BA5AED"/>
    <w:rsid w:val="00BA5C10"/>
    <w:rsid w:val="00BB206F"/>
    <w:rsid w:val="00BB2BBA"/>
    <w:rsid w:val="00BB38FB"/>
    <w:rsid w:val="00BB79B1"/>
    <w:rsid w:val="00BC0AFF"/>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27487"/>
    <w:rsid w:val="00C3334D"/>
    <w:rsid w:val="00C33915"/>
    <w:rsid w:val="00C33E83"/>
    <w:rsid w:val="00C34970"/>
    <w:rsid w:val="00C419B9"/>
    <w:rsid w:val="00C44985"/>
    <w:rsid w:val="00C47F60"/>
    <w:rsid w:val="00C53E29"/>
    <w:rsid w:val="00C545E4"/>
    <w:rsid w:val="00C61489"/>
    <w:rsid w:val="00C62906"/>
    <w:rsid w:val="00C6407E"/>
    <w:rsid w:val="00C6609A"/>
    <w:rsid w:val="00C676D1"/>
    <w:rsid w:val="00C71BD0"/>
    <w:rsid w:val="00C72BF5"/>
    <w:rsid w:val="00C72F26"/>
    <w:rsid w:val="00C769ED"/>
    <w:rsid w:val="00C80E17"/>
    <w:rsid w:val="00C824D9"/>
    <w:rsid w:val="00C82BEE"/>
    <w:rsid w:val="00C853F3"/>
    <w:rsid w:val="00C87EFC"/>
    <w:rsid w:val="00C90063"/>
    <w:rsid w:val="00C921D0"/>
    <w:rsid w:val="00C9313D"/>
    <w:rsid w:val="00C93B4C"/>
    <w:rsid w:val="00C95DBF"/>
    <w:rsid w:val="00C96C13"/>
    <w:rsid w:val="00CA0362"/>
    <w:rsid w:val="00CA19EE"/>
    <w:rsid w:val="00CA35B3"/>
    <w:rsid w:val="00CA3BF0"/>
    <w:rsid w:val="00CA52CA"/>
    <w:rsid w:val="00CA575A"/>
    <w:rsid w:val="00CB0990"/>
    <w:rsid w:val="00CB26E9"/>
    <w:rsid w:val="00CB3654"/>
    <w:rsid w:val="00CB4624"/>
    <w:rsid w:val="00CC0372"/>
    <w:rsid w:val="00CC568F"/>
    <w:rsid w:val="00CC5B04"/>
    <w:rsid w:val="00CC7FAE"/>
    <w:rsid w:val="00CD18BD"/>
    <w:rsid w:val="00CD1FFA"/>
    <w:rsid w:val="00CD29A7"/>
    <w:rsid w:val="00CD3477"/>
    <w:rsid w:val="00CD354D"/>
    <w:rsid w:val="00CD6AD6"/>
    <w:rsid w:val="00CE1769"/>
    <w:rsid w:val="00CE2172"/>
    <w:rsid w:val="00CE41AF"/>
    <w:rsid w:val="00CE4FEB"/>
    <w:rsid w:val="00CE7870"/>
    <w:rsid w:val="00CE798A"/>
    <w:rsid w:val="00CF0AF4"/>
    <w:rsid w:val="00CF58D5"/>
    <w:rsid w:val="00CF6FC8"/>
    <w:rsid w:val="00D000C3"/>
    <w:rsid w:val="00D005EE"/>
    <w:rsid w:val="00D00603"/>
    <w:rsid w:val="00D049BD"/>
    <w:rsid w:val="00D11F9C"/>
    <w:rsid w:val="00D132A7"/>
    <w:rsid w:val="00D1561F"/>
    <w:rsid w:val="00D161DF"/>
    <w:rsid w:val="00D16234"/>
    <w:rsid w:val="00D16500"/>
    <w:rsid w:val="00D16977"/>
    <w:rsid w:val="00D20FA4"/>
    <w:rsid w:val="00D211B6"/>
    <w:rsid w:val="00D218FE"/>
    <w:rsid w:val="00D228D8"/>
    <w:rsid w:val="00D23784"/>
    <w:rsid w:val="00D23B9E"/>
    <w:rsid w:val="00D30FB9"/>
    <w:rsid w:val="00D316F5"/>
    <w:rsid w:val="00D31BC9"/>
    <w:rsid w:val="00D32986"/>
    <w:rsid w:val="00D34D42"/>
    <w:rsid w:val="00D35C8B"/>
    <w:rsid w:val="00D414EC"/>
    <w:rsid w:val="00D42228"/>
    <w:rsid w:val="00D42481"/>
    <w:rsid w:val="00D4289F"/>
    <w:rsid w:val="00D42F35"/>
    <w:rsid w:val="00D4332E"/>
    <w:rsid w:val="00D5185A"/>
    <w:rsid w:val="00D524CE"/>
    <w:rsid w:val="00D52A42"/>
    <w:rsid w:val="00D53E6F"/>
    <w:rsid w:val="00D54409"/>
    <w:rsid w:val="00D55E14"/>
    <w:rsid w:val="00D600F8"/>
    <w:rsid w:val="00D61991"/>
    <w:rsid w:val="00D63EAA"/>
    <w:rsid w:val="00D6530C"/>
    <w:rsid w:val="00D65699"/>
    <w:rsid w:val="00D65CB9"/>
    <w:rsid w:val="00D6680F"/>
    <w:rsid w:val="00D7170B"/>
    <w:rsid w:val="00D73931"/>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A3282"/>
    <w:rsid w:val="00DA757B"/>
    <w:rsid w:val="00DB004C"/>
    <w:rsid w:val="00DB1DA9"/>
    <w:rsid w:val="00DB5AE5"/>
    <w:rsid w:val="00DB799E"/>
    <w:rsid w:val="00DC2F3E"/>
    <w:rsid w:val="00DC3742"/>
    <w:rsid w:val="00DC5458"/>
    <w:rsid w:val="00DC61BD"/>
    <w:rsid w:val="00DC742C"/>
    <w:rsid w:val="00DC75DA"/>
    <w:rsid w:val="00DD13F4"/>
    <w:rsid w:val="00DD16CE"/>
    <w:rsid w:val="00DD4B4F"/>
    <w:rsid w:val="00DD54B4"/>
    <w:rsid w:val="00DD7B0F"/>
    <w:rsid w:val="00DE3971"/>
    <w:rsid w:val="00DE3D22"/>
    <w:rsid w:val="00DE49BE"/>
    <w:rsid w:val="00DE5C58"/>
    <w:rsid w:val="00DF017C"/>
    <w:rsid w:val="00DF14A4"/>
    <w:rsid w:val="00DF336C"/>
    <w:rsid w:val="00DF3BEF"/>
    <w:rsid w:val="00DF76D8"/>
    <w:rsid w:val="00E01C02"/>
    <w:rsid w:val="00E03314"/>
    <w:rsid w:val="00E065F0"/>
    <w:rsid w:val="00E07079"/>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24C6"/>
    <w:rsid w:val="00E35E27"/>
    <w:rsid w:val="00E36B0C"/>
    <w:rsid w:val="00E42DD4"/>
    <w:rsid w:val="00E4342B"/>
    <w:rsid w:val="00E44A28"/>
    <w:rsid w:val="00E52698"/>
    <w:rsid w:val="00E536F5"/>
    <w:rsid w:val="00E55138"/>
    <w:rsid w:val="00E6756A"/>
    <w:rsid w:val="00E71982"/>
    <w:rsid w:val="00E81280"/>
    <w:rsid w:val="00E81628"/>
    <w:rsid w:val="00E84BFF"/>
    <w:rsid w:val="00E84D03"/>
    <w:rsid w:val="00E87FD4"/>
    <w:rsid w:val="00E91403"/>
    <w:rsid w:val="00E9496D"/>
    <w:rsid w:val="00E95A1B"/>
    <w:rsid w:val="00E9641F"/>
    <w:rsid w:val="00E97D6F"/>
    <w:rsid w:val="00EA03C6"/>
    <w:rsid w:val="00EA083C"/>
    <w:rsid w:val="00EA08F0"/>
    <w:rsid w:val="00EA1F34"/>
    <w:rsid w:val="00EA229E"/>
    <w:rsid w:val="00EA2A12"/>
    <w:rsid w:val="00EA32A6"/>
    <w:rsid w:val="00EA3ACE"/>
    <w:rsid w:val="00EA3F04"/>
    <w:rsid w:val="00EA6701"/>
    <w:rsid w:val="00EB1FC4"/>
    <w:rsid w:val="00EB20D7"/>
    <w:rsid w:val="00EB4C97"/>
    <w:rsid w:val="00EB6B97"/>
    <w:rsid w:val="00EB6DDF"/>
    <w:rsid w:val="00EB7646"/>
    <w:rsid w:val="00EB7AF6"/>
    <w:rsid w:val="00EC009B"/>
    <w:rsid w:val="00EC088B"/>
    <w:rsid w:val="00EC18EC"/>
    <w:rsid w:val="00EC2975"/>
    <w:rsid w:val="00EC35F2"/>
    <w:rsid w:val="00EC692E"/>
    <w:rsid w:val="00EC76C8"/>
    <w:rsid w:val="00ED143C"/>
    <w:rsid w:val="00ED1EB0"/>
    <w:rsid w:val="00ED3B70"/>
    <w:rsid w:val="00ED60E5"/>
    <w:rsid w:val="00ED7117"/>
    <w:rsid w:val="00EE382E"/>
    <w:rsid w:val="00EF1E9C"/>
    <w:rsid w:val="00EF35BE"/>
    <w:rsid w:val="00EF4A1D"/>
    <w:rsid w:val="00EF4C28"/>
    <w:rsid w:val="00EF7720"/>
    <w:rsid w:val="00F02346"/>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77750"/>
    <w:rsid w:val="00F80615"/>
    <w:rsid w:val="00F806E7"/>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13EF"/>
    <w:rsid w:val="00FD4D16"/>
    <w:rsid w:val="00FE3D6A"/>
    <w:rsid w:val="00FF18B7"/>
    <w:rsid w:val="00FF4EA2"/>
    <w:rsid w:val="00FF6446"/>
    <w:rsid w:val="00FF7C88"/>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
    <w:basedOn w:val="Normal"/>
    <w:next w:val="Normal"/>
    <w:link w:val="CaptionChar"/>
    <w:autoRedefine/>
    <w:unhideWhenUsed/>
    <w:qFormat/>
    <w:rsid w:val="00596226"/>
    <w:pPr>
      <w:keepNext/>
      <w:tabs>
        <w:tab w:val="left" w:pos="10080"/>
      </w:tabs>
      <w:spacing w:after="120" w:afterAutospacing="0" w:line="240" w:lineRule="auto"/>
    </w:pPr>
    <w:rPr>
      <w:rFonts w:eastAsia="Times New Roman" w:cs="Times New Roman"/>
      <w:szCs w:val="24"/>
      <w:lang w:val="es-ES"/>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596226"/>
    <w:rPr>
      <w:rFonts w:ascii="Times New Roman" w:eastAsia="Times New Roman" w:hAnsi="Times New Roman" w:cs="Times New Roman"/>
      <w:sz w:val="24"/>
      <w:szCs w:val="24"/>
      <w:lang w:val="es-ES"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3.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39</Pages>
  <Words>13353</Words>
  <Characters>76117</Characters>
  <Application>Microsoft Office Word</Application>
  <DocSecurity>0</DocSecurity>
  <Lines>634</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181</cp:revision>
  <dcterms:created xsi:type="dcterms:W3CDTF">2025-10-10T20:25:00Z</dcterms:created>
  <dcterms:modified xsi:type="dcterms:W3CDTF">2025-10-28T15:42:00Z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