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A510" w14:textId="58A5ED92" w:rsidR="0005411A" w:rsidRPr="009461CC" w:rsidRDefault="00E91403" w:rsidP="00042B91">
      <w:pPr>
        <w:pStyle w:val="BodyText3"/>
        <w:spacing w:after="0" w:afterAutospacing="0"/>
      </w:pPr>
      <w:r>
        <w:rPr>
          <w:bCs/>
          <w:noProof/>
          <w:lang w:val="bg"/>
        </w:rPr>
        <mc:AlternateContent>
          <mc:Choice Requires="wps">
            <w:drawing>
              <wp:anchor distT="0" distB="0" distL="114300" distR="114300" simplePos="0" relativeHeight="251659264" behindDoc="0" locked="0" layoutInCell="1" allowOverlap="1" wp14:anchorId="6FC0C8B7" wp14:editId="0F04C0A1">
                <wp:simplePos x="0" y="0"/>
                <wp:positionH relativeFrom="column">
                  <wp:posOffset>-186916</wp:posOffset>
                </wp:positionH>
                <wp:positionV relativeFrom="paragraph">
                  <wp:posOffset>67995</wp:posOffset>
                </wp:positionV>
                <wp:extent cx="6448425" cy="1338970"/>
                <wp:effectExtent l="19050" t="19050" r="47625" b="330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338970"/>
                        </a:xfrm>
                        <a:prstGeom prst="rect">
                          <a:avLst/>
                        </a:prstGeom>
                        <a:solidFill>
                          <a:srgbClr val="FFFFFF"/>
                        </a:solidFill>
                        <a:ln w="57150" cmpd="thinThick">
                          <a:solidFill>
                            <a:srgbClr val="000000"/>
                          </a:solidFill>
                          <a:miter lim="800000"/>
                          <a:headEnd/>
                          <a:tailEnd/>
                        </a:ln>
                      </wps:spPr>
                      <wps:txbx>
                        <w:txbxContent>
                          <w:p w14:paraId="488C1F47" w14:textId="5F6038CD" w:rsidR="0005411A" w:rsidRPr="00E91403" w:rsidRDefault="006F0810" w:rsidP="006D00F2">
                            <w:pPr>
                              <w:pStyle w:val="Heading7"/>
                              <w:spacing w:after="0" w:afterAutospacing="0"/>
                              <w:rPr>
                                <w:sz w:val="32"/>
                                <w:szCs w:val="32"/>
                              </w:rPr>
                            </w:pPr>
                            <w:r>
                              <w:rPr>
                                <w:bCs/>
                                <w:sz w:val="32"/>
                                <w:szCs w:val="32"/>
                                <w:lang w:val="bg"/>
                              </w:rPr>
                              <w:t>ОБОБЩЕНИЕ НА БЕЗОПАСНОСТТА И КЛИНИЧНИТЕ ПОКАЗАТЕЛИ (</w:t>
                            </w:r>
                            <w:r w:rsidR="00780CD1">
                              <w:rPr>
                                <w:bCs/>
                                <w:sz w:val="32"/>
                                <w:szCs w:val="32"/>
                                <w:lang w:val="en-US"/>
                              </w:rPr>
                              <w:t>SSCP</w:t>
                            </w:r>
                            <w:r>
                              <w:rPr>
                                <w:bCs/>
                                <w:sz w:val="32"/>
                                <w:szCs w:val="32"/>
                                <w:lang w:val="bg"/>
                              </w:rPr>
                              <w:t>)</w:t>
                            </w:r>
                          </w:p>
                          <w:p w14:paraId="0E1996B2" w14:textId="77777777" w:rsidR="005D4A52" w:rsidRDefault="005D4A52" w:rsidP="006D00F2">
                            <w:pPr>
                              <w:pStyle w:val="Heading7"/>
                              <w:spacing w:after="0" w:afterAutospacing="0"/>
                              <w:rPr>
                                <w:sz w:val="32"/>
                                <w:szCs w:val="32"/>
                              </w:rPr>
                            </w:pPr>
                            <w:r>
                              <w:rPr>
                                <w:bCs/>
                                <w:sz w:val="32"/>
                                <w:szCs w:val="32"/>
                                <w:lang w:val="bg"/>
                              </w:rPr>
                              <w:t>SSCP-0006</w:t>
                            </w:r>
                          </w:p>
                          <w:p w14:paraId="06B6F153" w14:textId="274B9BEA" w:rsidR="005D4A52" w:rsidRDefault="00F1569C" w:rsidP="006D00F2">
                            <w:pPr>
                              <w:pStyle w:val="Heading7"/>
                              <w:spacing w:after="0" w:afterAutospacing="0"/>
                              <w:rPr>
                                <w:sz w:val="32"/>
                                <w:szCs w:val="32"/>
                              </w:rPr>
                            </w:pPr>
                            <w:r>
                              <w:rPr>
                                <w:bCs/>
                                <w:sz w:val="32"/>
                                <w:szCs w:val="32"/>
                                <w:lang w:val="bg"/>
                              </w:rPr>
                              <w:t>Комплект съдова примка Atrieve™ Snare</w:t>
                            </w:r>
                          </w:p>
                          <w:p w14:paraId="3354BBA5" w14:textId="08AF297F" w:rsidR="005D4A52" w:rsidRPr="005B469C" w:rsidRDefault="005D4A52" w:rsidP="006D00F2">
                            <w:pPr>
                              <w:spacing w:after="0" w:afterAutospacing="0"/>
                              <w:jc w:val="center"/>
                              <w:rPr>
                                <w:b/>
                                <w:bCs/>
                                <w:sz w:val="32"/>
                                <w:szCs w:val="32"/>
                              </w:rPr>
                            </w:pPr>
                            <w:r>
                              <w:rPr>
                                <w:b/>
                                <w:bCs/>
                                <w:sz w:val="32"/>
                                <w:szCs w:val="32"/>
                                <w:lang w:val="bg"/>
                              </w:rPr>
                              <w:t>DHF-82248</w:t>
                            </w:r>
                          </w:p>
                          <w:p w14:paraId="3CF39942" w14:textId="77777777" w:rsidR="0005411A" w:rsidRPr="00267292" w:rsidRDefault="0005411A" w:rsidP="009855C3"/>
                          <w:p w14:paraId="684B57C2" w14:textId="77777777" w:rsidR="0005411A" w:rsidRPr="00267292" w:rsidRDefault="0005411A" w:rsidP="009855C3">
                            <w:r>
                              <w:rPr>
                                <w:lang w:val="bg"/>
                              </w:rPr>
                              <w:t>[ДАТА]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4.7pt;margin-top:5.35pt;width:507.75pt;height:10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" strokeweight="4.5pt">
                <v:stroke linestyle="thinThick"/>
                <v:textbox>
                  <w:txbxContent>
                    <w:p w14:paraId="488C1F47" w14:textId="5F6038CD" w:rsidR="0005411A" w:rsidRPr="00E91403" w:rsidRDefault="006F0810" w:rsidP="006D00F2">
                      <w:pPr>
                        <w:pStyle w:val="Heading7"/>
                        <w:spacing w:after="0" w:afterAutospacing="0"/>
                        <w:rPr>
                          <w:sz w:val="32"/>
                          <w:szCs w:val="32"/>
                        </w:rPr>
                      </w:pPr>
                      <w:r>
                        <w:rPr>
                          <w:bCs/>
                          <w:sz w:val="32"/>
                          <w:szCs w:val="32"/>
                          <w:lang w:val="bg"/>
                        </w:rPr>
                        <w:t>ОБОБЩЕНИЕ НА БЕЗОПАСНОСТТА И КЛИНИЧНИТЕ ПОКАЗАТЕЛИ (</w:t>
                      </w:r>
                      <w:r w:rsidR="00780CD1">
                        <w:rPr>
                          <w:bCs/>
                          <w:sz w:val="32"/>
                          <w:szCs w:val="32"/>
                          <w:lang w:val="en-US"/>
                        </w:rPr>
                        <w:t>SSCP</w:t>
                      </w:r>
                      <w:r>
                        <w:rPr>
                          <w:bCs/>
                          <w:sz w:val="32"/>
                          <w:szCs w:val="32"/>
                          <w:lang w:val="bg"/>
                        </w:rPr>
                        <w:t>)</w:t>
                      </w:r>
                    </w:p>
                    <w:p w14:paraId="0E1996B2" w14:textId="77777777" w:rsidR="005D4A52" w:rsidRDefault="005D4A52" w:rsidP="006D00F2">
                      <w:pPr>
                        <w:pStyle w:val="Heading7"/>
                        <w:spacing w:after="0" w:afterAutospacing="0"/>
                        <w:rPr>
                          <w:sz w:val="32"/>
                          <w:szCs w:val="32"/>
                        </w:rPr>
                      </w:pPr>
                      <w:r>
                        <w:rPr>
                          <w:bCs/>
                          <w:sz w:val="32"/>
                          <w:szCs w:val="32"/>
                          <w:lang w:val="bg"/>
                        </w:rPr>
                        <w:t>SSCP-0006</w:t>
                      </w:r>
                    </w:p>
                    <w:p w14:paraId="06B6F153" w14:textId="274B9BEA" w:rsidR="005D4A52" w:rsidRDefault="00F1569C" w:rsidP="006D00F2">
                      <w:pPr>
                        <w:pStyle w:val="Heading7"/>
                        <w:spacing w:after="0" w:afterAutospacing="0"/>
                        <w:rPr>
                          <w:sz w:val="32"/>
                          <w:szCs w:val="32"/>
                        </w:rPr>
                      </w:pPr>
                      <w:r>
                        <w:rPr>
                          <w:bCs/>
                          <w:sz w:val="32"/>
                          <w:szCs w:val="32"/>
                          <w:lang w:val="bg"/>
                        </w:rPr>
                        <w:t>Комплект съдова примка Atrieve™ Snare</w:t>
                      </w:r>
                    </w:p>
                    <w:p w14:paraId="3354BBA5" w14:textId="08AF297F" w:rsidR="005D4A52" w:rsidRPr="005B469C" w:rsidRDefault="005D4A52" w:rsidP="006D00F2">
                      <w:pPr>
                        <w:spacing w:after="0" w:afterAutospacing="0"/>
                        <w:jc w:val="center"/>
                        <w:rPr>
                          <w:b/>
                          <w:bCs/>
                          <w:sz w:val="32"/>
                          <w:szCs w:val="32"/>
                        </w:rPr>
                      </w:pPr>
                      <w:r>
                        <w:rPr>
                          <w:b/>
                          <w:bCs/>
                          <w:sz w:val="32"/>
                          <w:szCs w:val="32"/>
                          <w:lang w:val="bg"/>
                        </w:rPr>
                        <w:t>DHF-82248</w:t>
                      </w:r>
                    </w:p>
                    <w:p w14:paraId="3CF39942" w14:textId="77777777" w:rsidR="0005411A" w:rsidRPr="00267292" w:rsidRDefault="0005411A" w:rsidP="009855C3"/>
                    <w:p w14:paraId="684B57C2" w14:textId="77777777" w:rsidR="0005411A" w:rsidRPr="00267292" w:rsidRDefault="0005411A" w:rsidP="009855C3">
                      <w:r>
                        <w:rPr>
                          <w:lang w:val="bg"/>
                        </w:rPr>
                        <w:t>[ДАТА]</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bg"/>
        </w:rPr>
        <w:t>За публикуване в Eudamed</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41"/>
        <w:gridCol w:w="1503"/>
        <w:gridCol w:w="7105"/>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bg"/>
              </w:rPr>
              <w:t>РОЛЯ</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bg"/>
              </w:rPr>
              <w:t>ОТДЕЛ</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bg"/>
              </w:rPr>
              <w:t>ИМЕ/ДЛЪЖНОСТ</w:t>
            </w:r>
          </w:p>
        </w:tc>
      </w:tr>
      <w:tr w:rsidR="006E0847" w:rsidRPr="003D747D"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bg"/>
              </w:rPr>
              <w:t>Изготвено от</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bg"/>
              </w:rPr>
              <w:t>Регулаторни въпроси</w:t>
            </w:r>
          </w:p>
        </w:tc>
        <w:tc>
          <w:tcPr>
            <w:tcW w:w="7519" w:type="dxa"/>
            <w:tcBorders>
              <w:top w:val="double" w:sz="4" w:space="0" w:color="auto"/>
            </w:tcBorders>
          </w:tcPr>
          <w:p w14:paraId="360D10DB" w14:textId="47A40653" w:rsidR="006E0847" w:rsidRPr="00213810" w:rsidRDefault="00253F87" w:rsidP="006E0847">
            <w:pPr>
              <w:spacing w:after="0" w:afterAutospacing="0"/>
              <w:jc w:val="center"/>
              <w:rPr>
                <w:rFonts w:cs="Times New Roman"/>
                <w:szCs w:val="24"/>
              </w:rPr>
            </w:pPr>
            <w:r>
              <w:rPr>
                <w:rFonts w:cs="Times New Roman"/>
                <w:szCs w:val="24"/>
              </w:rPr>
              <w:t>Nadira Lotus (</w:t>
            </w:r>
            <w:r w:rsidR="006E0847">
              <w:rPr>
                <w:rFonts w:cs="Times New Roman"/>
                <w:szCs w:val="24"/>
                <w:lang w:val="bg"/>
              </w:rPr>
              <w:t>Надира Лотус</w:t>
            </w:r>
            <w:r>
              <w:rPr>
                <w:rFonts w:cs="Times New Roman"/>
                <w:szCs w:val="24"/>
              </w:rPr>
              <w:t>)</w:t>
            </w:r>
          </w:p>
          <w:p w14:paraId="7BA00BEF" w14:textId="2E4C5FAD" w:rsidR="006E0847" w:rsidRPr="003D747D" w:rsidRDefault="006E0847" w:rsidP="006E0847">
            <w:pPr>
              <w:jc w:val="center"/>
              <w:rPr>
                <w:rFonts w:cs="Times New Roman"/>
                <w:szCs w:val="24"/>
                <w:lang w:val="ru-RU"/>
              </w:rPr>
            </w:pPr>
            <w:r>
              <w:rPr>
                <w:rFonts w:cs="Times New Roman"/>
                <w:szCs w:val="24"/>
                <w:lang w:val="bg"/>
              </w:rPr>
              <w:t>Мениджър, Надзор след пускане на пазара</w:t>
            </w:r>
          </w:p>
        </w:tc>
      </w:tr>
    </w:tbl>
    <w:p w14:paraId="45EA3393" w14:textId="77777777" w:rsidR="00E91403" w:rsidRPr="003D747D" w:rsidRDefault="00E91403" w:rsidP="00E91403">
      <w:pPr>
        <w:jc w:val="center"/>
        <w:rPr>
          <w:rFonts w:cs="Times New Roman"/>
          <w:b/>
          <w:lang w:val="ru-RU"/>
        </w:rPr>
      </w:pPr>
    </w:p>
    <w:p w14:paraId="3ADE6C89" w14:textId="0496458B" w:rsidR="00E91403" w:rsidRPr="003D747D" w:rsidRDefault="00E91403" w:rsidP="00E91403">
      <w:pPr>
        <w:tabs>
          <w:tab w:val="center" w:pos="5220"/>
          <w:tab w:val="right" w:pos="10440"/>
        </w:tabs>
        <w:rPr>
          <w:rFonts w:cs="Times New Roman"/>
          <w:b/>
          <w:lang w:val="ru-RU"/>
        </w:rPr>
      </w:pPr>
      <w:r>
        <w:rPr>
          <w:rFonts w:cs="Times New Roman"/>
          <w:lang w:val="bg"/>
        </w:rPr>
        <w:tab/>
      </w:r>
      <w:r>
        <w:rPr>
          <w:rFonts w:cs="Times New Roman"/>
          <w:b/>
          <w:bCs/>
          <w:lang w:val="bg"/>
        </w:rPr>
        <w:t>Таблица за подписи за одобрение</w:t>
      </w:r>
      <w:r>
        <w:rPr>
          <w:rFonts w:cs="Times New Roman"/>
          <w:lang w:val="bg"/>
        </w:rPr>
        <w:tab/>
      </w:r>
    </w:p>
    <w:p w14:paraId="01F684E3" w14:textId="77777777" w:rsidR="00E91403" w:rsidRPr="003D747D" w:rsidRDefault="00E91403" w:rsidP="00E91403">
      <w:pPr>
        <w:spacing w:after="60"/>
        <w:ind w:right="274"/>
        <w:rPr>
          <w:rFonts w:cs="Times New Roman"/>
          <w:sz w:val="20"/>
          <w:szCs w:val="20"/>
          <w:lang w:val="ru-RU"/>
        </w:rPr>
      </w:pPr>
      <w:r>
        <w:rPr>
          <w:rFonts w:cs="Times New Roman"/>
          <w:sz w:val="20"/>
          <w:szCs w:val="20"/>
          <w:lang w:val="bg"/>
        </w:rPr>
        <w:t>Този документ трябва да бъде прегледан и одобрен от всички лица, изброени по-долу, или от техни упълномощени представители.</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88"/>
        <w:gridCol w:w="1528"/>
        <w:gridCol w:w="7033"/>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bg"/>
              </w:rPr>
              <w:t>РОЛЯ</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bg"/>
              </w:rPr>
              <w:t>ОТДЕЛ</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bg"/>
              </w:rPr>
              <w:t>ИМЕ/ДЛЪЖНОСТ</w:t>
            </w:r>
          </w:p>
        </w:tc>
      </w:tr>
      <w:tr w:rsidR="00386F47" w:rsidRPr="003D747D"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bg"/>
              </w:rPr>
              <w:t>Одобрение</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bg"/>
              </w:rPr>
              <w:t>Клинични въпроси</w:t>
            </w:r>
          </w:p>
        </w:tc>
        <w:tc>
          <w:tcPr>
            <w:tcW w:w="7519" w:type="dxa"/>
            <w:vAlign w:val="center"/>
          </w:tcPr>
          <w:p w14:paraId="613876EC" w14:textId="19E72E23" w:rsidR="00386F47" w:rsidRPr="00213810" w:rsidRDefault="00253F87" w:rsidP="00386F47">
            <w:pPr>
              <w:spacing w:after="0" w:afterAutospacing="0"/>
              <w:jc w:val="center"/>
              <w:rPr>
                <w:rFonts w:cs="Times New Roman"/>
                <w:szCs w:val="24"/>
              </w:rPr>
            </w:pPr>
            <w:r>
              <w:rPr>
                <w:rFonts w:cs="Times New Roman"/>
                <w:szCs w:val="24"/>
              </w:rPr>
              <w:t>Danyel Carr (</w:t>
            </w:r>
            <w:r w:rsidR="00386F47">
              <w:rPr>
                <w:rFonts w:cs="Times New Roman"/>
                <w:szCs w:val="24"/>
                <w:lang w:val="bg"/>
              </w:rPr>
              <w:t>Даниел Кар</w:t>
            </w:r>
            <w:r>
              <w:rPr>
                <w:rFonts w:cs="Times New Roman"/>
                <w:szCs w:val="24"/>
              </w:rPr>
              <w:t>)</w:t>
            </w:r>
          </w:p>
          <w:p w14:paraId="172E4813" w14:textId="2E4F9175" w:rsidR="00386F47" w:rsidRPr="003D747D" w:rsidRDefault="00E03D31" w:rsidP="00386F47">
            <w:pPr>
              <w:jc w:val="center"/>
              <w:rPr>
                <w:rFonts w:cs="Times New Roman"/>
                <w:szCs w:val="24"/>
                <w:lang w:val="ru-RU"/>
              </w:rPr>
            </w:pPr>
            <w:r>
              <w:rPr>
                <w:rFonts w:cs="Times New Roman"/>
                <w:szCs w:val="24"/>
                <w:lang w:val="bg"/>
              </w:rPr>
              <w:t>Старши директор, Клинични въпроси</w:t>
            </w:r>
          </w:p>
        </w:tc>
      </w:tr>
      <w:tr w:rsidR="00386F47" w:rsidRPr="003D747D"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bg"/>
              </w:rPr>
              <w:t>Одобрение</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bg"/>
              </w:rPr>
              <w:t xml:space="preserve">Осигуряване на качеството </w:t>
            </w:r>
          </w:p>
        </w:tc>
        <w:tc>
          <w:tcPr>
            <w:tcW w:w="7519" w:type="dxa"/>
            <w:vAlign w:val="center"/>
          </w:tcPr>
          <w:p w14:paraId="3D954801" w14:textId="16DDC9F5" w:rsidR="00F07DD1" w:rsidRPr="00213810" w:rsidRDefault="00253F87" w:rsidP="004065D7">
            <w:pPr>
              <w:spacing w:after="0" w:afterAutospacing="0"/>
              <w:jc w:val="center"/>
              <w:rPr>
                <w:rFonts w:cs="Times New Roman"/>
                <w:szCs w:val="24"/>
              </w:rPr>
            </w:pPr>
            <w:r>
              <w:rPr>
                <w:rFonts w:cs="Times New Roman"/>
                <w:szCs w:val="24"/>
              </w:rPr>
              <w:t>James Stephens (</w:t>
            </w:r>
            <w:r w:rsidR="00F07DD1">
              <w:rPr>
                <w:rFonts w:cs="Times New Roman"/>
                <w:szCs w:val="24"/>
                <w:lang w:val="bg"/>
              </w:rPr>
              <w:t>Джеймс Стивънс</w:t>
            </w:r>
            <w:r>
              <w:rPr>
                <w:rFonts w:cs="Times New Roman"/>
                <w:szCs w:val="24"/>
              </w:rPr>
              <w:t>)</w:t>
            </w:r>
            <w:r w:rsidR="00F07DD1">
              <w:rPr>
                <w:rFonts w:cs="Times New Roman"/>
                <w:szCs w:val="24"/>
                <w:lang w:val="bg"/>
              </w:rPr>
              <w:t xml:space="preserve"> </w:t>
            </w:r>
          </w:p>
          <w:p w14:paraId="1EA24645" w14:textId="5BC698A1" w:rsidR="00386F47" w:rsidRPr="003D747D" w:rsidRDefault="00547353" w:rsidP="004065D7">
            <w:pPr>
              <w:spacing w:after="0" w:afterAutospacing="0"/>
              <w:jc w:val="center"/>
              <w:rPr>
                <w:rFonts w:cs="Times New Roman"/>
                <w:szCs w:val="24"/>
                <w:lang w:val="ru-RU"/>
              </w:rPr>
            </w:pPr>
            <w:r>
              <w:rPr>
                <w:rFonts w:cs="Times New Roman"/>
                <w:szCs w:val="24"/>
                <w:lang w:val="bg"/>
              </w:rPr>
              <w:t>Старши директор, Операции по осигуряване на качеството</w:t>
            </w:r>
          </w:p>
        </w:tc>
      </w:tr>
      <w:tr w:rsidR="00386F47" w:rsidRPr="003D747D"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bg"/>
              </w:rPr>
              <w:t>Одобрение</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bg"/>
              </w:rPr>
              <w:t xml:space="preserve">Регулаторни въпроси </w:t>
            </w:r>
          </w:p>
        </w:tc>
        <w:tc>
          <w:tcPr>
            <w:tcW w:w="7519" w:type="dxa"/>
            <w:vAlign w:val="center"/>
          </w:tcPr>
          <w:p w14:paraId="7676555E" w14:textId="4947B64F" w:rsidR="00386F47" w:rsidRPr="00213810" w:rsidRDefault="00253F87" w:rsidP="00386F47">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rPr>
              <w:t>Scott Bishops (</w:t>
            </w:r>
            <w:r w:rsidR="00386F47">
              <w:rPr>
                <w:rFonts w:eastAsia="Times New Roman" w:cs="Times New Roman"/>
                <w:color w:val="000000" w:themeColor="text1"/>
                <w:szCs w:val="24"/>
                <w:lang w:val="bg"/>
              </w:rPr>
              <w:t>Скот Бишоп</w:t>
            </w:r>
            <w:r>
              <w:rPr>
                <w:rFonts w:eastAsia="Times New Roman" w:cs="Times New Roman"/>
                <w:color w:val="000000" w:themeColor="text1"/>
                <w:szCs w:val="24"/>
              </w:rPr>
              <w:t>)</w:t>
            </w:r>
          </w:p>
          <w:p w14:paraId="39BF7685" w14:textId="4DD9DE97" w:rsidR="00386F47" w:rsidRPr="003D747D" w:rsidRDefault="00E950A1" w:rsidP="00386F47">
            <w:pPr>
              <w:jc w:val="center"/>
              <w:rPr>
                <w:rFonts w:cs="Times New Roman"/>
                <w:szCs w:val="24"/>
                <w:lang w:val="ru-RU"/>
              </w:rPr>
            </w:pPr>
            <w:r>
              <w:rPr>
                <w:rFonts w:eastAsia="Times New Roman" w:cs="Times New Roman"/>
                <w:color w:val="000000" w:themeColor="text1"/>
                <w:szCs w:val="24"/>
                <w:lang w:val="bg"/>
              </w:rPr>
              <w:t>Вицепрезидент, Глобални регулаторни въпроси и осигуряване на качеството</w:t>
            </w:r>
          </w:p>
        </w:tc>
      </w:tr>
    </w:tbl>
    <w:p w14:paraId="51DA0A01" w14:textId="5402C604" w:rsidR="00E91403" w:rsidRPr="009461CC" w:rsidRDefault="00E91403" w:rsidP="00E91403">
      <w:pPr>
        <w:jc w:val="center"/>
        <w:rPr>
          <w:rFonts w:cs="Times New Roman"/>
          <w:b/>
        </w:rPr>
      </w:pPr>
      <w:r>
        <w:rPr>
          <w:rFonts w:cs="Times New Roman"/>
          <w:b/>
          <w:bCs/>
          <w:lang w:val="bg"/>
        </w:rPr>
        <w:t>История на редакциите</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56"/>
        <w:gridCol w:w="1515"/>
        <w:gridCol w:w="1141"/>
        <w:gridCol w:w="4128"/>
        <w:gridCol w:w="1747"/>
      </w:tblGrid>
      <w:tr w:rsidR="00E91403" w:rsidRPr="009461CC" w14:paraId="38F29FD4" w14:textId="77777777" w:rsidTr="00740900">
        <w:tc>
          <w:tcPr>
            <w:tcW w:w="1214"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bg"/>
              </w:rPr>
              <w:t>Редакция</w:t>
            </w:r>
          </w:p>
        </w:tc>
        <w:tc>
          <w:tcPr>
            <w:tcW w:w="1128"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bg"/>
              </w:rPr>
              <w:t>Дата</w:t>
            </w:r>
          </w:p>
        </w:tc>
        <w:tc>
          <w:tcPr>
            <w:tcW w:w="115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bg"/>
              </w:rPr>
              <w:t>Раздели</w:t>
            </w:r>
          </w:p>
        </w:tc>
        <w:tc>
          <w:tcPr>
            <w:tcW w:w="449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bg"/>
              </w:rPr>
              <w:t>Описание на редакцията</w:t>
            </w:r>
          </w:p>
        </w:tc>
        <w:tc>
          <w:tcPr>
            <w:tcW w:w="1799" w:type="dxa"/>
            <w:tcBorders>
              <w:top w:val="single" w:sz="18" w:space="0" w:color="auto"/>
              <w:bottom w:val="double" w:sz="4" w:space="0" w:color="auto"/>
            </w:tcBorders>
            <w:shd w:val="clear" w:color="auto" w:fill="E0E0E0"/>
          </w:tcPr>
          <w:p w14:paraId="332F4EE6" w14:textId="77777777" w:rsidR="00E91403" w:rsidRPr="009461CC" w:rsidRDefault="00E91403" w:rsidP="00842611">
            <w:pPr>
              <w:tabs>
                <w:tab w:val="left" w:pos="465"/>
              </w:tabs>
              <w:jc w:val="center"/>
              <w:rPr>
                <w:rFonts w:cs="Times New Roman"/>
                <w:b/>
                <w:szCs w:val="24"/>
              </w:rPr>
            </w:pPr>
            <w:r>
              <w:rPr>
                <w:rFonts w:cs="Times New Roman"/>
                <w:b/>
                <w:bCs/>
                <w:szCs w:val="24"/>
                <w:lang w:val="bg"/>
              </w:rPr>
              <w:t>№ на заявка за промяна</w:t>
            </w:r>
          </w:p>
        </w:tc>
      </w:tr>
      <w:tr w:rsidR="00740900" w:rsidRPr="009461CC" w14:paraId="47D66140" w14:textId="77777777" w:rsidTr="00740900">
        <w:tc>
          <w:tcPr>
            <w:tcW w:w="1214"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bg"/>
              </w:rPr>
              <w:t>A</w:t>
            </w:r>
          </w:p>
        </w:tc>
        <w:tc>
          <w:tcPr>
            <w:tcW w:w="1128"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bg"/>
              </w:rPr>
              <w:t>22.05.2022 г.</w:t>
            </w:r>
          </w:p>
        </w:tc>
        <w:tc>
          <w:tcPr>
            <w:tcW w:w="115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bg"/>
              </w:rPr>
              <w:t>Всички</w:t>
            </w:r>
          </w:p>
        </w:tc>
        <w:tc>
          <w:tcPr>
            <w:tcW w:w="4496" w:type="dxa"/>
            <w:tcBorders>
              <w:top w:val="double" w:sz="4" w:space="0" w:color="auto"/>
              <w:bottom w:val="single" w:sz="4" w:space="0" w:color="auto"/>
            </w:tcBorders>
          </w:tcPr>
          <w:p w14:paraId="3973A2E3" w14:textId="3D8B33BA" w:rsidR="00740900" w:rsidRPr="003D747D" w:rsidRDefault="00740900" w:rsidP="00740900">
            <w:pPr>
              <w:rPr>
                <w:rFonts w:cs="Times New Roman"/>
                <w:szCs w:val="24"/>
                <w:lang w:val="ru-RU"/>
              </w:rPr>
            </w:pPr>
            <w:r>
              <w:rPr>
                <w:rFonts w:cs="Times New Roman"/>
                <w:szCs w:val="24"/>
                <w:lang w:val="bg"/>
              </w:rPr>
              <w:t>Първоначален доклад само за вътрешна употреба</w:t>
            </w:r>
          </w:p>
        </w:tc>
        <w:tc>
          <w:tcPr>
            <w:tcW w:w="1799"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bg"/>
              </w:rPr>
              <w:t>Не е приложимо</w:t>
            </w:r>
          </w:p>
        </w:tc>
      </w:tr>
      <w:tr w:rsidR="00923982" w:rsidRPr="009461CC" w14:paraId="495D8A1C" w14:textId="77777777" w:rsidTr="00740900">
        <w:tc>
          <w:tcPr>
            <w:tcW w:w="1214"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bg"/>
              </w:rPr>
              <w:t>B</w:t>
            </w:r>
          </w:p>
        </w:tc>
        <w:tc>
          <w:tcPr>
            <w:tcW w:w="1128"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bg"/>
              </w:rPr>
              <w:t>15.12.2025 г.</w:t>
            </w:r>
          </w:p>
        </w:tc>
        <w:tc>
          <w:tcPr>
            <w:tcW w:w="115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bg"/>
              </w:rPr>
              <w:t>Всички</w:t>
            </w:r>
          </w:p>
        </w:tc>
        <w:tc>
          <w:tcPr>
            <w:tcW w:w="4496" w:type="dxa"/>
            <w:tcBorders>
              <w:top w:val="single" w:sz="4" w:space="0" w:color="auto"/>
              <w:bottom w:val="single" w:sz="12" w:space="0" w:color="auto"/>
            </w:tcBorders>
          </w:tcPr>
          <w:p w14:paraId="3D913A75" w14:textId="07A66BB8" w:rsidR="00923982" w:rsidRPr="00213810" w:rsidRDefault="0080432B" w:rsidP="00923982">
            <w:pPr>
              <w:rPr>
                <w:rFonts w:cs="Times New Roman"/>
                <w:szCs w:val="24"/>
              </w:rPr>
            </w:pPr>
            <w:r>
              <w:rPr>
                <w:rFonts w:cs="Times New Roman"/>
                <w:szCs w:val="24"/>
                <w:lang w:val="bg"/>
              </w:rPr>
              <w:t>Подаване на заявление съгласно Регламента за медицинските изделия на ЕС</w:t>
            </w:r>
            <w:r w:rsidR="00AE4AB9">
              <w:rPr>
                <w:rFonts w:cs="Times New Roman"/>
                <w:szCs w:val="24"/>
              </w:rPr>
              <w:t xml:space="preserve"> (EU MDR)</w:t>
            </w:r>
          </w:p>
        </w:tc>
        <w:tc>
          <w:tcPr>
            <w:tcW w:w="1799"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bg"/>
              </w:rPr>
              <w:t>07919</w:t>
            </w:r>
          </w:p>
        </w:tc>
      </w:tr>
    </w:tbl>
    <w:p w14:paraId="5C951A98" w14:textId="6A651DC3" w:rsidR="0005411A" w:rsidRPr="003D747D" w:rsidRDefault="00E91403" w:rsidP="00E91403">
      <w:pPr>
        <w:jc w:val="center"/>
        <w:rPr>
          <w:rFonts w:cs="Times New Roman"/>
          <w:lang w:val="ru-RU"/>
        </w:rPr>
      </w:pPr>
      <w:r>
        <w:rPr>
          <w:rFonts w:cs="Times New Roman"/>
          <w:i/>
          <w:iCs/>
          <w:lang w:val="bg"/>
        </w:rPr>
        <w:t>Забележка: Одобренията се приемат чрез съответната заявка за промяна.</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bg"/>
        </w:rPr>
        <w:br w:type="page"/>
      </w:r>
      <w:r>
        <w:rPr>
          <w:rFonts w:cs="Times New Roman"/>
          <w:lang w:val="bg"/>
        </w:rPr>
        <w:lastRenderedPageBreak/>
        <w:t>Съдържание</w:t>
      </w:r>
    </w:p>
    <w:p w14:paraId="7F549D17" w14:textId="20E83411" w:rsidR="003D747D" w:rsidRDefault="006F0810">
      <w:pPr>
        <w:pStyle w:val="TOC1"/>
        <w:rPr>
          <w:rFonts w:asciiTheme="minorHAnsi" w:eastAsiaTheme="minorEastAsia" w:hAnsiTheme="minorHAnsi" w:cstheme="minorBidi"/>
          <w:noProof/>
          <w:kern w:val="2"/>
          <w:lang w:eastAsia="zh-CN"/>
          <w14:ligatures w14:val="standardContextual"/>
        </w:rPr>
      </w:pPr>
      <w:r>
        <w:rPr>
          <w:lang w:val="bg"/>
        </w:rPr>
        <w:fldChar w:fldCharType="begin"/>
      </w:r>
      <w:r>
        <w:instrText xml:space="preserve"> TOC \o "1-3" \h \z \u </w:instrText>
      </w:r>
      <w:r>
        <w:fldChar w:fldCharType="separate"/>
      </w:r>
      <w:hyperlink w:anchor="_Toc222741184" w:history="1">
        <w:r w:rsidR="003D747D" w:rsidRPr="00F66A68">
          <w:rPr>
            <w:rStyle w:val="Hyperlink"/>
            <w:noProof/>
          </w:rPr>
          <w:t>1.</w:t>
        </w:r>
        <w:r w:rsidR="003D747D">
          <w:rPr>
            <w:rFonts w:asciiTheme="minorHAnsi" w:eastAsiaTheme="minorEastAsia" w:hAnsiTheme="minorHAnsi" w:cstheme="minorBidi"/>
            <w:noProof/>
            <w:kern w:val="2"/>
            <w:lang w:eastAsia="zh-CN"/>
            <w14:ligatures w14:val="standardContextual"/>
          </w:rPr>
          <w:tab/>
        </w:r>
        <w:r w:rsidR="003D747D" w:rsidRPr="00F66A68">
          <w:rPr>
            <w:rStyle w:val="Hyperlink"/>
            <w:bCs/>
            <w:noProof/>
            <w:lang w:val="bg"/>
          </w:rPr>
          <w:t>Обхват на настоящото Обобщение на безопасността и клиничните показатели (</w:t>
        </w:r>
        <w:r w:rsidR="00AF1118">
          <w:rPr>
            <w:rStyle w:val="Hyperlink"/>
            <w:bCs/>
            <w:noProof/>
            <w:lang w:val="en-US"/>
          </w:rPr>
          <w:t>SSCP</w:t>
        </w:r>
        <w:r w:rsidR="003D747D" w:rsidRPr="00F66A68">
          <w:rPr>
            <w:rStyle w:val="Hyperlink"/>
            <w:bCs/>
            <w:noProof/>
            <w:lang w:val="bg"/>
          </w:rPr>
          <w:t>):</w:t>
        </w:r>
        <w:r w:rsidR="003D747D">
          <w:rPr>
            <w:noProof/>
            <w:webHidden/>
          </w:rPr>
          <w:tab/>
        </w:r>
        <w:r w:rsidR="000514F4">
          <w:rPr>
            <w:noProof/>
            <w:webHidden/>
          </w:rPr>
          <w:t>3</w:t>
        </w:r>
      </w:hyperlink>
    </w:p>
    <w:p w14:paraId="6C1B77F5" w14:textId="072228D3"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85" w:history="1">
        <w:r w:rsidRPr="00F66A68">
          <w:rPr>
            <w:rStyle w:val="Hyperlink"/>
            <w:noProof/>
          </w:rPr>
          <w:t>1.1.</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Търговско наименование на изделието:</w:t>
        </w:r>
        <w:r>
          <w:rPr>
            <w:noProof/>
            <w:webHidden/>
          </w:rPr>
          <w:tab/>
          <w:t>3</w:t>
        </w:r>
      </w:hyperlink>
    </w:p>
    <w:p w14:paraId="74D5F4E7" w14:textId="4484E66B"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86" w:history="1">
        <w:r w:rsidRPr="00F66A68">
          <w:rPr>
            <w:rStyle w:val="Hyperlink"/>
            <w:noProof/>
          </w:rPr>
          <w:t>1.2.</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Описание на изделието, базов UDI-DI и класификация на ЕС:</w:t>
        </w:r>
        <w:r>
          <w:rPr>
            <w:noProof/>
            <w:webHidden/>
          </w:rPr>
          <w:tab/>
          <w:t>3</w:t>
        </w:r>
      </w:hyperlink>
    </w:p>
    <w:p w14:paraId="4F212858" w14:textId="39886074"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87" w:history="1">
        <w:r w:rsidRPr="00F66A68">
          <w:rPr>
            <w:rStyle w:val="Hyperlink"/>
            <w:noProof/>
          </w:rPr>
          <w:t>1.3.</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Година на издаване на първия сертификат (CE), обхващащ изделието:</w:t>
        </w:r>
        <w:r>
          <w:rPr>
            <w:noProof/>
            <w:webHidden/>
          </w:rPr>
          <w:tab/>
          <w:t>3</w:t>
        </w:r>
      </w:hyperlink>
    </w:p>
    <w:p w14:paraId="46159D7F" w14:textId="3FE903DA"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88" w:history="1">
        <w:r w:rsidRPr="00F66A68">
          <w:rPr>
            <w:rStyle w:val="Hyperlink"/>
            <w:noProof/>
          </w:rPr>
          <w:t>1.4.</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Име, адрес и SRN на производителя:</w:t>
        </w:r>
        <w:r>
          <w:rPr>
            <w:noProof/>
            <w:webHidden/>
          </w:rPr>
          <w:tab/>
          <w:t>4</w:t>
        </w:r>
      </w:hyperlink>
    </w:p>
    <w:p w14:paraId="4647EFB2" w14:textId="6945A77F"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89" w:history="1">
        <w:r w:rsidRPr="00F66A68">
          <w:rPr>
            <w:rStyle w:val="Hyperlink"/>
            <w:noProof/>
          </w:rPr>
          <w:t>1.5.</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Наименование и SRN на упълномощен представител:</w:t>
        </w:r>
        <w:r>
          <w:rPr>
            <w:noProof/>
            <w:webHidden/>
          </w:rPr>
          <w:tab/>
          <w:t>4</w:t>
        </w:r>
      </w:hyperlink>
    </w:p>
    <w:p w14:paraId="50C36258" w14:textId="3037A328"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90" w:history="1">
        <w:r w:rsidRPr="00F66A68">
          <w:rPr>
            <w:rStyle w:val="Hyperlink"/>
            <w:noProof/>
          </w:rPr>
          <w:t>1.6.</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Име и единен идентификационен номер на нотифицирания орган:</w:t>
        </w:r>
        <w:r>
          <w:rPr>
            <w:noProof/>
            <w:webHidden/>
          </w:rPr>
          <w:tab/>
          <w:t>4</w:t>
        </w:r>
      </w:hyperlink>
    </w:p>
    <w:p w14:paraId="72A0AC46" w14:textId="617AFE36"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91" w:history="1">
        <w:r w:rsidRPr="00F66A68">
          <w:rPr>
            <w:rStyle w:val="Hyperlink"/>
            <w:noProof/>
          </w:rPr>
          <w:t>2.</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Предназначение/предвидена употреба на изделието</w:t>
        </w:r>
        <w:r>
          <w:rPr>
            <w:noProof/>
            <w:webHidden/>
          </w:rPr>
          <w:tab/>
          <w:t>4</w:t>
        </w:r>
      </w:hyperlink>
    </w:p>
    <w:p w14:paraId="18FDDF43" w14:textId="46773ECD"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92" w:history="1">
        <w:r w:rsidRPr="00F66A68">
          <w:rPr>
            <w:rStyle w:val="Hyperlink"/>
            <w:noProof/>
          </w:rPr>
          <w:t>2.1.</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Предназначение/предвидена употреба</w:t>
        </w:r>
        <w:r>
          <w:rPr>
            <w:noProof/>
            <w:webHidden/>
          </w:rPr>
          <w:tab/>
          <w:t>4</w:t>
        </w:r>
      </w:hyperlink>
    </w:p>
    <w:p w14:paraId="5E6ABB1F" w14:textId="67B10880"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93" w:history="1">
        <w:r w:rsidRPr="00F66A68">
          <w:rPr>
            <w:rStyle w:val="Hyperlink"/>
            <w:noProof/>
          </w:rPr>
          <w:t>2.2.</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Показания</w:t>
        </w:r>
        <w:r>
          <w:rPr>
            <w:noProof/>
            <w:webHidden/>
          </w:rPr>
          <w:tab/>
          <w:t>4</w:t>
        </w:r>
      </w:hyperlink>
    </w:p>
    <w:p w14:paraId="3F996D6D" w14:textId="0DA00207"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94" w:history="1">
        <w:r w:rsidRPr="00F66A68">
          <w:rPr>
            <w:rStyle w:val="Hyperlink"/>
            <w:noProof/>
          </w:rPr>
          <w:t>2.3.</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Целева популация</w:t>
        </w:r>
        <w:r>
          <w:rPr>
            <w:noProof/>
            <w:webHidden/>
          </w:rPr>
          <w:tab/>
          <w:t>5</w:t>
        </w:r>
      </w:hyperlink>
    </w:p>
    <w:p w14:paraId="7C07CE47" w14:textId="4E7A6CC1"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95" w:history="1">
        <w:r w:rsidRPr="00F66A68">
          <w:rPr>
            <w:rStyle w:val="Hyperlink"/>
            <w:noProof/>
          </w:rPr>
          <w:t>2.4.</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Противопоказания</w:t>
        </w:r>
        <w:r>
          <w:rPr>
            <w:noProof/>
            <w:webHidden/>
          </w:rPr>
          <w:tab/>
          <w:t>5</w:t>
        </w:r>
      </w:hyperlink>
    </w:p>
    <w:p w14:paraId="52817845" w14:textId="49AB1A61"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96" w:history="1">
        <w:r w:rsidRPr="00F66A68">
          <w:rPr>
            <w:rStyle w:val="Hyperlink"/>
            <w:noProof/>
          </w:rPr>
          <w:t>3.</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Описание на изделието</w:t>
        </w:r>
        <w:r>
          <w:rPr>
            <w:noProof/>
            <w:webHidden/>
          </w:rPr>
          <w:tab/>
          <w:t>5</w:t>
        </w:r>
      </w:hyperlink>
    </w:p>
    <w:p w14:paraId="4BEFE048" w14:textId="441FD527"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97" w:history="1">
        <w:r w:rsidRPr="00F66A68">
          <w:rPr>
            <w:rStyle w:val="Hyperlink"/>
            <w:noProof/>
          </w:rPr>
          <w:t>3.1.</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Описание на изделието</w:t>
        </w:r>
        <w:r>
          <w:rPr>
            <w:noProof/>
            <w:webHidden/>
          </w:rPr>
          <w:tab/>
          <w:t>5</w:t>
        </w:r>
      </w:hyperlink>
    </w:p>
    <w:p w14:paraId="4C7C159A" w14:textId="144111D0"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98" w:history="1">
        <w:r w:rsidRPr="00F66A68">
          <w:rPr>
            <w:rStyle w:val="Hyperlink"/>
            <w:noProof/>
          </w:rPr>
          <w:t>3.2.</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Предишни варианти и техните различия</w:t>
        </w:r>
        <w:r>
          <w:rPr>
            <w:noProof/>
            <w:webHidden/>
          </w:rPr>
          <w:tab/>
          <w:t>5</w:t>
        </w:r>
      </w:hyperlink>
    </w:p>
    <w:p w14:paraId="4F55A0EB" w14:textId="1F550778"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199" w:history="1">
        <w:r w:rsidRPr="00F66A68">
          <w:rPr>
            <w:rStyle w:val="Hyperlink"/>
            <w:noProof/>
          </w:rPr>
          <w:t>3.3.</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Принадлежности, съвместими изделия и други продукти, използвани в комбинация</w:t>
        </w:r>
        <w:r>
          <w:rPr>
            <w:noProof/>
            <w:webHidden/>
          </w:rPr>
          <w:tab/>
          <w:t>5</w:t>
        </w:r>
      </w:hyperlink>
    </w:p>
    <w:p w14:paraId="230B2766" w14:textId="1C0C5532"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00" w:history="1">
        <w:r w:rsidRPr="00F66A68">
          <w:rPr>
            <w:rStyle w:val="Hyperlink"/>
            <w:noProof/>
          </w:rPr>
          <w:t>4.</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Рискове и предупреждения</w:t>
        </w:r>
        <w:r>
          <w:rPr>
            <w:noProof/>
            <w:webHidden/>
          </w:rPr>
          <w:tab/>
          <w:t>6</w:t>
        </w:r>
      </w:hyperlink>
    </w:p>
    <w:p w14:paraId="7DF3273A" w14:textId="202D2766"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01" w:history="1">
        <w:r w:rsidRPr="00F66A68">
          <w:rPr>
            <w:rStyle w:val="Hyperlink"/>
            <w:noProof/>
          </w:rPr>
          <w:t>4.1.</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Остатъчни рискове и нежелани реакции</w:t>
        </w:r>
        <w:r>
          <w:rPr>
            <w:noProof/>
            <w:webHidden/>
          </w:rPr>
          <w:tab/>
          <w:t>6</w:t>
        </w:r>
      </w:hyperlink>
    </w:p>
    <w:p w14:paraId="7434DE98" w14:textId="7F4D2B6C"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02" w:history="1">
        <w:r w:rsidRPr="00F66A68">
          <w:rPr>
            <w:rStyle w:val="Hyperlink"/>
            <w:noProof/>
          </w:rPr>
          <w:t>4.2.</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Предупреждения и предпазни мерки</w:t>
        </w:r>
        <w:r>
          <w:rPr>
            <w:noProof/>
            <w:webHidden/>
          </w:rPr>
          <w:tab/>
          <w:t>6</w:t>
        </w:r>
      </w:hyperlink>
    </w:p>
    <w:p w14:paraId="2B4C5718" w14:textId="4E87D75A"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03" w:history="1">
        <w:r w:rsidRPr="00F66A68">
          <w:rPr>
            <w:rStyle w:val="Hyperlink"/>
            <w:noProof/>
          </w:rPr>
          <w:t>4.3.</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Други свързани аспекти на безопасността, включително обобщение на всички коригиращи действия във връзка с безопасността на място (FSCA, включително известията във връзка с безопасността (FSN)), ако е приложимо</w:t>
        </w:r>
        <w:r>
          <w:rPr>
            <w:noProof/>
            <w:webHidden/>
          </w:rPr>
          <w:tab/>
          <w:t>7</w:t>
        </w:r>
      </w:hyperlink>
    </w:p>
    <w:p w14:paraId="2AB60086" w14:textId="4C5D811E"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04" w:history="1">
        <w:r w:rsidRPr="00F66A68">
          <w:rPr>
            <w:rStyle w:val="Hyperlink"/>
            <w:noProof/>
          </w:rPr>
          <w:t>5.</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Обобщение на клиничната оценка и клиничното проследяване след пускането на пазара (PMCF)</w:t>
        </w:r>
        <w:r>
          <w:rPr>
            <w:noProof/>
            <w:webHidden/>
          </w:rPr>
          <w:tab/>
          <w:t>7</w:t>
        </w:r>
      </w:hyperlink>
    </w:p>
    <w:p w14:paraId="233ECF20" w14:textId="3A2F4B8B"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05" w:history="1">
        <w:r w:rsidRPr="00F66A68">
          <w:rPr>
            <w:rStyle w:val="Hyperlink"/>
            <w:noProof/>
          </w:rPr>
          <w:t>5.1.</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Обобщение на клиничните данни, свързани с еквивалентно изделие, ако е приложимо</w:t>
        </w:r>
        <w:r>
          <w:rPr>
            <w:noProof/>
            <w:webHidden/>
          </w:rPr>
          <w:tab/>
          <w:t>8</w:t>
        </w:r>
      </w:hyperlink>
    </w:p>
    <w:p w14:paraId="3B9CCC2D" w14:textId="4371DFB3"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06" w:history="1">
        <w:r w:rsidRPr="00F66A68">
          <w:rPr>
            <w:rStyle w:val="Hyperlink"/>
            <w:noProof/>
          </w:rPr>
          <w:t>5.2.</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Обобщение на клиничните данни от проведените изследвания на изделието преди поставянето на СЕ маркировката, ако е приложимо</w:t>
        </w:r>
        <w:r>
          <w:rPr>
            <w:noProof/>
            <w:webHidden/>
          </w:rPr>
          <w:tab/>
          <w:t>8</w:t>
        </w:r>
      </w:hyperlink>
    </w:p>
    <w:p w14:paraId="0951B41E" w14:textId="029FA575"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07" w:history="1">
        <w:r w:rsidRPr="00F66A68">
          <w:rPr>
            <w:rStyle w:val="Hyperlink"/>
            <w:noProof/>
          </w:rPr>
          <w:t>5.3.</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Обобщение на клиничните данни от други източници, ако е приложимо</w:t>
        </w:r>
        <w:r>
          <w:rPr>
            <w:noProof/>
            <w:webHidden/>
          </w:rPr>
          <w:tab/>
          <w:t>8</w:t>
        </w:r>
      </w:hyperlink>
    </w:p>
    <w:p w14:paraId="1E77873E" w14:textId="419B1B4C"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08" w:history="1">
        <w:r w:rsidRPr="00F66A68">
          <w:rPr>
            <w:rStyle w:val="Hyperlink"/>
            <w:noProof/>
          </w:rPr>
          <w:t>5.4.</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Цялостно обобщение на клиничните показатели и безопасността</w:t>
        </w:r>
        <w:r>
          <w:rPr>
            <w:noProof/>
            <w:webHidden/>
          </w:rPr>
          <w:tab/>
          <w:t>9</w:t>
        </w:r>
      </w:hyperlink>
    </w:p>
    <w:p w14:paraId="6A8C0CAB" w14:textId="76730960"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09" w:history="1">
        <w:r w:rsidRPr="00F66A68">
          <w:rPr>
            <w:rStyle w:val="Hyperlink"/>
            <w:noProof/>
          </w:rPr>
          <w:t>5.5.</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Текущо или планирано клинично проследяване след пускането на пазара</w:t>
        </w:r>
        <w:r>
          <w:rPr>
            <w:noProof/>
            <w:webHidden/>
          </w:rPr>
          <w:tab/>
        </w:r>
        <w:r>
          <w:rPr>
            <w:noProof/>
            <w:webHidden/>
          </w:rPr>
          <w:fldChar w:fldCharType="begin"/>
        </w:r>
        <w:r>
          <w:rPr>
            <w:noProof/>
            <w:webHidden/>
          </w:rPr>
          <w:instrText xml:space="preserve"> PAGEREF _Toc222741209 \h </w:instrText>
        </w:r>
        <w:r>
          <w:rPr>
            <w:noProof/>
            <w:webHidden/>
          </w:rPr>
        </w:r>
        <w:r>
          <w:rPr>
            <w:noProof/>
            <w:webHidden/>
          </w:rPr>
          <w:fldChar w:fldCharType="separate"/>
        </w:r>
        <w:r>
          <w:rPr>
            <w:noProof/>
            <w:webHidden/>
          </w:rPr>
          <w:t>10</w:t>
        </w:r>
        <w:r>
          <w:rPr>
            <w:noProof/>
            <w:webHidden/>
          </w:rPr>
          <w:fldChar w:fldCharType="end"/>
        </w:r>
      </w:hyperlink>
    </w:p>
    <w:p w14:paraId="19CEF056" w14:textId="363BA5C1"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10" w:history="1">
        <w:r w:rsidRPr="00F66A68">
          <w:rPr>
            <w:rStyle w:val="Hyperlink"/>
            <w:noProof/>
          </w:rPr>
          <w:t>6.</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Възможни диагностични или терапевтични алтернативи</w:t>
        </w:r>
        <w:r>
          <w:rPr>
            <w:noProof/>
            <w:webHidden/>
          </w:rPr>
          <w:tab/>
        </w:r>
        <w:r>
          <w:rPr>
            <w:noProof/>
            <w:webHidden/>
          </w:rPr>
          <w:fldChar w:fldCharType="begin"/>
        </w:r>
        <w:r>
          <w:rPr>
            <w:noProof/>
            <w:webHidden/>
          </w:rPr>
          <w:instrText xml:space="preserve"> PAGEREF _Toc222741210 \h </w:instrText>
        </w:r>
        <w:r>
          <w:rPr>
            <w:noProof/>
            <w:webHidden/>
          </w:rPr>
        </w:r>
        <w:r>
          <w:rPr>
            <w:noProof/>
            <w:webHidden/>
          </w:rPr>
          <w:fldChar w:fldCharType="separate"/>
        </w:r>
        <w:r>
          <w:rPr>
            <w:noProof/>
            <w:webHidden/>
          </w:rPr>
          <w:t>11</w:t>
        </w:r>
        <w:r>
          <w:rPr>
            <w:noProof/>
            <w:webHidden/>
          </w:rPr>
          <w:fldChar w:fldCharType="end"/>
        </w:r>
      </w:hyperlink>
    </w:p>
    <w:p w14:paraId="32E6E284" w14:textId="2952BCF3"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11" w:history="1">
        <w:r w:rsidRPr="00F66A68">
          <w:rPr>
            <w:rStyle w:val="Hyperlink"/>
            <w:noProof/>
          </w:rPr>
          <w:t>7.</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Препоръчван профил и обучение за потребителите</w:t>
        </w:r>
        <w:r>
          <w:rPr>
            <w:noProof/>
            <w:webHidden/>
          </w:rPr>
          <w:tab/>
        </w:r>
        <w:r>
          <w:rPr>
            <w:noProof/>
            <w:webHidden/>
          </w:rPr>
          <w:fldChar w:fldCharType="begin"/>
        </w:r>
        <w:r>
          <w:rPr>
            <w:noProof/>
            <w:webHidden/>
          </w:rPr>
          <w:instrText xml:space="preserve"> PAGEREF _Toc222741211 \h </w:instrText>
        </w:r>
        <w:r>
          <w:rPr>
            <w:noProof/>
            <w:webHidden/>
          </w:rPr>
        </w:r>
        <w:r>
          <w:rPr>
            <w:noProof/>
            <w:webHidden/>
          </w:rPr>
          <w:fldChar w:fldCharType="separate"/>
        </w:r>
        <w:r>
          <w:rPr>
            <w:noProof/>
            <w:webHidden/>
          </w:rPr>
          <w:t>11</w:t>
        </w:r>
        <w:r>
          <w:rPr>
            <w:noProof/>
            <w:webHidden/>
          </w:rPr>
          <w:fldChar w:fldCharType="end"/>
        </w:r>
      </w:hyperlink>
    </w:p>
    <w:p w14:paraId="5E8CC289" w14:textId="662775F7"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12" w:history="1">
        <w:r w:rsidRPr="00F66A68">
          <w:rPr>
            <w:rStyle w:val="Hyperlink"/>
            <w:noProof/>
          </w:rPr>
          <w:t>8.</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Хармонизирани стандарти/общи спецификации</w:t>
        </w:r>
        <w:r>
          <w:rPr>
            <w:noProof/>
            <w:webHidden/>
          </w:rPr>
          <w:tab/>
        </w:r>
        <w:r>
          <w:rPr>
            <w:noProof/>
            <w:webHidden/>
          </w:rPr>
          <w:fldChar w:fldCharType="begin"/>
        </w:r>
        <w:r>
          <w:rPr>
            <w:noProof/>
            <w:webHidden/>
          </w:rPr>
          <w:instrText xml:space="preserve"> PAGEREF _Toc222741212 \h </w:instrText>
        </w:r>
        <w:r>
          <w:rPr>
            <w:noProof/>
            <w:webHidden/>
          </w:rPr>
        </w:r>
        <w:r>
          <w:rPr>
            <w:noProof/>
            <w:webHidden/>
          </w:rPr>
          <w:fldChar w:fldCharType="separate"/>
        </w:r>
        <w:r>
          <w:rPr>
            <w:noProof/>
            <w:webHidden/>
          </w:rPr>
          <w:t>11</w:t>
        </w:r>
        <w:r>
          <w:rPr>
            <w:noProof/>
            <w:webHidden/>
          </w:rPr>
          <w:fldChar w:fldCharType="end"/>
        </w:r>
      </w:hyperlink>
    </w:p>
    <w:p w14:paraId="590FE0C7" w14:textId="12E56DB5" w:rsidR="003D747D" w:rsidRDefault="000514F4">
      <w:pPr>
        <w:pStyle w:val="TOC1"/>
        <w:rPr>
          <w:rFonts w:asciiTheme="minorHAnsi" w:eastAsiaTheme="minorEastAsia" w:hAnsiTheme="minorHAnsi" w:cstheme="minorBidi"/>
          <w:noProof/>
          <w:kern w:val="2"/>
          <w:lang w:eastAsia="zh-CN"/>
          <w14:ligatures w14:val="standardContextual"/>
        </w:rPr>
      </w:pPr>
      <w:hyperlink w:anchor="_Toc222741213" w:history="1">
        <w:r w:rsidRPr="00F66A68">
          <w:rPr>
            <w:rStyle w:val="Hyperlink"/>
            <w:noProof/>
          </w:rPr>
          <w:t>9.</w:t>
        </w:r>
        <w:r>
          <w:rPr>
            <w:rFonts w:asciiTheme="minorHAnsi" w:eastAsiaTheme="minorEastAsia" w:hAnsiTheme="minorHAnsi" w:cstheme="minorBidi"/>
            <w:noProof/>
            <w:kern w:val="2"/>
            <w:lang w:eastAsia="zh-CN"/>
            <w14:ligatures w14:val="standardContextual"/>
          </w:rPr>
          <w:tab/>
        </w:r>
        <w:r w:rsidRPr="00F66A68">
          <w:rPr>
            <w:rStyle w:val="Hyperlink"/>
            <w:bCs/>
            <w:noProof/>
            <w:lang w:val="bg"/>
          </w:rPr>
          <w:t>История на редакциите</w:t>
        </w:r>
        <w:r>
          <w:rPr>
            <w:noProof/>
            <w:webHidden/>
          </w:rPr>
          <w:tab/>
        </w:r>
        <w:r>
          <w:rPr>
            <w:noProof/>
            <w:webHidden/>
          </w:rPr>
          <w:fldChar w:fldCharType="begin"/>
        </w:r>
        <w:r>
          <w:rPr>
            <w:noProof/>
            <w:webHidden/>
          </w:rPr>
          <w:instrText xml:space="preserve"> PAGEREF _Toc222741213 \h </w:instrText>
        </w:r>
        <w:r>
          <w:rPr>
            <w:noProof/>
            <w:webHidden/>
          </w:rPr>
        </w:r>
        <w:r>
          <w:rPr>
            <w:noProof/>
            <w:webHidden/>
          </w:rPr>
          <w:fldChar w:fldCharType="separate"/>
        </w:r>
        <w:r>
          <w:rPr>
            <w:noProof/>
            <w:webHidden/>
          </w:rPr>
          <w:t>13</w:t>
        </w:r>
        <w:r>
          <w:rPr>
            <w:noProof/>
            <w:webHidden/>
          </w:rPr>
          <w:fldChar w:fldCharType="end"/>
        </w:r>
      </w:hyperlink>
    </w:p>
    <w:p w14:paraId="29D6E5E3" w14:textId="512F186B"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bg"/>
        </w:rPr>
        <w:br w:type="page"/>
      </w:r>
    </w:p>
    <w:p w14:paraId="453DC774" w14:textId="77777777" w:rsidR="00221CEF" w:rsidRPr="003D747D" w:rsidRDefault="00221CEF" w:rsidP="00042B91">
      <w:pPr>
        <w:pStyle w:val="Heading7"/>
        <w:spacing w:after="0" w:afterAutospacing="0"/>
        <w:rPr>
          <w:lang w:val="ru-RU"/>
        </w:rPr>
      </w:pPr>
      <w:r>
        <w:rPr>
          <w:bCs/>
          <w:lang w:val="bg"/>
        </w:rPr>
        <w:lastRenderedPageBreak/>
        <w:t>Обобщение на безопасността и клиничните показатели</w:t>
      </w:r>
    </w:p>
    <w:p w14:paraId="2D567C3A" w14:textId="06AE7E97" w:rsidR="00221CEF" w:rsidRPr="003D747D" w:rsidRDefault="00221CEF" w:rsidP="00213810">
      <w:pPr>
        <w:spacing w:after="0" w:afterAutospacing="0" w:line="216" w:lineRule="auto"/>
        <w:rPr>
          <w:rFonts w:cs="Times New Roman"/>
          <w:lang w:val="ru-RU"/>
        </w:rPr>
      </w:pPr>
      <w:r>
        <w:rPr>
          <w:rFonts w:cs="Times New Roman"/>
          <w:lang w:val="bg"/>
        </w:rPr>
        <w:t>Настоящото Обобщение на безопасността и клиничните показатели (</w:t>
      </w:r>
      <w:r w:rsidR="00DF596A">
        <w:rPr>
          <w:rFonts w:cs="Times New Roman"/>
        </w:rPr>
        <w:t>SSCP</w:t>
      </w:r>
      <w:r>
        <w:rPr>
          <w:rFonts w:cs="Times New Roman"/>
          <w:lang w:val="bg"/>
        </w:rPr>
        <w:t>) има за цел да осигури публичен достъп до актуализирано обобщение на основните аспекти за безопасност и клиничните показатели на изделието.</w:t>
      </w:r>
    </w:p>
    <w:p w14:paraId="549AF428" w14:textId="6F3B256B" w:rsidR="00221CEF" w:rsidRPr="003D747D" w:rsidRDefault="00663878" w:rsidP="00213810">
      <w:pPr>
        <w:spacing w:after="0" w:afterAutospacing="0" w:line="216" w:lineRule="auto"/>
        <w:rPr>
          <w:rFonts w:cs="Times New Roman"/>
          <w:lang w:val="ru-RU"/>
        </w:rPr>
      </w:pPr>
      <w:r>
        <w:rPr>
          <w:rFonts w:cs="Times New Roman"/>
        </w:rPr>
        <w:t>SSCP</w:t>
      </w:r>
      <w:r>
        <w:rPr>
          <w:rFonts w:cs="Times New Roman"/>
          <w:lang w:val="bg"/>
        </w:rPr>
        <w:t xml:space="preserve"> </w:t>
      </w:r>
      <w:r w:rsidR="00221CEF">
        <w:rPr>
          <w:rFonts w:cs="Times New Roman"/>
          <w:lang w:val="bg"/>
        </w:rPr>
        <w:t>не е предназначено да замени Инструкциите за употреба като основен документ за гарантиране на безопасната употреба на изделието, нито е предназначено да предоставя диагностични или терапевтични предложения на предвидените потребители или пациенти.</w:t>
      </w:r>
    </w:p>
    <w:p w14:paraId="6E1D4297" w14:textId="77777777" w:rsidR="00042B91" w:rsidRPr="003D747D" w:rsidRDefault="00042B91" w:rsidP="00042B91">
      <w:pPr>
        <w:spacing w:after="0" w:afterAutospacing="0" w:line="240" w:lineRule="auto"/>
        <w:rPr>
          <w:rFonts w:cs="Times New Roman"/>
          <w:lang w:val="ru-RU"/>
        </w:rPr>
      </w:pPr>
    </w:p>
    <w:p w14:paraId="57958E5A" w14:textId="739089BF" w:rsidR="00221CEF" w:rsidRPr="003D747D" w:rsidRDefault="00221CEF" w:rsidP="00042B91">
      <w:pPr>
        <w:spacing w:after="0" w:afterAutospacing="0" w:line="240" w:lineRule="auto"/>
        <w:rPr>
          <w:rFonts w:cs="Times New Roman"/>
          <w:lang w:val="ru-RU"/>
        </w:rPr>
      </w:pPr>
      <w:r>
        <w:rPr>
          <w:rFonts w:cs="Times New Roman"/>
          <w:lang w:val="bg"/>
        </w:rPr>
        <w:t>Информацията по-долу е предназначена за потребителите/здравните специалисти.</w:t>
      </w:r>
    </w:p>
    <w:p w14:paraId="18A77BED" w14:textId="77777777" w:rsidR="00042B91" w:rsidRPr="003D747D" w:rsidRDefault="00042B91" w:rsidP="00042B91">
      <w:pPr>
        <w:spacing w:after="0" w:afterAutospacing="0" w:line="240" w:lineRule="auto"/>
        <w:rPr>
          <w:rFonts w:cs="Times New Roman"/>
          <w:lang w:val="ru-RU"/>
        </w:rPr>
      </w:pPr>
    </w:p>
    <w:p w14:paraId="6E5276B4" w14:textId="4B176D69" w:rsidR="00042B91" w:rsidRPr="003D747D" w:rsidRDefault="006F0810" w:rsidP="00F67A0E">
      <w:pPr>
        <w:pStyle w:val="Heading1"/>
        <w:numPr>
          <w:ilvl w:val="0"/>
          <w:numId w:val="2"/>
        </w:numPr>
        <w:rPr>
          <w:rFonts w:cs="Times New Roman"/>
          <w:lang w:val="ru-RU"/>
        </w:rPr>
      </w:pPr>
      <w:bookmarkStart w:id="0" w:name="_Toc222741184"/>
      <w:r>
        <w:rPr>
          <w:rFonts w:cs="Times New Roman"/>
          <w:bCs/>
          <w:lang w:val="bg"/>
        </w:rPr>
        <w:t>Обхват на настоящото Обобщение на безопасността и клиничните показатели (</w:t>
      </w:r>
      <w:r w:rsidR="00265A7F">
        <w:rPr>
          <w:rFonts w:cs="Times New Roman"/>
          <w:bCs/>
        </w:rPr>
        <w:t>SSCP</w:t>
      </w:r>
      <w:r>
        <w:rPr>
          <w:rFonts w:cs="Times New Roman"/>
          <w:bCs/>
          <w:lang w:val="bg"/>
        </w:rPr>
        <w:t>):</w:t>
      </w:r>
      <w:bookmarkEnd w:id="0"/>
    </w:p>
    <w:p w14:paraId="5CDBAEA3" w14:textId="77777777" w:rsidR="00042B91" w:rsidRPr="003D747D" w:rsidRDefault="00042B91" w:rsidP="00042B91">
      <w:pPr>
        <w:spacing w:after="0" w:afterAutospacing="0" w:line="240" w:lineRule="auto"/>
        <w:rPr>
          <w:rFonts w:cs="Times New Roman"/>
          <w:lang w:val="ru-RU"/>
        </w:rPr>
      </w:pPr>
    </w:p>
    <w:p w14:paraId="45E5BCB2" w14:textId="6E901CD2" w:rsidR="00AA2E04" w:rsidRPr="009461CC" w:rsidRDefault="00221CEF" w:rsidP="00042B91">
      <w:pPr>
        <w:pStyle w:val="Heading1"/>
        <w:rPr>
          <w:rFonts w:cs="Times New Roman"/>
        </w:rPr>
      </w:pPr>
      <w:bookmarkStart w:id="1" w:name="_Toc222741185"/>
      <w:r>
        <w:rPr>
          <w:rFonts w:cs="Times New Roman"/>
          <w:bCs/>
          <w:lang w:val="bg"/>
        </w:rPr>
        <w:t>Търговско наименование на изделието:</w:t>
      </w:r>
      <w:bookmarkEnd w:id="1"/>
      <w:r>
        <w:rPr>
          <w:rFonts w:cs="Times New Roman"/>
          <w:bCs/>
          <w:lang w:val="bg"/>
        </w:rPr>
        <w:t xml:space="preserve"> </w:t>
      </w:r>
    </w:p>
    <w:p w14:paraId="29AE9E59" w14:textId="5784A66F" w:rsidR="00042B91" w:rsidRPr="009461CC" w:rsidRDefault="00982459" w:rsidP="001E6921">
      <w:pPr>
        <w:spacing w:after="0" w:afterAutospacing="0" w:line="240" w:lineRule="auto"/>
        <w:ind w:left="792"/>
        <w:rPr>
          <w:rFonts w:cs="Times New Roman"/>
        </w:rPr>
      </w:pPr>
      <w:r>
        <w:rPr>
          <w:rFonts w:cs="Times New Roman"/>
          <w:lang w:val="bg"/>
        </w:rPr>
        <w:t xml:space="preserve">Комплект съдова примка Atrieve </w:t>
      </w:r>
      <w:r w:rsidR="00565F23">
        <w:rPr>
          <w:rFonts w:cs="Times New Roman"/>
          <w:lang w:val="cs-CZ"/>
        </w:rPr>
        <w:t>Snare</w:t>
      </w:r>
    </w:p>
    <w:p w14:paraId="6E4554A3" w14:textId="77777777" w:rsidR="00982459" w:rsidRPr="009461CC" w:rsidRDefault="00982459" w:rsidP="00042B91">
      <w:pPr>
        <w:spacing w:after="0" w:afterAutospacing="0" w:line="240" w:lineRule="auto"/>
        <w:rPr>
          <w:rFonts w:cs="Times New Roman"/>
        </w:rPr>
      </w:pPr>
    </w:p>
    <w:p w14:paraId="7E6E8DB0" w14:textId="6069CEFE" w:rsidR="00221CEF" w:rsidRPr="003D747D" w:rsidRDefault="00221CEF" w:rsidP="00042B91">
      <w:pPr>
        <w:pStyle w:val="Heading1"/>
        <w:rPr>
          <w:rFonts w:cs="Times New Roman"/>
          <w:lang w:val="ru-RU"/>
        </w:rPr>
      </w:pPr>
      <w:bookmarkStart w:id="2" w:name="_Toc222741186"/>
      <w:r>
        <w:rPr>
          <w:rFonts w:cs="Times New Roman"/>
          <w:bCs/>
          <w:lang w:val="bg"/>
        </w:rPr>
        <w:t>Описание на изделието, базов UDI-DI и класификация на ЕС</w:t>
      </w:r>
      <w:r w:rsidR="00AE4AB9">
        <w:rPr>
          <w:rFonts w:cs="Times New Roman"/>
          <w:bCs/>
        </w:rPr>
        <w:t xml:space="preserve"> (EU)</w:t>
      </w:r>
      <w:r>
        <w:rPr>
          <w:rFonts w:cs="Times New Roman"/>
          <w:bCs/>
          <w:lang w:val="bg"/>
        </w:rPr>
        <w:t>:</w:t>
      </w:r>
      <w:bookmarkEnd w:id="2"/>
    </w:p>
    <w:tbl>
      <w:tblPr>
        <w:tblStyle w:val="TableGrid"/>
        <w:tblW w:w="0" w:type="auto"/>
        <w:tblLook w:val="04A0" w:firstRow="1" w:lastRow="0" w:firstColumn="1" w:lastColumn="0" w:noHBand="0" w:noVBand="1"/>
      </w:tblPr>
      <w:tblGrid>
        <w:gridCol w:w="4315"/>
        <w:gridCol w:w="1890"/>
        <w:gridCol w:w="1080"/>
        <w:gridCol w:w="1129"/>
        <w:gridCol w:w="2016"/>
      </w:tblGrid>
      <w:tr w:rsidR="00FA19CD" w:rsidRPr="009461CC" w14:paraId="77A15E5D" w14:textId="77777777" w:rsidTr="00213810">
        <w:tc>
          <w:tcPr>
            <w:tcW w:w="4315" w:type="dxa"/>
            <w:shd w:val="clear" w:color="auto" w:fill="E7E6E6" w:themeFill="background2"/>
          </w:tcPr>
          <w:p w14:paraId="6089AC65" w14:textId="5ACA6E64" w:rsidR="006266F5" w:rsidRPr="00790DE3" w:rsidRDefault="006266F5" w:rsidP="0015690A">
            <w:pPr>
              <w:jc w:val="center"/>
              <w:rPr>
                <w:rFonts w:cs="Times New Roman"/>
                <w:b/>
                <w:bCs/>
                <w:lang w:val="ru-RU"/>
              </w:rPr>
            </w:pPr>
            <w:r>
              <w:rPr>
                <w:rFonts w:cs="Times New Roman"/>
                <w:b/>
                <w:bCs/>
                <w:lang w:val="bg"/>
              </w:rPr>
              <w:t>Наименование на изделието и описание</w:t>
            </w:r>
          </w:p>
        </w:tc>
        <w:tc>
          <w:tcPr>
            <w:tcW w:w="1890"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bg"/>
              </w:rPr>
              <w:t>Класификация за ЕС</w:t>
            </w:r>
          </w:p>
        </w:tc>
        <w:tc>
          <w:tcPr>
            <w:tcW w:w="1080"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bg"/>
              </w:rPr>
              <w:t>GMDN код</w:t>
            </w:r>
          </w:p>
        </w:tc>
        <w:tc>
          <w:tcPr>
            <w:tcW w:w="1129"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bg"/>
              </w:rPr>
              <w:t>EMDN</w:t>
            </w:r>
          </w:p>
        </w:tc>
        <w:tc>
          <w:tcPr>
            <w:tcW w:w="20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bg"/>
              </w:rPr>
              <w:t>Базов UDI-DI</w:t>
            </w:r>
          </w:p>
        </w:tc>
      </w:tr>
      <w:tr w:rsidR="00FA19CD" w:rsidRPr="009461CC" w14:paraId="72288A12" w14:textId="77777777" w:rsidTr="00213810">
        <w:tc>
          <w:tcPr>
            <w:tcW w:w="4315" w:type="dxa"/>
          </w:tcPr>
          <w:p w14:paraId="04AE147E" w14:textId="4ACAD199" w:rsidR="006266F5" w:rsidRPr="009461CC" w:rsidRDefault="006266F5" w:rsidP="00213810">
            <w:pPr>
              <w:spacing w:line="216" w:lineRule="auto"/>
              <w:rPr>
                <w:rFonts w:cs="Times New Roman"/>
              </w:rPr>
            </w:pPr>
            <w:r>
              <w:rPr>
                <w:rFonts w:cs="Times New Roman"/>
                <w:lang w:val="bg"/>
              </w:rPr>
              <w:t>Комплект съдова примка Atrieve  Snare™, 6-10 mm диаметър x 120 cm примка, катетър 6F x 100 cm</w:t>
            </w:r>
          </w:p>
        </w:tc>
        <w:tc>
          <w:tcPr>
            <w:tcW w:w="1890" w:type="dxa"/>
            <w:vMerge w:val="restart"/>
          </w:tcPr>
          <w:p w14:paraId="016CD4E1" w14:textId="205743A9" w:rsidR="006266F5" w:rsidRPr="009461CC" w:rsidRDefault="00BA7D3E" w:rsidP="00D24167">
            <w:pPr>
              <w:jc w:val="center"/>
              <w:rPr>
                <w:rFonts w:cs="Times New Roman"/>
              </w:rPr>
            </w:pPr>
            <w:r>
              <w:rPr>
                <w:rFonts w:cs="Times New Roman"/>
                <w:lang w:val="bg"/>
              </w:rPr>
              <w:t>Клас III</w:t>
            </w:r>
          </w:p>
        </w:tc>
        <w:tc>
          <w:tcPr>
            <w:tcW w:w="1080" w:type="dxa"/>
            <w:vMerge w:val="restart"/>
          </w:tcPr>
          <w:p w14:paraId="2554DF3F" w14:textId="217E32BA" w:rsidR="006266F5" w:rsidRPr="009461CC" w:rsidRDefault="006266F5" w:rsidP="00D24167">
            <w:pPr>
              <w:jc w:val="center"/>
              <w:rPr>
                <w:rFonts w:cs="Times New Roman"/>
              </w:rPr>
            </w:pPr>
            <w:r>
              <w:rPr>
                <w:rFonts w:cs="Times New Roman"/>
                <w:lang w:val="bg"/>
              </w:rPr>
              <w:t>17927</w:t>
            </w:r>
          </w:p>
        </w:tc>
        <w:tc>
          <w:tcPr>
            <w:tcW w:w="1129" w:type="dxa"/>
            <w:vMerge w:val="restart"/>
          </w:tcPr>
          <w:p w14:paraId="44053393" w14:textId="5F7E5816" w:rsidR="006266F5" w:rsidRPr="009461CC" w:rsidRDefault="006266F5" w:rsidP="00D24167">
            <w:pPr>
              <w:jc w:val="center"/>
              <w:rPr>
                <w:rFonts w:cs="Times New Roman"/>
              </w:rPr>
            </w:pPr>
            <w:r>
              <w:rPr>
                <w:rFonts w:cs="Times New Roman"/>
                <w:lang w:val="bg"/>
              </w:rPr>
              <w:t>C019005</w:t>
            </w:r>
          </w:p>
        </w:tc>
        <w:tc>
          <w:tcPr>
            <w:tcW w:w="2016" w:type="dxa"/>
            <w:vMerge w:val="restart"/>
          </w:tcPr>
          <w:p w14:paraId="16987761" w14:textId="1464A232" w:rsidR="006266F5" w:rsidRPr="009461CC" w:rsidRDefault="006266F5" w:rsidP="00D24167">
            <w:pPr>
              <w:jc w:val="center"/>
              <w:rPr>
                <w:rFonts w:cs="Times New Roman"/>
              </w:rPr>
            </w:pPr>
            <w:r>
              <w:rPr>
                <w:rFonts w:cs="Times New Roman"/>
                <w:lang w:val="bg"/>
              </w:rPr>
              <w:t>088633329000132</w:t>
            </w:r>
          </w:p>
        </w:tc>
      </w:tr>
      <w:tr w:rsidR="00FA19CD" w:rsidRPr="009461CC" w14:paraId="674985B4" w14:textId="77777777" w:rsidTr="00213810">
        <w:tc>
          <w:tcPr>
            <w:tcW w:w="4315" w:type="dxa"/>
          </w:tcPr>
          <w:p w14:paraId="1845B978" w14:textId="2A00B29E" w:rsidR="006266F5" w:rsidRPr="009461CC" w:rsidRDefault="006266F5" w:rsidP="00213810">
            <w:pPr>
              <w:spacing w:line="216" w:lineRule="auto"/>
              <w:rPr>
                <w:rFonts w:cs="Times New Roman"/>
              </w:rPr>
            </w:pPr>
            <w:r>
              <w:rPr>
                <w:rFonts w:cs="Times New Roman"/>
                <w:lang w:val="bg"/>
              </w:rPr>
              <w:t xml:space="preserve">Комплект съдова примка Atrieve Snare™, 9-15 mm диаметър x 120 cm примка, катетър 6F x 100 cm </w:t>
            </w:r>
          </w:p>
        </w:tc>
        <w:tc>
          <w:tcPr>
            <w:tcW w:w="1890" w:type="dxa"/>
            <w:vMerge/>
          </w:tcPr>
          <w:p w14:paraId="0F2DCD20" w14:textId="77777777" w:rsidR="006266F5" w:rsidRPr="009461CC" w:rsidRDefault="006266F5" w:rsidP="005B3E76">
            <w:pPr>
              <w:rPr>
                <w:rFonts w:cs="Times New Roman"/>
              </w:rPr>
            </w:pPr>
          </w:p>
        </w:tc>
        <w:tc>
          <w:tcPr>
            <w:tcW w:w="1080" w:type="dxa"/>
            <w:vMerge/>
          </w:tcPr>
          <w:p w14:paraId="45E8FDD8" w14:textId="4AADF8C7" w:rsidR="006266F5" w:rsidRPr="009461CC" w:rsidRDefault="006266F5" w:rsidP="005B3E76">
            <w:pPr>
              <w:rPr>
                <w:rFonts w:cs="Times New Roman"/>
              </w:rPr>
            </w:pPr>
          </w:p>
        </w:tc>
        <w:tc>
          <w:tcPr>
            <w:tcW w:w="1129" w:type="dxa"/>
            <w:vMerge/>
          </w:tcPr>
          <w:p w14:paraId="165F2BBA" w14:textId="77777777" w:rsidR="006266F5" w:rsidRPr="009461CC" w:rsidRDefault="006266F5" w:rsidP="005B3E76">
            <w:pPr>
              <w:rPr>
                <w:rFonts w:cs="Times New Roman"/>
              </w:rPr>
            </w:pPr>
          </w:p>
        </w:tc>
        <w:tc>
          <w:tcPr>
            <w:tcW w:w="2016" w:type="dxa"/>
            <w:vMerge/>
          </w:tcPr>
          <w:p w14:paraId="5C1D3365" w14:textId="77777777" w:rsidR="006266F5" w:rsidRPr="009461CC" w:rsidRDefault="006266F5" w:rsidP="005B3E76">
            <w:pPr>
              <w:rPr>
                <w:rFonts w:cs="Times New Roman"/>
              </w:rPr>
            </w:pPr>
          </w:p>
        </w:tc>
      </w:tr>
      <w:tr w:rsidR="00FA19CD" w:rsidRPr="009461CC" w14:paraId="1B0B0E25" w14:textId="77777777" w:rsidTr="00213810">
        <w:tc>
          <w:tcPr>
            <w:tcW w:w="4315" w:type="dxa"/>
          </w:tcPr>
          <w:p w14:paraId="0A9B2655" w14:textId="2BC2EC38" w:rsidR="006266F5" w:rsidRPr="009461CC" w:rsidRDefault="006266F5" w:rsidP="00213810">
            <w:pPr>
              <w:spacing w:line="216" w:lineRule="auto"/>
              <w:rPr>
                <w:rFonts w:cs="Times New Roman"/>
              </w:rPr>
            </w:pPr>
            <w:r>
              <w:rPr>
                <w:rFonts w:cs="Times New Roman"/>
                <w:lang w:val="bg"/>
              </w:rPr>
              <w:t xml:space="preserve">Комплект съдова примка Atrieve  Snare™, 12-20 mm диаметър x 120 cm примка, катетър 6F x 100 cm </w:t>
            </w:r>
          </w:p>
        </w:tc>
        <w:tc>
          <w:tcPr>
            <w:tcW w:w="1890" w:type="dxa"/>
            <w:vMerge/>
          </w:tcPr>
          <w:p w14:paraId="4F42F09B" w14:textId="77777777" w:rsidR="006266F5" w:rsidRPr="009461CC" w:rsidRDefault="006266F5" w:rsidP="005B3E76">
            <w:pPr>
              <w:rPr>
                <w:rFonts w:cs="Times New Roman"/>
              </w:rPr>
            </w:pPr>
          </w:p>
        </w:tc>
        <w:tc>
          <w:tcPr>
            <w:tcW w:w="1080" w:type="dxa"/>
            <w:vMerge/>
          </w:tcPr>
          <w:p w14:paraId="7D1A397B" w14:textId="2F1838AC" w:rsidR="006266F5" w:rsidRPr="009461CC" w:rsidRDefault="006266F5" w:rsidP="005B3E76">
            <w:pPr>
              <w:rPr>
                <w:rFonts w:cs="Times New Roman"/>
              </w:rPr>
            </w:pPr>
          </w:p>
        </w:tc>
        <w:tc>
          <w:tcPr>
            <w:tcW w:w="1129" w:type="dxa"/>
            <w:vMerge/>
          </w:tcPr>
          <w:p w14:paraId="721C2322" w14:textId="77777777" w:rsidR="006266F5" w:rsidRPr="009461CC" w:rsidRDefault="006266F5" w:rsidP="005B3E76">
            <w:pPr>
              <w:rPr>
                <w:rFonts w:cs="Times New Roman"/>
              </w:rPr>
            </w:pPr>
          </w:p>
        </w:tc>
        <w:tc>
          <w:tcPr>
            <w:tcW w:w="2016" w:type="dxa"/>
            <w:vMerge/>
          </w:tcPr>
          <w:p w14:paraId="3C7CCE81" w14:textId="77777777" w:rsidR="006266F5" w:rsidRPr="009461CC" w:rsidRDefault="006266F5" w:rsidP="005B3E76">
            <w:pPr>
              <w:rPr>
                <w:rFonts w:cs="Times New Roman"/>
              </w:rPr>
            </w:pPr>
          </w:p>
        </w:tc>
      </w:tr>
      <w:tr w:rsidR="00FA19CD" w:rsidRPr="009461CC" w14:paraId="06B07953" w14:textId="77777777" w:rsidTr="00213810">
        <w:tc>
          <w:tcPr>
            <w:tcW w:w="4315" w:type="dxa"/>
          </w:tcPr>
          <w:p w14:paraId="122A6EC5" w14:textId="6FECE1E7" w:rsidR="006266F5" w:rsidRPr="009461CC" w:rsidRDefault="006266F5" w:rsidP="00213810">
            <w:pPr>
              <w:spacing w:line="216" w:lineRule="auto"/>
              <w:rPr>
                <w:rFonts w:cs="Times New Roman"/>
              </w:rPr>
            </w:pPr>
            <w:r>
              <w:rPr>
                <w:rFonts w:cs="Times New Roman"/>
                <w:lang w:val="bg"/>
              </w:rPr>
              <w:t xml:space="preserve">Комплект съдова примка Atrieve Snare™ Kit, 18-30 mm диаметър x 120 cm примка, катетър 7F x 100 cm </w:t>
            </w:r>
          </w:p>
        </w:tc>
        <w:tc>
          <w:tcPr>
            <w:tcW w:w="1890" w:type="dxa"/>
            <w:vMerge/>
          </w:tcPr>
          <w:p w14:paraId="1913C875" w14:textId="77777777" w:rsidR="006266F5" w:rsidRPr="009461CC" w:rsidRDefault="006266F5" w:rsidP="005B3E76">
            <w:pPr>
              <w:rPr>
                <w:rFonts w:cs="Times New Roman"/>
              </w:rPr>
            </w:pPr>
          </w:p>
        </w:tc>
        <w:tc>
          <w:tcPr>
            <w:tcW w:w="1080" w:type="dxa"/>
            <w:vMerge/>
          </w:tcPr>
          <w:p w14:paraId="00E8406E" w14:textId="7131A855" w:rsidR="006266F5" w:rsidRPr="009461CC" w:rsidRDefault="006266F5" w:rsidP="005B3E76">
            <w:pPr>
              <w:rPr>
                <w:rFonts w:cs="Times New Roman"/>
              </w:rPr>
            </w:pPr>
          </w:p>
        </w:tc>
        <w:tc>
          <w:tcPr>
            <w:tcW w:w="1129" w:type="dxa"/>
            <w:vMerge/>
          </w:tcPr>
          <w:p w14:paraId="68FC6CAA" w14:textId="77777777" w:rsidR="006266F5" w:rsidRPr="009461CC" w:rsidRDefault="006266F5" w:rsidP="005B3E76">
            <w:pPr>
              <w:rPr>
                <w:rFonts w:cs="Times New Roman"/>
              </w:rPr>
            </w:pPr>
          </w:p>
        </w:tc>
        <w:tc>
          <w:tcPr>
            <w:tcW w:w="2016" w:type="dxa"/>
            <w:vMerge/>
          </w:tcPr>
          <w:p w14:paraId="36E19225" w14:textId="77777777" w:rsidR="006266F5" w:rsidRPr="009461CC" w:rsidRDefault="006266F5" w:rsidP="005B3E76">
            <w:pPr>
              <w:rPr>
                <w:rFonts w:cs="Times New Roman"/>
              </w:rPr>
            </w:pPr>
          </w:p>
        </w:tc>
      </w:tr>
      <w:tr w:rsidR="00FA19CD" w:rsidRPr="009461CC" w14:paraId="70E2EDC2" w14:textId="77777777" w:rsidTr="00213810">
        <w:tc>
          <w:tcPr>
            <w:tcW w:w="4315" w:type="dxa"/>
          </w:tcPr>
          <w:p w14:paraId="3B2B1D80" w14:textId="2E8CAA5A" w:rsidR="006266F5" w:rsidRPr="009461CC" w:rsidRDefault="006266F5" w:rsidP="00213810">
            <w:pPr>
              <w:spacing w:line="216" w:lineRule="auto"/>
              <w:rPr>
                <w:rFonts w:cs="Times New Roman"/>
              </w:rPr>
            </w:pPr>
            <w:r>
              <w:rPr>
                <w:rFonts w:cs="Times New Roman"/>
                <w:lang w:val="bg"/>
              </w:rPr>
              <w:t>Комплект съдова примка Atrieve Snare™, 27-45 mm диаметър x 120 cm примка, катетър 7F x 100 cm</w:t>
            </w:r>
          </w:p>
        </w:tc>
        <w:tc>
          <w:tcPr>
            <w:tcW w:w="1890" w:type="dxa"/>
            <w:vMerge/>
          </w:tcPr>
          <w:p w14:paraId="5D298385" w14:textId="77777777" w:rsidR="006266F5" w:rsidRPr="009461CC" w:rsidRDefault="006266F5" w:rsidP="005B3E76">
            <w:pPr>
              <w:rPr>
                <w:rFonts w:cs="Times New Roman"/>
              </w:rPr>
            </w:pPr>
          </w:p>
        </w:tc>
        <w:tc>
          <w:tcPr>
            <w:tcW w:w="1080" w:type="dxa"/>
            <w:vMerge/>
          </w:tcPr>
          <w:p w14:paraId="001781C2" w14:textId="46419622" w:rsidR="006266F5" w:rsidRPr="009461CC" w:rsidRDefault="006266F5" w:rsidP="005B3E76">
            <w:pPr>
              <w:rPr>
                <w:rFonts w:cs="Times New Roman"/>
              </w:rPr>
            </w:pPr>
          </w:p>
        </w:tc>
        <w:tc>
          <w:tcPr>
            <w:tcW w:w="1129" w:type="dxa"/>
            <w:vMerge/>
          </w:tcPr>
          <w:p w14:paraId="20D9A32E" w14:textId="77777777" w:rsidR="006266F5" w:rsidRPr="009461CC" w:rsidRDefault="006266F5" w:rsidP="005B3E76">
            <w:pPr>
              <w:rPr>
                <w:rFonts w:cs="Times New Roman"/>
              </w:rPr>
            </w:pPr>
          </w:p>
        </w:tc>
        <w:tc>
          <w:tcPr>
            <w:tcW w:w="2016" w:type="dxa"/>
            <w:vMerge/>
          </w:tcPr>
          <w:p w14:paraId="5855DBED" w14:textId="77777777" w:rsidR="006266F5" w:rsidRPr="009461CC" w:rsidRDefault="006266F5" w:rsidP="005B3E76">
            <w:pPr>
              <w:rPr>
                <w:rFonts w:cs="Times New Roman"/>
              </w:rPr>
            </w:pPr>
          </w:p>
        </w:tc>
      </w:tr>
      <w:tr w:rsidR="00FA19CD" w:rsidRPr="009461CC" w14:paraId="7E3403A6" w14:textId="77777777" w:rsidTr="00213810">
        <w:tc>
          <w:tcPr>
            <w:tcW w:w="4315" w:type="dxa"/>
          </w:tcPr>
          <w:p w14:paraId="675708BF" w14:textId="17D4982B" w:rsidR="006266F5" w:rsidRPr="009461CC" w:rsidRDefault="006266F5" w:rsidP="00213810">
            <w:pPr>
              <w:spacing w:line="216" w:lineRule="auto"/>
              <w:rPr>
                <w:rFonts w:cs="Times New Roman"/>
              </w:rPr>
            </w:pPr>
            <w:r>
              <w:rPr>
                <w:rFonts w:cs="Times New Roman"/>
                <w:lang w:val="bg"/>
              </w:rPr>
              <w:t xml:space="preserve">Комплект съдова примка Atrieve Snare™ , 2-4 mm диаметър x 175 cm примка, катетър 3,2F x 150 cm </w:t>
            </w:r>
          </w:p>
        </w:tc>
        <w:tc>
          <w:tcPr>
            <w:tcW w:w="1890" w:type="dxa"/>
            <w:vMerge/>
          </w:tcPr>
          <w:p w14:paraId="4005AAE7" w14:textId="77777777" w:rsidR="006266F5" w:rsidRPr="009461CC" w:rsidRDefault="006266F5" w:rsidP="005B3E76">
            <w:pPr>
              <w:rPr>
                <w:rFonts w:cs="Times New Roman"/>
              </w:rPr>
            </w:pPr>
          </w:p>
        </w:tc>
        <w:tc>
          <w:tcPr>
            <w:tcW w:w="1080" w:type="dxa"/>
            <w:vMerge/>
          </w:tcPr>
          <w:p w14:paraId="10F77F80" w14:textId="1EEE88E0" w:rsidR="006266F5" w:rsidRPr="009461CC" w:rsidRDefault="006266F5" w:rsidP="005B3E76">
            <w:pPr>
              <w:rPr>
                <w:rFonts w:cs="Times New Roman"/>
              </w:rPr>
            </w:pPr>
          </w:p>
        </w:tc>
        <w:tc>
          <w:tcPr>
            <w:tcW w:w="1129" w:type="dxa"/>
            <w:vMerge/>
          </w:tcPr>
          <w:p w14:paraId="01E30B80" w14:textId="77777777" w:rsidR="006266F5" w:rsidRPr="009461CC" w:rsidRDefault="006266F5" w:rsidP="005B3E76">
            <w:pPr>
              <w:rPr>
                <w:rFonts w:cs="Times New Roman"/>
              </w:rPr>
            </w:pPr>
          </w:p>
        </w:tc>
        <w:tc>
          <w:tcPr>
            <w:tcW w:w="2016" w:type="dxa"/>
            <w:vMerge/>
          </w:tcPr>
          <w:p w14:paraId="7E3CD13D" w14:textId="77777777" w:rsidR="006266F5" w:rsidRPr="009461CC" w:rsidRDefault="006266F5" w:rsidP="005B3E76">
            <w:pPr>
              <w:rPr>
                <w:rFonts w:cs="Times New Roman"/>
              </w:rPr>
            </w:pPr>
          </w:p>
        </w:tc>
      </w:tr>
      <w:tr w:rsidR="00FA19CD" w:rsidRPr="009461CC" w14:paraId="163BEE28" w14:textId="77777777" w:rsidTr="00213810">
        <w:tc>
          <w:tcPr>
            <w:tcW w:w="4315" w:type="dxa"/>
          </w:tcPr>
          <w:p w14:paraId="2C7CFD34" w14:textId="5DF373BB" w:rsidR="006266F5" w:rsidRPr="009461CC" w:rsidRDefault="006266F5" w:rsidP="00213810">
            <w:pPr>
              <w:spacing w:line="216" w:lineRule="auto"/>
              <w:rPr>
                <w:rFonts w:cs="Times New Roman"/>
              </w:rPr>
            </w:pPr>
            <w:r>
              <w:rPr>
                <w:rFonts w:cs="Times New Roman"/>
                <w:lang w:val="bg"/>
              </w:rPr>
              <w:t>Комплект съдова примка Atrieve Snare™, 4-8 mm диаметър x 175 cm примка, катетър 3,2F x 150 cm</w:t>
            </w:r>
          </w:p>
        </w:tc>
        <w:tc>
          <w:tcPr>
            <w:tcW w:w="1890" w:type="dxa"/>
            <w:vMerge/>
          </w:tcPr>
          <w:p w14:paraId="796C4314" w14:textId="77777777" w:rsidR="006266F5" w:rsidRPr="009461CC" w:rsidRDefault="006266F5" w:rsidP="005B3E76">
            <w:pPr>
              <w:rPr>
                <w:rFonts w:cs="Times New Roman"/>
              </w:rPr>
            </w:pPr>
          </w:p>
        </w:tc>
        <w:tc>
          <w:tcPr>
            <w:tcW w:w="1080" w:type="dxa"/>
            <w:vMerge/>
          </w:tcPr>
          <w:p w14:paraId="520A7E25" w14:textId="5F41C696" w:rsidR="006266F5" w:rsidRPr="009461CC" w:rsidRDefault="006266F5" w:rsidP="005B3E76">
            <w:pPr>
              <w:rPr>
                <w:rFonts w:cs="Times New Roman"/>
              </w:rPr>
            </w:pPr>
          </w:p>
        </w:tc>
        <w:tc>
          <w:tcPr>
            <w:tcW w:w="1129" w:type="dxa"/>
            <w:vMerge/>
          </w:tcPr>
          <w:p w14:paraId="77962B81" w14:textId="77777777" w:rsidR="006266F5" w:rsidRPr="009461CC" w:rsidRDefault="006266F5" w:rsidP="005B3E76">
            <w:pPr>
              <w:rPr>
                <w:rFonts w:cs="Times New Roman"/>
              </w:rPr>
            </w:pPr>
          </w:p>
        </w:tc>
        <w:tc>
          <w:tcPr>
            <w:tcW w:w="2016" w:type="dxa"/>
            <w:vMerge/>
          </w:tcPr>
          <w:p w14:paraId="570FDA70" w14:textId="77777777" w:rsidR="006266F5" w:rsidRPr="009461CC" w:rsidRDefault="006266F5" w:rsidP="005B3E76">
            <w:pPr>
              <w:rPr>
                <w:rFonts w:cs="Times New Roman"/>
              </w:rPr>
            </w:pPr>
          </w:p>
        </w:tc>
      </w:tr>
    </w:tbl>
    <w:p w14:paraId="2DAE4D4B" w14:textId="77777777" w:rsidR="00AA2E04" w:rsidRPr="009461CC" w:rsidRDefault="00AA2E04" w:rsidP="00AA3694">
      <w:pPr>
        <w:pStyle w:val="Heading1"/>
        <w:numPr>
          <w:ilvl w:val="0"/>
          <w:numId w:val="0"/>
        </w:numPr>
        <w:rPr>
          <w:rFonts w:cs="Times New Roman"/>
        </w:rPr>
      </w:pPr>
    </w:p>
    <w:p w14:paraId="4B18C73D" w14:textId="72C79B52" w:rsidR="009855C3" w:rsidRPr="009461CC" w:rsidRDefault="009855C3" w:rsidP="00042B91">
      <w:pPr>
        <w:pStyle w:val="Heading1"/>
        <w:rPr>
          <w:rFonts w:cs="Times New Roman"/>
        </w:rPr>
      </w:pPr>
      <w:bookmarkStart w:id="3" w:name="_Toc222741187"/>
      <w:r>
        <w:rPr>
          <w:rFonts w:cs="Times New Roman"/>
          <w:bCs/>
          <w:lang w:val="bg"/>
        </w:rPr>
        <w:t>Година на издаване на първия сертификат (CE), обхващащ изделието:</w:t>
      </w:r>
      <w:bookmarkEnd w:id="3"/>
      <w:r>
        <w:rPr>
          <w:rFonts w:cs="Times New Roman"/>
          <w:bCs/>
          <w:lang w:val="bg"/>
        </w:rPr>
        <w:t xml:space="preserve"> </w:t>
      </w:r>
    </w:p>
    <w:p w14:paraId="76BA3EF9" w14:textId="597FB0B3" w:rsidR="00713233" w:rsidRDefault="00780A59" w:rsidP="00E714ED">
      <w:pPr>
        <w:spacing w:after="0" w:afterAutospacing="0" w:line="240" w:lineRule="auto"/>
        <w:ind w:left="792"/>
        <w:rPr>
          <w:rFonts w:cs="Times New Roman"/>
          <w:lang w:val="cs-CZ"/>
        </w:rPr>
      </w:pPr>
      <w:r>
        <w:rPr>
          <w:rFonts w:cs="Times New Roman"/>
          <w:lang w:val="bg"/>
        </w:rPr>
        <w:t xml:space="preserve">Комплектът съдова примка Atrieve Snare получава сертификат CE (CE 608298) през 2010 година съгласно Директивата за медицинските изделия </w:t>
      </w:r>
      <w:r w:rsidR="00093C15">
        <w:rPr>
          <w:rFonts w:cs="Times New Roman"/>
          <w:lang w:val="cs-CZ"/>
        </w:rPr>
        <w:t>(MDD)</w:t>
      </w:r>
    </w:p>
    <w:p w14:paraId="4D712EEF" w14:textId="77777777" w:rsidR="000514F4" w:rsidRDefault="000514F4" w:rsidP="00E714ED">
      <w:pPr>
        <w:spacing w:after="0" w:afterAutospacing="0" w:line="240" w:lineRule="auto"/>
        <w:ind w:left="792"/>
        <w:rPr>
          <w:rFonts w:cs="Times New Roman"/>
          <w:lang w:val="cs-CZ"/>
        </w:rPr>
      </w:pPr>
    </w:p>
    <w:p w14:paraId="51769E2A" w14:textId="77777777" w:rsidR="000514F4" w:rsidRDefault="000514F4" w:rsidP="00E714ED">
      <w:pPr>
        <w:spacing w:after="0" w:afterAutospacing="0" w:line="240" w:lineRule="auto"/>
        <w:ind w:left="792"/>
        <w:rPr>
          <w:rFonts w:cs="Times New Roman"/>
          <w:lang w:val="cs-CZ"/>
        </w:rPr>
      </w:pPr>
    </w:p>
    <w:p w14:paraId="19437E7E" w14:textId="77777777" w:rsidR="000514F4" w:rsidRPr="00213810" w:rsidRDefault="000514F4" w:rsidP="00E714ED">
      <w:pPr>
        <w:spacing w:after="0" w:afterAutospacing="0" w:line="240" w:lineRule="auto"/>
        <w:ind w:left="792"/>
        <w:rPr>
          <w:rFonts w:cs="Times New Roman"/>
          <w:lang w:val="cs-CZ"/>
        </w:rPr>
      </w:pPr>
    </w:p>
    <w:p w14:paraId="10A04209" w14:textId="75FC9DEC" w:rsidR="009855C3" w:rsidRPr="00790DE3" w:rsidRDefault="009855C3" w:rsidP="00042B91">
      <w:pPr>
        <w:pStyle w:val="Heading1"/>
        <w:rPr>
          <w:rFonts w:cs="Times New Roman"/>
          <w:lang w:val="bg"/>
        </w:rPr>
      </w:pPr>
      <w:r>
        <w:rPr>
          <w:rFonts w:cs="Times New Roman"/>
          <w:bCs/>
          <w:lang w:val="bg"/>
        </w:rPr>
        <w:lastRenderedPageBreak/>
        <w:t xml:space="preserve"> </w:t>
      </w:r>
      <w:bookmarkStart w:id="4" w:name="_Toc222741188"/>
      <w:r>
        <w:rPr>
          <w:rFonts w:cs="Times New Roman"/>
          <w:bCs/>
          <w:lang w:val="bg"/>
        </w:rPr>
        <w:t>Име, адрес и SRN на производителя:</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bg"/>
              </w:rPr>
              <w:t>Информация за производителя</w:t>
            </w:r>
          </w:p>
        </w:tc>
      </w:tr>
      <w:tr w:rsidR="00493B5B" w:rsidRPr="009461CC" w14:paraId="49F686BA" w14:textId="77777777" w:rsidTr="00272DEA">
        <w:trPr>
          <w:trHeight w:val="489"/>
        </w:trPr>
        <w:tc>
          <w:tcPr>
            <w:tcW w:w="2241" w:type="pct"/>
          </w:tcPr>
          <w:p w14:paraId="55881DB9" w14:textId="77777777" w:rsidR="00493B5B" w:rsidRPr="009461CC" w:rsidRDefault="00493B5B" w:rsidP="00213810">
            <w:pPr>
              <w:spacing w:after="0" w:afterAutospacing="0" w:line="228" w:lineRule="auto"/>
              <w:jc w:val="both"/>
              <w:rPr>
                <w:spacing w:val="-5"/>
                <w:szCs w:val="24"/>
              </w:rPr>
            </w:pPr>
            <w:r>
              <w:rPr>
                <w:szCs w:val="24"/>
                <w:lang w:val="bg"/>
              </w:rPr>
              <w:t>SRN на производителя: US-MF-000002324</w:t>
            </w:r>
          </w:p>
        </w:tc>
        <w:tc>
          <w:tcPr>
            <w:tcW w:w="2759" w:type="pct"/>
          </w:tcPr>
          <w:p w14:paraId="61E93080" w14:textId="77777777" w:rsidR="00493B5B" w:rsidRPr="009461CC" w:rsidRDefault="00493B5B" w:rsidP="00213810">
            <w:pPr>
              <w:spacing w:after="0" w:afterAutospacing="0" w:line="228" w:lineRule="auto"/>
              <w:rPr>
                <w:szCs w:val="24"/>
              </w:rPr>
            </w:pPr>
            <w:r>
              <w:rPr>
                <w:szCs w:val="24"/>
                <w:lang w:val="bg"/>
              </w:rPr>
              <w:t>Наименование на производителя: Argon Medical Devices, Inc.</w:t>
            </w:r>
          </w:p>
        </w:tc>
      </w:tr>
      <w:tr w:rsidR="00493B5B" w:rsidRPr="009461CC" w14:paraId="03F91594" w14:textId="77777777" w:rsidTr="00272DEA">
        <w:trPr>
          <w:trHeight w:val="525"/>
        </w:trPr>
        <w:tc>
          <w:tcPr>
            <w:tcW w:w="2241" w:type="pct"/>
          </w:tcPr>
          <w:p w14:paraId="119B5A73" w14:textId="449F0644" w:rsidR="00493B5B" w:rsidRPr="009E1812" w:rsidRDefault="00493B5B" w:rsidP="00213810">
            <w:pPr>
              <w:spacing w:after="0" w:afterAutospacing="0" w:line="228" w:lineRule="auto"/>
              <w:jc w:val="both"/>
              <w:rPr>
                <w:spacing w:val="-2"/>
                <w:szCs w:val="24"/>
              </w:rPr>
            </w:pPr>
            <w:r>
              <w:rPr>
                <w:szCs w:val="24"/>
                <w:lang w:val="bg"/>
              </w:rPr>
              <w:t xml:space="preserve">Име и фамилия на лицето за контакт: </w:t>
            </w:r>
            <w:r w:rsidR="009E1812">
              <w:rPr>
                <w:szCs w:val="24"/>
              </w:rPr>
              <w:t>Scott Bishop (</w:t>
            </w:r>
            <w:r>
              <w:rPr>
                <w:szCs w:val="24"/>
                <w:lang w:val="bg"/>
              </w:rPr>
              <w:t>Скот Бишоп</w:t>
            </w:r>
            <w:r w:rsidR="009E1812">
              <w:rPr>
                <w:szCs w:val="24"/>
              </w:rPr>
              <w:t>)</w:t>
            </w:r>
          </w:p>
        </w:tc>
        <w:tc>
          <w:tcPr>
            <w:tcW w:w="2759" w:type="pct"/>
          </w:tcPr>
          <w:p w14:paraId="0FE9AF31" w14:textId="77777777" w:rsidR="00493B5B" w:rsidRPr="009461CC" w:rsidRDefault="00493B5B" w:rsidP="00213810">
            <w:pPr>
              <w:widowControl w:val="0"/>
              <w:autoSpaceDE w:val="0"/>
              <w:autoSpaceDN w:val="0"/>
              <w:spacing w:before="42" w:after="0" w:afterAutospacing="0" w:line="228" w:lineRule="auto"/>
              <w:rPr>
                <w:spacing w:val="-2"/>
                <w:szCs w:val="24"/>
              </w:rPr>
            </w:pPr>
            <w:r>
              <w:rPr>
                <w:szCs w:val="24"/>
                <w:lang w:val="bg"/>
              </w:rPr>
              <w:t>Имейл:</w:t>
            </w:r>
            <w:r>
              <w:rPr>
                <w:sz w:val="22"/>
                <w:lang w:val="bg"/>
              </w:rPr>
              <w:t xml:space="preserve"> </w:t>
            </w:r>
            <w:hyperlink r:id="rId11" w:history="1">
              <w:r>
                <w:rPr>
                  <w:color w:val="0563C1"/>
                  <w:szCs w:val="24"/>
                  <w:u w:val="single"/>
                  <w:lang w:val="bg"/>
                </w:rPr>
                <w:t>RegCompliance@argonmedical.com</w:t>
              </w:r>
            </w:hyperlink>
          </w:p>
          <w:p w14:paraId="12F2B43C" w14:textId="77777777" w:rsidR="00493B5B" w:rsidRPr="009461CC" w:rsidRDefault="00493B5B" w:rsidP="00213810">
            <w:pPr>
              <w:spacing w:after="0" w:afterAutospacing="0" w:line="228" w:lineRule="auto"/>
              <w:rPr>
                <w:szCs w:val="24"/>
              </w:rPr>
            </w:pPr>
          </w:p>
        </w:tc>
      </w:tr>
      <w:tr w:rsidR="00493B5B" w:rsidRPr="009461CC" w14:paraId="075079C3" w14:textId="77777777" w:rsidTr="00272DEA">
        <w:trPr>
          <w:trHeight w:val="525"/>
        </w:trPr>
        <w:tc>
          <w:tcPr>
            <w:tcW w:w="2241" w:type="pct"/>
          </w:tcPr>
          <w:p w14:paraId="05BD6F97" w14:textId="77777777" w:rsidR="00493B5B" w:rsidRPr="009461CC" w:rsidRDefault="00493B5B" w:rsidP="00213810">
            <w:pPr>
              <w:widowControl w:val="0"/>
              <w:autoSpaceDE w:val="0"/>
              <w:autoSpaceDN w:val="0"/>
              <w:spacing w:before="42" w:after="0" w:afterAutospacing="0" w:line="228" w:lineRule="auto"/>
              <w:rPr>
                <w:spacing w:val="-2"/>
                <w:szCs w:val="24"/>
              </w:rPr>
            </w:pPr>
            <w:r>
              <w:rPr>
                <w:szCs w:val="24"/>
                <w:lang w:val="bg"/>
              </w:rPr>
              <w:t>Телефонен номер: 903.675.9321</w:t>
            </w:r>
          </w:p>
        </w:tc>
        <w:tc>
          <w:tcPr>
            <w:tcW w:w="2759" w:type="pct"/>
          </w:tcPr>
          <w:p w14:paraId="260E0D3D" w14:textId="77777777" w:rsidR="001533A4" w:rsidRPr="009461CC" w:rsidRDefault="001533A4" w:rsidP="00213810">
            <w:pPr>
              <w:widowControl w:val="0"/>
              <w:autoSpaceDE w:val="0"/>
              <w:autoSpaceDN w:val="0"/>
              <w:spacing w:after="0" w:afterAutospacing="0" w:line="228" w:lineRule="auto"/>
              <w:rPr>
                <w:spacing w:val="-2"/>
                <w:szCs w:val="24"/>
              </w:rPr>
            </w:pPr>
            <w:r>
              <w:rPr>
                <w:szCs w:val="24"/>
                <w:lang w:val="bg"/>
              </w:rPr>
              <w:t>Адрес:</w:t>
            </w:r>
          </w:p>
          <w:p w14:paraId="041EA64B" w14:textId="77777777" w:rsidR="001533A4" w:rsidRPr="009461CC" w:rsidRDefault="001533A4" w:rsidP="00213810">
            <w:pPr>
              <w:widowControl w:val="0"/>
              <w:autoSpaceDE w:val="0"/>
              <w:autoSpaceDN w:val="0"/>
              <w:spacing w:after="0" w:afterAutospacing="0" w:line="228" w:lineRule="auto"/>
              <w:rPr>
                <w:spacing w:val="-2"/>
                <w:szCs w:val="24"/>
              </w:rPr>
            </w:pPr>
            <w:r>
              <w:rPr>
                <w:szCs w:val="24"/>
                <w:lang w:val="bg"/>
              </w:rPr>
              <w:t>1445 Flat Creek Rd.</w:t>
            </w:r>
          </w:p>
          <w:p w14:paraId="26DE4983" w14:textId="77777777" w:rsidR="001533A4" w:rsidRPr="009461CC" w:rsidRDefault="001533A4" w:rsidP="00213810">
            <w:pPr>
              <w:widowControl w:val="0"/>
              <w:autoSpaceDE w:val="0"/>
              <w:autoSpaceDN w:val="0"/>
              <w:spacing w:after="0" w:afterAutospacing="0" w:line="228" w:lineRule="auto"/>
              <w:rPr>
                <w:spacing w:val="-2"/>
                <w:szCs w:val="24"/>
              </w:rPr>
            </w:pPr>
            <w:r>
              <w:rPr>
                <w:szCs w:val="24"/>
                <w:lang w:val="bg"/>
              </w:rPr>
              <w:t>Athens, Texas 75751</w:t>
            </w:r>
          </w:p>
          <w:p w14:paraId="586DCCA3" w14:textId="38B6FE42" w:rsidR="00493B5B" w:rsidRPr="009461CC" w:rsidRDefault="001533A4" w:rsidP="00213810">
            <w:pPr>
              <w:widowControl w:val="0"/>
              <w:autoSpaceDE w:val="0"/>
              <w:autoSpaceDN w:val="0"/>
              <w:spacing w:after="0" w:afterAutospacing="0" w:line="228" w:lineRule="auto"/>
              <w:rPr>
                <w:spacing w:val="-2"/>
                <w:szCs w:val="24"/>
              </w:rPr>
            </w:pPr>
            <w:r>
              <w:rPr>
                <w:szCs w:val="24"/>
                <w:lang w:val="bg"/>
              </w:rPr>
              <w:t>САЩ</w:t>
            </w:r>
          </w:p>
        </w:tc>
      </w:tr>
    </w:tbl>
    <w:p w14:paraId="2E5002E8" w14:textId="77777777" w:rsidR="00D20FA4" w:rsidRPr="009461CC" w:rsidRDefault="00D20FA4" w:rsidP="00213810">
      <w:pPr>
        <w:spacing w:after="0" w:afterAutospacing="0" w:line="228" w:lineRule="auto"/>
        <w:ind w:left="1440"/>
        <w:rPr>
          <w:rFonts w:cs="Times New Roman"/>
        </w:rPr>
      </w:pPr>
    </w:p>
    <w:p w14:paraId="1CFB1B57" w14:textId="4BD4E170" w:rsidR="009855C3" w:rsidRPr="009461CC" w:rsidRDefault="00887E5D" w:rsidP="00213810">
      <w:pPr>
        <w:pStyle w:val="Heading1"/>
        <w:spacing w:line="228" w:lineRule="auto"/>
        <w:rPr>
          <w:rFonts w:cs="Times New Roman"/>
        </w:rPr>
      </w:pPr>
      <w:bookmarkStart w:id="5" w:name="_Toc222741189"/>
      <w:r>
        <w:rPr>
          <w:rFonts w:cs="Times New Roman"/>
          <w:bCs/>
          <w:lang w:val="bg"/>
        </w:rPr>
        <w:t>Наименование и SRN на упълномощен представител:</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213810">
            <w:pPr>
              <w:spacing w:after="0" w:afterAutospacing="0" w:line="228" w:lineRule="auto"/>
              <w:jc w:val="center"/>
              <w:rPr>
                <w:b/>
                <w:bCs/>
                <w:szCs w:val="24"/>
              </w:rPr>
            </w:pPr>
            <w:r>
              <w:rPr>
                <w:b/>
                <w:bCs/>
                <w:szCs w:val="24"/>
                <w:lang w:val="bg"/>
              </w:rPr>
              <w:t>Информация за упълномощен представител</w:t>
            </w:r>
          </w:p>
        </w:tc>
      </w:tr>
      <w:tr w:rsidR="008A210D" w:rsidRPr="009461CC" w14:paraId="486856D5" w14:textId="77777777" w:rsidTr="00272DEA">
        <w:trPr>
          <w:trHeight w:val="489"/>
        </w:trPr>
        <w:tc>
          <w:tcPr>
            <w:tcW w:w="2241" w:type="pct"/>
          </w:tcPr>
          <w:p w14:paraId="5FC8645E" w14:textId="77777777" w:rsidR="008A210D" w:rsidRPr="009461CC" w:rsidRDefault="008A210D" w:rsidP="00213810">
            <w:pPr>
              <w:spacing w:after="0" w:afterAutospacing="0" w:line="228" w:lineRule="auto"/>
              <w:jc w:val="both"/>
              <w:rPr>
                <w:spacing w:val="-5"/>
                <w:szCs w:val="24"/>
              </w:rPr>
            </w:pPr>
            <w:r>
              <w:rPr>
                <w:szCs w:val="24"/>
                <w:lang w:val="bg"/>
              </w:rPr>
              <w:t>SRN: NL-AR-000000116</w:t>
            </w:r>
          </w:p>
        </w:tc>
        <w:tc>
          <w:tcPr>
            <w:tcW w:w="2759" w:type="pct"/>
          </w:tcPr>
          <w:p w14:paraId="25BF63FC" w14:textId="77777777" w:rsidR="008A210D" w:rsidRPr="009461CC" w:rsidRDefault="008A210D" w:rsidP="00213810">
            <w:pPr>
              <w:widowControl w:val="0"/>
              <w:autoSpaceDE w:val="0"/>
              <w:autoSpaceDN w:val="0"/>
              <w:spacing w:before="119" w:after="0" w:afterAutospacing="0" w:line="228" w:lineRule="auto"/>
              <w:rPr>
                <w:bCs/>
                <w:szCs w:val="24"/>
              </w:rPr>
            </w:pPr>
            <w:r>
              <w:rPr>
                <w:szCs w:val="24"/>
                <w:lang w:val="bg"/>
              </w:rPr>
              <w:t>Име на организацията-упълномощен представител:</w:t>
            </w:r>
          </w:p>
          <w:p w14:paraId="3A6B7B5C" w14:textId="77777777" w:rsidR="008A210D" w:rsidRPr="009461CC" w:rsidRDefault="008A210D" w:rsidP="00213810">
            <w:pPr>
              <w:spacing w:after="0" w:afterAutospacing="0" w:line="228" w:lineRule="auto"/>
              <w:rPr>
                <w:szCs w:val="24"/>
              </w:rPr>
            </w:pPr>
            <w:r>
              <w:rPr>
                <w:szCs w:val="24"/>
                <w:lang w:val="bg"/>
              </w:rPr>
              <w:t>Emergo Europe</w:t>
            </w:r>
          </w:p>
        </w:tc>
      </w:tr>
      <w:tr w:rsidR="008A210D" w:rsidRPr="009461CC" w14:paraId="7AE34B46" w14:textId="77777777" w:rsidTr="00213810">
        <w:trPr>
          <w:trHeight w:val="431"/>
        </w:trPr>
        <w:tc>
          <w:tcPr>
            <w:tcW w:w="2241" w:type="pct"/>
          </w:tcPr>
          <w:p w14:paraId="65D7FE1F" w14:textId="77777777" w:rsidR="008A210D" w:rsidRPr="009461CC" w:rsidRDefault="008A210D" w:rsidP="00213810">
            <w:pPr>
              <w:spacing w:after="0" w:afterAutospacing="0" w:line="228" w:lineRule="auto"/>
              <w:jc w:val="both"/>
              <w:rPr>
                <w:spacing w:val="-2"/>
                <w:szCs w:val="24"/>
              </w:rPr>
            </w:pPr>
            <w:r>
              <w:rPr>
                <w:szCs w:val="24"/>
                <w:lang w:val="bg"/>
              </w:rPr>
              <w:t>Информация за контакт: Отдел за надзор</w:t>
            </w:r>
          </w:p>
        </w:tc>
        <w:tc>
          <w:tcPr>
            <w:tcW w:w="2759" w:type="pct"/>
          </w:tcPr>
          <w:p w14:paraId="2A3CD5D0" w14:textId="77777777" w:rsidR="008A210D" w:rsidRPr="009461CC" w:rsidRDefault="008A210D" w:rsidP="00213810">
            <w:pPr>
              <w:widowControl w:val="0"/>
              <w:autoSpaceDE w:val="0"/>
              <w:autoSpaceDN w:val="0"/>
              <w:spacing w:before="39" w:after="0" w:afterAutospacing="0" w:line="228" w:lineRule="auto"/>
              <w:rPr>
                <w:spacing w:val="-2"/>
                <w:szCs w:val="24"/>
              </w:rPr>
            </w:pPr>
            <w:r>
              <w:rPr>
                <w:szCs w:val="24"/>
                <w:lang w:val="bg"/>
              </w:rPr>
              <w:t xml:space="preserve">Имейл: </w:t>
            </w:r>
            <w:hyperlink r:id="rId12" w:history="1">
              <w:r>
                <w:rPr>
                  <w:color w:val="0563C1"/>
                  <w:szCs w:val="24"/>
                  <w:u w:val="single"/>
                  <w:lang w:val="bg"/>
                </w:rPr>
                <w:t>EmergoVigilance@ul.com</w:t>
              </w:r>
            </w:hyperlink>
          </w:p>
        </w:tc>
      </w:tr>
      <w:tr w:rsidR="008A210D" w:rsidRPr="009461CC" w14:paraId="0CB481FF" w14:textId="77777777" w:rsidTr="00272DEA">
        <w:trPr>
          <w:trHeight w:val="525"/>
        </w:trPr>
        <w:tc>
          <w:tcPr>
            <w:tcW w:w="2241" w:type="pct"/>
          </w:tcPr>
          <w:p w14:paraId="3652CFB2" w14:textId="77777777" w:rsidR="008A210D" w:rsidRPr="009461CC" w:rsidRDefault="008A210D" w:rsidP="00213810">
            <w:pPr>
              <w:widowControl w:val="0"/>
              <w:autoSpaceDE w:val="0"/>
              <w:autoSpaceDN w:val="0"/>
              <w:spacing w:before="42" w:after="0" w:afterAutospacing="0" w:line="228" w:lineRule="auto"/>
              <w:rPr>
                <w:spacing w:val="-2"/>
                <w:szCs w:val="24"/>
              </w:rPr>
            </w:pPr>
            <w:r>
              <w:rPr>
                <w:szCs w:val="24"/>
                <w:lang w:val="bg"/>
              </w:rPr>
              <w:t>Телефонен номер: +31.70.345.8570</w:t>
            </w:r>
          </w:p>
          <w:p w14:paraId="7CCBBDE7" w14:textId="739E5D21" w:rsidR="00A603C9" w:rsidRPr="009461CC" w:rsidRDefault="00A603C9" w:rsidP="00213810">
            <w:pPr>
              <w:widowControl w:val="0"/>
              <w:autoSpaceDE w:val="0"/>
              <w:autoSpaceDN w:val="0"/>
              <w:spacing w:before="42" w:after="0" w:afterAutospacing="0" w:line="228" w:lineRule="auto"/>
              <w:rPr>
                <w:spacing w:val="-2"/>
                <w:szCs w:val="24"/>
              </w:rPr>
            </w:pPr>
            <w:r>
              <w:rPr>
                <w:color w:val="000000"/>
                <w:szCs w:val="24"/>
                <w:lang w:val="bg"/>
              </w:rPr>
              <w:t>Факс:+31 (0)70 346 7299</w:t>
            </w:r>
          </w:p>
        </w:tc>
        <w:tc>
          <w:tcPr>
            <w:tcW w:w="2759" w:type="pct"/>
          </w:tcPr>
          <w:p w14:paraId="2F414254" w14:textId="77777777" w:rsidR="008A210D" w:rsidRPr="009461CC" w:rsidRDefault="008A210D" w:rsidP="00213810">
            <w:pPr>
              <w:widowControl w:val="0"/>
              <w:autoSpaceDE w:val="0"/>
              <w:autoSpaceDN w:val="0"/>
              <w:spacing w:after="0" w:afterAutospacing="0" w:line="228" w:lineRule="auto"/>
              <w:rPr>
                <w:spacing w:val="-2"/>
                <w:szCs w:val="24"/>
              </w:rPr>
            </w:pPr>
            <w:r>
              <w:rPr>
                <w:szCs w:val="24"/>
                <w:lang w:val="bg"/>
              </w:rPr>
              <w:t>Адрес</w:t>
            </w:r>
          </w:p>
          <w:p w14:paraId="759A4A48" w14:textId="77777777" w:rsidR="008A210D" w:rsidRPr="009461CC" w:rsidRDefault="008A210D" w:rsidP="00213810">
            <w:pPr>
              <w:widowControl w:val="0"/>
              <w:autoSpaceDE w:val="0"/>
              <w:autoSpaceDN w:val="0"/>
              <w:spacing w:after="0" w:afterAutospacing="0" w:line="228" w:lineRule="auto"/>
              <w:rPr>
                <w:spacing w:val="-2"/>
                <w:szCs w:val="24"/>
              </w:rPr>
            </w:pPr>
            <w:r>
              <w:rPr>
                <w:szCs w:val="24"/>
                <w:lang w:val="bg"/>
              </w:rPr>
              <w:t>Улица, номер:</w:t>
            </w:r>
            <w:r>
              <w:rPr>
                <w:sz w:val="22"/>
                <w:lang w:val="bg"/>
              </w:rPr>
              <w:t xml:space="preserve"> 60 </w:t>
            </w:r>
            <w:r>
              <w:rPr>
                <w:szCs w:val="24"/>
                <w:lang w:val="bg"/>
              </w:rPr>
              <w:t>Westervoortsedijk</w:t>
            </w:r>
          </w:p>
          <w:p w14:paraId="3B20AE15" w14:textId="77777777" w:rsidR="008A210D" w:rsidRPr="009461CC" w:rsidRDefault="008A210D" w:rsidP="00213810">
            <w:pPr>
              <w:widowControl w:val="0"/>
              <w:autoSpaceDE w:val="0"/>
              <w:autoSpaceDN w:val="0"/>
              <w:spacing w:after="0" w:afterAutospacing="0" w:line="228" w:lineRule="auto"/>
              <w:rPr>
                <w:spacing w:val="-2"/>
                <w:szCs w:val="24"/>
              </w:rPr>
            </w:pPr>
            <w:r>
              <w:rPr>
                <w:szCs w:val="24"/>
                <w:lang w:val="bg"/>
              </w:rPr>
              <w:t>Град: Arnhem</w:t>
            </w:r>
          </w:p>
          <w:p w14:paraId="6FC33444" w14:textId="77777777" w:rsidR="008A210D" w:rsidRPr="009461CC" w:rsidRDefault="008A210D" w:rsidP="00213810">
            <w:pPr>
              <w:widowControl w:val="0"/>
              <w:autoSpaceDE w:val="0"/>
              <w:autoSpaceDN w:val="0"/>
              <w:spacing w:after="0" w:afterAutospacing="0" w:line="228" w:lineRule="auto"/>
              <w:rPr>
                <w:spacing w:val="-2"/>
                <w:szCs w:val="24"/>
              </w:rPr>
            </w:pPr>
            <w:r>
              <w:rPr>
                <w:szCs w:val="24"/>
                <w:lang w:val="bg"/>
              </w:rPr>
              <w:t>Пощенски код: 6827 AT</w:t>
            </w:r>
          </w:p>
          <w:p w14:paraId="2EB91056" w14:textId="77777777" w:rsidR="008A210D" w:rsidRPr="009461CC" w:rsidRDefault="008A210D" w:rsidP="00213810">
            <w:pPr>
              <w:widowControl w:val="0"/>
              <w:autoSpaceDE w:val="0"/>
              <w:autoSpaceDN w:val="0"/>
              <w:spacing w:after="0" w:afterAutospacing="0" w:line="228" w:lineRule="auto"/>
              <w:rPr>
                <w:spacing w:val="-2"/>
                <w:szCs w:val="24"/>
              </w:rPr>
            </w:pPr>
            <w:r>
              <w:rPr>
                <w:szCs w:val="24"/>
                <w:lang w:val="bg"/>
              </w:rPr>
              <w:t>Държава: Нидерландия</w:t>
            </w:r>
          </w:p>
        </w:tc>
      </w:tr>
    </w:tbl>
    <w:p w14:paraId="1624A296" w14:textId="77777777" w:rsidR="009855C3" w:rsidRPr="009461CC" w:rsidRDefault="009855C3" w:rsidP="00213810">
      <w:pPr>
        <w:spacing w:after="0" w:afterAutospacing="0" w:line="228" w:lineRule="auto"/>
        <w:ind w:left="1440"/>
        <w:rPr>
          <w:rFonts w:cs="Times New Roman"/>
        </w:rPr>
      </w:pPr>
    </w:p>
    <w:p w14:paraId="6CE36BA3" w14:textId="7CA1720F" w:rsidR="006517A0" w:rsidRPr="009461CC" w:rsidRDefault="009855C3" w:rsidP="00213810">
      <w:pPr>
        <w:pStyle w:val="Heading1"/>
        <w:spacing w:line="228" w:lineRule="auto"/>
        <w:rPr>
          <w:rFonts w:cs="Times New Roman"/>
        </w:rPr>
      </w:pPr>
      <w:bookmarkStart w:id="6" w:name="_Toc222741190"/>
      <w:r>
        <w:rPr>
          <w:rFonts w:cs="Times New Roman"/>
          <w:bCs/>
          <w:lang w:val="bg"/>
        </w:rPr>
        <w:t>Име и единен идентификационен номер на нотифицирания орган</w:t>
      </w:r>
      <w:r w:rsidR="000514F4">
        <w:rPr>
          <w:rFonts w:cs="Times New Roman"/>
          <w:bCs/>
        </w:rPr>
        <w:t xml:space="preserve"> (NB)</w:t>
      </w:r>
      <w:r>
        <w:rPr>
          <w:rFonts w:cs="Times New Roman"/>
          <w:bCs/>
          <w:lang w:val="bg"/>
        </w:rPr>
        <w:t>:</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744"/>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213810">
            <w:pPr>
              <w:suppressAutoHyphens/>
              <w:spacing w:after="0" w:afterAutospacing="0" w:line="228" w:lineRule="auto"/>
              <w:jc w:val="center"/>
              <w:rPr>
                <w:rFonts w:cs="Times New Roman"/>
                <w:szCs w:val="24"/>
              </w:rPr>
            </w:pPr>
            <w:r>
              <w:rPr>
                <w:rFonts w:eastAsia="Times New Roman" w:cs="Times New Roman"/>
                <w:b/>
                <w:bCs/>
                <w:szCs w:val="24"/>
                <w:lang w:val="bg"/>
              </w:rPr>
              <w:t>Нотифициран орган</w:t>
            </w:r>
          </w:p>
        </w:tc>
      </w:tr>
      <w:tr w:rsidR="00272DEA" w:rsidRPr="009461CC" w14:paraId="0B814508" w14:textId="77777777" w:rsidTr="00213810">
        <w:trPr>
          <w:trHeight w:val="350"/>
          <w:jc w:val="center"/>
        </w:trPr>
        <w:tc>
          <w:tcPr>
            <w:tcW w:w="1767" w:type="pct"/>
          </w:tcPr>
          <w:p w14:paraId="49157CDC" w14:textId="77777777" w:rsidR="003074B3" w:rsidRPr="009461CC" w:rsidRDefault="003074B3" w:rsidP="00213810">
            <w:pPr>
              <w:suppressAutoHyphens/>
              <w:spacing w:after="0" w:afterAutospacing="0" w:line="228" w:lineRule="auto"/>
              <w:ind w:left="150"/>
              <w:rPr>
                <w:rFonts w:eastAsia="Times New Roman" w:cs="Times New Roman"/>
                <w:bCs/>
                <w:szCs w:val="24"/>
              </w:rPr>
            </w:pPr>
            <w:r>
              <w:rPr>
                <w:rFonts w:eastAsia="Times New Roman" w:cs="Times New Roman"/>
                <w:szCs w:val="24"/>
                <w:lang w:val="bg"/>
              </w:rPr>
              <w:t>Име:</w:t>
            </w:r>
          </w:p>
        </w:tc>
        <w:tc>
          <w:tcPr>
            <w:tcW w:w="3233" w:type="pct"/>
          </w:tcPr>
          <w:p w14:paraId="5863E627" w14:textId="77777777" w:rsidR="003074B3" w:rsidRPr="009461CC" w:rsidRDefault="003074B3" w:rsidP="00213810">
            <w:pPr>
              <w:suppressAutoHyphens/>
              <w:spacing w:after="0" w:afterAutospacing="0" w:line="228" w:lineRule="auto"/>
              <w:rPr>
                <w:rFonts w:eastAsia="Times New Roman" w:cs="Times New Roman"/>
                <w:bCs/>
                <w:szCs w:val="24"/>
              </w:rPr>
            </w:pPr>
            <w:r>
              <w:rPr>
                <w:rFonts w:cs="Times New Roman"/>
                <w:szCs w:val="24"/>
                <w:lang w:val="bg"/>
              </w:rPr>
              <w:t>The British Standards Institution (BSI) Group the Netherlands B.V.</w:t>
            </w:r>
          </w:p>
        </w:tc>
      </w:tr>
      <w:tr w:rsidR="003074B3" w:rsidRPr="009461CC" w14:paraId="65281175" w14:textId="77777777" w:rsidTr="00213810">
        <w:trPr>
          <w:trHeight w:val="728"/>
          <w:jc w:val="center"/>
        </w:trPr>
        <w:tc>
          <w:tcPr>
            <w:tcW w:w="1767" w:type="pct"/>
          </w:tcPr>
          <w:p w14:paraId="7941F5BB" w14:textId="77777777" w:rsidR="003074B3" w:rsidRPr="009461CC" w:rsidRDefault="003074B3" w:rsidP="00213810">
            <w:pPr>
              <w:suppressAutoHyphens/>
              <w:spacing w:after="0" w:afterAutospacing="0" w:line="228" w:lineRule="auto"/>
              <w:ind w:left="150"/>
              <w:contextualSpacing/>
              <w:rPr>
                <w:rFonts w:eastAsia="Times New Roman" w:cs="Times New Roman"/>
                <w:bCs/>
                <w:szCs w:val="24"/>
              </w:rPr>
            </w:pPr>
            <w:r>
              <w:rPr>
                <w:rFonts w:eastAsia="Times New Roman" w:cs="Times New Roman"/>
                <w:szCs w:val="24"/>
                <w:lang w:val="bg"/>
              </w:rPr>
              <w:t>Адрес:</w:t>
            </w:r>
          </w:p>
        </w:tc>
        <w:tc>
          <w:tcPr>
            <w:tcW w:w="3233" w:type="pct"/>
          </w:tcPr>
          <w:p w14:paraId="727CFF1E" w14:textId="77777777" w:rsidR="003074B3" w:rsidRPr="009461CC" w:rsidRDefault="003074B3" w:rsidP="00213810">
            <w:pPr>
              <w:suppressAutoHyphens/>
              <w:spacing w:after="0" w:afterAutospacing="0" w:line="228" w:lineRule="auto"/>
              <w:contextualSpacing/>
              <w:rPr>
                <w:rFonts w:eastAsia="Times New Roman" w:cs="Times New Roman"/>
                <w:bCs/>
                <w:szCs w:val="24"/>
              </w:rPr>
            </w:pPr>
            <w:r>
              <w:rPr>
                <w:rFonts w:eastAsia="Times New Roman" w:cs="Times New Roman"/>
                <w:szCs w:val="24"/>
                <w:lang w:val="bg"/>
              </w:rPr>
              <w:t>John M. Keynesplein 9</w:t>
            </w:r>
          </w:p>
          <w:p w14:paraId="4054093A" w14:textId="77777777" w:rsidR="003074B3" w:rsidRPr="009461CC" w:rsidRDefault="003074B3" w:rsidP="00213810">
            <w:pPr>
              <w:suppressAutoHyphens/>
              <w:spacing w:after="0" w:afterAutospacing="0" w:line="228" w:lineRule="auto"/>
              <w:contextualSpacing/>
              <w:rPr>
                <w:rFonts w:eastAsia="Times New Roman" w:cs="Times New Roman"/>
                <w:bCs/>
                <w:szCs w:val="24"/>
              </w:rPr>
            </w:pPr>
            <w:r>
              <w:rPr>
                <w:rFonts w:eastAsia="Times New Roman" w:cs="Times New Roman"/>
                <w:szCs w:val="24"/>
                <w:lang w:val="bg"/>
              </w:rPr>
              <w:t>1066 EP Amsterdam</w:t>
            </w:r>
          </w:p>
          <w:p w14:paraId="72F2BC20" w14:textId="77777777" w:rsidR="003074B3" w:rsidRPr="009461CC" w:rsidRDefault="003074B3" w:rsidP="00213810">
            <w:pPr>
              <w:suppressAutoHyphens/>
              <w:spacing w:after="0" w:afterAutospacing="0" w:line="228" w:lineRule="auto"/>
              <w:contextualSpacing/>
              <w:rPr>
                <w:rFonts w:eastAsia="Times New Roman" w:cs="Times New Roman"/>
                <w:bCs/>
                <w:szCs w:val="24"/>
              </w:rPr>
            </w:pPr>
            <w:r>
              <w:rPr>
                <w:rFonts w:eastAsia="Times New Roman" w:cs="Times New Roman"/>
                <w:szCs w:val="24"/>
                <w:lang w:val="bg"/>
              </w:rPr>
              <w:t xml:space="preserve"> Нидерландия</w:t>
            </w:r>
          </w:p>
        </w:tc>
      </w:tr>
      <w:tr w:rsidR="003074B3" w:rsidRPr="009461CC" w14:paraId="7A858549" w14:textId="77777777" w:rsidTr="00213810">
        <w:trPr>
          <w:trHeight w:val="351"/>
          <w:jc w:val="center"/>
        </w:trPr>
        <w:tc>
          <w:tcPr>
            <w:tcW w:w="1767" w:type="pct"/>
          </w:tcPr>
          <w:p w14:paraId="4D329CD4" w14:textId="77777777" w:rsidR="003074B3" w:rsidRPr="009461CC" w:rsidRDefault="003074B3" w:rsidP="00213810">
            <w:pPr>
              <w:suppressAutoHyphens/>
              <w:spacing w:after="0" w:afterAutospacing="0" w:line="228" w:lineRule="auto"/>
              <w:ind w:left="150"/>
              <w:contextualSpacing/>
              <w:rPr>
                <w:rFonts w:eastAsia="Times New Roman" w:cs="Times New Roman"/>
                <w:bCs/>
                <w:szCs w:val="24"/>
              </w:rPr>
            </w:pPr>
            <w:r>
              <w:rPr>
                <w:rFonts w:eastAsia="Times New Roman" w:cs="Times New Roman"/>
                <w:szCs w:val="24"/>
                <w:lang w:val="bg"/>
              </w:rPr>
              <w:t>Уебсайт:</w:t>
            </w:r>
          </w:p>
        </w:tc>
        <w:tc>
          <w:tcPr>
            <w:tcW w:w="3233" w:type="pct"/>
          </w:tcPr>
          <w:p w14:paraId="29B75D5D" w14:textId="77777777" w:rsidR="003074B3" w:rsidRPr="009461CC" w:rsidRDefault="003074B3" w:rsidP="00213810">
            <w:pPr>
              <w:suppressAutoHyphens/>
              <w:spacing w:after="0" w:afterAutospacing="0" w:line="228" w:lineRule="auto"/>
              <w:contextualSpacing/>
              <w:rPr>
                <w:rFonts w:eastAsia="Times New Roman" w:cs="Times New Roman"/>
                <w:bCs/>
                <w:szCs w:val="24"/>
              </w:rPr>
            </w:pPr>
            <w:hyperlink r:id="rId13" w:history="1">
              <w:r>
                <w:rPr>
                  <w:rFonts w:eastAsia="Times New Roman" w:cs="Times New Roman"/>
                  <w:color w:val="0000FF"/>
                  <w:szCs w:val="24"/>
                  <w:u w:val="single"/>
                  <w:lang w:val="bg"/>
                </w:rPr>
                <w:t>www.bsigroup.com</w:t>
              </w:r>
            </w:hyperlink>
            <w:r>
              <w:rPr>
                <w:rFonts w:eastAsia="Times New Roman" w:cs="Times New Roman"/>
                <w:szCs w:val="24"/>
                <w:lang w:val="bg"/>
              </w:rPr>
              <w:t xml:space="preserve"> </w:t>
            </w:r>
          </w:p>
        </w:tc>
      </w:tr>
      <w:tr w:rsidR="003074B3" w:rsidRPr="009461CC" w14:paraId="242654B6" w14:textId="77777777" w:rsidTr="00213810">
        <w:trPr>
          <w:trHeight w:val="355"/>
          <w:jc w:val="center"/>
        </w:trPr>
        <w:tc>
          <w:tcPr>
            <w:tcW w:w="1767" w:type="pct"/>
          </w:tcPr>
          <w:p w14:paraId="6F572CD0" w14:textId="77777777" w:rsidR="003074B3" w:rsidRPr="009461CC" w:rsidRDefault="003074B3" w:rsidP="00213810">
            <w:pPr>
              <w:suppressAutoHyphens/>
              <w:spacing w:after="0" w:afterAutospacing="0" w:line="228" w:lineRule="auto"/>
              <w:ind w:left="150"/>
              <w:rPr>
                <w:rFonts w:eastAsia="Times New Roman" w:cs="Times New Roman"/>
                <w:bCs/>
                <w:szCs w:val="24"/>
              </w:rPr>
            </w:pPr>
            <w:r>
              <w:rPr>
                <w:rFonts w:eastAsia="Times New Roman" w:cs="Times New Roman"/>
                <w:szCs w:val="24"/>
                <w:lang w:val="bg"/>
              </w:rPr>
              <w:t>Тел.:</w:t>
            </w:r>
          </w:p>
        </w:tc>
        <w:tc>
          <w:tcPr>
            <w:tcW w:w="3233" w:type="pct"/>
          </w:tcPr>
          <w:p w14:paraId="7E5F2BF5" w14:textId="77777777" w:rsidR="003074B3" w:rsidRPr="009461CC" w:rsidRDefault="003074B3" w:rsidP="00213810">
            <w:pPr>
              <w:suppressAutoHyphens/>
              <w:spacing w:after="0" w:afterAutospacing="0" w:line="228" w:lineRule="auto"/>
              <w:rPr>
                <w:rFonts w:eastAsia="Times New Roman" w:cs="Times New Roman"/>
                <w:bCs/>
                <w:szCs w:val="24"/>
              </w:rPr>
            </w:pPr>
            <w:r>
              <w:rPr>
                <w:rFonts w:eastAsia="Times New Roman" w:cs="Times New Roman"/>
                <w:szCs w:val="24"/>
                <w:lang w:val="bg"/>
              </w:rPr>
              <w:t>+31 (0)20 346 07 80</w:t>
            </w:r>
          </w:p>
        </w:tc>
      </w:tr>
      <w:tr w:rsidR="003074B3" w:rsidRPr="009461CC" w14:paraId="3445789F" w14:textId="77777777" w:rsidTr="00213810">
        <w:trPr>
          <w:trHeight w:val="355"/>
          <w:jc w:val="center"/>
        </w:trPr>
        <w:tc>
          <w:tcPr>
            <w:tcW w:w="1767" w:type="pct"/>
          </w:tcPr>
          <w:p w14:paraId="6D8C8396" w14:textId="77777777" w:rsidR="003074B3" w:rsidRPr="009461CC" w:rsidRDefault="003074B3" w:rsidP="00213810">
            <w:pPr>
              <w:suppressAutoHyphens/>
              <w:spacing w:after="0" w:afterAutospacing="0" w:line="228" w:lineRule="auto"/>
              <w:ind w:left="150"/>
              <w:rPr>
                <w:rFonts w:eastAsia="Times New Roman" w:cs="Times New Roman"/>
                <w:bCs/>
                <w:szCs w:val="24"/>
              </w:rPr>
            </w:pPr>
            <w:r>
              <w:rPr>
                <w:rFonts w:eastAsia="Times New Roman" w:cs="Times New Roman"/>
                <w:szCs w:val="24"/>
                <w:lang w:val="bg"/>
              </w:rPr>
              <w:t>Факс:</w:t>
            </w:r>
          </w:p>
        </w:tc>
        <w:tc>
          <w:tcPr>
            <w:tcW w:w="3233" w:type="pct"/>
          </w:tcPr>
          <w:p w14:paraId="42A0F78B" w14:textId="77777777" w:rsidR="003074B3" w:rsidRPr="009461CC" w:rsidRDefault="003074B3" w:rsidP="00213810">
            <w:pPr>
              <w:suppressAutoHyphens/>
              <w:spacing w:after="0" w:afterAutospacing="0" w:line="228" w:lineRule="auto"/>
              <w:rPr>
                <w:rFonts w:eastAsia="Times New Roman" w:cs="Times New Roman"/>
                <w:bCs/>
                <w:szCs w:val="24"/>
              </w:rPr>
            </w:pPr>
            <w:r>
              <w:rPr>
                <w:rFonts w:eastAsia="Times New Roman" w:cs="Times New Roman"/>
                <w:szCs w:val="24"/>
                <w:lang w:val="bg"/>
              </w:rPr>
              <w:t>+31 (0)20 346 07 81</w:t>
            </w:r>
          </w:p>
        </w:tc>
      </w:tr>
      <w:tr w:rsidR="003074B3" w:rsidRPr="009461CC" w14:paraId="108563A6" w14:textId="77777777" w:rsidTr="00213810">
        <w:trPr>
          <w:trHeight w:val="350"/>
          <w:jc w:val="center"/>
        </w:trPr>
        <w:tc>
          <w:tcPr>
            <w:tcW w:w="1767" w:type="pct"/>
          </w:tcPr>
          <w:p w14:paraId="68313F88" w14:textId="4477C50F" w:rsidR="003074B3" w:rsidRPr="000514F4" w:rsidRDefault="003074B3" w:rsidP="00213810">
            <w:pPr>
              <w:tabs>
                <w:tab w:val="left" w:pos="3150"/>
              </w:tabs>
              <w:suppressAutoHyphens/>
              <w:spacing w:after="0" w:afterAutospacing="0" w:line="228" w:lineRule="auto"/>
              <w:rPr>
                <w:rFonts w:eastAsia="Times New Roman" w:cs="Times New Roman"/>
                <w:bCs/>
                <w:szCs w:val="24"/>
              </w:rPr>
            </w:pPr>
            <w:r>
              <w:rPr>
                <w:rFonts w:eastAsia="Times New Roman" w:cs="Times New Roman"/>
                <w:szCs w:val="24"/>
                <w:lang w:val="bg"/>
              </w:rPr>
              <w:t>Номер на нотифицирания орган:</w:t>
            </w:r>
          </w:p>
        </w:tc>
        <w:tc>
          <w:tcPr>
            <w:tcW w:w="3233" w:type="pct"/>
          </w:tcPr>
          <w:p w14:paraId="445F2118" w14:textId="77777777" w:rsidR="003074B3" w:rsidRPr="009461CC" w:rsidRDefault="003074B3" w:rsidP="00213810">
            <w:pPr>
              <w:tabs>
                <w:tab w:val="left" w:pos="3150"/>
              </w:tabs>
              <w:suppressAutoHyphens/>
              <w:spacing w:after="0" w:afterAutospacing="0" w:line="228" w:lineRule="auto"/>
              <w:ind w:left="150"/>
              <w:rPr>
                <w:rFonts w:eastAsia="Times New Roman" w:cs="Times New Roman"/>
                <w:bCs/>
                <w:szCs w:val="24"/>
              </w:rPr>
            </w:pPr>
            <w:r>
              <w:rPr>
                <w:rFonts w:eastAsia="Times New Roman" w:cs="Times New Roman"/>
                <w:szCs w:val="24"/>
                <w:lang w:val="bg"/>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58CA8111" w:rsidR="00AA2E04" w:rsidRPr="009461CC" w:rsidRDefault="00AA2E04" w:rsidP="00213810">
      <w:pPr>
        <w:pStyle w:val="Heading1"/>
        <w:numPr>
          <w:ilvl w:val="0"/>
          <w:numId w:val="2"/>
        </w:numPr>
        <w:spacing w:line="228" w:lineRule="auto"/>
        <w:rPr>
          <w:rFonts w:cs="Times New Roman"/>
        </w:rPr>
      </w:pPr>
      <w:bookmarkStart w:id="7" w:name="_Toc222741191"/>
      <w:r>
        <w:rPr>
          <w:rFonts w:cs="Times New Roman"/>
          <w:bCs/>
          <w:lang w:val="bg"/>
        </w:rPr>
        <w:t>Предназначение/предвидена употреба на изделието</w:t>
      </w:r>
      <w:bookmarkEnd w:id="7"/>
      <w:r>
        <w:rPr>
          <w:rFonts w:cs="Times New Roman"/>
          <w:bCs/>
          <w:lang w:val="bg"/>
        </w:rPr>
        <w:t xml:space="preserve"> </w:t>
      </w:r>
    </w:p>
    <w:p w14:paraId="48603D86" w14:textId="3BAB4A94" w:rsidR="00D104AC" w:rsidRPr="009461CC" w:rsidRDefault="00D104AC" w:rsidP="00213810">
      <w:pPr>
        <w:spacing w:after="0" w:afterAutospacing="0" w:line="228" w:lineRule="auto"/>
        <w:ind w:left="360"/>
        <w:rPr>
          <w:rFonts w:cs="Times New Roman"/>
        </w:rPr>
      </w:pPr>
      <w:r>
        <w:rPr>
          <w:rFonts w:cs="Times New Roman"/>
          <w:lang w:val="bg"/>
        </w:rPr>
        <w:t>Референции:</w:t>
      </w:r>
    </w:p>
    <w:p w14:paraId="5CC3EE9B" w14:textId="41CFB53A" w:rsidR="00042B91" w:rsidRPr="00213810" w:rsidRDefault="00FE5B73" w:rsidP="00213810">
      <w:pPr>
        <w:spacing w:after="0" w:afterAutospacing="0" w:line="228" w:lineRule="auto"/>
        <w:rPr>
          <w:rFonts w:cs="Times New Roman"/>
          <w:lang w:val="pt-BR"/>
        </w:rPr>
      </w:pPr>
      <w:r>
        <w:rPr>
          <w:rFonts w:cs="Times New Roman"/>
          <w:lang w:val="bg"/>
        </w:rPr>
        <w:t xml:space="preserve">Референтни номера: X9585730-0321-EU, </w:t>
      </w:r>
      <w:r w:rsidR="003A3F2F" w:rsidRPr="00213810">
        <w:rPr>
          <w:rFonts w:cs="Times New Roman"/>
          <w:lang w:val="pt-BR"/>
        </w:rPr>
        <w:t>Rev</w:t>
      </w:r>
      <w:r>
        <w:rPr>
          <w:rFonts w:cs="Times New Roman"/>
          <w:lang w:val="bg"/>
        </w:rPr>
        <w:t>. A</w:t>
      </w:r>
    </w:p>
    <w:p w14:paraId="1254EE9F" w14:textId="77777777" w:rsidR="00FE5B73" w:rsidRPr="00213810" w:rsidRDefault="00FE5B73" w:rsidP="00213810">
      <w:pPr>
        <w:spacing w:after="0" w:afterAutospacing="0" w:line="228" w:lineRule="auto"/>
        <w:rPr>
          <w:rFonts w:cs="Times New Roman"/>
          <w:lang w:val="pt-BR"/>
        </w:rPr>
      </w:pPr>
    </w:p>
    <w:p w14:paraId="39A6DB15" w14:textId="58ED6DAB" w:rsidR="006F0810" w:rsidRPr="009461CC" w:rsidRDefault="00B7112F" w:rsidP="00213810">
      <w:pPr>
        <w:pStyle w:val="Heading1"/>
        <w:spacing w:line="228" w:lineRule="auto"/>
        <w:rPr>
          <w:rFonts w:cs="Times New Roman"/>
        </w:rPr>
      </w:pPr>
      <w:r>
        <w:rPr>
          <w:rFonts w:cs="Times New Roman"/>
          <w:bCs/>
          <w:lang w:val="bg"/>
        </w:rPr>
        <w:t xml:space="preserve"> </w:t>
      </w:r>
      <w:bookmarkStart w:id="8" w:name="_Toc222741192"/>
      <w:r>
        <w:rPr>
          <w:rFonts w:cs="Times New Roman"/>
          <w:bCs/>
          <w:lang w:val="bg"/>
        </w:rPr>
        <w:t>Предназначение/предвидена употреба</w:t>
      </w:r>
      <w:bookmarkEnd w:id="8"/>
    </w:p>
    <w:p w14:paraId="5F55F24F" w14:textId="20556298" w:rsidR="009B569A" w:rsidRPr="009461CC" w:rsidRDefault="00B82FB3" w:rsidP="00213810">
      <w:pPr>
        <w:spacing w:line="228" w:lineRule="auto"/>
        <w:rPr>
          <w:rFonts w:cs="Times New Roman"/>
          <w:shd w:val="clear" w:color="auto" w:fill="FFFFFF"/>
        </w:rPr>
      </w:pPr>
      <w:r>
        <w:rPr>
          <w:rFonts w:cs="Times New Roman"/>
          <w:shd w:val="clear" w:color="auto" w:fill="FFFFFF"/>
          <w:lang w:val="bg"/>
        </w:rPr>
        <w:t>Предназначен за употреба в сърдечносъдовата система или кухи органи с цел извличане и манипулиран на чужди тела.</w:t>
      </w:r>
    </w:p>
    <w:p w14:paraId="0540FB4C" w14:textId="6BE36C7A" w:rsidR="006F0810" w:rsidRPr="009461CC" w:rsidRDefault="006F0810" w:rsidP="00213810">
      <w:pPr>
        <w:pStyle w:val="Heading1"/>
        <w:spacing w:line="228" w:lineRule="auto"/>
        <w:rPr>
          <w:rFonts w:cs="Times New Roman"/>
        </w:rPr>
      </w:pPr>
      <w:bookmarkStart w:id="9" w:name="_Toc222741193"/>
      <w:r>
        <w:rPr>
          <w:rFonts w:cs="Times New Roman"/>
          <w:bCs/>
          <w:lang w:val="bg"/>
        </w:rPr>
        <w:t>Показания</w:t>
      </w:r>
      <w:bookmarkEnd w:id="9"/>
    </w:p>
    <w:p w14:paraId="24ADD508" w14:textId="77777777" w:rsidR="00235AAE" w:rsidRPr="00790DE3" w:rsidRDefault="00235AAE" w:rsidP="00213810">
      <w:pPr>
        <w:widowControl w:val="0"/>
        <w:spacing w:line="228" w:lineRule="auto"/>
        <w:rPr>
          <w:rFonts w:cs="Times New Roman"/>
          <w:lang w:val="bg"/>
        </w:rPr>
      </w:pPr>
      <w:r>
        <w:rPr>
          <w:rFonts w:cs="Times New Roman"/>
          <w:lang w:val="bg"/>
        </w:rPr>
        <w:lastRenderedPageBreak/>
        <w:t>Предназначен за употреба в сърдечносъдовата система или кухи органи с цел извличане и манипулиране на чужди тела. Манипулационните процедури включват поставяне на венозен катетър при преместване, поставяне на венозен катетър при премахване на фибринова обвивка, и централен венозен достъп при осигуряване на съдействие за осъществяване на процедура за венозна пункция.</w:t>
      </w:r>
    </w:p>
    <w:p w14:paraId="498EAE44" w14:textId="77777777" w:rsidR="00D20FA4" w:rsidRPr="009461CC" w:rsidRDefault="00D20FA4" w:rsidP="00213810">
      <w:pPr>
        <w:pStyle w:val="Heading1"/>
        <w:spacing w:line="228" w:lineRule="auto"/>
        <w:rPr>
          <w:rFonts w:cs="Times New Roman"/>
        </w:rPr>
      </w:pPr>
      <w:bookmarkStart w:id="10" w:name="_Toc222741194"/>
      <w:r>
        <w:rPr>
          <w:rFonts w:cs="Times New Roman"/>
          <w:bCs/>
          <w:lang w:val="bg"/>
        </w:rPr>
        <w:t>Целева популация</w:t>
      </w:r>
      <w:bookmarkEnd w:id="10"/>
    </w:p>
    <w:p w14:paraId="099A3585" w14:textId="77777777" w:rsidR="003B70D7" w:rsidRPr="009461CC" w:rsidRDefault="003B70D7" w:rsidP="00213810">
      <w:pPr>
        <w:pStyle w:val="pf0"/>
        <w:widowControl w:val="0"/>
        <w:spacing w:before="0" w:beforeAutospacing="0" w:after="0" w:afterAutospacing="0" w:line="228" w:lineRule="auto"/>
      </w:pPr>
      <w:r>
        <w:rPr>
          <w:lang w:val="bg"/>
        </w:rPr>
        <w:t>Възрастни пациенти, включително възрастни хора, независимо от пол, раса или етническа принадлежност.</w:t>
      </w:r>
    </w:p>
    <w:p w14:paraId="3621B4F1" w14:textId="77777777" w:rsidR="003B70D7" w:rsidRPr="009461CC" w:rsidRDefault="003B70D7" w:rsidP="00213810">
      <w:pPr>
        <w:pStyle w:val="pf0"/>
        <w:widowControl w:val="0"/>
        <w:spacing w:before="0" w:beforeAutospacing="0" w:after="0" w:afterAutospacing="0" w:line="228" w:lineRule="auto"/>
      </w:pPr>
    </w:p>
    <w:p w14:paraId="28F544BD" w14:textId="4F93A450" w:rsidR="006F0810" w:rsidRPr="009461CC" w:rsidRDefault="006F0810" w:rsidP="00213810">
      <w:pPr>
        <w:pStyle w:val="Heading1"/>
        <w:spacing w:line="228" w:lineRule="auto"/>
        <w:rPr>
          <w:rFonts w:cs="Times New Roman"/>
        </w:rPr>
      </w:pPr>
      <w:bookmarkStart w:id="11" w:name="_Toc222741195"/>
      <w:r>
        <w:rPr>
          <w:rFonts w:cs="Times New Roman"/>
          <w:bCs/>
          <w:lang w:val="bg"/>
        </w:rPr>
        <w:t>Противопоказания</w:t>
      </w:r>
      <w:bookmarkEnd w:id="11"/>
    </w:p>
    <w:p w14:paraId="169E24EB" w14:textId="77777777" w:rsidR="00AA3502" w:rsidRPr="009461CC" w:rsidRDefault="00AA3502" w:rsidP="00213810">
      <w:pPr>
        <w:pStyle w:val="ListParagraph"/>
        <w:numPr>
          <w:ilvl w:val="0"/>
          <w:numId w:val="31"/>
        </w:numPr>
        <w:spacing w:after="0" w:afterAutospacing="0" w:line="228" w:lineRule="auto"/>
        <w:jc w:val="both"/>
        <w:rPr>
          <w:rFonts w:eastAsia="Times New Roman" w:cs="Times New Roman"/>
        </w:rPr>
      </w:pPr>
      <w:r>
        <w:rPr>
          <w:rFonts w:cs="Times New Roman"/>
          <w:color w:val="000000"/>
          <w:lang w:val="bg"/>
        </w:rPr>
        <w:t>Това изделие не е предназначено за отстраняване на чужди тела, попаднали в тъканен растеж</w:t>
      </w:r>
      <w:r>
        <w:rPr>
          <w:rFonts w:cs="Times New Roman"/>
          <w:color w:val="4472C4" w:themeColor="accent1"/>
          <w:lang w:val="bg"/>
        </w:rPr>
        <w:t>.</w:t>
      </w:r>
    </w:p>
    <w:p w14:paraId="4BFB00B8" w14:textId="77777777" w:rsidR="00AA3502" w:rsidRPr="009461CC" w:rsidRDefault="00AA3502" w:rsidP="00213810">
      <w:pPr>
        <w:pStyle w:val="ListParagraph"/>
        <w:numPr>
          <w:ilvl w:val="0"/>
          <w:numId w:val="31"/>
        </w:numPr>
        <w:spacing w:after="0" w:afterAutospacing="0" w:line="228" w:lineRule="auto"/>
        <w:jc w:val="both"/>
        <w:rPr>
          <w:rFonts w:eastAsia="Times New Roman" w:cs="Times New Roman"/>
        </w:rPr>
      </w:pPr>
      <w:r>
        <w:rPr>
          <w:rFonts w:eastAsia="Times New Roman" w:cs="Times New Roman"/>
          <w:lang w:val="bg"/>
        </w:rPr>
        <w:t>Изделието не трябва да се използва за отстраняване на фибринова обвивка при наличие на септални дефекти на отворен форамен овале.</w:t>
      </w:r>
    </w:p>
    <w:p w14:paraId="77577945" w14:textId="77777777" w:rsidR="00AA3502" w:rsidRPr="009461CC" w:rsidRDefault="00AA3502" w:rsidP="00213810">
      <w:pPr>
        <w:pStyle w:val="ListParagraph"/>
        <w:numPr>
          <w:ilvl w:val="0"/>
          <w:numId w:val="31"/>
        </w:numPr>
        <w:spacing w:after="0" w:afterAutospacing="0" w:line="228" w:lineRule="auto"/>
        <w:jc w:val="both"/>
        <w:rPr>
          <w:rFonts w:eastAsia="Times New Roman" w:cs="Times New Roman"/>
        </w:rPr>
      </w:pPr>
      <w:r>
        <w:rPr>
          <w:rFonts w:eastAsia="Times New Roman" w:cs="Times New Roman"/>
          <w:lang w:val="bg"/>
        </w:rPr>
        <w:t>Това изделие не е предназначено за отстраняване на имплантирани пейсмейкърни електроди.</w:t>
      </w:r>
    </w:p>
    <w:p w14:paraId="764D1032" w14:textId="77777777" w:rsidR="00761873" w:rsidRPr="009461CC" w:rsidRDefault="00761873" w:rsidP="00213810">
      <w:pPr>
        <w:pStyle w:val="ListParagraph"/>
        <w:spacing w:after="0" w:afterAutospacing="0" w:line="228" w:lineRule="auto"/>
        <w:ind w:left="1440"/>
        <w:rPr>
          <w:rFonts w:cs="Times New Roman"/>
        </w:rPr>
      </w:pPr>
    </w:p>
    <w:p w14:paraId="0A9D601E" w14:textId="53FB771D" w:rsidR="00760400" w:rsidRPr="009461CC" w:rsidRDefault="00D20FA4" w:rsidP="00213810">
      <w:pPr>
        <w:pStyle w:val="Heading1"/>
        <w:numPr>
          <w:ilvl w:val="0"/>
          <w:numId w:val="2"/>
        </w:numPr>
        <w:spacing w:line="228" w:lineRule="auto"/>
        <w:rPr>
          <w:rFonts w:cs="Times New Roman"/>
        </w:rPr>
      </w:pPr>
      <w:bookmarkStart w:id="12" w:name="_Toc222741196"/>
      <w:r>
        <w:rPr>
          <w:rFonts w:cs="Times New Roman"/>
          <w:bCs/>
          <w:lang w:val="bg"/>
        </w:rPr>
        <w:t>Описание на изделието</w:t>
      </w:r>
      <w:bookmarkEnd w:id="12"/>
    </w:p>
    <w:p w14:paraId="7115673A" w14:textId="77777777" w:rsidR="00042B91" w:rsidRPr="009461CC" w:rsidRDefault="00042B91" w:rsidP="00213810">
      <w:pPr>
        <w:spacing w:after="0" w:afterAutospacing="0" w:line="228" w:lineRule="auto"/>
        <w:rPr>
          <w:rFonts w:cs="Times New Roman"/>
        </w:rPr>
      </w:pPr>
    </w:p>
    <w:p w14:paraId="33649869" w14:textId="52085753" w:rsidR="00D20FA4" w:rsidRPr="009461CC" w:rsidRDefault="00D20FA4" w:rsidP="00213810">
      <w:pPr>
        <w:pStyle w:val="Heading1"/>
        <w:spacing w:line="228" w:lineRule="auto"/>
        <w:rPr>
          <w:rFonts w:cs="Times New Roman"/>
        </w:rPr>
      </w:pPr>
      <w:bookmarkStart w:id="13" w:name="_Toc222741197"/>
      <w:r>
        <w:rPr>
          <w:rFonts w:cs="Times New Roman"/>
          <w:bCs/>
          <w:lang w:val="bg"/>
        </w:rPr>
        <w:t>Описание на изделието</w:t>
      </w:r>
      <w:bookmarkEnd w:id="13"/>
      <w:r>
        <w:rPr>
          <w:rFonts w:cs="Times New Roman"/>
          <w:bCs/>
          <w:lang w:val="bg"/>
        </w:rPr>
        <w:t xml:space="preserve"> </w:t>
      </w:r>
    </w:p>
    <w:p w14:paraId="3DAFEC6E" w14:textId="3B6D369D" w:rsidR="00994DB9" w:rsidRPr="00790DE3" w:rsidRDefault="00994DB9" w:rsidP="00213810">
      <w:pPr>
        <w:spacing w:line="228" w:lineRule="auto"/>
        <w:rPr>
          <w:rFonts w:cs="Times New Roman"/>
          <w:lang w:val="bg"/>
        </w:rPr>
      </w:pPr>
      <w:bookmarkStart w:id="14" w:name="_Hlk169187630"/>
      <w:r>
        <w:rPr>
          <w:rFonts w:cs="Times New Roman"/>
          <w:lang w:val="bg"/>
        </w:rPr>
        <w:t>Комплектът съдова примка Atrieve™ Snare включва изделие за захващане с три предварително оформени примки, изградени от изключително еластичен нитинол и платина. Примките не са преплетени и могат да се плъзнат една спрямо друга. Примките на изделието за захващане могат да бъдат въведени в катетъра за доставка без риск от трайна деформация на изделието. Комплектът съдова примка Atrieve Snare включва също така катетър за доставка, въртяща се дръжка и интродюсер. Катетърът за доставка има рентгеноконтрастна маркерна лента на дисталния връх. Продуктът се предлага опакован в предпазен калъф. Изделието е предназначено за еднократна употреба и се доставя стерилно (етиленов оксид), готово за употреба.</w:t>
      </w:r>
    </w:p>
    <w:p w14:paraId="210E0750" w14:textId="72A43923" w:rsidR="00994DB9" w:rsidRPr="00790DE3" w:rsidRDefault="00994DB9" w:rsidP="00213810">
      <w:pPr>
        <w:spacing w:line="228" w:lineRule="auto"/>
        <w:rPr>
          <w:rFonts w:cs="Times New Roman"/>
          <w:lang w:val="bg"/>
        </w:rPr>
      </w:pPr>
      <w:r>
        <w:rPr>
          <w:rFonts w:cs="Times New Roman"/>
          <w:lang w:val="bg"/>
        </w:rPr>
        <w:t>Комплектът съдова примка Atrieve™ Snare се предлага в следните размери:</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2130EB4D" w:rsidR="00994DB9" w:rsidRPr="00425D62" w:rsidRDefault="00994DB9" w:rsidP="0022766F">
            <w:pPr>
              <w:widowControl w:val="0"/>
              <w:rPr>
                <w:rFonts w:cs="Times New Roman"/>
                <w:lang w:val="bg"/>
              </w:rPr>
            </w:pPr>
            <w:r>
              <w:rPr>
                <w:rFonts w:cs="Times New Roman"/>
                <w:lang w:val="bg"/>
              </w:rPr>
              <w:t>Диапазон на диаметъра на захващащата част</w:t>
            </w:r>
            <w:r w:rsidR="00425D62" w:rsidRPr="00213810">
              <w:rPr>
                <w:rFonts w:cs="Times New Roman"/>
                <w:lang w:val="bg"/>
              </w:rPr>
              <w:t xml:space="preserve"> </w:t>
            </w:r>
          </w:p>
        </w:tc>
        <w:tc>
          <w:tcPr>
            <w:tcW w:w="1274" w:type="pct"/>
          </w:tcPr>
          <w:p w14:paraId="2775F724" w14:textId="6CBFBEEA" w:rsidR="00994DB9" w:rsidRPr="00213810" w:rsidRDefault="00994DB9" w:rsidP="0022766F">
            <w:pPr>
              <w:widowControl w:val="0"/>
              <w:rPr>
                <w:rFonts w:cs="Times New Roman"/>
                <w:lang w:val="bg"/>
              </w:rPr>
            </w:pPr>
            <w:r>
              <w:rPr>
                <w:rFonts w:cs="Times New Roman"/>
                <w:lang w:val="bg"/>
              </w:rPr>
              <w:t>Дължина на захващащата част</w:t>
            </w:r>
            <w:r w:rsidR="00425D62" w:rsidRPr="00213810">
              <w:rPr>
                <w:rFonts w:cs="Times New Roman"/>
                <w:lang w:val="bg"/>
              </w:rPr>
              <w:t xml:space="preserve"> </w:t>
            </w:r>
          </w:p>
        </w:tc>
        <w:tc>
          <w:tcPr>
            <w:tcW w:w="1123" w:type="pct"/>
          </w:tcPr>
          <w:p w14:paraId="7396E037" w14:textId="77777777" w:rsidR="00994DB9" w:rsidRPr="009461CC" w:rsidRDefault="00994DB9" w:rsidP="0022766F">
            <w:pPr>
              <w:widowControl w:val="0"/>
              <w:rPr>
                <w:rFonts w:cs="Times New Roman"/>
              </w:rPr>
            </w:pPr>
            <w:r>
              <w:rPr>
                <w:rFonts w:cs="Times New Roman"/>
                <w:lang w:val="bg"/>
              </w:rPr>
              <w:t>Размер на въвеждащата част</w:t>
            </w:r>
          </w:p>
        </w:tc>
        <w:tc>
          <w:tcPr>
            <w:tcW w:w="1250" w:type="pct"/>
          </w:tcPr>
          <w:p w14:paraId="7E248A66" w14:textId="77777777" w:rsidR="00994DB9" w:rsidRPr="009461CC" w:rsidRDefault="00994DB9" w:rsidP="0022766F">
            <w:pPr>
              <w:widowControl w:val="0"/>
              <w:rPr>
                <w:rFonts w:cs="Times New Roman"/>
              </w:rPr>
            </w:pPr>
            <w:r>
              <w:rPr>
                <w:rFonts w:cs="Times New Roman"/>
                <w:lang w:val="bg"/>
              </w:rPr>
              <w:t>Дължина на катетъра</w:t>
            </w:r>
          </w:p>
        </w:tc>
      </w:tr>
      <w:tr w:rsidR="00994DB9" w:rsidRPr="009461CC" w14:paraId="41F89C56" w14:textId="77777777" w:rsidTr="0022766F">
        <w:tc>
          <w:tcPr>
            <w:tcW w:w="1354" w:type="pct"/>
          </w:tcPr>
          <w:p w14:paraId="20D41F97" w14:textId="77777777" w:rsidR="00994DB9" w:rsidRPr="009461CC" w:rsidRDefault="00994DB9" w:rsidP="0022766F">
            <w:pPr>
              <w:widowControl w:val="0"/>
              <w:rPr>
                <w:rFonts w:cs="Times New Roman"/>
              </w:rPr>
            </w:pPr>
            <w:r>
              <w:rPr>
                <w:rFonts w:cs="Times New Roman"/>
                <w:lang w:val="bg"/>
              </w:rPr>
              <w:t>2-4 mm</w:t>
            </w:r>
          </w:p>
        </w:tc>
        <w:tc>
          <w:tcPr>
            <w:tcW w:w="1274" w:type="pct"/>
          </w:tcPr>
          <w:p w14:paraId="04CC9EC1" w14:textId="77777777" w:rsidR="00994DB9" w:rsidRPr="009461CC" w:rsidRDefault="00994DB9" w:rsidP="0022766F">
            <w:pPr>
              <w:widowControl w:val="0"/>
              <w:rPr>
                <w:rFonts w:cs="Times New Roman"/>
              </w:rPr>
            </w:pPr>
            <w:r>
              <w:rPr>
                <w:rFonts w:cs="Times New Roman"/>
                <w:lang w:val="bg"/>
              </w:rPr>
              <w:t>175 cm</w:t>
            </w:r>
          </w:p>
        </w:tc>
        <w:tc>
          <w:tcPr>
            <w:tcW w:w="1123" w:type="pct"/>
          </w:tcPr>
          <w:p w14:paraId="38F2FCC0" w14:textId="77777777" w:rsidR="00994DB9" w:rsidRPr="009461CC" w:rsidRDefault="00994DB9" w:rsidP="0022766F">
            <w:pPr>
              <w:widowControl w:val="0"/>
              <w:rPr>
                <w:rFonts w:cs="Times New Roman"/>
              </w:rPr>
            </w:pPr>
            <w:r>
              <w:rPr>
                <w:rFonts w:cs="Times New Roman"/>
                <w:lang w:val="bg"/>
              </w:rPr>
              <w:t>3,2 F</w:t>
            </w:r>
          </w:p>
        </w:tc>
        <w:tc>
          <w:tcPr>
            <w:tcW w:w="1250" w:type="pct"/>
          </w:tcPr>
          <w:p w14:paraId="5CD712C9" w14:textId="77777777" w:rsidR="00994DB9" w:rsidRPr="009461CC" w:rsidRDefault="00994DB9" w:rsidP="0022766F">
            <w:pPr>
              <w:widowControl w:val="0"/>
              <w:rPr>
                <w:rFonts w:cs="Times New Roman"/>
              </w:rPr>
            </w:pPr>
            <w:r>
              <w:rPr>
                <w:rFonts w:cs="Times New Roman"/>
                <w:lang w:val="bg"/>
              </w:rPr>
              <w:t>150 cm</w:t>
            </w:r>
          </w:p>
        </w:tc>
      </w:tr>
      <w:tr w:rsidR="00994DB9" w:rsidRPr="009461CC" w14:paraId="5428D0A0" w14:textId="77777777" w:rsidTr="0022766F">
        <w:tc>
          <w:tcPr>
            <w:tcW w:w="1354" w:type="pct"/>
          </w:tcPr>
          <w:p w14:paraId="7992579F" w14:textId="77777777" w:rsidR="00994DB9" w:rsidRPr="009461CC" w:rsidRDefault="00994DB9" w:rsidP="0022766F">
            <w:pPr>
              <w:widowControl w:val="0"/>
              <w:rPr>
                <w:rFonts w:cs="Times New Roman"/>
              </w:rPr>
            </w:pPr>
            <w:r>
              <w:rPr>
                <w:rFonts w:cs="Times New Roman"/>
                <w:lang w:val="bg"/>
              </w:rPr>
              <w:t>4-8 mm</w:t>
            </w:r>
          </w:p>
        </w:tc>
        <w:tc>
          <w:tcPr>
            <w:tcW w:w="1274" w:type="pct"/>
          </w:tcPr>
          <w:p w14:paraId="7E385A6E" w14:textId="77777777" w:rsidR="00994DB9" w:rsidRPr="009461CC" w:rsidRDefault="00994DB9" w:rsidP="0022766F">
            <w:pPr>
              <w:widowControl w:val="0"/>
              <w:rPr>
                <w:rFonts w:cs="Times New Roman"/>
              </w:rPr>
            </w:pPr>
            <w:r>
              <w:rPr>
                <w:rFonts w:cs="Times New Roman"/>
                <w:lang w:val="bg"/>
              </w:rPr>
              <w:t>175 cm</w:t>
            </w:r>
          </w:p>
        </w:tc>
        <w:tc>
          <w:tcPr>
            <w:tcW w:w="1123" w:type="pct"/>
          </w:tcPr>
          <w:p w14:paraId="52F22EE9" w14:textId="77777777" w:rsidR="00994DB9" w:rsidRPr="009461CC" w:rsidRDefault="00994DB9" w:rsidP="0022766F">
            <w:pPr>
              <w:widowControl w:val="0"/>
              <w:rPr>
                <w:rFonts w:cs="Times New Roman"/>
              </w:rPr>
            </w:pPr>
            <w:r>
              <w:rPr>
                <w:rFonts w:cs="Times New Roman"/>
                <w:lang w:val="bg"/>
              </w:rPr>
              <w:t>3,2 F</w:t>
            </w:r>
          </w:p>
        </w:tc>
        <w:tc>
          <w:tcPr>
            <w:tcW w:w="1250" w:type="pct"/>
          </w:tcPr>
          <w:p w14:paraId="2FFE91B6" w14:textId="77777777" w:rsidR="00994DB9" w:rsidRPr="009461CC" w:rsidRDefault="00994DB9" w:rsidP="0022766F">
            <w:pPr>
              <w:widowControl w:val="0"/>
              <w:rPr>
                <w:rFonts w:cs="Times New Roman"/>
              </w:rPr>
            </w:pPr>
            <w:r>
              <w:rPr>
                <w:rFonts w:cs="Times New Roman"/>
                <w:lang w:val="bg"/>
              </w:rPr>
              <w:t>150 cm</w:t>
            </w:r>
          </w:p>
        </w:tc>
      </w:tr>
      <w:tr w:rsidR="00994DB9" w:rsidRPr="009461CC" w14:paraId="1CBE6E3D" w14:textId="77777777" w:rsidTr="0022766F">
        <w:tc>
          <w:tcPr>
            <w:tcW w:w="1354" w:type="pct"/>
          </w:tcPr>
          <w:p w14:paraId="3CD87E57" w14:textId="77777777" w:rsidR="00994DB9" w:rsidRPr="009461CC" w:rsidRDefault="00994DB9" w:rsidP="0022766F">
            <w:pPr>
              <w:widowControl w:val="0"/>
              <w:rPr>
                <w:rFonts w:cs="Times New Roman"/>
              </w:rPr>
            </w:pPr>
            <w:r>
              <w:rPr>
                <w:rFonts w:cs="Times New Roman"/>
                <w:lang w:val="bg"/>
              </w:rPr>
              <w:t>6-10 mm</w:t>
            </w:r>
          </w:p>
        </w:tc>
        <w:tc>
          <w:tcPr>
            <w:tcW w:w="1274" w:type="pct"/>
          </w:tcPr>
          <w:p w14:paraId="58739EE1" w14:textId="77777777" w:rsidR="00994DB9" w:rsidRPr="009461CC" w:rsidRDefault="00994DB9" w:rsidP="0022766F">
            <w:pPr>
              <w:widowControl w:val="0"/>
              <w:rPr>
                <w:rFonts w:cs="Times New Roman"/>
              </w:rPr>
            </w:pPr>
            <w:r>
              <w:rPr>
                <w:rFonts w:cs="Times New Roman"/>
                <w:lang w:val="bg"/>
              </w:rPr>
              <w:t>120 cm</w:t>
            </w:r>
          </w:p>
        </w:tc>
        <w:tc>
          <w:tcPr>
            <w:tcW w:w="1123" w:type="pct"/>
          </w:tcPr>
          <w:p w14:paraId="66A2FE52" w14:textId="77777777" w:rsidR="00994DB9" w:rsidRPr="009461CC" w:rsidRDefault="00994DB9" w:rsidP="0022766F">
            <w:pPr>
              <w:widowControl w:val="0"/>
              <w:rPr>
                <w:rFonts w:cs="Times New Roman"/>
              </w:rPr>
            </w:pPr>
            <w:r>
              <w:rPr>
                <w:rFonts w:cs="Times New Roman"/>
                <w:lang w:val="bg"/>
              </w:rPr>
              <w:t>6 F</w:t>
            </w:r>
          </w:p>
        </w:tc>
        <w:tc>
          <w:tcPr>
            <w:tcW w:w="1250" w:type="pct"/>
          </w:tcPr>
          <w:p w14:paraId="16036ECD" w14:textId="77777777" w:rsidR="00994DB9" w:rsidRPr="009461CC" w:rsidRDefault="00994DB9" w:rsidP="0022766F">
            <w:pPr>
              <w:widowControl w:val="0"/>
              <w:rPr>
                <w:rFonts w:cs="Times New Roman"/>
              </w:rPr>
            </w:pPr>
            <w:r>
              <w:rPr>
                <w:rFonts w:cs="Times New Roman"/>
                <w:lang w:val="bg"/>
              </w:rPr>
              <w:t>100 cm</w:t>
            </w:r>
          </w:p>
        </w:tc>
      </w:tr>
      <w:tr w:rsidR="00994DB9" w:rsidRPr="009461CC" w14:paraId="7137F3A0" w14:textId="77777777" w:rsidTr="0022766F">
        <w:tc>
          <w:tcPr>
            <w:tcW w:w="1354" w:type="pct"/>
          </w:tcPr>
          <w:p w14:paraId="5097E3BD" w14:textId="77777777" w:rsidR="00994DB9" w:rsidRPr="009461CC" w:rsidRDefault="00994DB9" w:rsidP="0022766F">
            <w:pPr>
              <w:widowControl w:val="0"/>
              <w:rPr>
                <w:rFonts w:cs="Times New Roman"/>
              </w:rPr>
            </w:pPr>
            <w:r>
              <w:rPr>
                <w:rFonts w:cs="Times New Roman"/>
                <w:lang w:val="bg"/>
              </w:rPr>
              <w:t>9-15 mm</w:t>
            </w:r>
          </w:p>
        </w:tc>
        <w:tc>
          <w:tcPr>
            <w:tcW w:w="1274" w:type="pct"/>
          </w:tcPr>
          <w:p w14:paraId="6E08B1BC" w14:textId="77777777" w:rsidR="00994DB9" w:rsidRPr="009461CC" w:rsidRDefault="00994DB9" w:rsidP="0022766F">
            <w:pPr>
              <w:widowControl w:val="0"/>
              <w:rPr>
                <w:rFonts w:cs="Times New Roman"/>
              </w:rPr>
            </w:pPr>
            <w:r>
              <w:rPr>
                <w:rFonts w:cs="Times New Roman"/>
                <w:lang w:val="bg"/>
              </w:rPr>
              <w:t>120 cm</w:t>
            </w:r>
          </w:p>
        </w:tc>
        <w:tc>
          <w:tcPr>
            <w:tcW w:w="1123" w:type="pct"/>
          </w:tcPr>
          <w:p w14:paraId="5E975E99" w14:textId="77777777" w:rsidR="00994DB9" w:rsidRPr="009461CC" w:rsidRDefault="00994DB9" w:rsidP="0022766F">
            <w:pPr>
              <w:widowControl w:val="0"/>
              <w:rPr>
                <w:rFonts w:cs="Times New Roman"/>
              </w:rPr>
            </w:pPr>
            <w:r>
              <w:rPr>
                <w:rFonts w:cs="Times New Roman"/>
                <w:lang w:val="bg"/>
              </w:rPr>
              <w:t>6 F</w:t>
            </w:r>
          </w:p>
        </w:tc>
        <w:tc>
          <w:tcPr>
            <w:tcW w:w="1250" w:type="pct"/>
          </w:tcPr>
          <w:p w14:paraId="70150399" w14:textId="77777777" w:rsidR="00994DB9" w:rsidRPr="009461CC" w:rsidRDefault="00994DB9" w:rsidP="0022766F">
            <w:pPr>
              <w:widowControl w:val="0"/>
              <w:rPr>
                <w:rFonts w:cs="Times New Roman"/>
              </w:rPr>
            </w:pPr>
            <w:r>
              <w:rPr>
                <w:rFonts w:cs="Times New Roman"/>
                <w:lang w:val="bg"/>
              </w:rPr>
              <w:t>100 cm</w:t>
            </w:r>
          </w:p>
        </w:tc>
      </w:tr>
      <w:tr w:rsidR="00994DB9" w:rsidRPr="009461CC" w14:paraId="6873E431" w14:textId="77777777" w:rsidTr="0022766F">
        <w:tc>
          <w:tcPr>
            <w:tcW w:w="1354" w:type="pct"/>
          </w:tcPr>
          <w:p w14:paraId="0A8A2276" w14:textId="77777777" w:rsidR="00994DB9" w:rsidRPr="009461CC" w:rsidRDefault="00994DB9" w:rsidP="0022766F">
            <w:pPr>
              <w:widowControl w:val="0"/>
              <w:rPr>
                <w:rFonts w:cs="Times New Roman"/>
              </w:rPr>
            </w:pPr>
            <w:r>
              <w:rPr>
                <w:rFonts w:cs="Times New Roman"/>
                <w:lang w:val="bg"/>
              </w:rPr>
              <w:t>12-20 mm</w:t>
            </w:r>
          </w:p>
        </w:tc>
        <w:tc>
          <w:tcPr>
            <w:tcW w:w="1274" w:type="pct"/>
          </w:tcPr>
          <w:p w14:paraId="7058BA8B" w14:textId="77777777" w:rsidR="00994DB9" w:rsidRPr="009461CC" w:rsidRDefault="00994DB9" w:rsidP="0022766F">
            <w:pPr>
              <w:widowControl w:val="0"/>
              <w:rPr>
                <w:rFonts w:cs="Times New Roman"/>
              </w:rPr>
            </w:pPr>
            <w:r>
              <w:rPr>
                <w:rFonts w:cs="Times New Roman"/>
                <w:lang w:val="bg"/>
              </w:rPr>
              <w:t>120 cm</w:t>
            </w:r>
          </w:p>
        </w:tc>
        <w:tc>
          <w:tcPr>
            <w:tcW w:w="1123" w:type="pct"/>
          </w:tcPr>
          <w:p w14:paraId="16F950BF" w14:textId="77777777" w:rsidR="00994DB9" w:rsidRPr="009461CC" w:rsidRDefault="00994DB9" w:rsidP="0022766F">
            <w:pPr>
              <w:widowControl w:val="0"/>
              <w:rPr>
                <w:rFonts w:cs="Times New Roman"/>
              </w:rPr>
            </w:pPr>
            <w:r>
              <w:rPr>
                <w:rFonts w:cs="Times New Roman"/>
                <w:lang w:val="bg"/>
              </w:rPr>
              <w:t>6 F</w:t>
            </w:r>
          </w:p>
        </w:tc>
        <w:tc>
          <w:tcPr>
            <w:tcW w:w="1250" w:type="pct"/>
          </w:tcPr>
          <w:p w14:paraId="759B78BD" w14:textId="77777777" w:rsidR="00994DB9" w:rsidRPr="009461CC" w:rsidRDefault="00994DB9" w:rsidP="0022766F">
            <w:pPr>
              <w:widowControl w:val="0"/>
              <w:rPr>
                <w:rFonts w:cs="Times New Roman"/>
              </w:rPr>
            </w:pPr>
            <w:r>
              <w:rPr>
                <w:rFonts w:cs="Times New Roman"/>
                <w:lang w:val="bg"/>
              </w:rPr>
              <w:t>100 cm</w:t>
            </w:r>
          </w:p>
        </w:tc>
      </w:tr>
      <w:tr w:rsidR="00994DB9" w:rsidRPr="009461CC" w14:paraId="52111BAB" w14:textId="77777777" w:rsidTr="0022766F">
        <w:tc>
          <w:tcPr>
            <w:tcW w:w="1354" w:type="pct"/>
          </w:tcPr>
          <w:p w14:paraId="41061D9E" w14:textId="77777777" w:rsidR="00994DB9" w:rsidRPr="009461CC" w:rsidRDefault="00994DB9" w:rsidP="0022766F">
            <w:pPr>
              <w:widowControl w:val="0"/>
              <w:rPr>
                <w:rFonts w:cs="Times New Roman"/>
              </w:rPr>
            </w:pPr>
            <w:r>
              <w:rPr>
                <w:rFonts w:cs="Times New Roman"/>
                <w:lang w:val="bg"/>
              </w:rPr>
              <w:t>18-30 mm</w:t>
            </w:r>
          </w:p>
        </w:tc>
        <w:tc>
          <w:tcPr>
            <w:tcW w:w="1274" w:type="pct"/>
          </w:tcPr>
          <w:p w14:paraId="22AB0CDE" w14:textId="77777777" w:rsidR="00994DB9" w:rsidRPr="009461CC" w:rsidRDefault="00994DB9" w:rsidP="0022766F">
            <w:pPr>
              <w:widowControl w:val="0"/>
              <w:rPr>
                <w:rFonts w:cs="Times New Roman"/>
              </w:rPr>
            </w:pPr>
            <w:r>
              <w:rPr>
                <w:rFonts w:cs="Times New Roman"/>
                <w:lang w:val="bg"/>
              </w:rPr>
              <w:t>120 cm</w:t>
            </w:r>
          </w:p>
        </w:tc>
        <w:tc>
          <w:tcPr>
            <w:tcW w:w="1123" w:type="pct"/>
          </w:tcPr>
          <w:p w14:paraId="17196BA8" w14:textId="77777777" w:rsidR="00994DB9" w:rsidRPr="009461CC" w:rsidRDefault="00994DB9" w:rsidP="0022766F">
            <w:pPr>
              <w:widowControl w:val="0"/>
              <w:rPr>
                <w:rFonts w:cs="Times New Roman"/>
              </w:rPr>
            </w:pPr>
            <w:r>
              <w:rPr>
                <w:rFonts w:cs="Times New Roman"/>
                <w:lang w:val="bg"/>
              </w:rPr>
              <w:t>7 F</w:t>
            </w:r>
          </w:p>
        </w:tc>
        <w:tc>
          <w:tcPr>
            <w:tcW w:w="1250" w:type="pct"/>
          </w:tcPr>
          <w:p w14:paraId="4543B8B0" w14:textId="77777777" w:rsidR="00994DB9" w:rsidRPr="009461CC" w:rsidRDefault="00994DB9" w:rsidP="0022766F">
            <w:pPr>
              <w:widowControl w:val="0"/>
              <w:rPr>
                <w:rFonts w:cs="Times New Roman"/>
              </w:rPr>
            </w:pPr>
            <w:r>
              <w:rPr>
                <w:rFonts w:cs="Times New Roman"/>
                <w:lang w:val="bg"/>
              </w:rPr>
              <w:t>100 cm</w:t>
            </w:r>
          </w:p>
        </w:tc>
      </w:tr>
      <w:tr w:rsidR="00994DB9" w:rsidRPr="009461CC" w14:paraId="3F7A77C7" w14:textId="77777777" w:rsidTr="0022766F">
        <w:tc>
          <w:tcPr>
            <w:tcW w:w="1354" w:type="pct"/>
          </w:tcPr>
          <w:p w14:paraId="755F3FE4" w14:textId="77777777" w:rsidR="00994DB9" w:rsidRPr="009461CC" w:rsidRDefault="00994DB9" w:rsidP="0022766F">
            <w:pPr>
              <w:widowControl w:val="0"/>
              <w:rPr>
                <w:rFonts w:cs="Times New Roman"/>
              </w:rPr>
            </w:pPr>
            <w:r>
              <w:rPr>
                <w:rFonts w:cs="Times New Roman"/>
                <w:lang w:val="bg"/>
              </w:rPr>
              <w:t>27-45 mm</w:t>
            </w:r>
          </w:p>
        </w:tc>
        <w:tc>
          <w:tcPr>
            <w:tcW w:w="1274" w:type="pct"/>
          </w:tcPr>
          <w:p w14:paraId="622306B0" w14:textId="77777777" w:rsidR="00994DB9" w:rsidRPr="009461CC" w:rsidRDefault="00994DB9" w:rsidP="0022766F">
            <w:pPr>
              <w:widowControl w:val="0"/>
              <w:rPr>
                <w:rFonts w:cs="Times New Roman"/>
              </w:rPr>
            </w:pPr>
            <w:r>
              <w:rPr>
                <w:rFonts w:cs="Times New Roman"/>
                <w:lang w:val="bg"/>
              </w:rPr>
              <w:t>120 cm</w:t>
            </w:r>
          </w:p>
        </w:tc>
        <w:tc>
          <w:tcPr>
            <w:tcW w:w="1123" w:type="pct"/>
          </w:tcPr>
          <w:p w14:paraId="74C46753" w14:textId="77777777" w:rsidR="00994DB9" w:rsidRPr="009461CC" w:rsidRDefault="00994DB9" w:rsidP="0022766F">
            <w:pPr>
              <w:widowControl w:val="0"/>
              <w:rPr>
                <w:rFonts w:cs="Times New Roman"/>
              </w:rPr>
            </w:pPr>
            <w:r>
              <w:rPr>
                <w:rFonts w:cs="Times New Roman"/>
                <w:lang w:val="bg"/>
              </w:rPr>
              <w:t>7 F</w:t>
            </w:r>
          </w:p>
        </w:tc>
        <w:tc>
          <w:tcPr>
            <w:tcW w:w="1250" w:type="pct"/>
          </w:tcPr>
          <w:p w14:paraId="2DBCCFBE" w14:textId="77777777" w:rsidR="00994DB9" w:rsidRPr="009461CC" w:rsidRDefault="00994DB9" w:rsidP="0022766F">
            <w:pPr>
              <w:widowControl w:val="0"/>
              <w:rPr>
                <w:rFonts w:cs="Times New Roman"/>
              </w:rPr>
            </w:pPr>
            <w:r>
              <w:rPr>
                <w:rFonts w:cs="Times New Roman"/>
                <w:lang w:val="bg"/>
              </w:rPr>
              <w:t>100 cm</w:t>
            </w:r>
          </w:p>
        </w:tc>
      </w:tr>
    </w:tbl>
    <w:p w14:paraId="5D27461E" w14:textId="77777777" w:rsidR="000F4DF1" w:rsidRPr="009461CC" w:rsidRDefault="000F4DF1" w:rsidP="00213810">
      <w:pPr>
        <w:spacing w:after="0" w:afterAutospacing="0" w:line="228" w:lineRule="auto"/>
        <w:rPr>
          <w:rFonts w:cs="Times New Roman"/>
        </w:rPr>
      </w:pPr>
    </w:p>
    <w:p w14:paraId="4C7769AE" w14:textId="77777777" w:rsidR="00D20FA4" w:rsidRPr="009461CC" w:rsidRDefault="00D20FA4" w:rsidP="00213810">
      <w:pPr>
        <w:pStyle w:val="Heading1"/>
        <w:spacing w:line="228" w:lineRule="auto"/>
        <w:rPr>
          <w:rFonts w:cs="Times New Roman"/>
        </w:rPr>
      </w:pPr>
      <w:bookmarkStart w:id="15" w:name="_Toc222741198"/>
      <w:bookmarkEnd w:id="14"/>
      <w:r>
        <w:rPr>
          <w:rFonts w:cs="Times New Roman"/>
          <w:bCs/>
          <w:lang w:val="bg"/>
        </w:rPr>
        <w:t>Предишни варианти и техните различия</w:t>
      </w:r>
      <w:bookmarkEnd w:id="15"/>
    </w:p>
    <w:p w14:paraId="060329F5" w14:textId="3AA8BB73" w:rsidR="00042B91" w:rsidRPr="009461CC" w:rsidRDefault="009D7E33" w:rsidP="00213810">
      <w:pPr>
        <w:spacing w:line="228" w:lineRule="auto"/>
        <w:ind w:left="792"/>
        <w:rPr>
          <w:rFonts w:cs="Times New Roman"/>
        </w:rPr>
      </w:pPr>
      <w:r>
        <w:rPr>
          <w:rFonts w:cs="Times New Roman"/>
          <w:lang w:val="bg"/>
        </w:rPr>
        <w:t>Този раздел не е приложим (Н/П).</w:t>
      </w:r>
    </w:p>
    <w:p w14:paraId="26363C05" w14:textId="77777777" w:rsidR="00760400" w:rsidRPr="009461CC" w:rsidRDefault="00760400" w:rsidP="00213810">
      <w:pPr>
        <w:pStyle w:val="Heading1"/>
        <w:spacing w:line="228" w:lineRule="auto"/>
        <w:rPr>
          <w:rFonts w:cs="Times New Roman"/>
        </w:rPr>
      </w:pPr>
      <w:bookmarkStart w:id="16" w:name="_Toc222741199"/>
      <w:r>
        <w:rPr>
          <w:rFonts w:cs="Times New Roman"/>
          <w:bCs/>
          <w:lang w:val="bg"/>
        </w:rPr>
        <w:t>Принадлежности, съвместими изделия и други продукти, използвани в комбинация</w:t>
      </w:r>
      <w:bookmarkEnd w:id="16"/>
    </w:p>
    <w:p w14:paraId="21F32064" w14:textId="614870B7" w:rsidR="00C02BC0" w:rsidRPr="009461CC" w:rsidRDefault="00C02BC0" w:rsidP="00213810">
      <w:pPr>
        <w:spacing w:after="0" w:afterAutospacing="0" w:line="228" w:lineRule="auto"/>
        <w:ind w:left="792"/>
        <w:rPr>
          <w:rFonts w:cs="Times New Roman"/>
        </w:rPr>
      </w:pPr>
      <w:r>
        <w:rPr>
          <w:rFonts w:cs="Times New Roman"/>
          <w:lang w:val="bg"/>
        </w:rPr>
        <w:t>Аксесоарите на комплекта съдова примка Atrieve Snare включват катетър за доставяне, интродюсер и дръжка за затягане (щифтово менгеме).</w:t>
      </w:r>
    </w:p>
    <w:p w14:paraId="45C0A245" w14:textId="61A622A4" w:rsidR="008745ED" w:rsidRPr="009461CC" w:rsidRDefault="008745ED" w:rsidP="00213810">
      <w:pPr>
        <w:pStyle w:val="Heading1"/>
        <w:numPr>
          <w:ilvl w:val="0"/>
          <w:numId w:val="2"/>
        </w:numPr>
        <w:spacing w:line="228" w:lineRule="auto"/>
        <w:rPr>
          <w:rFonts w:cs="Times New Roman"/>
        </w:rPr>
      </w:pPr>
      <w:bookmarkStart w:id="17" w:name="_Toc222741200"/>
      <w:r>
        <w:rPr>
          <w:rFonts w:cs="Times New Roman"/>
          <w:bCs/>
          <w:lang w:val="bg"/>
        </w:rPr>
        <w:lastRenderedPageBreak/>
        <w:t>Рискове и предупреждения</w:t>
      </w:r>
      <w:bookmarkEnd w:id="17"/>
    </w:p>
    <w:p w14:paraId="3D8BE6E3" w14:textId="77777777" w:rsidR="00042B91" w:rsidRPr="00213810" w:rsidRDefault="00042B91" w:rsidP="00213810">
      <w:pPr>
        <w:spacing w:after="0" w:afterAutospacing="0" w:line="228" w:lineRule="auto"/>
        <w:rPr>
          <w:rFonts w:cs="Times New Roman"/>
          <w:sz w:val="12"/>
          <w:szCs w:val="10"/>
        </w:rPr>
      </w:pPr>
    </w:p>
    <w:p w14:paraId="04F70349" w14:textId="6FD2DA8D" w:rsidR="008745ED" w:rsidRPr="009461CC" w:rsidRDefault="008745ED" w:rsidP="00213810">
      <w:pPr>
        <w:pStyle w:val="Heading1"/>
        <w:spacing w:line="228" w:lineRule="auto"/>
        <w:rPr>
          <w:rFonts w:cs="Times New Roman"/>
        </w:rPr>
      </w:pPr>
      <w:bookmarkStart w:id="18" w:name="_Toc222741201"/>
      <w:r>
        <w:rPr>
          <w:rFonts w:cs="Times New Roman"/>
          <w:bCs/>
          <w:lang w:val="bg"/>
        </w:rPr>
        <w:t>Остатъчни рискове и нежелани реакции</w:t>
      </w:r>
      <w:bookmarkEnd w:id="18"/>
    </w:p>
    <w:p w14:paraId="2F64097C" w14:textId="714703CA" w:rsidR="00D15BBE" w:rsidRPr="009461CC" w:rsidRDefault="00C64987" w:rsidP="00213810">
      <w:pPr>
        <w:spacing w:line="228" w:lineRule="auto"/>
        <w:ind w:left="792"/>
        <w:rPr>
          <w:rFonts w:cs="Times New Roman"/>
        </w:rPr>
      </w:pPr>
      <w:r>
        <w:rPr>
          <w:rFonts w:cs="Times New Roman"/>
          <w:lang w:val="bg"/>
        </w:rPr>
        <w:t xml:space="preserve">Съгласно RMR-0011, </w:t>
      </w:r>
      <w:r w:rsidR="004E6AE3">
        <w:rPr>
          <w:rFonts w:cs="Times New Roman"/>
        </w:rPr>
        <w:t>Rev</w:t>
      </w:r>
      <w:r>
        <w:rPr>
          <w:rFonts w:cs="Times New Roman"/>
          <w:lang w:val="bg"/>
        </w:rPr>
        <w:t xml:space="preserve">. H, е посочен следният профил на полза-риск за продукта: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982"/>
        <w:gridCol w:w="2340"/>
        <w:gridCol w:w="3415"/>
      </w:tblGrid>
      <w:tr w:rsidR="00453251" w:rsidRPr="009461CC" w14:paraId="15FC12E9" w14:textId="77777777" w:rsidTr="00213810">
        <w:trPr>
          <w:trHeight w:val="638"/>
        </w:trPr>
        <w:tc>
          <w:tcPr>
            <w:tcW w:w="1291" w:type="pct"/>
            <w:shd w:val="clear" w:color="auto" w:fill="BFBFBF"/>
            <w:vAlign w:val="center"/>
          </w:tcPr>
          <w:p w14:paraId="024816D8" w14:textId="77777777" w:rsidR="00453251" w:rsidRPr="009461CC" w:rsidRDefault="00453251" w:rsidP="00213810">
            <w:pPr>
              <w:pStyle w:val="TableHeading-Font10"/>
              <w:spacing w:line="216" w:lineRule="auto"/>
              <w:rPr>
                <w:rFonts w:ascii="Times New Roman" w:hAnsi="Times New Roman" w:cs="Times New Roman"/>
              </w:rPr>
            </w:pPr>
            <w:r>
              <w:rPr>
                <w:rFonts w:ascii="Times New Roman" w:hAnsi="Times New Roman" w:cs="Times New Roman"/>
                <w:lang w:val="bg"/>
              </w:rPr>
              <w:t>Резултат</w:t>
            </w:r>
            <w:bookmarkStart w:id="19" w:name="_Toc86391902"/>
            <w:bookmarkEnd w:id="19"/>
          </w:p>
        </w:tc>
        <w:tc>
          <w:tcPr>
            <w:tcW w:w="950" w:type="pct"/>
            <w:shd w:val="clear" w:color="auto" w:fill="BFBFBF"/>
          </w:tcPr>
          <w:p w14:paraId="22A108AE" w14:textId="77777777" w:rsidR="00453251" w:rsidRPr="009461CC" w:rsidRDefault="00453251" w:rsidP="00213810">
            <w:pPr>
              <w:pStyle w:val="TableHeading-Font10"/>
              <w:spacing w:line="216" w:lineRule="auto"/>
              <w:rPr>
                <w:rFonts w:ascii="Times New Roman" w:hAnsi="Times New Roman" w:cs="Times New Roman"/>
              </w:rPr>
            </w:pPr>
            <w:r>
              <w:rPr>
                <w:rFonts w:ascii="Times New Roman" w:hAnsi="Times New Roman" w:cs="Times New Roman"/>
                <w:lang w:val="bg"/>
              </w:rPr>
              <w:t>Най-съвременните технологии (SOA)</w:t>
            </w:r>
            <w:r>
              <w:rPr>
                <w:rFonts w:ascii="Times New Roman" w:hAnsi="Times New Roman" w:cs="Times New Roman"/>
                <w:lang w:val="bg"/>
              </w:rPr>
              <w:br/>
              <w:t>Общ обхват</w:t>
            </w:r>
          </w:p>
        </w:tc>
        <w:tc>
          <w:tcPr>
            <w:tcW w:w="1122" w:type="pct"/>
            <w:shd w:val="clear" w:color="auto" w:fill="BFBFBF"/>
            <w:vAlign w:val="center"/>
          </w:tcPr>
          <w:p w14:paraId="16D6B523" w14:textId="77777777" w:rsidR="00453251" w:rsidRPr="009461CC" w:rsidRDefault="00453251" w:rsidP="00213810">
            <w:pPr>
              <w:pStyle w:val="TableHeading-Font10"/>
              <w:spacing w:line="216" w:lineRule="auto"/>
              <w:rPr>
                <w:rFonts w:ascii="Times New Roman" w:hAnsi="Times New Roman" w:cs="Times New Roman"/>
              </w:rPr>
            </w:pPr>
            <w:r>
              <w:rPr>
                <w:rFonts w:ascii="Times New Roman" w:hAnsi="Times New Roman" w:cs="Times New Roman"/>
                <w:lang w:val="bg"/>
              </w:rPr>
              <w:t>Конкурентни изделия</w:t>
            </w:r>
          </w:p>
          <w:p w14:paraId="45EFB37E" w14:textId="77777777" w:rsidR="00453251" w:rsidRPr="009461CC" w:rsidRDefault="00453251" w:rsidP="00213810">
            <w:pPr>
              <w:pStyle w:val="TableHeading-Font10"/>
              <w:spacing w:line="216" w:lineRule="auto"/>
              <w:rPr>
                <w:rFonts w:ascii="Times New Roman" w:hAnsi="Times New Roman" w:cs="Times New Roman"/>
              </w:rPr>
            </w:pPr>
            <w:r>
              <w:rPr>
                <w:rFonts w:ascii="Times New Roman" w:hAnsi="Times New Roman" w:cs="Times New Roman"/>
                <w:lang w:val="bg"/>
              </w:rPr>
              <w:t>Общ обхват</w:t>
            </w:r>
            <w:bookmarkStart w:id="20" w:name="_Toc86391905"/>
            <w:bookmarkEnd w:id="20"/>
          </w:p>
        </w:tc>
        <w:tc>
          <w:tcPr>
            <w:tcW w:w="1637" w:type="pct"/>
            <w:shd w:val="clear" w:color="auto" w:fill="BFBFBF"/>
            <w:vAlign w:val="center"/>
          </w:tcPr>
          <w:p w14:paraId="17C5AFF5" w14:textId="77777777" w:rsidR="00453251" w:rsidRPr="009461CC" w:rsidRDefault="00453251" w:rsidP="00213810">
            <w:pPr>
              <w:pStyle w:val="TableHeading-Font10"/>
              <w:spacing w:line="216" w:lineRule="auto"/>
              <w:rPr>
                <w:rFonts w:ascii="Times New Roman" w:hAnsi="Times New Roman" w:cs="Times New Roman"/>
              </w:rPr>
            </w:pPr>
            <w:r>
              <w:rPr>
                <w:rFonts w:ascii="Times New Roman" w:hAnsi="Times New Roman" w:cs="Times New Roman"/>
                <w:lang w:val="bg"/>
              </w:rPr>
              <w:t>Критерии за приемане</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213810">
            <w:pPr>
              <w:pStyle w:val="TableTextLeft"/>
              <w:spacing w:line="216" w:lineRule="auto"/>
              <w:rPr>
                <w:rFonts w:ascii="Times New Roman" w:hAnsi="Times New Roman" w:cs="Times New Roman"/>
                <w:b/>
                <w:bCs/>
              </w:rPr>
            </w:pPr>
            <w:r>
              <w:rPr>
                <w:rFonts w:ascii="Times New Roman" w:hAnsi="Times New Roman" w:cs="Times New Roman"/>
                <w:b/>
                <w:bCs/>
                <w:iCs w:val="0"/>
                <w:lang w:val="bg"/>
              </w:rPr>
              <w:t>Безопасност</w:t>
            </w:r>
          </w:p>
        </w:tc>
      </w:tr>
      <w:tr w:rsidR="00453251" w:rsidRPr="009461CC" w14:paraId="2ECEC40D" w14:textId="77777777" w:rsidTr="00213810">
        <w:tc>
          <w:tcPr>
            <w:tcW w:w="1291" w:type="pct"/>
          </w:tcPr>
          <w:p w14:paraId="01C3E100" w14:textId="77777777" w:rsidR="00453251" w:rsidRPr="009461CC" w:rsidRDefault="00453251" w:rsidP="00213810">
            <w:pPr>
              <w:pStyle w:val="TableTextLeft"/>
              <w:spacing w:line="216" w:lineRule="auto"/>
              <w:rPr>
                <w:rFonts w:ascii="Times New Roman" w:hAnsi="Times New Roman" w:cs="Times New Roman"/>
              </w:rPr>
            </w:pPr>
            <w:r>
              <w:rPr>
                <w:rFonts w:ascii="Times New Roman" w:hAnsi="Times New Roman" w:cs="Times New Roman"/>
                <w:iCs w:val="0"/>
                <w:lang w:val="bg"/>
              </w:rPr>
              <w:t>Кървене</w:t>
            </w:r>
            <w:bookmarkStart w:id="23" w:name="_Toc86391910"/>
            <w:bookmarkEnd w:id="23"/>
          </w:p>
        </w:tc>
        <w:tc>
          <w:tcPr>
            <w:tcW w:w="950" w:type="pct"/>
            <w:vAlign w:val="center"/>
          </w:tcPr>
          <w:p w14:paraId="529B6FA7" w14:textId="77777777" w:rsidR="00453251" w:rsidRPr="009461CC" w:rsidRDefault="00453251" w:rsidP="00213810">
            <w:pPr>
              <w:pStyle w:val="TableTextLeft"/>
              <w:spacing w:line="216" w:lineRule="auto"/>
              <w:jc w:val="center"/>
              <w:rPr>
                <w:rFonts w:ascii="Times New Roman" w:hAnsi="Times New Roman" w:cs="Times New Roman"/>
                <w:iCs w:val="0"/>
              </w:rPr>
            </w:pPr>
            <w:r>
              <w:rPr>
                <w:rFonts w:ascii="Times New Roman" w:hAnsi="Times New Roman" w:cs="Times New Roman"/>
                <w:iCs w:val="0"/>
                <w:lang w:val="bg"/>
              </w:rPr>
              <w:t>0-3%</w:t>
            </w:r>
          </w:p>
        </w:tc>
        <w:tc>
          <w:tcPr>
            <w:tcW w:w="1122" w:type="pct"/>
            <w:vAlign w:val="center"/>
          </w:tcPr>
          <w:p w14:paraId="30172B6B" w14:textId="77777777" w:rsidR="00453251" w:rsidRPr="009461CC" w:rsidRDefault="00453251" w:rsidP="00213810">
            <w:pPr>
              <w:pStyle w:val="TableTextLeft"/>
              <w:spacing w:line="216" w:lineRule="auto"/>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bg"/>
              </w:rPr>
              <w:t>0-0,6%</w:t>
            </w:r>
          </w:p>
        </w:tc>
        <w:tc>
          <w:tcPr>
            <w:tcW w:w="1637" w:type="pct"/>
            <w:vAlign w:val="center"/>
          </w:tcPr>
          <w:p w14:paraId="03E978DF" w14:textId="77777777" w:rsidR="00453251" w:rsidRPr="009461CC" w:rsidRDefault="00453251" w:rsidP="00213810">
            <w:pPr>
              <w:pStyle w:val="TableTextLeft"/>
              <w:spacing w:line="216" w:lineRule="auto"/>
              <w:rPr>
                <w:rFonts w:ascii="Times New Roman" w:hAnsi="Times New Roman" w:cs="Times New Roman"/>
              </w:rPr>
            </w:pPr>
            <w:bookmarkStart w:id="26" w:name="_Toc86391914"/>
            <w:bookmarkEnd w:id="26"/>
            <w:r>
              <w:rPr>
                <w:rFonts w:ascii="Times New Roman" w:hAnsi="Times New Roman" w:cs="Times New Roman"/>
                <w:iCs w:val="0"/>
                <w:lang w:val="bg"/>
              </w:rPr>
              <w:t xml:space="preserve">Честота на кървене </w:t>
            </w:r>
            <w:r>
              <w:rPr>
                <w:rFonts w:ascii="Times New Roman" w:hAnsi="Times New Roman" w:cs="Times New Roman"/>
                <w:b/>
                <w:bCs/>
                <w:iCs w:val="0"/>
                <w:lang w:val="bg"/>
              </w:rPr>
              <w:t>под 3%</w:t>
            </w:r>
          </w:p>
        </w:tc>
        <w:bookmarkStart w:id="27" w:name="_Toc86391915"/>
        <w:bookmarkEnd w:id="27"/>
      </w:tr>
      <w:tr w:rsidR="00453251" w:rsidRPr="009461CC" w14:paraId="770200CA" w14:textId="77777777" w:rsidTr="00213810">
        <w:tc>
          <w:tcPr>
            <w:tcW w:w="1291" w:type="pct"/>
          </w:tcPr>
          <w:p w14:paraId="4D43F3AC" w14:textId="77777777" w:rsidR="00453251" w:rsidRPr="009461CC" w:rsidRDefault="00453251" w:rsidP="00213810">
            <w:pPr>
              <w:pStyle w:val="TableTextLeft"/>
              <w:spacing w:line="216" w:lineRule="auto"/>
              <w:rPr>
                <w:rFonts w:ascii="Times New Roman" w:eastAsia="MS Mincho" w:hAnsi="Times New Roman" w:cs="Times New Roman"/>
              </w:rPr>
            </w:pPr>
            <w:r>
              <w:rPr>
                <w:rFonts w:ascii="Times New Roman" w:hAnsi="Times New Roman" w:cs="Times New Roman"/>
                <w:iCs w:val="0"/>
                <w:lang w:val="bg"/>
              </w:rPr>
              <w:t>Перфорация/увреждане на тъканите</w:t>
            </w:r>
            <w:bookmarkStart w:id="28" w:name="_Toc86391916"/>
            <w:bookmarkEnd w:id="28"/>
          </w:p>
        </w:tc>
        <w:tc>
          <w:tcPr>
            <w:tcW w:w="950" w:type="pct"/>
            <w:vAlign w:val="center"/>
          </w:tcPr>
          <w:p w14:paraId="42E7FC3B" w14:textId="77777777" w:rsidR="00453251" w:rsidRPr="009461CC" w:rsidRDefault="00453251" w:rsidP="00213810">
            <w:pPr>
              <w:pStyle w:val="TableTextLeft"/>
              <w:spacing w:line="216" w:lineRule="auto"/>
              <w:jc w:val="center"/>
              <w:rPr>
                <w:rFonts w:ascii="Times New Roman" w:hAnsi="Times New Roman" w:cs="Times New Roman"/>
                <w:iCs w:val="0"/>
              </w:rPr>
            </w:pPr>
            <w:r>
              <w:rPr>
                <w:rFonts w:ascii="Times New Roman" w:hAnsi="Times New Roman" w:cs="Times New Roman"/>
                <w:iCs w:val="0"/>
                <w:lang w:val="bg"/>
              </w:rPr>
              <w:t>0-1,7%</w:t>
            </w:r>
          </w:p>
        </w:tc>
        <w:tc>
          <w:tcPr>
            <w:tcW w:w="1122" w:type="pct"/>
            <w:vAlign w:val="center"/>
          </w:tcPr>
          <w:p w14:paraId="58C428BE" w14:textId="77777777" w:rsidR="00453251" w:rsidRPr="009461CC" w:rsidRDefault="00453251" w:rsidP="00213810">
            <w:pPr>
              <w:pStyle w:val="TableTextLeft"/>
              <w:spacing w:line="216" w:lineRule="auto"/>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bg"/>
              </w:rPr>
              <w:t>0-4,0%</w:t>
            </w:r>
          </w:p>
        </w:tc>
        <w:tc>
          <w:tcPr>
            <w:tcW w:w="1637" w:type="pct"/>
            <w:vAlign w:val="center"/>
          </w:tcPr>
          <w:p w14:paraId="785BDB89" w14:textId="77777777" w:rsidR="00453251" w:rsidRPr="009461CC" w:rsidRDefault="00453251" w:rsidP="00213810">
            <w:pPr>
              <w:pStyle w:val="TableTextLeft"/>
              <w:spacing w:line="216" w:lineRule="auto"/>
              <w:rPr>
                <w:rFonts w:ascii="Times New Roman" w:hAnsi="Times New Roman" w:cs="Times New Roman"/>
                <w:b/>
                <w:bCs/>
              </w:rPr>
            </w:pPr>
            <w:bookmarkStart w:id="31" w:name="_Toc86391920"/>
            <w:bookmarkEnd w:id="31"/>
            <w:r>
              <w:rPr>
                <w:rFonts w:ascii="Times New Roman" w:hAnsi="Times New Roman" w:cs="Times New Roman"/>
                <w:iCs w:val="0"/>
                <w:lang w:val="bg"/>
              </w:rPr>
              <w:t xml:space="preserve">Процент на перфорация/увреждане на тъканите </w:t>
            </w:r>
            <w:r>
              <w:rPr>
                <w:rFonts w:ascii="Times New Roman" w:hAnsi="Times New Roman" w:cs="Times New Roman"/>
                <w:b/>
                <w:bCs/>
                <w:iCs w:val="0"/>
                <w:lang w:val="bg"/>
              </w:rPr>
              <w:t>под 4%</w:t>
            </w:r>
          </w:p>
        </w:tc>
        <w:bookmarkStart w:id="32" w:name="_Toc86391921"/>
        <w:bookmarkEnd w:id="32"/>
      </w:tr>
      <w:tr w:rsidR="00453251" w:rsidRPr="009461CC" w14:paraId="3D17E0CA" w14:textId="77777777" w:rsidTr="00213810">
        <w:tc>
          <w:tcPr>
            <w:tcW w:w="1291" w:type="pct"/>
          </w:tcPr>
          <w:p w14:paraId="22E5467D" w14:textId="77777777" w:rsidR="00453251" w:rsidRPr="009461CC" w:rsidRDefault="00453251" w:rsidP="00213810">
            <w:pPr>
              <w:pStyle w:val="TableTextLeft"/>
              <w:spacing w:line="216" w:lineRule="auto"/>
              <w:rPr>
                <w:rFonts w:ascii="Times New Roman" w:hAnsi="Times New Roman" w:cs="Times New Roman"/>
              </w:rPr>
            </w:pPr>
            <w:r>
              <w:rPr>
                <w:rFonts w:ascii="Times New Roman" w:hAnsi="Times New Roman" w:cs="Times New Roman"/>
                <w:iCs w:val="0"/>
                <w:lang w:val="bg"/>
              </w:rPr>
              <w:t>Въздушна емболия</w:t>
            </w:r>
            <w:bookmarkStart w:id="33" w:name="_Toc86391922"/>
            <w:bookmarkEnd w:id="33"/>
          </w:p>
        </w:tc>
        <w:tc>
          <w:tcPr>
            <w:tcW w:w="950" w:type="pct"/>
            <w:vAlign w:val="center"/>
          </w:tcPr>
          <w:p w14:paraId="50CDDBB0" w14:textId="77777777" w:rsidR="00453251" w:rsidRPr="009461CC" w:rsidRDefault="00453251" w:rsidP="00213810">
            <w:pPr>
              <w:pStyle w:val="TableTextLeft"/>
              <w:spacing w:line="216" w:lineRule="auto"/>
              <w:jc w:val="center"/>
              <w:rPr>
                <w:rFonts w:ascii="Times New Roman" w:hAnsi="Times New Roman" w:cs="Times New Roman"/>
                <w:iCs w:val="0"/>
              </w:rPr>
            </w:pPr>
            <w:r>
              <w:rPr>
                <w:rFonts w:ascii="Times New Roman" w:hAnsi="Times New Roman" w:cs="Times New Roman"/>
                <w:iCs w:val="0"/>
                <w:lang w:val="bg"/>
              </w:rPr>
              <w:t>0-2,1%</w:t>
            </w:r>
          </w:p>
        </w:tc>
        <w:tc>
          <w:tcPr>
            <w:tcW w:w="1122" w:type="pct"/>
            <w:vAlign w:val="center"/>
          </w:tcPr>
          <w:p w14:paraId="0471C436" w14:textId="77777777" w:rsidR="00453251" w:rsidRPr="009461CC" w:rsidRDefault="00453251" w:rsidP="00213810">
            <w:pPr>
              <w:pStyle w:val="TableTextLeft"/>
              <w:spacing w:line="216" w:lineRule="auto"/>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bg"/>
              </w:rPr>
              <w:t>0-0,6%</w:t>
            </w:r>
          </w:p>
        </w:tc>
        <w:tc>
          <w:tcPr>
            <w:tcW w:w="1637" w:type="pct"/>
            <w:vAlign w:val="center"/>
          </w:tcPr>
          <w:p w14:paraId="1B80F3DB" w14:textId="77777777" w:rsidR="00453251" w:rsidRPr="009461CC" w:rsidRDefault="00453251" w:rsidP="00213810">
            <w:pPr>
              <w:pStyle w:val="TableTextLeft"/>
              <w:spacing w:line="216" w:lineRule="auto"/>
              <w:rPr>
                <w:rFonts w:ascii="Times New Roman" w:hAnsi="Times New Roman" w:cs="Times New Roman"/>
                <w:b/>
                <w:bCs/>
              </w:rPr>
            </w:pPr>
            <w:bookmarkStart w:id="36" w:name="_Toc86391926"/>
            <w:bookmarkEnd w:id="36"/>
            <w:r>
              <w:rPr>
                <w:rFonts w:ascii="Times New Roman" w:hAnsi="Times New Roman" w:cs="Times New Roman"/>
                <w:iCs w:val="0"/>
                <w:lang w:val="bg"/>
              </w:rPr>
              <w:t xml:space="preserve">Емболия </w:t>
            </w:r>
            <w:r>
              <w:rPr>
                <w:rFonts w:ascii="Times New Roman" w:hAnsi="Times New Roman" w:cs="Times New Roman"/>
                <w:b/>
                <w:bCs/>
                <w:iCs w:val="0"/>
                <w:lang w:val="bg"/>
              </w:rPr>
              <w:t>под 2,1%</w:t>
            </w:r>
          </w:p>
        </w:tc>
        <w:bookmarkStart w:id="37" w:name="_Toc86391927"/>
        <w:bookmarkEnd w:id="37"/>
      </w:tr>
      <w:tr w:rsidR="00453251" w:rsidRPr="009461CC" w14:paraId="33FEDA6C" w14:textId="77777777" w:rsidTr="00213810">
        <w:tc>
          <w:tcPr>
            <w:tcW w:w="1291" w:type="pct"/>
          </w:tcPr>
          <w:p w14:paraId="5817831E" w14:textId="77777777" w:rsidR="00453251" w:rsidRPr="009461CC" w:rsidRDefault="00453251" w:rsidP="00213810">
            <w:pPr>
              <w:pStyle w:val="TableTextLeft"/>
              <w:spacing w:line="216" w:lineRule="auto"/>
              <w:rPr>
                <w:rFonts w:ascii="Times New Roman" w:hAnsi="Times New Roman" w:cs="Times New Roman"/>
              </w:rPr>
            </w:pPr>
            <w:r>
              <w:rPr>
                <w:rFonts w:ascii="Times New Roman" w:hAnsi="Times New Roman" w:cs="Times New Roman"/>
                <w:iCs w:val="0"/>
                <w:lang w:val="bg"/>
              </w:rPr>
              <w:t>Инфекция</w:t>
            </w:r>
            <w:bookmarkStart w:id="38" w:name="_Toc86391928"/>
            <w:bookmarkEnd w:id="38"/>
          </w:p>
        </w:tc>
        <w:tc>
          <w:tcPr>
            <w:tcW w:w="950" w:type="pct"/>
            <w:vAlign w:val="center"/>
          </w:tcPr>
          <w:p w14:paraId="190DF8A8" w14:textId="77777777" w:rsidR="00453251" w:rsidRPr="009461CC" w:rsidRDefault="00453251" w:rsidP="00213810">
            <w:pPr>
              <w:pStyle w:val="TableTextLeft"/>
              <w:spacing w:line="216" w:lineRule="auto"/>
              <w:jc w:val="center"/>
              <w:rPr>
                <w:rFonts w:ascii="Times New Roman" w:hAnsi="Times New Roman" w:cs="Times New Roman"/>
                <w:iCs w:val="0"/>
              </w:rPr>
            </w:pPr>
            <w:r>
              <w:rPr>
                <w:rFonts w:ascii="Times New Roman" w:hAnsi="Times New Roman" w:cs="Times New Roman"/>
                <w:iCs w:val="0"/>
                <w:lang w:val="bg"/>
              </w:rPr>
              <w:t>0%</w:t>
            </w:r>
          </w:p>
        </w:tc>
        <w:tc>
          <w:tcPr>
            <w:tcW w:w="1122" w:type="pct"/>
            <w:vAlign w:val="center"/>
          </w:tcPr>
          <w:p w14:paraId="480907F1" w14:textId="77777777" w:rsidR="00453251" w:rsidRPr="009461CC" w:rsidRDefault="00453251" w:rsidP="00213810">
            <w:pPr>
              <w:pStyle w:val="TableTextLeft"/>
              <w:spacing w:line="216" w:lineRule="auto"/>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bg"/>
              </w:rPr>
              <w:t>0%</w:t>
            </w:r>
          </w:p>
        </w:tc>
        <w:tc>
          <w:tcPr>
            <w:tcW w:w="1637" w:type="pct"/>
            <w:vAlign w:val="center"/>
          </w:tcPr>
          <w:p w14:paraId="1D828A42" w14:textId="77777777" w:rsidR="00453251" w:rsidRPr="009461CC" w:rsidRDefault="00453251" w:rsidP="00213810">
            <w:pPr>
              <w:pStyle w:val="TableTextLeft"/>
              <w:spacing w:line="216" w:lineRule="auto"/>
              <w:rPr>
                <w:rFonts w:ascii="Times New Roman" w:hAnsi="Times New Roman" w:cs="Times New Roman"/>
                <w:b/>
                <w:bCs/>
              </w:rPr>
            </w:pPr>
            <w:bookmarkStart w:id="41" w:name="_Toc86391932"/>
            <w:bookmarkEnd w:id="41"/>
            <w:r>
              <w:rPr>
                <w:rFonts w:ascii="Times New Roman" w:hAnsi="Times New Roman" w:cs="Times New Roman"/>
                <w:iCs w:val="0"/>
                <w:lang w:val="bg"/>
              </w:rPr>
              <w:t xml:space="preserve">Инфекция </w:t>
            </w:r>
            <w:r>
              <w:rPr>
                <w:rFonts w:ascii="Times New Roman" w:hAnsi="Times New Roman" w:cs="Times New Roman"/>
                <w:b/>
                <w:bCs/>
                <w:iCs w:val="0"/>
                <w:lang w:val="bg"/>
              </w:rPr>
              <w:t>под 0%</w:t>
            </w:r>
          </w:p>
        </w:tc>
        <w:bookmarkStart w:id="42" w:name="_Toc86391933"/>
        <w:bookmarkEnd w:id="42"/>
      </w:tr>
      <w:tr w:rsidR="00453251" w:rsidRPr="009461CC" w14:paraId="00F9D43C" w14:textId="77777777" w:rsidTr="00213810">
        <w:tc>
          <w:tcPr>
            <w:tcW w:w="1291" w:type="pct"/>
          </w:tcPr>
          <w:p w14:paraId="530E2FE9" w14:textId="77777777" w:rsidR="00453251" w:rsidRPr="009461CC" w:rsidRDefault="00453251" w:rsidP="00213810">
            <w:pPr>
              <w:pStyle w:val="TableTextLeft"/>
              <w:spacing w:line="216" w:lineRule="auto"/>
              <w:rPr>
                <w:rFonts w:ascii="Times New Roman" w:hAnsi="Times New Roman" w:cs="Times New Roman"/>
              </w:rPr>
            </w:pPr>
            <w:r>
              <w:rPr>
                <w:rFonts w:ascii="Times New Roman" w:hAnsi="Times New Roman" w:cs="Times New Roman"/>
                <w:iCs w:val="0"/>
                <w:lang w:val="bg"/>
              </w:rPr>
              <w:t>Алергична реакция</w:t>
            </w:r>
            <w:bookmarkStart w:id="43" w:name="_Toc86391934"/>
            <w:bookmarkEnd w:id="43"/>
          </w:p>
        </w:tc>
        <w:tc>
          <w:tcPr>
            <w:tcW w:w="950" w:type="pct"/>
            <w:vAlign w:val="center"/>
          </w:tcPr>
          <w:p w14:paraId="6250CCD8" w14:textId="77777777" w:rsidR="00453251" w:rsidRPr="009461CC" w:rsidRDefault="00453251" w:rsidP="00213810">
            <w:pPr>
              <w:pStyle w:val="TableTextLeft"/>
              <w:spacing w:line="216" w:lineRule="auto"/>
              <w:jc w:val="center"/>
              <w:rPr>
                <w:rFonts w:ascii="Times New Roman" w:hAnsi="Times New Roman" w:cs="Times New Roman"/>
                <w:iCs w:val="0"/>
              </w:rPr>
            </w:pPr>
            <w:r>
              <w:rPr>
                <w:rFonts w:ascii="Times New Roman" w:hAnsi="Times New Roman" w:cs="Times New Roman"/>
                <w:iCs w:val="0"/>
                <w:lang w:val="bg"/>
              </w:rPr>
              <w:t>0%</w:t>
            </w:r>
          </w:p>
        </w:tc>
        <w:tc>
          <w:tcPr>
            <w:tcW w:w="1122" w:type="pct"/>
            <w:vAlign w:val="center"/>
          </w:tcPr>
          <w:p w14:paraId="50CF5415" w14:textId="77777777" w:rsidR="00453251" w:rsidRPr="009461CC" w:rsidRDefault="00453251" w:rsidP="00213810">
            <w:pPr>
              <w:pStyle w:val="TableTextLeft"/>
              <w:spacing w:line="216" w:lineRule="auto"/>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bg"/>
              </w:rPr>
              <w:t>0%</w:t>
            </w:r>
          </w:p>
        </w:tc>
        <w:tc>
          <w:tcPr>
            <w:tcW w:w="1637" w:type="pct"/>
            <w:vAlign w:val="center"/>
          </w:tcPr>
          <w:p w14:paraId="3CD98CC2" w14:textId="77777777" w:rsidR="00453251" w:rsidRPr="009461CC" w:rsidRDefault="00453251" w:rsidP="00213810">
            <w:pPr>
              <w:pStyle w:val="TableTextLeft"/>
              <w:spacing w:line="216" w:lineRule="auto"/>
              <w:rPr>
                <w:rFonts w:ascii="Times New Roman" w:hAnsi="Times New Roman" w:cs="Times New Roman"/>
                <w:b/>
                <w:bCs/>
              </w:rPr>
            </w:pPr>
            <w:bookmarkStart w:id="46" w:name="_Toc86391938"/>
            <w:bookmarkEnd w:id="46"/>
            <w:r>
              <w:rPr>
                <w:rFonts w:ascii="Times New Roman" w:hAnsi="Times New Roman" w:cs="Times New Roman"/>
                <w:iCs w:val="0"/>
                <w:lang w:val="bg"/>
              </w:rPr>
              <w:t xml:space="preserve">Алергична реакция </w:t>
            </w:r>
            <w:r>
              <w:rPr>
                <w:rFonts w:ascii="Times New Roman" w:hAnsi="Times New Roman" w:cs="Times New Roman"/>
                <w:b/>
                <w:bCs/>
                <w:iCs w:val="0"/>
                <w:lang w:val="bg"/>
              </w:rPr>
              <w:t>под 0%</w:t>
            </w:r>
          </w:p>
        </w:tc>
        <w:bookmarkStart w:id="47" w:name="_Toc86391939"/>
        <w:bookmarkEnd w:id="47"/>
      </w:tr>
      <w:tr w:rsidR="00453251" w:rsidRPr="009461CC" w14:paraId="027FF060" w14:textId="77777777" w:rsidTr="00213810">
        <w:trPr>
          <w:trHeight w:val="197"/>
        </w:trPr>
        <w:tc>
          <w:tcPr>
            <w:tcW w:w="1291" w:type="pct"/>
          </w:tcPr>
          <w:p w14:paraId="0B4FA88A" w14:textId="77777777" w:rsidR="00453251" w:rsidRPr="009461CC" w:rsidRDefault="00453251" w:rsidP="00213810">
            <w:pPr>
              <w:pStyle w:val="TableTextLeft"/>
              <w:spacing w:line="216" w:lineRule="auto"/>
              <w:rPr>
                <w:rFonts w:ascii="Times New Roman" w:hAnsi="Times New Roman" w:cs="Times New Roman"/>
              </w:rPr>
            </w:pPr>
            <w:r>
              <w:rPr>
                <w:rFonts w:ascii="Times New Roman" w:hAnsi="Times New Roman" w:cs="Times New Roman"/>
                <w:iCs w:val="0"/>
                <w:lang w:val="bg"/>
              </w:rPr>
              <w:t>Болка</w:t>
            </w:r>
            <w:bookmarkStart w:id="48" w:name="_Toc86391940"/>
            <w:bookmarkEnd w:id="48"/>
          </w:p>
        </w:tc>
        <w:tc>
          <w:tcPr>
            <w:tcW w:w="950" w:type="pct"/>
            <w:vAlign w:val="center"/>
          </w:tcPr>
          <w:p w14:paraId="0A016617" w14:textId="77777777" w:rsidR="00453251" w:rsidRPr="009461CC" w:rsidRDefault="00453251" w:rsidP="00213810">
            <w:pPr>
              <w:pStyle w:val="TableTextLeft"/>
              <w:spacing w:line="216" w:lineRule="auto"/>
              <w:jc w:val="center"/>
              <w:rPr>
                <w:rFonts w:ascii="Times New Roman" w:hAnsi="Times New Roman" w:cs="Times New Roman"/>
                <w:iCs w:val="0"/>
              </w:rPr>
            </w:pPr>
            <w:r>
              <w:rPr>
                <w:rFonts w:ascii="Times New Roman" w:hAnsi="Times New Roman" w:cs="Times New Roman"/>
                <w:iCs w:val="0"/>
                <w:lang w:val="bg"/>
              </w:rPr>
              <w:t>0%</w:t>
            </w:r>
          </w:p>
        </w:tc>
        <w:tc>
          <w:tcPr>
            <w:tcW w:w="1122" w:type="pct"/>
            <w:vAlign w:val="center"/>
          </w:tcPr>
          <w:p w14:paraId="72B648EC" w14:textId="77777777" w:rsidR="00453251" w:rsidRPr="009461CC" w:rsidRDefault="00453251" w:rsidP="00213810">
            <w:pPr>
              <w:pStyle w:val="TableTextLeft"/>
              <w:spacing w:line="216" w:lineRule="auto"/>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bg"/>
              </w:rPr>
              <w:t>0%</w:t>
            </w:r>
          </w:p>
        </w:tc>
        <w:tc>
          <w:tcPr>
            <w:tcW w:w="1637" w:type="pct"/>
            <w:vAlign w:val="center"/>
          </w:tcPr>
          <w:p w14:paraId="56186FA5" w14:textId="77777777" w:rsidR="00453251" w:rsidRPr="009461CC" w:rsidRDefault="00453251" w:rsidP="00213810">
            <w:pPr>
              <w:pStyle w:val="TableTextLeft"/>
              <w:spacing w:line="216" w:lineRule="auto"/>
              <w:rPr>
                <w:rFonts w:ascii="Times New Roman" w:hAnsi="Times New Roman" w:cs="Times New Roman"/>
                <w:b/>
                <w:bCs/>
              </w:rPr>
            </w:pPr>
            <w:bookmarkStart w:id="51" w:name="_Toc86391944"/>
            <w:bookmarkEnd w:id="51"/>
            <w:r>
              <w:rPr>
                <w:rFonts w:ascii="Times New Roman" w:hAnsi="Times New Roman" w:cs="Times New Roman"/>
                <w:iCs w:val="0"/>
                <w:lang w:val="bg"/>
              </w:rPr>
              <w:t xml:space="preserve">Болка </w:t>
            </w:r>
            <w:r>
              <w:rPr>
                <w:rFonts w:ascii="Times New Roman" w:hAnsi="Times New Roman" w:cs="Times New Roman"/>
                <w:b/>
                <w:bCs/>
                <w:iCs w:val="0"/>
                <w:lang w:val="bg"/>
              </w:rPr>
              <w:t>под 0%</w:t>
            </w:r>
          </w:p>
        </w:tc>
        <w:bookmarkStart w:id="52" w:name="_Toc86391945"/>
        <w:bookmarkEnd w:id="52"/>
      </w:tr>
      <w:tr w:rsidR="00453251" w:rsidRPr="009461CC" w14:paraId="28252FD0" w14:textId="77777777" w:rsidTr="00213810">
        <w:tc>
          <w:tcPr>
            <w:tcW w:w="1291" w:type="pct"/>
          </w:tcPr>
          <w:p w14:paraId="013547C7" w14:textId="77777777" w:rsidR="00453251" w:rsidRPr="009461CC" w:rsidRDefault="00453251" w:rsidP="00213810">
            <w:pPr>
              <w:pStyle w:val="TableTextLeft"/>
              <w:spacing w:line="216" w:lineRule="auto"/>
              <w:rPr>
                <w:rFonts w:ascii="Times New Roman" w:hAnsi="Times New Roman" w:cs="Times New Roman"/>
              </w:rPr>
            </w:pPr>
            <w:r>
              <w:rPr>
                <w:rFonts w:ascii="Times New Roman" w:hAnsi="Times New Roman" w:cs="Times New Roman"/>
                <w:iCs w:val="0"/>
                <w:lang w:val="bg"/>
              </w:rPr>
              <w:t>Общо усложнения</w:t>
            </w:r>
            <w:bookmarkStart w:id="53" w:name="_Toc86391946"/>
            <w:bookmarkEnd w:id="53"/>
          </w:p>
        </w:tc>
        <w:tc>
          <w:tcPr>
            <w:tcW w:w="950" w:type="pct"/>
            <w:vAlign w:val="center"/>
          </w:tcPr>
          <w:p w14:paraId="740F59E9" w14:textId="77777777" w:rsidR="00453251" w:rsidRPr="009461CC" w:rsidRDefault="00453251" w:rsidP="00213810">
            <w:pPr>
              <w:pStyle w:val="TableTextLeft"/>
              <w:spacing w:line="216" w:lineRule="auto"/>
              <w:jc w:val="center"/>
              <w:rPr>
                <w:rFonts w:ascii="Times New Roman" w:hAnsi="Times New Roman" w:cs="Times New Roman"/>
                <w:iCs w:val="0"/>
              </w:rPr>
            </w:pPr>
            <w:r>
              <w:rPr>
                <w:rFonts w:ascii="Times New Roman" w:hAnsi="Times New Roman" w:cs="Times New Roman"/>
                <w:iCs w:val="0"/>
                <w:lang w:val="bg"/>
              </w:rPr>
              <w:t>0-5,2%</w:t>
            </w:r>
          </w:p>
        </w:tc>
        <w:tc>
          <w:tcPr>
            <w:tcW w:w="1122" w:type="pct"/>
            <w:vAlign w:val="center"/>
          </w:tcPr>
          <w:p w14:paraId="0BF92E76" w14:textId="77777777" w:rsidR="00453251" w:rsidRPr="009461CC" w:rsidRDefault="00453251" w:rsidP="00213810">
            <w:pPr>
              <w:pStyle w:val="TableTextLeft"/>
              <w:spacing w:line="216" w:lineRule="auto"/>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bg"/>
              </w:rPr>
              <w:t>0-4%</w:t>
            </w:r>
          </w:p>
        </w:tc>
        <w:tc>
          <w:tcPr>
            <w:tcW w:w="1637" w:type="pct"/>
            <w:vAlign w:val="center"/>
          </w:tcPr>
          <w:p w14:paraId="71781E09" w14:textId="77777777" w:rsidR="00453251" w:rsidRPr="009461CC" w:rsidRDefault="00453251" w:rsidP="00213810">
            <w:pPr>
              <w:pStyle w:val="TableTextLeft"/>
              <w:spacing w:line="216" w:lineRule="auto"/>
              <w:rPr>
                <w:rFonts w:ascii="Times New Roman" w:hAnsi="Times New Roman" w:cs="Times New Roman"/>
              </w:rPr>
            </w:pPr>
            <w:bookmarkStart w:id="56" w:name="_Toc86391950"/>
            <w:bookmarkEnd w:id="56"/>
            <w:r>
              <w:rPr>
                <w:rFonts w:ascii="Times New Roman" w:hAnsi="Times New Roman" w:cs="Times New Roman"/>
                <w:iCs w:val="0"/>
                <w:lang w:val="bg"/>
              </w:rPr>
              <w:t xml:space="preserve">Общо усложнения </w:t>
            </w:r>
            <w:r>
              <w:rPr>
                <w:rFonts w:ascii="Times New Roman" w:hAnsi="Times New Roman" w:cs="Times New Roman"/>
                <w:b/>
                <w:bCs/>
                <w:iCs w:val="0"/>
                <w:lang w:val="bg"/>
              </w:rPr>
              <w:t>под 5,2%</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213810">
            <w:pPr>
              <w:pStyle w:val="TableTextLeft"/>
              <w:spacing w:line="216" w:lineRule="auto"/>
              <w:rPr>
                <w:rFonts w:ascii="Times New Roman" w:hAnsi="Times New Roman" w:cs="Times New Roman"/>
              </w:rPr>
            </w:pPr>
            <w:r>
              <w:rPr>
                <w:rFonts w:ascii="Times New Roman" w:hAnsi="Times New Roman" w:cs="Times New Roman"/>
                <w:b/>
                <w:bCs/>
                <w:iCs w:val="0"/>
                <w:lang w:val="bg"/>
              </w:rPr>
              <w:t>Клинични показатели</w:t>
            </w:r>
          </w:p>
        </w:tc>
      </w:tr>
      <w:tr w:rsidR="00453251" w:rsidRPr="009461CC" w14:paraId="6F720CB6" w14:textId="77777777" w:rsidTr="00213810">
        <w:tc>
          <w:tcPr>
            <w:tcW w:w="1291" w:type="pct"/>
            <w:vAlign w:val="center"/>
          </w:tcPr>
          <w:p w14:paraId="60785A5D" w14:textId="77777777" w:rsidR="00453251" w:rsidRPr="009461CC" w:rsidRDefault="00453251" w:rsidP="00213810">
            <w:pPr>
              <w:pStyle w:val="TableTextLeft"/>
              <w:spacing w:line="216" w:lineRule="auto"/>
              <w:rPr>
                <w:rFonts w:ascii="Times New Roman" w:hAnsi="Times New Roman" w:cs="Times New Roman"/>
              </w:rPr>
            </w:pPr>
            <w:r>
              <w:rPr>
                <w:rFonts w:ascii="Times New Roman" w:hAnsi="Times New Roman" w:cs="Times New Roman"/>
                <w:iCs w:val="0"/>
                <w:lang w:val="bg"/>
              </w:rPr>
              <w:t xml:space="preserve">Степен на технически успех </w:t>
            </w:r>
            <w:bookmarkStart w:id="58" w:name="_Toc86391954"/>
            <w:bookmarkEnd w:id="58"/>
          </w:p>
        </w:tc>
        <w:tc>
          <w:tcPr>
            <w:tcW w:w="950" w:type="pct"/>
            <w:vAlign w:val="center"/>
          </w:tcPr>
          <w:p w14:paraId="042F9BC6" w14:textId="77777777" w:rsidR="00453251" w:rsidRPr="009461CC" w:rsidDel="002D4462" w:rsidRDefault="00453251" w:rsidP="00213810">
            <w:pPr>
              <w:pStyle w:val="TableTextLeft"/>
              <w:spacing w:line="216" w:lineRule="auto"/>
              <w:jc w:val="center"/>
              <w:rPr>
                <w:rFonts w:ascii="Times New Roman" w:hAnsi="Times New Roman" w:cs="Times New Roman"/>
                <w:iCs w:val="0"/>
              </w:rPr>
            </w:pPr>
            <w:r>
              <w:rPr>
                <w:rFonts w:ascii="Times New Roman" w:hAnsi="Times New Roman" w:cs="Times New Roman"/>
                <w:iCs w:val="0"/>
                <w:lang w:val="bg"/>
              </w:rPr>
              <w:t>82,8–100%</w:t>
            </w:r>
          </w:p>
        </w:tc>
        <w:tc>
          <w:tcPr>
            <w:tcW w:w="1122" w:type="pct"/>
            <w:vAlign w:val="center"/>
          </w:tcPr>
          <w:p w14:paraId="3177A351" w14:textId="77777777" w:rsidR="00453251" w:rsidRPr="009461CC" w:rsidRDefault="00453251" w:rsidP="00213810">
            <w:pPr>
              <w:pStyle w:val="TableTextLeft"/>
              <w:spacing w:line="216" w:lineRule="auto"/>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bg"/>
              </w:rPr>
              <w:t>82,0-100%</w:t>
            </w:r>
          </w:p>
        </w:tc>
        <w:tc>
          <w:tcPr>
            <w:tcW w:w="1637" w:type="pct"/>
            <w:vAlign w:val="center"/>
          </w:tcPr>
          <w:p w14:paraId="55C13098" w14:textId="77777777" w:rsidR="00453251" w:rsidRPr="009461CC" w:rsidRDefault="00453251" w:rsidP="00213810">
            <w:pPr>
              <w:pStyle w:val="TableTextLeft"/>
              <w:spacing w:line="216" w:lineRule="auto"/>
              <w:rPr>
                <w:rFonts w:ascii="Times New Roman" w:hAnsi="Times New Roman" w:cs="Times New Roman"/>
              </w:rPr>
            </w:pPr>
            <w:bookmarkStart w:id="61" w:name="_Toc86391958"/>
            <w:bookmarkEnd w:id="61"/>
            <w:r>
              <w:rPr>
                <w:rFonts w:ascii="Times New Roman" w:hAnsi="Times New Roman" w:cs="Times New Roman"/>
                <w:iCs w:val="0"/>
                <w:lang w:val="bg"/>
              </w:rPr>
              <w:t xml:space="preserve">Технически успех </w:t>
            </w:r>
            <w:r>
              <w:rPr>
                <w:rFonts w:ascii="Times New Roman" w:hAnsi="Times New Roman" w:cs="Times New Roman"/>
                <w:b/>
                <w:bCs/>
                <w:iCs w:val="0"/>
                <w:lang w:val="bg"/>
              </w:rPr>
              <w:t>над 82,0%</w:t>
            </w:r>
          </w:p>
        </w:tc>
        <w:bookmarkStart w:id="62" w:name="_Toc86391959"/>
        <w:bookmarkEnd w:id="62"/>
      </w:tr>
      <w:tr w:rsidR="00453251" w:rsidRPr="009461CC" w14:paraId="4E839B51" w14:textId="77777777" w:rsidTr="00213810">
        <w:tc>
          <w:tcPr>
            <w:tcW w:w="1291" w:type="pct"/>
            <w:vAlign w:val="center"/>
          </w:tcPr>
          <w:p w14:paraId="055E85A0" w14:textId="77777777" w:rsidR="00453251" w:rsidRPr="009461CC" w:rsidRDefault="00453251" w:rsidP="00213810">
            <w:pPr>
              <w:pStyle w:val="TableTextLeft"/>
              <w:spacing w:line="216" w:lineRule="auto"/>
              <w:rPr>
                <w:rFonts w:ascii="Times New Roman" w:eastAsia="MS Mincho" w:hAnsi="Times New Roman" w:cs="Times New Roman"/>
              </w:rPr>
            </w:pPr>
            <w:r>
              <w:rPr>
                <w:rFonts w:ascii="Times New Roman" w:hAnsi="Times New Roman" w:cs="Times New Roman"/>
                <w:iCs w:val="0"/>
                <w:lang w:val="bg"/>
              </w:rPr>
              <w:t xml:space="preserve">Степен на технически успех </w:t>
            </w:r>
            <w:bookmarkStart w:id="63" w:name="_Toc86391960"/>
            <w:bookmarkEnd w:id="63"/>
          </w:p>
        </w:tc>
        <w:tc>
          <w:tcPr>
            <w:tcW w:w="950" w:type="pct"/>
            <w:vAlign w:val="center"/>
          </w:tcPr>
          <w:p w14:paraId="163906FF" w14:textId="77777777" w:rsidR="00453251" w:rsidRPr="009461CC" w:rsidRDefault="00453251" w:rsidP="00213810">
            <w:pPr>
              <w:pStyle w:val="TableTextLeft"/>
              <w:spacing w:line="216" w:lineRule="auto"/>
              <w:jc w:val="center"/>
              <w:rPr>
                <w:rFonts w:ascii="Times New Roman" w:hAnsi="Times New Roman" w:cs="Times New Roman"/>
                <w:iCs w:val="0"/>
              </w:rPr>
            </w:pPr>
            <w:r>
              <w:rPr>
                <w:rFonts w:ascii="Times New Roman" w:hAnsi="Times New Roman" w:cs="Times New Roman"/>
                <w:iCs w:val="0"/>
                <w:lang w:val="bg"/>
              </w:rPr>
              <w:t>95,2-100%</w:t>
            </w:r>
          </w:p>
        </w:tc>
        <w:tc>
          <w:tcPr>
            <w:tcW w:w="1122" w:type="pct"/>
            <w:vAlign w:val="center"/>
          </w:tcPr>
          <w:p w14:paraId="24CE1D22" w14:textId="77777777" w:rsidR="00453251" w:rsidRPr="009461CC" w:rsidRDefault="00453251" w:rsidP="00213810">
            <w:pPr>
              <w:pStyle w:val="TableTextLeft"/>
              <w:spacing w:line="216" w:lineRule="auto"/>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bg"/>
              </w:rPr>
              <w:t>92,3-100%</w:t>
            </w:r>
          </w:p>
        </w:tc>
        <w:tc>
          <w:tcPr>
            <w:tcW w:w="1637" w:type="pct"/>
            <w:vAlign w:val="center"/>
          </w:tcPr>
          <w:p w14:paraId="1240798C" w14:textId="77777777" w:rsidR="00453251" w:rsidRPr="009461CC" w:rsidRDefault="00453251" w:rsidP="00213810">
            <w:pPr>
              <w:pStyle w:val="TableTextLeft"/>
              <w:spacing w:line="216" w:lineRule="auto"/>
              <w:rPr>
                <w:rFonts w:ascii="Times New Roman" w:hAnsi="Times New Roman" w:cs="Times New Roman"/>
              </w:rPr>
            </w:pPr>
            <w:bookmarkStart w:id="66" w:name="_Toc86391964"/>
            <w:bookmarkEnd w:id="66"/>
            <w:r>
              <w:rPr>
                <w:rFonts w:ascii="Times New Roman" w:hAnsi="Times New Roman" w:cs="Times New Roman"/>
                <w:iCs w:val="0"/>
                <w:lang w:val="bg"/>
              </w:rPr>
              <w:t xml:space="preserve">Клиничен успех </w:t>
            </w:r>
            <w:r>
              <w:rPr>
                <w:rFonts w:ascii="Times New Roman" w:hAnsi="Times New Roman" w:cs="Times New Roman"/>
                <w:b/>
                <w:bCs/>
                <w:iCs w:val="0"/>
                <w:lang w:val="bg"/>
              </w:rPr>
              <w:t>над 92,3%</w:t>
            </w:r>
          </w:p>
        </w:tc>
        <w:bookmarkStart w:id="67" w:name="_Toc86391965"/>
        <w:bookmarkEnd w:id="67"/>
      </w:tr>
    </w:tbl>
    <w:p w14:paraId="47F3BE56" w14:textId="0190328E" w:rsidR="00941D63" w:rsidRDefault="00941D63" w:rsidP="000514F4">
      <w:pPr>
        <w:spacing w:before="100" w:beforeAutospacing="1" w:after="0" w:afterAutospacing="0" w:line="228" w:lineRule="auto"/>
        <w:rPr>
          <w:rFonts w:eastAsia="Times New Roman" w:cs="Times New Roman"/>
          <w:szCs w:val="24"/>
        </w:rPr>
      </w:pPr>
      <w:r>
        <w:rPr>
          <w:rFonts w:eastAsia="Times New Roman" w:cs="Times New Roman"/>
          <w:szCs w:val="24"/>
          <w:lang w:val="bg"/>
        </w:rPr>
        <w:t>Комплектът съдова примка Atrieve Snare показва приемлив рисков профил, без остатъчни рискове, класифицирани като неприемливи. Потенциалните вреди за пациента като кървене, емболия, инфекция и увреждане на тъканите са редки и попадат в рамките на приемливите за бранша нива. Често срещани повреди, като отделяне на компоненти или съпротивление на изделието, са рядко срещани и добре контролирани.</w:t>
      </w:r>
    </w:p>
    <w:p w14:paraId="3E80DA4B" w14:textId="77777777" w:rsidR="000514F4" w:rsidRPr="00213810" w:rsidRDefault="000514F4" w:rsidP="00213810">
      <w:pPr>
        <w:spacing w:after="0" w:afterAutospacing="0" w:line="228" w:lineRule="auto"/>
        <w:rPr>
          <w:rFonts w:eastAsia="Times New Roman" w:cs="Times New Roman"/>
          <w:sz w:val="14"/>
          <w:szCs w:val="14"/>
        </w:rPr>
      </w:pPr>
    </w:p>
    <w:p w14:paraId="6CD9B2F8" w14:textId="27B9DB44" w:rsidR="00941D63" w:rsidRPr="00790DE3" w:rsidRDefault="00941D63" w:rsidP="00213810">
      <w:pPr>
        <w:spacing w:line="228" w:lineRule="auto"/>
        <w:rPr>
          <w:rFonts w:eastAsia="Times New Roman" w:cs="Times New Roman"/>
          <w:szCs w:val="24"/>
          <w:lang w:val="bg"/>
        </w:rPr>
      </w:pPr>
      <w:r>
        <w:rPr>
          <w:rFonts w:eastAsia="Times New Roman" w:cs="Times New Roman"/>
          <w:szCs w:val="24"/>
          <w:lang w:val="bg"/>
        </w:rPr>
        <w:t>Всички идентифицирани рискове са разгледани чрез етикетиране, предупреждения и инструкции за употреба. Общият риск е сравним с алтернативните лечения, а ползите от безопасното, минимално инвазивно извличане на чужди тела с помощта на изделието надвишават рисковете. Не бяха установени нови рискове по време на наблюдението след пускане на пазара.</w:t>
      </w:r>
    </w:p>
    <w:p w14:paraId="503092B6" w14:textId="15AAF628" w:rsidR="000F0AC2" w:rsidRPr="009461CC" w:rsidRDefault="008745ED" w:rsidP="00213810">
      <w:pPr>
        <w:pStyle w:val="Heading1"/>
        <w:spacing w:line="228" w:lineRule="auto"/>
        <w:rPr>
          <w:rFonts w:cs="Times New Roman"/>
        </w:rPr>
      </w:pPr>
      <w:bookmarkStart w:id="68" w:name="_Toc222741202"/>
      <w:r>
        <w:rPr>
          <w:rFonts w:cs="Times New Roman"/>
          <w:bCs/>
          <w:lang w:val="bg"/>
        </w:rPr>
        <w:t>Предупреждения и предпазни мерки</w:t>
      </w:r>
      <w:bookmarkEnd w:id="68"/>
    </w:p>
    <w:p w14:paraId="3AFFFB2C" w14:textId="33D3A9BB" w:rsidR="00A030DC" w:rsidRPr="009461CC" w:rsidRDefault="00F35B6F" w:rsidP="00213810">
      <w:pPr>
        <w:spacing w:after="0" w:afterAutospacing="0" w:line="228" w:lineRule="auto"/>
        <w:ind w:left="792"/>
        <w:rPr>
          <w:rFonts w:cs="Times New Roman"/>
          <w:iCs/>
        </w:rPr>
      </w:pPr>
      <w:r>
        <w:rPr>
          <w:rFonts w:cs="Times New Roman"/>
          <w:lang w:val="bg-BG"/>
        </w:rPr>
        <w:t>Направете справка с инструкциите за употреба</w:t>
      </w:r>
      <w:r w:rsidR="00C64987">
        <w:rPr>
          <w:rFonts w:cs="Times New Roman"/>
          <w:lang w:val="bg"/>
        </w:rPr>
        <w:t xml:space="preserve"> </w:t>
      </w:r>
      <w:r>
        <w:rPr>
          <w:rFonts w:cs="Times New Roman"/>
          <w:lang w:val="bg"/>
        </w:rPr>
        <w:t>(</w:t>
      </w:r>
      <w:r w:rsidR="00C64987">
        <w:rPr>
          <w:rFonts w:cs="Times New Roman"/>
          <w:lang w:val="bg"/>
        </w:rPr>
        <w:t>IFU</w:t>
      </w:r>
      <w:r>
        <w:rPr>
          <w:rFonts w:cs="Times New Roman"/>
          <w:lang w:val="bg"/>
        </w:rPr>
        <w:t>)</w:t>
      </w:r>
      <w:r w:rsidR="00C64987">
        <w:rPr>
          <w:rFonts w:cs="Times New Roman"/>
          <w:lang w:val="bg"/>
        </w:rPr>
        <w:t xml:space="preserve"> X9585730-0321-EС, </w:t>
      </w:r>
      <w:r w:rsidR="00161CDF">
        <w:rPr>
          <w:rFonts w:cs="Times New Roman"/>
        </w:rPr>
        <w:t>Rev</w:t>
      </w:r>
      <w:r w:rsidR="00C64987">
        <w:rPr>
          <w:rFonts w:cs="Times New Roman"/>
          <w:lang w:val="bg"/>
        </w:rPr>
        <w:t>. A</w:t>
      </w:r>
    </w:p>
    <w:p w14:paraId="581EAB6F" w14:textId="38AC09C7" w:rsidR="0084795E" w:rsidRPr="009461CC" w:rsidRDefault="0084795E" w:rsidP="00213810">
      <w:pPr>
        <w:spacing w:after="0" w:afterAutospacing="0" w:line="228" w:lineRule="auto"/>
        <w:ind w:left="792"/>
        <w:rPr>
          <w:rFonts w:cs="Times New Roman"/>
          <w:b/>
          <w:bCs/>
          <w:iCs/>
        </w:rPr>
      </w:pPr>
      <w:r>
        <w:rPr>
          <w:rFonts w:cs="Times New Roman"/>
          <w:b/>
          <w:bCs/>
          <w:lang w:val="bg"/>
        </w:rPr>
        <w:t>Предупреждения:</w:t>
      </w:r>
    </w:p>
    <w:p w14:paraId="6D12BCC6" w14:textId="77777777" w:rsidR="00C13612" w:rsidRPr="00790DE3" w:rsidRDefault="00C13612" w:rsidP="00213810">
      <w:pPr>
        <w:numPr>
          <w:ilvl w:val="0"/>
          <w:numId w:val="22"/>
        </w:numPr>
        <w:spacing w:after="0" w:afterAutospacing="0" w:line="216" w:lineRule="auto"/>
        <w:ind w:left="360"/>
        <w:contextualSpacing/>
        <w:jc w:val="both"/>
        <w:rPr>
          <w:rFonts w:eastAsia="Times New Roman" w:cs="Times New Roman"/>
          <w:szCs w:val="24"/>
          <w:lang w:val="bg"/>
        </w:rPr>
      </w:pPr>
      <w:r>
        <w:rPr>
          <w:rFonts w:eastAsia="Times New Roman" w:cs="Times New Roman"/>
          <w:szCs w:val="24"/>
          <w:lang w:val="bg"/>
        </w:rPr>
        <w:t>Това изделие е предназначено, тествано и произведено само за еднократна употреба. Повторната употреба или преработка на това изделие може да доведе до неговата повреда и последващо нараняване на пациента. Повторната обработка и/или повторна стерилизация на това изделие може да създаде риск от замърсяване и инфекция на пациента. Не използвайте, не обработвайте и не стерилизирайте повторно това изделие.</w:t>
      </w:r>
    </w:p>
    <w:p w14:paraId="02E0F1FE" w14:textId="77777777" w:rsidR="00C13612" w:rsidRPr="00790DE3" w:rsidRDefault="00C13612" w:rsidP="00213810">
      <w:pPr>
        <w:numPr>
          <w:ilvl w:val="0"/>
          <w:numId w:val="22"/>
        </w:numPr>
        <w:spacing w:after="0" w:afterAutospacing="0" w:line="216" w:lineRule="auto"/>
        <w:ind w:left="360"/>
        <w:contextualSpacing/>
        <w:jc w:val="both"/>
        <w:rPr>
          <w:rFonts w:eastAsia="Times New Roman" w:cs="Times New Roman"/>
          <w:szCs w:val="24"/>
          <w:lang w:val="bg"/>
        </w:rPr>
      </w:pPr>
      <w:r>
        <w:rPr>
          <w:rFonts w:eastAsia="Times New Roman" w:cs="Times New Roman"/>
          <w:szCs w:val="24"/>
          <w:lang w:val="bg"/>
        </w:rPr>
        <w:t>Проверете целостта на опаковката преди употреба.</w:t>
      </w:r>
    </w:p>
    <w:p w14:paraId="0AB04CB5" w14:textId="77777777" w:rsidR="00C13612" w:rsidRPr="00790DE3" w:rsidRDefault="00C13612" w:rsidP="00213810">
      <w:pPr>
        <w:numPr>
          <w:ilvl w:val="0"/>
          <w:numId w:val="22"/>
        </w:numPr>
        <w:spacing w:after="0" w:afterAutospacing="0" w:line="216" w:lineRule="auto"/>
        <w:ind w:left="360"/>
        <w:contextualSpacing/>
        <w:jc w:val="both"/>
        <w:rPr>
          <w:rFonts w:eastAsia="Times New Roman" w:cs="Times New Roman"/>
          <w:szCs w:val="24"/>
          <w:lang w:val="bg"/>
        </w:rPr>
      </w:pPr>
      <w:r>
        <w:rPr>
          <w:rFonts w:eastAsia="Times New Roman" w:cs="Times New Roman"/>
          <w:szCs w:val="24"/>
          <w:lang w:val="bg"/>
        </w:rPr>
        <w:t>Не използвайте, ако опаковката е отворена или повредена или ако срокът на годност е изтекъл.</w:t>
      </w:r>
    </w:p>
    <w:p w14:paraId="287B6E69" w14:textId="77777777" w:rsidR="00C13612" w:rsidRPr="00790DE3" w:rsidRDefault="00C13612" w:rsidP="00213810">
      <w:pPr>
        <w:numPr>
          <w:ilvl w:val="0"/>
          <w:numId w:val="22"/>
        </w:numPr>
        <w:spacing w:after="0" w:afterAutospacing="0" w:line="216" w:lineRule="auto"/>
        <w:ind w:left="360"/>
        <w:contextualSpacing/>
        <w:jc w:val="both"/>
        <w:rPr>
          <w:rFonts w:eastAsia="Times New Roman" w:cs="Times New Roman"/>
          <w:szCs w:val="24"/>
          <w:lang w:val="bg"/>
        </w:rPr>
      </w:pPr>
      <w:r>
        <w:rPr>
          <w:rFonts w:eastAsia="Times New Roman" w:cs="Times New Roman"/>
          <w:szCs w:val="24"/>
          <w:lang w:val="bg"/>
        </w:rPr>
        <w:t>Не продължавайте с употребата, ако някой от компонентите бъде повреден по време на процедурата.</w:t>
      </w:r>
    </w:p>
    <w:p w14:paraId="22477486" w14:textId="77777777" w:rsidR="00C13612" w:rsidRPr="00790DE3" w:rsidRDefault="00C13612" w:rsidP="00213810">
      <w:pPr>
        <w:numPr>
          <w:ilvl w:val="0"/>
          <w:numId w:val="22"/>
        </w:numPr>
        <w:spacing w:after="0" w:afterAutospacing="0" w:line="216" w:lineRule="auto"/>
        <w:ind w:left="360"/>
        <w:contextualSpacing/>
        <w:jc w:val="both"/>
        <w:rPr>
          <w:rFonts w:eastAsia="Times New Roman" w:cs="Times New Roman"/>
          <w:szCs w:val="24"/>
          <w:lang w:val="bg"/>
        </w:rPr>
      </w:pPr>
      <w:r>
        <w:rPr>
          <w:rFonts w:eastAsia="Times New Roman" w:cs="Times New Roman"/>
          <w:szCs w:val="24"/>
          <w:lang w:val="bg"/>
        </w:rPr>
        <w:t>Нитинолът е никел-титаниева сплав. Възможна е реакция при пациенти, които проявяват чувствителност към никел.</w:t>
      </w:r>
    </w:p>
    <w:p w14:paraId="2A4E00BA" w14:textId="77777777" w:rsidR="00C13612" w:rsidRPr="00790DE3" w:rsidRDefault="00C13612" w:rsidP="00213810">
      <w:pPr>
        <w:numPr>
          <w:ilvl w:val="0"/>
          <w:numId w:val="22"/>
        </w:numPr>
        <w:spacing w:after="0" w:afterAutospacing="0" w:line="216" w:lineRule="auto"/>
        <w:ind w:left="360"/>
        <w:contextualSpacing/>
        <w:jc w:val="both"/>
        <w:rPr>
          <w:rFonts w:eastAsia="Times New Roman" w:cs="Times New Roman"/>
          <w:szCs w:val="24"/>
          <w:lang w:val="bg"/>
        </w:rPr>
      </w:pPr>
      <w:r>
        <w:rPr>
          <w:rFonts w:eastAsia="Times New Roman" w:cs="Times New Roman"/>
          <w:szCs w:val="24"/>
          <w:lang w:val="bg"/>
        </w:rPr>
        <w:lastRenderedPageBreak/>
        <w:t>Възможна е реакция при пациенти, които проявяват чувствителност към платина.</w:t>
      </w:r>
    </w:p>
    <w:p w14:paraId="0D7E98B5" w14:textId="77777777" w:rsidR="00C13612" w:rsidRPr="00790DE3" w:rsidRDefault="00C13612" w:rsidP="00213810">
      <w:pPr>
        <w:keepLines/>
        <w:numPr>
          <w:ilvl w:val="0"/>
          <w:numId w:val="22"/>
        </w:numPr>
        <w:autoSpaceDE w:val="0"/>
        <w:autoSpaceDN w:val="0"/>
        <w:adjustRightInd w:val="0"/>
        <w:spacing w:after="0" w:afterAutospacing="0" w:line="216" w:lineRule="auto"/>
        <w:ind w:left="360"/>
        <w:jc w:val="both"/>
        <w:rPr>
          <w:rFonts w:eastAsia="Times New Roman" w:cs="Times New Roman"/>
          <w:szCs w:val="24"/>
          <w:lang w:val="bg"/>
        </w:rPr>
      </w:pPr>
      <w:r>
        <w:rPr>
          <w:rFonts w:eastAsia="Times New Roman" w:cs="Times New Roman"/>
          <w:szCs w:val="24"/>
          <w:lang w:val="bg"/>
        </w:rPr>
        <w:t>Необходимо е повишено внимание при употреба на това изделие за отстраняване на голяма фибринова обвивка, за да се сведе до минимум рискът от белодробна емболия.</w:t>
      </w:r>
    </w:p>
    <w:p w14:paraId="4CB50B44" w14:textId="77777777" w:rsidR="00C13612" w:rsidRPr="00790DE3" w:rsidRDefault="00C13612" w:rsidP="00213810">
      <w:pPr>
        <w:keepLines/>
        <w:numPr>
          <w:ilvl w:val="0"/>
          <w:numId w:val="22"/>
        </w:numPr>
        <w:autoSpaceDE w:val="0"/>
        <w:autoSpaceDN w:val="0"/>
        <w:adjustRightInd w:val="0"/>
        <w:spacing w:after="0" w:afterAutospacing="0" w:line="216" w:lineRule="auto"/>
        <w:ind w:left="360"/>
        <w:jc w:val="both"/>
        <w:rPr>
          <w:rFonts w:eastAsia="Times New Roman" w:cs="Times New Roman"/>
          <w:szCs w:val="24"/>
          <w:lang w:val="bg"/>
        </w:rPr>
      </w:pPr>
      <w:r>
        <w:rPr>
          <w:rFonts w:eastAsia="Times New Roman" w:cs="Times New Roman"/>
          <w:szCs w:val="24"/>
          <w:lang w:val="bg"/>
        </w:rPr>
        <w:t>При изпълнение на някои процедури може да се появи кървене през центъра на катетъра за доставка. При необходимост или по преценка на лекаря към катетъра за доставка може да се прикрепи хемостатична клапа (не е включена), за да се намали кръвоизливът.</w:t>
      </w:r>
    </w:p>
    <w:p w14:paraId="7C5DC59D" w14:textId="77777777" w:rsidR="0084795E" w:rsidRPr="00213810" w:rsidRDefault="0084795E" w:rsidP="00213810">
      <w:pPr>
        <w:spacing w:after="0" w:afterAutospacing="0" w:line="228" w:lineRule="auto"/>
        <w:ind w:left="792"/>
        <w:rPr>
          <w:rFonts w:cs="Times New Roman"/>
          <w:iCs/>
          <w:sz w:val="16"/>
          <w:szCs w:val="14"/>
          <w:lang w:val="bg"/>
        </w:rPr>
      </w:pPr>
    </w:p>
    <w:p w14:paraId="34731DB5" w14:textId="77777777" w:rsidR="0084795E" w:rsidRPr="009461CC" w:rsidRDefault="0084795E" w:rsidP="00213810">
      <w:pPr>
        <w:spacing w:after="0" w:afterAutospacing="0" w:line="228" w:lineRule="auto"/>
        <w:ind w:left="792"/>
        <w:rPr>
          <w:rFonts w:cs="Times New Roman"/>
          <w:b/>
          <w:bCs/>
          <w:iCs/>
        </w:rPr>
      </w:pPr>
      <w:r>
        <w:rPr>
          <w:rFonts w:cs="Times New Roman"/>
          <w:b/>
          <w:bCs/>
          <w:lang w:val="bg"/>
        </w:rPr>
        <w:t>Предпазни мерки:</w:t>
      </w:r>
    </w:p>
    <w:p w14:paraId="043EE8E1" w14:textId="77777777" w:rsidR="00533C0A" w:rsidRPr="00790DE3" w:rsidRDefault="00533C0A" w:rsidP="00213810">
      <w:pPr>
        <w:numPr>
          <w:ilvl w:val="0"/>
          <w:numId w:val="23"/>
        </w:numPr>
        <w:spacing w:after="0" w:afterAutospacing="0" w:line="228" w:lineRule="auto"/>
        <w:contextualSpacing/>
        <w:jc w:val="both"/>
        <w:rPr>
          <w:rFonts w:eastAsia="Times New Roman" w:cs="Times New Roman"/>
          <w:szCs w:val="24"/>
          <w:lang w:val="bg"/>
        </w:rPr>
      </w:pPr>
      <w:r>
        <w:rPr>
          <w:rFonts w:eastAsia="Times New Roman" w:cs="Times New Roman"/>
          <w:szCs w:val="24"/>
          <w:lang w:val="bg"/>
        </w:rPr>
        <w:t>Силите на опъване, прилагани към катетрите по време на отстраняване на фибринова обвивка, могат да повредят, разтегнат или счупят постоянни катетри с диаметър 6 French или по-малък. Не използвайте прекомерна сила на опъване, когато се опитвате да отстраните фибриновата обвивка от катетри с диаметър 6 French или по-малък.</w:t>
      </w:r>
    </w:p>
    <w:p w14:paraId="7C78A400" w14:textId="77777777" w:rsidR="00533C0A" w:rsidRPr="00790DE3" w:rsidRDefault="00533C0A" w:rsidP="00213810">
      <w:pPr>
        <w:numPr>
          <w:ilvl w:val="0"/>
          <w:numId w:val="23"/>
        </w:numPr>
        <w:spacing w:after="0" w:afterAutospacing="0" w:line="228" w:lineRule="auto"/>
        <w:contextualSpacing/>
        <w:jc w:val="both"/>
        <w:rPr>
          <w:rFonts w:eastAsia="Times New Roman" w:cs="Times New Roman"/>
          <w:szCs w:val="24"/>
          <w:lang w:val="bg"/>
        </w:rPr>
      </w:pPr>
      <w:r>
        <w:rPr>
          <w:rFonts w:eastAsia="Times New Roman" w:cs="Times New Roman"/>
          <w:szCs w:val="24"/>
          <w:lang w:val="bg"/>
        </w:rPr>
        <w:t>Не използвайте прекомерна сила, когато манипулирате катетъра през интродюсера.</w:t>
      </w:r>
    </w:p>
    <w:p w14:paraId="68E7CD6A" w14:textId="77777777" w:rsidR="009E4BE1" w:rsidRPr="00213810" w:rsidRDefault="009E4BE1" w:rsidP="00213810">
      <w:pPr>
        <w:spacing w:after="0" w:afterAutospacing="0" w:line="228" w:lineRule="auto"/>
        <w:rPr>
          <w:rFonts w:cs="Times New Roman"/>
          <w:b/>
          <w:bCs/>
          <w:iCs/>
          <w:sz w:val="16"/>
          <w:szCs w:val="14"/>
          <w:lang w:val="bg"/>
        </w:rPr>
      </w:pPr>
    </w:p>
    <w:p w14:paraId="1F2A8F23" w14:textId="7550D298" w:rsidR="00481A9E" w:rsidRPr="00790DE3" w:rsidRDefault="00481A9E" w:rsidP="00213810">
      <w:pPr>
        <w:spacing w:after="0" w:afterAutospacing="0" w:line="228" w:lineRule="auto"/>
        <w:ind w:firstLine="720"/>
        <w:jc w:val="both"/>
        <w:rPr>
          <w:rFonts w:eastAsia="Times New Roman" w:cs="Times New Roman"/>
          <w:b/>
          <w:szCs w:val="24"/>
          <w:lang w:val="bg"/>
        </w:rPr>
      </w:pPr>
      <w:r>
        <w:rPr>
          <w:rFonts w:eastAsia="Times New Roman" w:cs="Times New Roman"/>
          <w:b/>
          <w:bCs/>
          <w:szCs w:val="24"/>
          <w:lang w:val="bg"/>
        </w:rPr>
        <w:t xml:space="preserve">Рискове и странични ефекти </w:t>
      </w:r>
    </w:p>
    <w:p w14:paraId="3EC1F3BA" w14:textId="77777777" w:rsidR="00481A9E" w:rsidRPr="00790DE3" w:rsidRDefault="00481A9E" w:rsidP="00213810">
      <w:pPr>
        <w:tabs>
          <w:tab w:val="left" w:pos="2790"/>
        </w:tabs>
        <w:spacing w:after="0" w:afterAutospacing="0" w:line="228" w:lineRule="auto"/>
        <w:jc w:val="both"/>
        <w:rPr>
          <w:rFonts w:eastAsia="Times New Roman" w:cs="Times New Roman"/>
          <w:szCs w:val="24"/>
          <w:lang w:val="bg"/>
        </w:rPr>
      </w:pPr>
      <w:r>
        <w:rPr>
          <w:rFonts w:eastAsia="Times New Roman" w:cs="Times New Roman"/>
          <w:szCs w:val="24"/>
          <w:lang w:val="bg"/>
        </w:rPr>
        <w:t>Възможните усложнения може да включват, но не се ограничават до:</w:t>
      </w:r>
    </w:p>
    <w:p w14:paraId="31B00162" w14:textId="77777777" w:rsidR="00481A9E" w:rsidRPr="009461CC" w:rsidRDefault="00481A9E" w:rsidP="00213810">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bg"/>
        </w:rPr>
        <w:t>Емболизация</w:t>
      </w:r>
    </w:p>
    <w:p w14:paraId="4831EC23" w14:textId="77777777" w:rsidR="00481A9E" w:rsidRPr="009461CC" w:rsidRDefault="00481A9E" w:rsidP="00213810">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bg"/>
        </w:rPr>
        <w:t>Удар</w:t>
      </w:r>
    </w:p>
    <w:p w14:paraId="3E3CC4E5" w14:textId="77777777" w:rsidR="00481A9E" w:rsidRPr="009461CC" w:rsidRDefault="00481A9E" w:rsidP="00213810">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bg"/>
        </w:rPr>
        <w:t>Миокарден инфаркт (в зависимост от разположението)</w:t>
      </w:r>
    </w:p>
    <w:p w14:paraId="3C5A584A" w14:textId="77777777" w:rsidR="00481A9E" w:rsidRPr="009461CC" w:rsidRDefault="00481A9E" w:rsidP="00213810">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bg"/>
        </w:rPr>
        <w:t>Белодробна емболия</w:t>
      </w:r>
    </w:p>
    <w:p w14:paraId="70F9D337" w14:textId="77777777" w:rsidR="00481A9E" w:rsidRPr="009461CC" w:rsidRDefault="00481A9E" w:rsidP="00213810">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bg"/>
        </w:rPr>
        <w:t>Перфорация на съд</w:t>
      </w:r>
    </w:p>
    <w:p w14:paraId="3B28D7FF" w14:textId="77777777" w:rsidR="00481A9E" w:rsidRPr="009461CC" w:rsidRDefault="00481A9E" w:rsidP="00213810">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bg"/>
        </w:rPr>
        <w:t>Заклещване на изделието</w:t>
      </w:r>
    </w:p>
    <w:p w14:paraId="33ABECFB" w14:textId="77777777" w:rsidR="00D558E5" w:rsidRPr="009461CC" w:rsidRDefault="00481A9E" w:rsidP="00213810">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bg"/>
        </w:rPr>
        <w:t>Кървене/кръвоизлив</w:t>
      </w:r>
    </w:p>
    <w:p w14:paraId="0A9BFD81" w14:textId="77777777" w:rsidR="00D558E5" w:rsidRPr="00213810" w:rsidRDefault="00D558E5" w:rsidP="00213810">
      <w:pPr>
        <w:widowControl w:val="0"/>
        <w:spacing w:after="0" w:afterAutospacing="0" w:line="216" w:lineRule="auto"/>
        <w:contextualSpacing/>
        <w:jc w:val="both"/>
        <w:rPr>
          <w:rFonts w:eastAsia="Times New Roman" w:cs="Times New Roman"/>
          <w:sz w:val="16"/>
          <w:szCs w:val="16"/>
        </w:rPr>
      </w:pPr>
    </w:p>
    <w:p w14:paraId="6EEBEC55" w14:textId="65AF2143" w:rsidR="00A80721" w:rsidRPr="009461CC" w:rsidRDefault="00A80721" w:rsidP="00213810">
      <w:pPr>
        <w:widowControl w:val="0"/>
        <w:spacing w:after="0" w:afterAutospacing="0" w:line="228" w:lineRule="auto"/>
        <w:contextualSpacing/>
        <w:jc w:val="both"/>
        <w:rPr>
          <w:rFonts w:eastAsia="Times New Roman" w:cs="Times New Roman"/>
          <w:szCs w:val="24"/>
        </w:rPr>
      </w:pPr>
      <w:r>
        <w:rPr>
          <w:rFonts w:eastAsia="Times New Roman" w:cs="Times New Roman"/>
          <w:szCs w:val="24"/>
          <w:lang w:val="bg"/>
        </w:rPr>
        <w:t>Клинични ползи.</w:t>
      </w:r>
    </w:p>
    <w:p w14:paraId="12CF44E5" w14:textId="5A234452" w:rsidR="00481A9E" w:rsidRPr="009461CC" w:rsidRDefault="00A80721" w:rsidP="00213810">
      <w:pPr>
        <w:spacing w:after="120" w:afterAutospacing="0" w:line="228" w:lineRule="auto"/>
        <w:jc w:val="both"/>
        <w:rPr>
          <w:rFonts w:eastAsia="Times New Roman" w:cs="Times New Roman"/>
          <w:szCs w:val="24"/>
        </w:rPr>
      </w:pPr>
      <w:r>
        <w:rPr>
          <w:rFonts w:eastAsia="Times New Roman" w:cs="Times New Roman"/>
          <w:szCs w:val="24"/>
          <w:lang w:val="bg"/>
        </w:rPr>
        <w:t>Съдовата примка Atrieve Snare представлява пряка полза за пациента, като извлича и манипулира чужди тела перкутанно с по-ниски усложнения и рискове в сравнение с хирургическата интервенция.</w:t>
      </w:r>
    </w:p>
    <w:p w14:paraId="5240AF40" w14:textId="3E5A2DE2" w:rsidR="00042B91" w:rsidRPr="009461CC" w:rsidRDefault="00BB36B1" w:rsidP="00213810">
      <w:pPr>
        <w:spacing w:after="0" w:afterAutospacing="0" w:line="228" w:lineRule="auto"/>
        <w:rPr>
          <w:rFonts w:cs="Times New Roman"/>
          <w:iCs/>
        </w:rPr>
      </w:pPr>
      <w:r>
        <w:rPr>
          <w:rFonts w:cs="Times New Roman"/>
          <w:lang w:val="bg"/>
        </w:rPr>
        <w:t>Трайност/експлоатационен срок: краткотрайно, по-малко от 60 минути.</w:t>
      </w:r>
    </w:p>
    <w:p w14:paraId="393C5ED9" w14:textId="77777777" w:rsidR="00E14C97" w:rsidRPr="009461CC" w:rsidRDefault="00E14C97" w:rsidP="00213810">
      <w:pPr>
        <w:spacing w:after="0" w:afterAutospacing="0" w:line="228" w:lineRule="auto"/>
        <w:rPr>
          <w:rFonts w:cs="Times New Roman"/>
          <w:i/>
          <w:color w:val="FF0000"/>
        </w:rPr>
      </w:pPr>
    </w:p>
    <w:p w14:paraId="09A94B0F" w14:textId="4E664EE0" w:rsidR="00760400" w:rsidRPr="009461CC" w:rsidRDefault="008745ED" w:rsidP="00213810">
      <w:pPr>
        <w:pStyle w:val="Heading1"/>
        <w:spacing w:line="228" w:lineRule="auto"/>
        <w:rPr>
          <w:rFonts w:cs="Times New Roman"/>
        </w:rPr>
      </w:pPr>
      <w:bookmarkStart w:id="69" w:name="_Toc222741203"/>
      <w:r>
        <w:rPr>
          <w:rFonts w:cs="Times New Roman"/>
          <w:bCs/>
          <w:lang w:val="bg"/>
        </w:rPr>
        <w:t>Други свързани аспекти на безопасността, включително обобщение на всички коригиращи действия във връзка с безопасността на място (FSCA, включително известията във връзка с безопасността (FSN)), ако е приложимо</w:t>
      </w:r>
      <w:bookmarkEnd w:id="69"/>
    </w:p>
    <w:p w14:paraId="65E21D1D" w14:textId="58A43005" w:rsidR="004F5057" w:rsidRPr="009461CC" w:rsidRDefault="00FC52C8" w:rsidP="00213810">
      <w:pPr>
        <w:spacing w:line="228" w:lineRule="auto"/>
        <w:rPr>
          <w:rFonts w:cs="Times New Roman"/>
        </w:rPr>
      </w:pPr>
      <w:r>
        <w:rPr>
          <w:rFonts w:cs="Times New Roman"/>
          <w:lang w:val="bg"/>
        </w:rPr>
        <w:t>През отчетния период няма коригиращи действия във връзка с безопасността на място (FSCA) или изтегляния от пазара.</w:t>
      </w:r>
    </w:p>
    <w:p w14:paraId="21FC0F42" w14:textId="6F4CDE71" w:rsidR="008745ED" w:rsidRPr="009461CC" w:rsidRDefault="008745ED" w:rsidP="00213810">
      <w:pPr>
        <w:pStyle w:val="Heading1"/>
        <w:numPr>
          <w:ilvl w:val="0"/>
          <w:numId w:val="2"/>
        </w:numPr>
        <w:spacing w:line="228" w:lineRule="auto"/>
        <w:rPr>
          <w:rFonts w:cs="Times New Roman"/>
        </w:rPr>
      </w:pPr>
      <w:bookmarkStart w:id="70" w:name="_Toc222741204"/>
      <w:r>
        <w:rPr>
          <w:rFonts w:cs="Times New Roman"/>
          <w:bCs/>
          <w:lang w:val="bg"/>
        </w:rPr>
        <w:t>Обобщение на клиничната оценка и клиничното проследяване след пускането на пазара (PMCF)</w:t>
      </w:r>
      <w:bookmarkEnd w:id="70"/>
    </w:p>
    <w:p w14:paraId="7CA310DE" w14:textId="6CE486E3" w:rsidR="00DA4404" w:rsidRDefault="00DA4404" w:rsidP="00213810">
      <w:pPr>
        <w:spacing w:after="0" w:afterAutospacing="0" w:line="228" w:lineRule="auto"/>
        <w:rPr>
          <w:rFonts w:cs="Times New Roman"/>
        </w:rPr>
      </w:pPr>
      <w:r>
        <w:rPr>
          <w:rFonts w:cs="Times New Roman"/>
          <w:lang w:val="bg"/>
        </w:rPr>
        <w:t xml:space="preserve">Докладът за клинична оценка (CER-029, </w:t>
      </w:r>
      <w:r w:rsidR="000542AF">
        <w:rPr>
          <w:rFonts w:cs="Times New Roman"/>
        </w:rPr>
        <w:t>Rev</w:t>
      </w:r>
      <w:r>
        <w:rPr>
          <w:rFonts w:cs="Times New Roman"/>
          <w:lang w:val="bg"/>
        </w:rPr>
        <w:t>. B) потвърждава, че комплектът съдова примка Atrieve Snare е клинично безопасен и ефективен за извличане и манипулиране на чужди тела в сърдечносъдовата система. Използва се предимно от обучени медицински специалисти при минимално инвазивни процедури.</w:t>
      </w:r>
    </w:p>
    <w:p w14:paraId="2148428D" w14:textId="77777777" w:rsidR="000514F4" w:rsidRPr="00213810" w:rsidRDefault="000514F4" w:rsidP="00213810">
      <w:pPr>
        <w:spacing w:after="0" w:afterAutospacing="0" w:line="228" w:lineRule="auto"/>
        <w:rPr>
          <w:rFonts w:cs="Times New Roman"/>
          <w:sz w:val="14"/>
          <w:szCs w:val="12"/>
        </w:rPr>
      </w:pPr>
    </w:p>
    <w:p w14:paraId="065C32D9" w14:textId="36044E92" w:rsidR="00DA4404" w:rsidRDefault="00DA4404" w:rsidP="00213810">
      <w:pPr>
        <w:spacing w:after="0" w:afterAutospacing="0" w:line="228" w:lineRule="auto"/>
        <w:rPr>
          <w:rFonts w:cs="Times New Roman"/>
        </w:rPr>
      </w:pPr>
      <w:r>
        <w:rPr>
          <w:rFonts w:cs="Times New Roman"/>
          <w:lang w:val="bg"/>
        </w:rPr>
        <w:t>Оценката, базирана на преглед на литературата, клиничен опит и данни след пускането на пазара, показва високи нива на технически и клиничен успех. Усложнения като кървене, емболия, инфекция или алергични реакции са редки и в рамките на приемливи клинични граници.</w:t>
      </w:r>
    </w:p>
    <w:p w14:paraId="18B379C6" w14:textId="77777777" w:rsidR="000514F4" w:rsidRPr="00213810" w:rsidRDefault="000514F4" w:rsidP="00213810">
      <w:pPr>
        <w:spacing w:after="0" w:afterAutospacing="0" w:line="228" w:lineRule="auto"/>
        <w:rPr>
          <w:rFonts w:cs="Times New Roman"/>
          <w:sz w:val="16"/>
          <w:szCs w:val="14"/>
        </w:rPr>
      </w:pPr>
    </w:p>
    <w:p w14:paraId="0DAD67AD" w14:textId="4FF5EA89" w:rsidR="00DA4404" w:rsidRDefault="00DA4404" w:rsidP="00213810">
      <w:pPr>
        <w:spacing w:after="0" w:afterAutospacing="0" w:line="228" w:lineRule="auto"/>
        <w:rPr>
          <w:rFonts w:cs="Times New Roman"/>
        </w:rPr>
      </w:pPr>
      <w:r>
        <w:rPr>
          <w:rFonts w:cs="Times New Roman"/>
          <w:lang w:val="bg"/>
        </w:rPr>
        <w:lastRenderedPageBreak/>
        <w:t>Не бяха установени нови опасения за безопасността или неочаквани рискове. Изделието се представя сравнимо с подобни продукти на пазара, поддържайки постоянен профил на риск-полза.</w:t>
      </w:r>
    </w:p>
    <w:p w14:paraId="20C617FD" w14:textId="77777777" w:rsidR="000514F4" w:rsidRPr="00213810" w:rsidRDefault="000514F4" w:rsidP="00213810">
      <w:pPr>
        <w:spacing w:after="0" w:afterAutospacing="0" w:line="228" w:lineRule="auto"/>
        <w:rPr>
          <w:rFonts w:cs="Times New Roman"/>
          <w:sz w:val="16"/>
          <w:szCs w:val="14"/>
        </w:rPr>
      </w:pPr>
    </w:p>
    <w:p w14:paraId="745B2F11" w14:textId="1617A58F" w:rsidR="00257EE2" w:rsidRDefault="00DA4404" w:rsidP="00213810">
      <w:pPr>
        <w:spacing w:after="0" w:afterAutospacing="0" w:line="228" w:lineRule="auto"/>
        <w:rPr>
          <w:rFonts w:cs="Times New Roman"/>
        </w:rPr>
      </w:pPr>
      <w:r>
        <w:rPr>
          <w:rFonts w:cs="Times New Roman"/>
          <w:lang w:val="bg"/>
        </w:rPr>
        <w:t>В заключение, съдовата примка Atrieve Snare демонстрира надеждни клинични показатели и солиден профил на безопасност, което подкрепя продължаващата му употреба в клинични условия.</w:t>
      </w:r>
    </w:p>
    <w:p w14:paraId="0D88E732" w14:textId="77777777" w:rsidR="000514F4" w:rsidRPr="00213810" w:rsidRDefault="000514F4" w:rsidP="00213810">
      <w:pPr>
        <w:spacing w:after="0" w:afterAutospacing="0" w:line="228" w:lineRule="auto"/>
        <w:rPr>
          <w:rFonts w:cs="Times New Roman"/>
          <w:sz w:val="16"/>
          <w:szCs w:val="14"/>
          <w:highlight w:val="yellow"/>
        </w:rPr>
      </w:pPr>
    </w:p>
    <w:p w14:paraId="491E112E" w14:textId="43F380B5" w:rsidR="005A5584" w:rsidRDefault="005A5584" w:rsidP="00213810">
      <w:pPr>
        <w:spacing w:after="0" w:afterAutospacing="0" w:line="228" w:lineRule="auto"/>
        <w:rPr>
          <w:rFonts w:cs="Times New Roman"/>
        </w:rPr>
      </w:pPr>
      <w:r>
        <w:rPr>
          <w:rFonts w:cs="Times New Roman"/>
          <w:lang w:val="bg"/>
        </w:rPr>
        <w:t>Планът за клинично проследяване след пускането на пазара (PMCFP) за Atrieve очертава структуриран подход за наблюдение на безопасността и клиничните показатели на продукта след пускането му на пазара. Тези изделия от клас III се използват за извличане или манипулиране на чужди тела в сърдечносъдовата система и са предназначени за временна употреба.</w:t>
      </w:r>
    </w:p>
    <w:p w14:paraId="027F7D16" w14:textId="77777777" w:rsidR="000514F4" w:rsidRPr="00213810" w:rsidRDefault="000514F4" w:rsidP="00213810">
      <w:pPr>
        <w:spacing w:after="0" w:afterAutospacing="0" w:line="228" w:lineRule="auto"/>
        <w:rPr>
          <w:rFonts w:cs="Times New Roman"/>
          <w:sz w:val="16"/>
          <w:szCs w:val="14"/>
        </w:rPr>
      </w:pPr>
    </w:p>
    <w:p w14:paraId="72FE8271" w14:textId="2437126D" w:rsidR="00042B91" w:rsidRDefault="005A5584" w:rsidP="000514F4">
      <w:pPr>
        <w:spacing w:after="0" w:afterAutospacing="0" w:line="228" w:lineRule="auto"/>
        <w:rPr>
          <w:rFonts w:cs="Times New Roman"/>
        </w:rPr>
      </w:pPr>
      <w:r>
        <w:rPr>
          <w:rFonts w:cs="Times New Roman"/>
          <w:lang w:val="bg"/>
        </w:rPr>
        <w:t>Дейностите за клинично проследяване след пускане на пазара</w:t>
      </w:r>
      <w:r w:rsidR="00F35B6F">
        <w:rPr>
          <w:rFonts w:cs="Times New Roman"/>
          <w:lang w:val="bg"/>
        </w:rPr>
        <w:t xml:space="preserve"> (PMCF) </w:t>
      </w:r>
      <w:r>
        <w:rPr>
          <w:rFonts w:cs="Times New Roman"/>
          <w:lang w:val="bg"/>
        </w:rPr>
        <w:t>се основават на общи методи, включително годишни прегледи на литературата, наблюдение на базата данни за нежелани събития (напр. MAUDE) и анализ на докладите от надзора след пускането на пазара. Тези усилия целят да потвърдят текущата безопасност и ефективност, да идентифицират нововъзникващи рискове и да открият употреба извън одобрените показания. Клиничните данни за подобни изделия също се преглеждат, за да се сравнят резултатите.</w:t>
      </w:r>
    </w:p>
    <w:p w14:paraId="7B9948EB" w14:textId="77777777" w:rsidR="000514F4" w:rsidRPr="00213810" w:rsidRDefault="000514F4" w:rsidP="00213810">
      <w:pPr>
        <w:spacing w:after="0" w:afterAutospacing="0" w:line="228" w:lineRule="auto"/>
        <w:rPr>
          <w:rFonts w:cs="Times New Roman"/>
        </w:rPr>
      </w:pPr>
    </w:p>
    <w:p w14:paraId="33785C59" w14:textId="7AB0634B" w:rsidR="008745ED" w:rsidRPr="00790DE3" w:rsidRDefault="008745ED" w:rsidP="00213810">
      <w:pPr>
        <w:pStyle w:val="Heading1"/>
        <w:spacing w:line="228" w:lineRule="auto"/>
        <w:rPr>
          <w:rFonts w:cs="Times New Roman"/>
          <w:lang w:val="bg"/>
        </w:rPr>
      </w:pPr>
      <w:bookmarkStart w:id="71" w:name="_Toc222741205"/>
      <w:r>
        <w:rPr>
          <w:rFonts w:cs="Times New Roman"/>
          <w:bCs/>
          <w:lang w:val="bg"/>
        </w:rPr>
        <w:t>Обобщение на клиничните данни, свързани с еквивалентно изделие, ако е приложимо</w:t>
      </w:r>
      <w:bookmarkEnd w:id="71"/>
      <w:r>
        <w:rPr>
          <w:rFonts w:cs="Times New Roman"/>
          <w:bCs/>
          <w:lang w:val="bg"/>
        </w:rPr>
        <w:t xml:space="preserve"> </w:t>
      </w:r>
    </w:p>
    <w:p w14:paraId="62C65035" w14:textId="2ED3F324" w:rsidR="00B763A0" w:rsidRPr="00790DE3" w:rsidRDefault="00F24AE3" w:rsidP="00213810">
      <w:pPr>
        <w:spacing w:line="216" w:lineRule="auto"/>
        <w:ind w:firstLine="360"/>
        <w:rPr>
          <w:rFonts w:cs="Times New Roman"/>
          <w:lang w:val="bg"/>
        </w:rPr>
      </w:pPr>
      <w:r>
        <w:rPr>
          <w:rFonts w:cs="Times New Roman"/>
          <w:lang w:val="bg"/>
        </w:rPr>
        <w:t>Този раздел не е приложим (Н/П).</w:t>
      </w:r>
    </w:p>
    <w:p w14:paraId="46CE7D79" w14:textId="2B10E133" w:rsidR="008745ED" w:rsidRPr="00790DE3" w:rsidRDefault="008745ED" w:rsidP="00213810">
      <w:pPr>
        <w:pStyle w:val="Heading1"/>
        <w:spacing w:line="216" w:lineRule="auto"/>
        <w:rPr>
          <w:rFonts w:cs="Times New Roman"/>
          <w:lang w:val="bg"/>
        </w:rPr>
      </w:pPr>
      <w:bookmarkStart w:id="72" w:name="_Toc222741206"/>
      <w:r>
        <w:rPr>
          <w:rFonts w:cs="Times New Roman"/>
          <w:bCs/>
          <w:lang w:val="bg"/>
        </w:rPr>
        <w:t>Обобщение на клиничните данни от проведените изследвания на изделието преди поставянето на СЕ маркировката, ако е приложимо</w:t>
      </w:r>
      <w:bookmarkEnd w:id="72"/>
      <w:r>
        <w:rPr>
          <w:rFonts w:cs="Times New Roman"/>
          <w:bCs/>
          <w:lang w:val="bg"/>
        </w:rPr>
        <w:t xml:space="preserve"> </w:t>
      </w:r>
    </w:p>
    <w:p w14:paraId="27B7D18D" w14:textId="3346219F" w:rsidR="004846A6" w:rsidRPr="00790DE3" w:rsidRDefault="00F604C9" w:rsidP="00213810">
      <w:pPr>
        <w:spacing w:line="228" w:lineRule="auto"/>
        <w:ind w:left="360"/>
        <w:rPr>
          <w:rFonts w:cs="Times New Roman"/>
          <w:lang w:val="bg"/>
        </w:rPr>
      </w:pPr>
      <w:bookmarkStart w:id="73" w:name="_Hlk196514030"/>
      <w:r>
        <w:rPr>
          <w:rFonts w:cs="Times New Roman"/>
          <w:lang w:val="bg"/>
        </w:rPr>
        <w:t>Този раздел не е приложим (Н/П).</w:t>
      </w:r>
    </w:p>
    <w:p w14:paraId="7A896071" w14:textId="00061818" w:rsidR="008745ED" w:rsidRPr="00790DE3" w:rsidRDefault="008745ED" w:rsidP="00213810">
      <w:pPr>
        <w:pStyle w:val="Heading1"/>
        <w:spacing w:line="228" w:lineRule="auto"/>
        <w:rPr>
          <w:rFonts w:cs="Times New Roman"/>
          <w:lang w:val="bg"/>
        </w:rPr>
      </w:pPr>
      <w:bookmarkStart w:id="74" w:name="_Toc222741207"/>
      <w:bookmarkEnd w:id="73"/>
      <w:r>
        <w:rPr>
          <w:rFonts w:cs="Times New Roman"/>
          <w:bCs/>
          <w:lang w:val="bg"/>
        </w:rPr>
        <w:t>Обобщение на клиничните данни от други източници, ако е приложимо</w:t>
      </w:r>
      <w:bookmarkEnd w:id="74"/>
      <w:r>
        <w:rPr>
          <w:rFonts w:cs="Times New Roman"/>
          <w:bCs/>
          <w:lang w:val="bg"/>
        </w:rPr>
        <w:t xml:space="preserve"> </w:t>
      </w:r>
    </w:p>
    <w:p w14:paraId="66791672" w14:textId="77777777" w:rsidR="000514F4" w:rsidRPr="00213810" w:rsidRDefault="000514F4" w:rsidP="000514F4">
      <w:pPr>
        <w:spacing w:after="0" w:afterAutospacing="0" w:line="228" w:lineRule="auto"/>
        <w:rPr>
          <w:rFonts w:eastAsia="Times New Roman" w:cs="Times New Roman"/>
          <w:sz w:val="18"/>
          <w:szCs w:val="18"/>
        </w:rPr>
      </w:pPr>
    </w:p>
    <w:p w14:paraId="3F1ED76E" w14:textId="03DE4D45" w:rsidR="006C2B68" w:rsidRDefault="0037599D" w:rsidP="00213810">
      <w:pPr>
        <w:spacing w:after="0" w:afterAutospacing="0" w:line="228" w:lineRule="auto"/>
        <w:rPr>
          <w:rFonts w:eastAsia="Times New Roman" w:cs="Times New Roman"/>
          <w:szCs w:val="24"/>
        </w:rPr>
      </w:pPr>
      <w:r>
        <w:rPr>
          <w:rFonts w:eastAsia="Times New Roman" w:cs="Times New Roman"/>
          <w:szCs w:val="24"/>
          <w:lang w:val="bg"/>
        </w:rPr>
        <w:t xml:space="preserve">CER-029, </w:t>
      </w:r>
      <w:r w:rsidR="001C2457">
        <w:rPr>
          <w:rFonts w:eastAsia="Times New Roman" w:cs="Times New Roman"/>
          <w:szCs w:val="24"/>
        </w:rPr>
        <w:t>Rev</w:t>
      </w:r>
      <w:r>
        <w:rPr>
          <w:rFonts w:eastAsia="Times New Roman" w:cs="Times New Roman"/>
          <w:szCs w:val="24"/>
          <w:lang w:val="bg"/>
        </w:rPr>
        <w:t>. B, е подкрепен от цялостен преглед на външни клинични данни, включително:</w:t>
      </w:r>
    </w:p>
    <w:p w14:paraId="2BB259EC" w14:textId="77777777" w:rsidR="000514F4" w:rsidRPr="00213810" w:rsidRDefault="000514F4" w:rsidP="00213810">
      <w:pPr>
        <w:spacing w:after="0" w:afterAutospacing="0" w:line="228" w:lineRule="auto"/>
        <w:rPr>
          <w:rFonts w:eastAsia="Times New Roman" w:cs="Times New Roman"/>
          <w:sz w:val="16"/>
          <w:szCs w:val="16"/>
        </w:rPr>
      </w:pPr>
    </w:p>
    <w:p w14:paraId="421058D0" w14:textId="26D1A572" w:rsidR="00FB1FDD" w:rsidRDefault="00FC5667" w:rsidP="00213810">
      <w:pPr>
        <w:spacing w:after="0" w:afterAutospacing="0" w:line="228" w:lineRule="auto"/>
        <w:rPr>
          <w:rFonts w:cs="Times New Roman"/>
        </w:rPr>
      </w:pPr>
      <w:r>
        <w:rPr>
          <w:rFonts w:cs="Times New Roman"/>
          <w:szCs w:val="24"/>
          <w:lang w:val="bg"/>
        </w:rPr>
        <w:t>Литература за най-съвременните технологии (SOA): систематичен преглед на 579 статии идентифицира 16 съответни проучвания върху подобни изделия и процедури. Тези проучвания демонстрираха високи нива на технически успех (≥91,2%) и ниски нива на усложнения (≤1,1%), установявайки критерии за безопасност и клинични показатели.</w:t>
      </w:r>
      <w:r>
        <w:rPr>
          <w:rFonts w:cs="Times New Roman"/>
          <w:lang w:val="bg"/>
        </w:rPr>
        <w:t xml:space="preserve"> </w:t>
      </w:r>
    </w:p>
    <w:p w14:paraId="1CF73442" w14:textId="77777777" w:rsidR="000514F4" w:rsidRPr="00213810" w:rsidRDefault="000514F4" w:rsidP="00213810">
      <w:pPr>
        <w:spacing w:after="0" w:afterAutospacing="0" w:line="228" w:lineRule="auto"/>
        <w:rPr>
          <w:rFonts w:cs="Times New Roman"/>
          <w:sz w:val="16"/>
          <w:szCs w:val="14"/>
        </w:rPr>
      </w:pPr>
    </w:p>
    <w:p w14:paraId="7C6B59FC" w14:textId="77777777" w:rsidR="00FB1FDD" w:rsidRDefault="00D23267" w:rsidP="00213810">
      <w:pPr>
        <w:spacing w:after="0" w:afterAutospacing="0" w:line="228" w:lineRule="auto"/>
        <w:rPr>
          <w:rFonts w:cs="Times New Roman"/>
        </w:rPr>
      </w:pPr>
      <w:r>
        <w:rPr>
          <w:rFonts w:cs="Times New Roman"/>
          <w:szCs w:val="24"/>
          <w:lang w:val="bg"/>
        </w:rPr>
        <w:t>Литература за конкурентни изделия: Осем проучвания върху сравними изделия (напр. EN Snare, GooseNeck, CloverSnare) потвърдиха сходни профили на безопасност и ефикасност, което затвърди статуса на съдовите примки като стандартни за лечение.</w:t>
      </w:r>
      <w:r>
        <w:rPr>
          <w:rFonts w:cs="Times New Roman"/>
          <w:lang w:val="bg"/>
        </w:rPr>
        <w:t xml:space="preserve"> </w:t>
      </w:r>
    </w:p>
    <w:p w14:paraId="0473A76D" w14:textId="77777777" w:rsidR="000514F4" w:rsidRPr="00213810" w:rsidRDefault="000514F4" w:rsidP="00213810">
      <w:pPr>
        <w:spacing w:after="0" w:afterAutospacing="0" w:line="228" w:lineRule="auto"/>
        <w:rPr>
          <w:rFonts w:cs="Times New Roman"/>
          <w:sz w:val="16"/>
          <w:szCs w:val="14"/>
        </w:rPr>
      </w:pPr>
    </w:p>
    <w:p w14:paraId="2910073B" w14:textId="4049ACE7" w:rsidR="004846A6" w:rsidRDefault="009B4453" w:rsidP="00213810">
      <w:pPr>
        <w:spacing w:after="0" w:afterAutospacing="0" w:line="228" w:lineRule="auto"/>
        <w:rPr>
          <w:rFonts w:eastAsia="Times New Roman" w:cs="Times New Roman"/>
          <w:szCs w:val="24"/>
        </w:rPr>
      </w:pPr>
      <w:r>
        <w:rPr>
          <w:rFonts w:eastAsia="Times New Roman" w:cs="Times New Roman"/>
          <w:szCs w:val="24"/>
          <w:lang w:val="bg"/>
        </w:rPr>
        <w:t>Клинични насоки: Препоръките от професионални сдружения (напр. SIR, ESC, KDOQI) подкрепят използването на перкутанни методи за извличане, включително примки, като лечение от първа линия за отстраняване на чужди тела в сърдечносъдовата система.</w:t>
      </w:r>
    </w:p>
    <w:p w14:paraId="4D9451B9" w14:textId="77777777" w:rsidR="000514F4" w:rsidRPr="00213810" w:rsidRDefault="000514F4" w:rsidP="00213810">
      <w:pPr>
        <w:spacing w:after="0" w:afterAutospacing="0" w:line="228" w:lineRule="auto"/>
        <w:rPr>
          <w:rFonts w:eastAsia="Times New Roman" w:cs="Times New Roman"/>
          <w:sz w:val="16"/>
          <w:szCs w:val="16"/>
        </w:rPr>
      </w:pPr>
    </w:p>
    <w:p w14:paraId="661EF380" w14:textId="0A42EB75" w:rsidR="00516D79" w:rsidRDefault="00516D79" w:rsidP="00213810">
      <w:pPr>
        <w:spacing w:after="0" w:afterAutospacing="0" w:line="228" w:lineRule="auto"/>
        <w:rPr>
          <w:rFonts w:eastAsia="Times New Roman" w:cs="Times New Roman"/>
          <w:szCs w:val="24"/>
        </w:rPr>
      </w:pPr>
      <w:r>
        <w:rPr>
          <w:rFonts w:eastAsia="Times New Roman" w:cs="Times New Roman"/>
          <w:szCs w:val="24"/>
          <w:lang w:val="bg"/>
        </w:rPr>
        <w:t>Литература за разглежданото изделие: Тринадесет публикации (включително доклади за случаи и ретроспективни проучвания) за Atrieve показват 100% технически успех и 94,5% клиничен успех с минимални нежелани реакции. Някои клинични показатели за ефективност леко подминаха показателите за най-съвременните технологии</w:t>
      </w:r>
      <w:r w:rsidR="00F35B6F">
        <w:rPr>
          <w:rFonts w:cs="Times New Roman"/>
          <w:szCs w:val="24"/>
          <w:lang w:val="bg"/>
        </w:rPr>
        <w:t xml:space="preserve"> (SOA)</w:t>
      </w:r>
      <w:r>
        <w:rPr>
          <w:rFonts w:eastAsia="Times New Roman" w:cs="Times New Roman"/>
          <w:szCs w:val="24"/>
          <w:lang w:val="bg"/>
        </w:rPr>
        <w:t>, но останаха в приемливи клинични граници.</w:t>
      </w:r>
    </w:p>
    <w:p w14:paraId="15EB66E5" w14:textId="77777777" w:rsidR="000514F4" w:rsidRPr="00213810" w:rsidRDefault="000514F4" w:rsidP="00213810">
      <w:pPr>
        <w:spacing w:after="0" w:afterAutospacing="0" w:line="228" w:lineRule="auto"/>
        <w:rPr>
          <w:rFonts w:eastAsia="Times New Roman" w:cs="Times New Roman"/>
          <w:sz w:val="16"/>
          <w:szCs w:val="16"/>
        </w:rPr>
      </w:pPr>
    </w:p>
    <w:p w14:paraId="66F22352" w14:textId="5B4B3197" w:rsidR="004846A6" w:rsidRDefault="004846A6" w:rsidP="00213810">
      <w:pPr>
        <w:spacing w:after="0" w:afterAutospacing="0" w:line="228" w:lineRule="auto"/>
        <w:rPr>
          <w:rFonts w:eastAsia="Times New Roman" w:cs="Times New Roman"/>
          <w:szCs w:val="24"/>
        </w:rPr>
      </w:pPr>
      <w:r>
        <w:rPr>
          <w:rFonts w:eastAsia="Times New Roman" w:cs="Times New Roman"/>
          <w:szCs w:val="24"/>
          <w:lang w:val="bg"/>
        </w:rPr>
        <w:t xml:space="preserve">Освен това, докладът включва данни от надзора след пускането на пазара (PMS), събрани чрез структурирани планове за надзор за продукта Atrieve. Това включва проследяване на оплаквания и </w:t>
      </w:r>
      <w:r>
        <w:rPr>
          <w:rFonts w:eastAsia="Times New Roman" w:cs="Times New Roman"/>
          <w:szCs w:val="24"/>
          <w:lang w:val="bg"/>
        </w:rPr>
        <w:lastRenderedPageBreak/>
        <w:t>нежелани събития в продължение на пет години, както и коригиращи действия. Въпреки големия обем на глобалните продажби, данните от проучването след пускане на пазара</w:t>
      </w:r>
      <w:r w:rsidR="00F35B6F">
        <w:rPr>
          <w:rFonts w:eastAsia="Times New Roman" w:cs="Times New Roman"/>
          <w:szCs w:val="24"/>
          <w:lang w:val="bg"/>
        </w:rPr>
        <w:t xml:space="preserve"> (PMS)</w:t>
      </w:r>
      <w:r>
        <w:rPr>
          <w:rFonts w:eastAsia="Times New Roman" w:cs="Times New Roman"/>
          <w:szCs w:val="24"/>
          <w:lang w:val="bg"/>
        </w:rPr>
        <w:t xml:space="preserve"> не разкриха нововъзникващи тенденции в безопасността или непредвидени рискове, което потвърждава профилите на безопасност на изделията в реални условия.</w:t>
      </w:r>
    </w:p>
    <w:p w14:paraId="186A71A6" w14:textId="77777777" w:rsidR="000514F4" w:rsidRPr="00213810" w:rsidRDefault="000514F4" w:rsidP="00213810">
      <w:pPr>
        <w:spacing w:after="0" w:afterAutospacing="0" w:line="228" w:lineRule="auto"/>
        <w:rPr>
          <w:rFonts w:eastAsia="Times New Roman" w:cs="Times New Roman"/>
          <w:sz w:val="16"/>
          <w:szCs w:val="16"/>
        </w:rPr>
      </w:pPr>
    </w:p>
    <w:p w14:paraId="6527D03E" w14:textId="2D4666F9" w:rsidR="004846A6" w:rsidRDefault="004846A6" w:rsidP="000514F4">
      <w:pPr>
        <w:spacing w:after="0" w:afterAutospacing="0" w:line="228" w:lineRule="auto"/>
        <w:rPr>
          <w:rFonts w:eastAsia="Times New Roman" w:cs="Times New Roman"/>
          <w:szCs w:val="24"/>
        </w:rPr>
      </w:pPr>
      <w:r>
        <w:rPr>
          <w:rFonts w:eastAsia="Times New Roman" w:cs="Times New Roman"/>
          <w:szCs w:val="24"/>
          <w:lang w:val="bg"/>
        </w:rPr>
        <w:t>Накрая, неклиничните данни, включително лабораторни тестове и оценки на биосъвместимост, показват, че изделията отговарят на всички проектни и регулаторни стандарти. Въпреки че не са провеждани клинични изпитвания за тези изделия, това е обосновано с подробни данни от литературата, източници след пускане на пазара и употреба на по-стари изделия. Като цяло тези различни източници на данни колективно подкрепят безопасността и ефикасността на изделията в съответствие с изискванията на Регламента за медицинските изделия на ЕС</w:t>
      </w:r>
      <w:r w:rsidR="00AE4AB9" w:rsidRPr="00213810">
        <w:rPr>
          <w:rFonts w:eastAsia="Times New Roman" w:cs="Times New Roman"/>
          <w:szCs w:val="24"/>
          <w:lang w:val="bg"/>
        </w:rPr>
        <w:t xml:space="preserve"> (</w:t>
      </w:r>
      <w:r w:rsidR="00AE4AB9">
        <w:rPr>
          <w:rFonts w:eastAsia="Times New Roman" w:cs="Times New Roman"/>
          <w:szCs w:val="24"/>
        </w:rPr>
        <w:t>EU</w:t>
      </w:r>
      <w:r w:rsidR="00AE4AB9" w:rsidRPr="00213810">
        <w:rPr>
          <w:rFonts w:eastAsia="Times New Roman" w:cs="Times New Roman"/>
          <w:szCs w:val="24"/>
          <w:lang w:val="bg"/>
        </w:rPr>
        <w:t xml:space="preserve"> </w:t>
      </w:r>
      <w:r w:rsidR="00AE4AB9">
        <w:rPr>
          <w:rFonts w:eastAsia="Times New Roman" w:cs="Times New Roman"/>
          <w:szCs w:val="24"/>
        </w:rPr>
        <w:t>MDR</w:t>
      </w:r>
      <w:r w:rsidR="00AE4AB9" w:rsidRPr="00213810">
        <w:rPr>
          <w:rFonts w:eastAsia="Times New Roman" w:cs="Times New Roman"/>
          <w:szCs w:val="24"/>
          <w:lang w:val="bg"/>
        </w:rPr>
        <w:t>)</w:t>
      </w:r>
      <w:r>
        <w:rPr>
          <w:rFonts w:eastAsia="Times New Roman" w:cs="Times New Roman"/>
          <w:szCs w:val="24"/>
          <w:lang w:val="bg"/>
        </w:rPr>
        <w:t>.</w:t>
      </w:r>
    </w:p>
    <w:p w14:paraId="6F1CE3C0" w14:textId="77777777" w:rsidR="000514F4" w:rsidRPr="00213810" w:rsidRDefault="000514F4" w:rsidP="00213810">
      <w:pPr>
        <w:spacing w:after="0" w:afterAutospacing="0" w:line="228" w:lineRule="auto"/>
        <w:rPr>
          <w:rFonts w:eastAsia="Times New Roman" w:cs="Times New Roman"/>
          <w:szCs w:val="24"/>
        </w:rPr>
      </w:pPr>
    </w:p>
    <w:p w14:paraId="0F01E5AD" w14:textId="2BD461FF" w:rsidR="008745ED" w:rsidRPr="00790DE3" w:rsidRDefault="008745ED" w:rsidP="00213810">
      <w:pPr>
        <w:pStyle w:val="Heading1"/>
        <w:spacing w:line="228" w:lineRule="auto"/>
        <w:rPr>
          <w:rFonts w:cs="Times New Roman"/>
          <w:lang w:val="bg"/>
        </w:rPr>
      </w:pPr>
      <w:bookmarkStart w:id="75" w:name="_Toc222741208"/>
      <w:r>
        <w:rPr>
          <w:rFonts w:cs="Times New Roman"/>
          <w:bCs/>
          <w:lang w:val="bg"/>
        </w:rPr>
        <w:t>Цялостно обобщение на клиничните показатели и безопасността</w:t>
      </w:r>
      <w:bookmarkEnd w:id="75"/>
      <w:r>
        <w:rPr>
          <w:rFonts w:cs="Times New Roman"/>
          <w:bCs/>
          <w:lang w:val="bg"/>
        </w:rPr>
        <w:t xml:space="preserve"> </w:t>
      </w:r>
    </w:p>
    <w:p w14:paraId="7C1B956B" w14:textId="77777777" w:rsidR="009977D7" w:rsidRPr="00213810" w:rsidRDefault="009977D7" w:rsidP="00213810">
      <w:pPr>
        <w:spacing w:after="0" w:afterAutospacing="0" w:line="228" w:lineRule="auto"/>
        <w:rPr>
          <w:rFonts w:eastAsia="Times New Roman" w:cs="Times New Roman"/>
          <w:iCs/>
          <w:sz w:val="12"/>
          <w:szCs w:val="12"/>
          <w:lang w:val="bg"/>
        </w:rPr>
      </w:pPr>
    </w:p>
    <w:p w14:paraId="068544DB" w14:textId="652C38CF" w:rsidR="00D52DF8" w:rsidRPr="00790DE3" w:rsidRDefault="00D52DF8" w:rsidP="00213810">
      <w:pPr>
        <w:spacing w:after="0" w:afterAutospacing="0" w:line="228" w:lineRule="auto"/>
        <w:rPr>
          <w:rFonts w:eastAsia="Times New Roman" w:cs="Times New Roman"/>
          <w:iCs/>
          <w:szCs w:val="24"/>
          <w:lang w:val="bg"/>
        </w:rPr>
      </w:pPr>
      <w:r>
        <w:rPr>
          <w:rFonts w:eastAsia="Times New Roman" w:cs="Times New Roman"/>
          <w:szCs w:val="24"/>
          <w:lang w:val="bg"/>
        </w:rPr>
        <w:t xml:space="preserve">Въз основа на X9585730-0321-EU, </w:t>
      </w:r>
      <w:r w:rsidR="004C4434" w:rsidRPr="00213810">
        <w:rPr>
          <w:rFonts w:eastAsia="Times New Roman" w:cs="Times New Roman"/>
          <w:szCs w:val="24"/>
          <w:lang w:val="pt-BR"/>
        </w:rPr>
        <w:t>Rev</w:t>
      </w:r>
      <w:r>
        <w:rPr>
          <w:rFonts w:eastAsia="Times New Roman" w:cs="Times New Roman"/>
          <w:szCs w:val="24"/>
          <w:lang w:val="bg"/>
        </w:rPr>
        <w:t xml:space="preserve">. A, и CER-029, </w:t>
      </w:r>
      <w:r w:rsidR="004C4434">
        <w:rPr>
          <w:rFonts w:eastAsia="Times New Roman" w:cs="Times New Roman"/>
          <w:szCs w:val="24"/>
        </w:rPr>
        <w:t>Rev</w:t>
      </w:r>
      <w:r>
        <w:rPr>
          <w:rFonts w:eastAsia="Times New Roman" w:cs="Times New Roman"/>
          <w:szCs w:val="24"/>
          <w:lang w:val="bg"/>
        </w:rPr>
        <w:t>. B, за комплекта съдова примка Atrieve Snare общият профил на клиничните показатели и безопасността на изделието e благоприятен и съответства на очакванията за предназначението му.</w:t>
      </w:r>
    </w:p>
    <w:p w14:paraId="3508FD3D" w14:textId="77777777" w:rsidR="002E59B4" w:rsidRPr="00213810" w:rsidRDefault="002E59B4" w:rsidP="00213810">
      <w:pPr>
        <w:spacing w:after="0" w:afterAutospacing="0" w:line="228" w:lineRule="auto"/>
        <w:rPr>
          <w:rFonts w:eastAsia="Times New Roman" w:cs="Times New Roman"/>
          <w:iCs/>
          <w:sz w:val="16"/>
          <w:szCs w:val="16"/>
          <w:lang w:val="bg"/>
        </w:rPr>
      </w:pPr>
    </w:p>
    <w:p w14:paraId="0A303358" w14:textId="24357A0A" w:rsidR="00C361CA" w:rsidRPr="00790DE3" w:rsidRDefault="005C642C" w:rsidP="00213810">
      <w:pPr>
        <w:spacing w:after="0" w:afterAutospacing="0" w:line="228" w:lineRule="auto"/>
        <w:rPr>
          <w:rFonts w:cs="Times New Roman"/>
          <w:lang w:val="bg"/>
        </w:rPr>
      </w:pPr>
      <w:r>
        <w:rPr>
          <w:rFonts w:cs="Times New Roman"/>
          <w:lang w:val="bg"/>
        </w:rPr>
        <w:t xml:space="preserve">Изделието е предназначено за </w:t>
      </w:r>
      <w:r>
        <w:rPr>
          <w:rStyle w:val="Strong"/>
          <w:rFonts w:cs="Times New Roman"/>
          <w:lang w:val="bg"/>
        </w:rPr>
        <w:t>перкутанно извличане и манипулиране на чужди тела</w:t>
      </w:r>
      <w:r>
        <w:rPr>
          <w:rFonts w:cs="Times New Roman"/>
          <w:lang w:val="bg"/>
        </w:rPr>
        <w:t xml:space="preserve"> в сърдечносъдовата система или кухи органи. Ключовите клинични ползи включват минимално инвазивно извличане, намален риск за пациента и по-ниски нива на усложнения в сравнение с хирургичните алтернативи.</w:t>
      </w:r>
    </w:p>
    <w:p w14:paraId="0DE0B963" w14:textId="77777777" w:rsidR="005C642C" w:rsidRPr="00213810" w:rsidRDefault="005C642C" w:rsidP="00213810">
      <w:pPr>
        <w:spacing w:after="0" w:afterAutospacing="0" w:line="228" w:lineRule="auto"/>
        <w:rPr>
          <w:rFonts w:eastAsia="Times New Roman" w:cs="Times New Roman"/>
          <w:iCs/>
          <w:sz w:val="16"/>
          <w:szCs w:val="16"/>
          <w:lang w:val="bg"/>
        </w:rPr>
      </w:pPr>
    </w:p>
    <w:p w14:paraId="2DA4A118" w14:textId="58FE2B84" w:rsidR="00C97841" w:rsidRPr="00790DE3" w:rsidRDefault="00B26297" w:rsidP="00213810">
      <w:pPr>
        <w:spacing w:after="0" w:afterAutospacing="0" w:line="228" w:lineRule="auto"/>
        <w:rPr>
          <w:rFonts w:eastAsia="Times New Roman" w:cs="Times New Roman"/>
          <w:iCs/>
          <w:szCs w:val="24"/>
          <w:lang w:val="bg"/>
        </w:rPr>
      </w:pPr>
      <w:r>
        <w:rPr>
          <w:rFonts w:eastAsia="Times New Roman" w:cs="Times New Roman"/>
          <w:szCs w:val="24"/>
          <w:lang w:val="bg"/>
        </w:rPr>
        <w:t>Клиничната оценка определя следните показатели за резултатите:</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213810">
            <w:pPr>
              <w:spacing w:after="0" w:afterAutospacing="0" w:line="204" w:lineRule="auto"/>
              <w:jc w:val="center"/>
              <w:rPr>
                <w:rFonts w:eastAsia="Times New Roman" w:cs="Times New Roman"/>
                <w:b/>
                <w:bCs/>
              </w:rPr>
            </w:pPr>
            <w:r>
              <w:rPr>
                <w:rFonts w:eastAsia="Times New Roman" w:cs="Times New Roman"/>
                <w:b/>
                <w:bCs/>
                <w:lang w:val="bg"/>
              </w:rPr>
              <w:t>Клинични показатели</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213810">
            <w:pPr>
              <w:spacing w:after="0" w:afterAutospacing="0" w:line="204" w:lineRule="auto"/>
              <w:jc w:val="center"/>
              <w:rPr>
                <w:rFonts w:eastAsia="Times New Roman" w:cs="Times New Roman"/>
                <w:b/>
                <w:bCs/>
              </w:rPr>
            </w:pPr>
            <w:r>
              <w:rPr>
                <w:rFonts w:eastAsia="Times New Roman" w:cs="Times New Roman"/>
                <w:b/>
                <w:bCs/>
                <w:lang w:val="bg"/>
              </w:rPr>
              <w:t>Показател</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213810">
            <w:pPr>
              <w:spacing w:after="0" w:afterAutospacing="0" w:line="204" w:lineRule="auto"/>
              <w:jc w:val="center"/>
              <w:rPr>
                <w:rFonts w:eastAsia="Times New Roman" w:cs="Times New Roman"/>
                <w:b/>
                <w:bCs/>
              </w:rPr>
            </w:pPr>
            <w:r>
              <w:rPr>
                <w:rFonts w:eastAsia="Times New Roman" w:cs="Times New Roman"/>
                <w:b/>
                <w:bCs/>
                <w:lang w:val="bg"/>
              </w:rPr>
              <w:t>Определение</w:t>
            </w:r>
          </w:p>
        </w:tc>
      </w:tr>
      <w:tr w:rsidR="00942C1E" w:rsidRPr="009461CC"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213810">
            <w:pPr>
              <w:spacing w:after="0" w:afterAutospacing="0" w:line="204" w:lineRule="auto"/>
              <w:jc w:val="center"/>
              <w:rPr>
                <w:rFonts w:eastAsia="Times New Roman" w:cs="Times New Roman"/>
              </w:rPr>
            </w:pPr>
            <w:r>
              <w:rPr>
                <w:rFonts w:eastAsia="Times New Roman" w:cs="Times New Roman"/>
                <w:b/>
                <w:bCs/>
                <w:lang w:val="bg"/>
              </w:rPr>
              <w:t>Степен на технически успех</w:t>
            </w:r>
          </w:p>
        </w:tc>
        <w:tc>
          <w:tcPr>
            <w:tcW w:w="3514" w:type="pct"/>
            <w:tcMar>
              <w:top w:w="120" w:type="dxa"/>
              <w:left w:w="180" w:type="dxa"/>
              <w:bottom w:w="105" w:type="dxa"/>
              <w:right w:w="120" w:type="dxa"/>
            </w:tcMar>
            <w:hideMark/>
          </w:tcPr>
          <w:p w14:paraId="55E25C25" w14:textId="77777777" w:rsidR="00942C1E" w:rsidRPr="009461CC" w:rsidRDefault="00942C1E" w:rsidP="00213810">
            <w:pPr>
              <w:spacing w:after="0" w:afterAutospacing="0" w:line="204" w:lineRule="auto"/>
              <w:jc w:val="center"/>
              <w:rPr>
                <w:rFonts w:eastAsia="Times New Roman" w:cs="Times New Roman"/>
              </w:rPr>
            </w:pPr>
            <w:r>
              <w:rPr>
                <w:rFonts w:eastAsia="Times New Roman" w:cs="Times New Roman"/>
                <w:lang w:val="bg"/>
              </w:rPr>
              <w:t>Успешно извличане/манипулиране на чужди тела</w:t>
            </w:r>
          </w:p>
        </w:tc>
      </w:tr>
      <w:tr w:rsidR="00942C1E" w:rsidRPr="009461CC"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213810">
            <w:pPr>
              <w:spacing w:after="0" w:afterAutospacing="0" w:line="204" w:lineRule="auto"/>
              <w:jc w:val="center"/>
              <w:rPr>
                <w:rFonts w:eastAsia="Times New Roman" w:cs="Times New Roman"/>
              </w:rPr>
            </w:pPr>
            <w:r>
              <w:rPr>
                <w:rFonts w:eastAsia="Times New Roman" w:cs="Times New Roman"/>
                <w:b/>
                <w:bCs/>
                <w:lang w:val="bg"/>
              </w:rPr>
              <w:t>Степен на технически успех</w:t>
            </w:r>
          </w:p>
        </w:tc>
        <w:tc>
          <w:tcPr>
            <w:tcW w:w="3514" w:type="pct"/>
            <w:tcMar>
              <w:top w:w="120" w:type="dxa"/>
              <w:left w:w="180" w:type="dxa"/>
              <w:bottom w:w="90" w:type="dxa"/>
              <w:right w:w="120" w:type="dxa"/>
            </w:tcMar>
            <w:hideMark/>
          </w:tcPr>
          <w:p w14:paraId="01FCEBA5" w14:textId="77777777" w:rsidR="00942C1E" w:rsidRPr="009461CC" w:rsidRDefault="00942C1E" w:rsidP="00213810">
            <w:pPr>
              <w:spacing w:after="0" w:afterAutospacing="0" w:line="204" w:lineRule="auto"/>
              <w:jc w:val="center"/>
              <w:rPr>
                <w:rFonts w:eastAsia="Times New Roman" w:cs="Times New Roman"/>
              </w:rPr>
            </w:pPr>
            <w:r>
              <w:rPr>
                <w:rFonts w:eastAsia="Times New Roman" w:cs="Times New Roman"/>
                <w:lang w:val="bg"/>
              </w:rPr>
              <w:t>Успешно извличане/манипулация без процедурни усложнения</w:t>
            </w:r>
          </w:p>
        </w:tc>
      </w:tr>
    </w:tbl>
    <w:p w14:paraId="6CABCDF2" w14:textId="77777777" w:rsidR="004F7F77" w:rsidRPr="009461CC" w:rsidRDefault="004F7F77" w:rsidP="00213810">
      <w:pPr>
        <w:spacing w:after="0" w:afterAutospacing="0" w:line="204" w:lineRule="auto"/>
        <w:rPr>
          <w:rFonts w:eastAsia="Times New Roman" w:cs="Times New Roman"/>
          <w:iCs/>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8"/>
        <w:gridCol w:w="7282"/>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213810">
            <w:pPr>
              <w:spacing w:after="0" w:afterAutospacing="0" w:line="204" w:lineRule="auto"/>
              <w:jc w:val="center"/>
              <w:rPr>
                <w:rFonts w:eastAsia="Times New Roman" w:cs="Times New Roman"/>
                <w:b/>
                <w:bCs/>
              </w:rPr>
            </w:pPr>
            <w:r>
              <w:rPr>
                <w:rFonts w:eastAsia="Times New Roman" w:cs="Times New Roman"/>
                <w:b/>
                <w:bCs/>
                <w:lang w:val="bg"/>
              </w:rPr>
              <w:t>Показатели за безопасност</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213810">
            <w:pPr>
              <w:spacing w:after="0" w:afterAutospacing="0" w:line="204" w:lineRule="auto"/>
              <w:jc w:val="center"/>
              <w:rPr>
                <w:rFonts w:eastAsia="Times New Roman" w:cs="Times New Roman"/>
                <w:b/>
                <w:bCs/>
              </w:rPr>
            </w:pPr>
            <w:r>
              <w:rPr>
                <w:rFonts w:eastAsia="Times New Roman" w:cs="Times New Roman"/>
                <w:b/>
                <w:bCs/>
                <w:lang w:val="bg"/>
              </w:rPr>
              <w:t>Показател</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213810">
            <w:pPr>
              <w:spacing w:after="0" w:afterAutospacing="0" w:line="204" w:lineRule="auto"/>
              <w:jc w:val="center"/>
              <w:rPr>
                <w:rFonts w:eastAsia="Times New Roman" w:cs="Times New Roman"/>
                <w:b/>
                <w:bCs/>
              </w:rPr>
            </w:pPr>
            <w:r>
              <w:rPr>
                <w:rFonts w:eastAsia="Times New Roman" w:cs="Times New Roman"/>
                <w:b/>
                <w:bCs/>
                <w:lang w:val="bg"/>
              </w:rPr>
              <w:t>Определение</w:t>
            </w:r>
          </w:p>
        </w:tc>
      </w:tr>
      <w:tr w:rsidR="00607046" w:rsidRPr="009461CC"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213810">
            <w:pPr>
              <w:spacing w:after="0" w:afterAutospacing="0" w:line="204" w:lineRule="auto"/>
              <w:jc w:val="center"/>
              <w:rPr>
                <w:rFonts w:eastAsia="Times New Roman" w:cs="Times New Roman"/>
              </w:rPr>
            </w:pPr>
            <w:r>
              <w:rPr>
                <w:rFonts w:eastAsia="Times New Roman" w:cs="Times New Roman"/>
                <w:b/>
                <w:bCs/>
                <w:lang w:val="bg"/>
              </w:rPr>
              <w:t>Процедурни усложнения</w:t>
            </w:r>
          </w:p>
        </w:tc>
        <w:tc>
          <w:tcPr>
            <w:tcW w:w="0" w:type="auto"/>
            <w:tcMar>
              <w:top w:w="120" w:type="dxa"/>
              <w:left w:w="180" w:type="dxa"/>
              <w:bottom w:w="105" w:type="dxa"/>
              <w:right w:w="120" w:type="dxa"/>
            </w:tcMar>
            <w:hideMark/>
          </w:tcPr>
          <w:p w14:paraId="5EFFAF53" w14:textId="77777777" w:rsidR="00607046" w:rsidRPr="009461CC" w:rsidRDefault="00607046" w:rsidP="00213810">
            <w:pPr>
              <w:spacing w:after="0" w:afterAutospacing="0" w:line="204" w:lineRule="auto"/>
              <w:jc w:val="center"/>
              <w:rPr>
                <w:rFonts w:eastAsia="Times New Roman" w:cs="Times New Roman"/>
              </w:rPr>
            </w:pPr>
            <w:r>
              <w:rPr>
                <w:rFonts w:eastAsia="Times New Roman" w:cs="Times New Roman"/>
                <w:lang w:val="bg"/>
              </w:rPr>
              <w:t>Включва кървене, перфорация, емболия, инфекция, алергична реакция, болка</w:t>
            </w:r>
          </w:p>
        </w:tc>
      </w:tr>
      <w:tr w:rsidR="00607046" w:rsidRPr="009461CC"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213810">
            <w:pPr>
              <w:spacing w:after="0" w:afterAutospacing="0" w:line="204" w:lineRule="auto"/>
              <w:jc w:val="center"/>
              <w:rPr>
                <w:rFonts w:eastAsia="Times New Roman" w:cs="Times New Roman"/>
              </w:rPr>
            </w:pPr>
            <w:r>
              <w:rPr>
                <w:rFonts w:eastAsia="Times New Roman" w:cs="Times New Roman"/>
                <w:b/>
                <w:bCs/>
                <w:lang w:val="bg"/>
              </w:rPr>
              <w:t>Обща честота на усложнения</w:t>
            </w:r>
          </w:p>
        </w:tc>
        <w:tc>
          <w:tcPr>
            <w:tcW w:w="0" w:type="auto"/>
            <w:tcMar>
              <w:top w:w="120" w:type="dxa"/>
              <w:left w:w="180" w:type="dxa"/>
              <w:bottom w:w="90" w:type="dxa"/>
              <w:right w:w="120" w:type="dxa"/>
            </w:tcMar>
            <w:hideMark/>
          </w:tcPr>
          <w:p w14:paraId="2D2E84BE" w14:textId="77777777" w:rsidR="00607046" w:rsidRPr="009461CC" w:rsidRDefault="00607046" w:rsidP="00213810">
            <w:pPr>
              <w:spacing w:after="0" w:afterAutospacing="0" w:line="204" w:lineRule="auto"/>
              <w:jc w:val="center"/>
              <w:rPr>
                <w:rFonts w:eastAsia="Times New Roman" w:cs="Times New Roman"/>
              </w:rPr>
            </w:pPr>
            <w:r>
              <w:rPr>
                <w:rFonts w:eastAsia="Times New Roman" w:cs="Times New Roman"/>
                <w:lang w:val="bg"/>
              </w:rPr>
              <w:t>Комбинирана честота на всички нежелани събития по време или след процедурата</w:t>
            </w:r>
          </w:p>
        </w:tc>
      </w:tr>
    </w:tbl>
    <w:p w14:paraId="4A64B2C8" w14:textId="77777777" w:rsidR="00607046" w:rsidRPr="009461CC" w:rsidRDefault="00607046" w:rsidP="00213810">
      <w:pPr>
        <w:spacing w:after="0" w:afterAutospacing="0" w:line="216" w:lineRule="auto"/>
        <w:rPr>
          <w:rFonts w:eastAsia="Times New Roman" w:cs="Times New Roman"/>
          <w:iCs/>
          <w:szCs w:val="24"/>
        </w:rPr>
      </w:pPr>
    </w:p>
    <w:p w14:paraId="5B675D80" w14:textId="5B675DF3" w:rsidR="00EE18FA" w:rsidRPr="009461CC" w:rsidRDefault="00050F24" w:rsidP="00213810">
      <w:pPr>
        <w:spacing w:after="0" w:afterAutospacing="0" w:line="228" w:lineRule="auto"/>
        <w:rPr>
          <w:rFonts w:eastAsia="Times New Roman" w:cs="Times New Roman"/>
          <w:iCs/>
          <w:szCs w:val="24"/>
        </w:rPr>
      </w:pPr>
      <w:r>
        <w:rPr>
          <w:rFonts w:eastAsia="Times New Roman" w:cs="Times New Roman"/>
          <w:szCs w:val="24"/>
          <w:lang w:val="bg"/>
        </w:rPr>
        <w:t>Обобщение на процентите на успех за показателите за резултати за съдова примка Atrieve Snare:</w:t>
      </w:r>
    </w:p>
    <w:p w14:paraId="6387EAAA" w14:textId="6A98A9F8" w:rsidR="00050F24" w:rsidRPr="009461CC" w:rsidRDefault="00050F24" w:rsidP="00213810">
      <w:pPr>
        <w:pStyle w:val="ListParagraph"/>
        <w:numPr>
          <w:ilvl w:val="0"/>
          <w:numId w:val="27"/>
        </w:numPr>
        <w:spacing w:after="0" w:afterAutospacing="0" w:line="228" w:lineRule="auto"/>
        <w:rPr>
          <w:rFonts w:eastAsia="Times New Roman" w:cs="Times New Roman"/>
          <w:iCs/>
          <w:szCs w:val="24"/>
        </w:rPr>
      </w:pPr>
      <w:r>
        <w:rPr>
          <w:rFonts w:eastAsia="Times New Roman" w:cs="Times New Roman"/>
          <w:szCs w:val="24"/>
          <w:lang w:val="bg"/>
        </w:rPr>
        <w:t>Техническият успех беше отличен, 100%.</w:t>
      </w:r>
    </w:p>
    <w:p w14:paraId="70426807" w14:textId="6A68FCB6" w:rsidR="00050F24" w:rsidRPr="009461CC" w:rsidRDefault="00050F24" w:rsidP="00213810">
      <w:pPr>
        <w:pStyle w:val="ListParagraph"/>
        <w:numPr>
          <w:ilvl w:val="0"/>
          <w:numId w:val="27"/>
        </w:numPr>
        <w:spacing w:after="0" w:afterAutospacing="0" w:line="228" w:lineRule="auto"/>
        <w:rPr>
          <w:rFonts w:eastAsia="Times New Roman" w:cs="Times New Roman"/>
          <w:iCs/>
          <w:szCs w:val="24"/>
        </w:rPr>
      </w:pPr>
      <w:r>
        <w:rPr>
          <w:rFonts w:eastAsia="Times New Roman" w:cs="Times New Roman"/>
          <w:szCs w:val="24"/>
          <w:lang w:val="bg"/>
        </w:rPr>
        <w:lastRenderedPageBreak/>
        <w:t>Клиничният успех е бил 94,5%, малко под прага от 97,4%.</w:t>
      </w:r>
    </w:p>
    <w:p w14:paraId="3E9DC071" w14:textId="055EE80D" w:rsidR="00050F24" w:rsidRPr="009461CC" w:rsidRDefault="00050F24" w:rsidP="00213810">
      <w:pPr>
        <w:pStyle w:val="ListParagraph"/>
        <w:numPr>
          <w:ilvl w:val="0"/>
          <w:numId w:val="27"/>
        </w:numPr>
        <w:spacing w:after="0" w:afterAutospacing="0" w:line="228" w:lineRule="auto"/>
        <w:rPr>
          <w:rFonts w:eastAsia="Times New Roman" w:cs="Times New Roman"/>
          <w:iCs/>
          <w:szCs w:val="24"/>
        </w:rPr>
      </w:pPr>
      <w:r>
        <w:rPr>
          <w:rFonts w:eastAsia="Times New Roman" w:cs="Times New Roman"/>
          <w:szCs w:val="24"/>
          <w:lang w:val="bg"/>
        </w:rPr>
        <w:t>Общият процент на усложнения, перфорация/увреждане на тъканите и клиничният успех не отговарят на критериите за приемане.</w:t>
      </w:r>
    </w:p>
    <w:p w14:paraId="44EC781B" w14:textId="7DA02325" w:rsidR="00050F24" w:rsidRPr="009461CC" w:rsidRDefault="00050F24" w:rsidP="00213810">
      <w:pPr>
        <w:pStyle w:val="ListParagraph"/>
        <w:numPr>
          <w:ilvl w:val="0"/>
          <w:numId w:val="27"/>
        </w:numPr>
        <w:spacing w:after="0" w:afterAutospacing="0" w:line="228" w:lineRule="auto"/>
        <w:rPr>
          <w:rFonts w:eastAsia="Times New Roman" w:cs="Times New Roman"/>
          <w:iCs/>
          <w:szCs w:val="24"/>
        </w:rPr>
      </w:pPr>
      <w:r>
        <w:rPr>
          <w:rFonts w:eastAsia="Times New Roman" w:cs="Times New Roman"/>
          <w:szCs w:val="24"/>
          <w:lang w:val="bg"/>
        </w:rPr>
        <w:t>Процентът на емболия, болка и смъртност са 0% и отговарят на критериите.</w:t>
      </w:r>
    </w:p>
    <w:p w14:paraId="05E37DDA" w14:textId="77777777" w:rsidR="00EE18FA" w:rsidRPr="00213810" w:rsidRDefault="00EE18FA" w:rsidP="00213810">
      <w:pPr>
        <w:pStyle w:val="ListParagraph"/>
        <w:spacing w:after="0" w:afterAutospacing="0" w:line="228" w:lineRule="auto"/>
        <w:rPr>
          <w:rFonts w:eastAsia="Times New Roman" w:cs="Times New Roman"/>
          <w:iCs/>
          <w:sz w:val="14"/>
          <w:szCs w:val="14"/>
        </w:rPr>
      </w:pPr>
    </w:p>
    <w:p w14:paraId="3F2FC7C2" w14:textId="2808A8DE" w:rsidR="00050F24" w:rsidRPr="009461CC" w:rsidRDefault="00050F24" w:rsidP="00213810">
      <w:pPr>
        <w:spacing w:after="0" w:afterAutospacing="0" w:line="228" w:lineRule="auto"/>
        <w:rPr>
          <w:rFonts w:eastAsia="Times New Roman" w:cs="Times New Roman"/>
          <w:iCs/>
          <w:szCs w:val="24"/>
        </w:rPr>
      </w:pPr>
      <w:r>
        <w:rPr>
          <w:rFonts w:eastAsia="Times New Roman" w:cs="Times New Roman"/>
          <w:szCs w:val="24"/>
          <w:lang w:val="bg"/>
        </w:rPr>
        <w:t>Въпреки че някои крайни точки за безопасност надвишават праговете, профилът полза-риск остава благоприятен поради високия технически успех и ниската тежест на усложненията.</w:t>
      </w:r>
    </w:p>
    <w:p w14:paraId="2F8EAFF0" w14:textId="77777777" w:rsidR="00AA7F1D" w:rsidRPr="00213810" w:rsidRDefault="00AA7F1D" w:rsidP="00213810">
      <w:pPr>
        <w:spacing w:after="0" w:afterAutospacing="0" w:line="228" w:lineRule="auto"/>
        <w:rPr>
          <w:rFonts w:eastAsia="Times New Roman" w:cs="Times New Roman"/>
          <w:iCs/>
          <w:sz w:val="16"/>
          <w:szCs w:val="16"/>
        </w:rPr>
      </w:pPr>
    </w:p>
    <w:p w14:paraId="7A0B3597" w14:textId="358D37AC" w:rsidR="00D47200" w:rsidRPr="009461CC" w:rsidRDefault="00AA7F1D" w:rsidP="00213810">
      <w:pPr>
        <w:spacing w:after="0" w:afterAutospacing="0" w:line="228" w:lineRule="auto"/>
        <w:rPr>
          <w:rFonts w:eastAsia="Times New Roman" w:cs="Times New Roman"/>
          <w:iCs/>
          <w:szCs w:val="24"/>
        </w:rPr>
      </w:pPr>
      <w:r>
        <w:rPr>
          <w:rFonts w:eastAsia="Times New Roman" w:cs="Times New Roman"/>
          <w:szCs w:val="24"/>
          <w:lang w:val="bg"/>
        </w:rPr>
        <w:t xml:space="preserve">Клинични твърдения в инструкциите за употреба </w:t>
      </w:r>
      <w:r w:rsidR="00F35B6F">
        <w:rPr>
          <w:rFonts w:eastAsia="Times New Roman" w:cs="Times New Roman"/>
          <w:szCs w:val="24"/>
          <w:lang w:val="bg"/>
        </w:rPr>
        <w:t>(</w:t>
      </w:r>
      <w:r w:rsidR="00F35B6F" w:rsidRPr="00F35B6F">
        <w:rPr>
          <w:rFonts w:eastAsia="Times New Roman" w:cs="Times New Roman"/>
          <w:szCs w:val="24"/>
        </w:rPr>
        <w:t>IFU</w:t>
      </w:r>
      <w:r w:rsidR="00F35B6F">
        <w:rPr>
          <w:rFonts w:eastAsia="Times New Roman" w:cs="Times New Roman"/>
          <w:szCs w:val="24"/>
          <w:lang w:val="bg-BG"/>
        </w:rPr>
        <w:t xml:space="preserve">) </w:t>
      </w:r>
      <w:r>
        <w:rPr>
          <w:rFonts w:eastAsia="Times New Roman" w:cs="Times New Roman"/>
          <w:szCs w:val="24"/>
          <w:lang w:val="bg"/>
        </w:rPr>
        <w:t>и маркетинговите материали</w:t>
      </w:r>
    </w:p>
    <w:p w14:paraId="19E8DAE4" w14:textId="278C0FAA" w:rsidR="00EE18FA" w:rsidRPr="009461CC" w:rsidRDefault="00C01A53" w:rsidP="00213810">
      <w:pPr>
        <w:spacing w:after="0" w:afterAutospacing="0" w:line="228" w:lineRule="auto"/>
        <w:rPr>
          <w:rFonts w:cs="Times New Roman"/>
          <w:iCs/>
          <w:szCs w:val="24"/>
        </w:rPr>
      </w:pPr>
      <w:r>
        <w:rPr>
          <w:rFonts w:cs="Times New Roman"/>
          <w:szCs w:val="24"/>
          <w:lang w:val="bg"/>
        </w:rPr>
        <w:t>Следните твърдения са подкрепени от клиничната оценка:</w:t>
      </w:r>
    </w:p>
    <w:p w14:paraId="7925D059" w14:textId="1A5A89DA" w:rsidR="003859AF" w:rsidRPr="009461CC" w:rsidRDefault="003859AF" w:rsidP="00213810">
      <w:pPr>
        <w:pStyle w:val="ListParagraph"/>
        <w:numPr>
          <w:ilvl w:val="0"/>
          <w:numId w:val="28"/>
        </w:numPr>
        <w:spacing w:after="0" w:afterAutospacing="0" w:line="228" w:lineRule="auto"/>
        <w:rPr>
          <w:rFonts w:cs="Times New Roman"/>
          <w:iCs/>
          <w:szCs w:val="24"/>
        </w:rPr>
      </w:pPr>
      <w:r>
        <w:rPr>
          <w:rFonts w:cs="Times New Roman"/>
          <w:szCs w:val="24"/>
          <w:lang w:val="bg"/>
        </w:rPr>
        <w:t>Перкутанно извличане/манипулация на чужди тела – Подкрепено от 100% технически успех в литературата.</w:t>
      </w:r>
    </w:p>
    <w:p w14:paraId="3AB6E45D" w14:textId="783809AA" w:rsidR="003859AF" w:rsidRPr="009461CC" w:rsidRDefault="003859AF" w:rsidP="00213810">
      <w:pPr>
        <w:pStyle w:val="ListParagraph"/>
        <w:numPr>
          <w:ilvl w:val="0"/>
          <w:numId w:val="28"/>
        </w:numPr>
        <w:spacing w:after="0" w:afterAutospacing="0" w:line="228" w:lineRule="auto"/>
        <w:rPr>
          <w:rFonts w:cs="Times New Roman"/>
          <w:iCs/>
          <w:szCs w:val="24"/>
        </w:rPr>
      </w:pPr>
      <w:r>
        <w:rPr>
          <w:rFonts w:cs="Times New Roman"/>
          <w:szCs w:val="24"/>
          <w:lang w:val="bg"/>
        </w:rPr>
        <w:t>По-ниски нива на усложнения в сравнение с хирургичната интервенция – подкрепено от сравнителна литература и най-съвременен анализ.</w:t>
      </w:r>
    </w:p>
    <w:p w14:paraId="15638B58" w14:textId="335CFE86" w:rsidR="003859AF" w:rsidRPr="009461CC" w:rsidRDefault="003859AF" w:rsidP="00213810">
      <w:pPr>
        <w:pStyle w:val="ListParagraph"/>
        <w:numPr>
          <w:ilvl w:val="0"/>
          <w:numId w:val="28"/>
        </w:numPr>
        <w:spacing w:after="0" w:afterAutospacing="0" w:line="228" w:lineRule="auto"/>
        <w:rPr>
          <w:rFonts w:cs="Times New Roman"/>
          <w:iCs/>
          <w:szCs w:val="24"/>
        </w:rPr>
      </w:pPr>
      <w:r>
        <w:rPr>
          <w:rFonts w:cs="Times New Roman"/>
          <w:szCs w:val="24"/>
          <w:lang w:val="bg"/>
        </w:rPr>
        <w:t>Употреба при допълнителни процедури (напр. отстраняване на фибринова обвивка, препозициониране на катетъра) – Подкрепено от клинични доклади и процедурни насоки.</w:t>
      </w:r>
    </w:p>
    <w:p w14:paraId="351D383E" w14:textId="7EB46C62" w:rsidR="00C01A53" w:rsidRPr="009461CC" w:rsidRDefault="003859AF" w:rsidP="00213810">
      <w:pPr>
        <w:pStyle w:val="ListParagraph"/>
        <w:numPr>
          <w:ilvl w:val="0"/>
          <w:numId w:val="28"/>
        </w:numPr>
        <w:spacing w:after="0" w:afterAutospacing="0" w:line="228" w:lineRule="auto"/>
        <w:rPr>
          <w:rFonts w:cs="Times New Roman"/>
          <w:iCs/>
          <w:szCs w:val="24"/>
        </w:rPr>
      </w:pPr>
      <w:r>
        <w:rPr>
          <w:rFonts w:cs="Times New Roman"/>
          <w:szCs w:val="24"/>
          <w:lang w:val="bg"/>
        </w:rPr>
        <w:t>Безопасен за употреба при възрастни – Подкрепено от данните от надзора след пускането на пазара и литературата.</w:t>
      </w:r>
    </w:p>
    <w:p w14:paraId="68D32F33" w14:textId="77777777" w:rsidR="005D424F" w:rsidRPr="00213810" w:rsidRDefault="005D424F" w:rsidP="00213810">
      <w:pPr>
        <w:spacing w:after="0" w:afterAutospacing="0" w:line="228" w:lineRule="auto"/>
        <w:rPr>
          <w:rFonts w:cs="Times New Roman"/>
          <w:iCs/>
          <w:sz w:val="12"/>
          <w:szCs w:val="12"/>
        </w:rPr>
      </w:pPr>
    </w:p>
    <w:p w14:paraId="76063689" w14:textId="4341C52C" w:rsidR="005D424F" w:rsidRPr="00790DE3" w:rsidRDefault="005D424F" w:rsidP="00213810">
      <w:pPr>
        <w:spacing w:after="0" w:afterAutospacing="0" w:line="228" w:lineRule="auto"/>
        <w:rPr>
          <w:rFonts w:cs="Times New Roman"/>
          <w:iCs/>
          <w:szCs w:val="24"/>
          <w:lang w:val="bg"/>
        </w:rPr>
      </w:pPr>
      <w:r>
        <w:rPr>
          <w:rFonts w:cs="Times New Roman"/>
          <w:szCs w:val="24"/>
          <w:lang w:val="bg"/>
        </w:rPr>
        <w:t>Съдовите примки Atrieve Snare демонстрират благоприятен профил полза-риск, със силни клинични показатели и профил за безопасност, подкрепени от литература, тестове и данни след пускане на пазара. Те отговарят на регулаторните стандарти и са подходящи за продължаване на клинична употреба.</w:t>
      </w:r>
    </w:p>
    <w:p w14:paraId="653883C0" w14:textId="77777777" w:rsidR="003859AF" w:rsidRPr="00790DE3" w:rsidRDefault="003859AF" w:rsidP="00213810">
      <w:pPr>
        <w:spacing w:after="0" w:afterAutospacing="0" w:line="228" w:lineRule="auto"/>
        <w:rPr>
          <w:rFonts w:cs="Times New Roman"/>
          <w:iCs/>
          <w:szCs w:val="24"/>
          <w:lang w:val="bg"/>
        </w:rPr>
      </w:pPr>
    </w:p>
    <w:p w14:paraId="6DCFA27A" w14:textId="12CF0A2D" w:rsidR="00C91927" w:rsidRPr="00790DE3" w:rsidRDefault="008745ED" w:rsidP="00213810">
      <w:pPr>
        <w:pStyle w:val="Heading1"/>
        <w:spacing w:line="228" w:lineRule="auto"/>
        <w:rPr>
          <w:rFonts w:cs="Times New Roman"/>
          <w:color w:val="auto"/>
          <w:lang w:val="bg"/>
        </w:rPr>
      </w:pPr>
      <w:bookmarkStart w:id="76" w:name="_Toc222741209"/>
      <w:r>
        <w:rPr>
          <w:rFonts w:cs="Times New Roman"/>
          <w:bCs/>
          <w:color w:val="auto"/>
          <w:lang w:val="bg"/>
        </w:rPr>
        <w:t>Текущо или планирано клинично проследяване след пускането на пазара</w:t>
      </w:r>
      <w:bookmarkEnd w:id="76"/>
    </w:p>
    <w:p w14:paraId="494CEDC3" w14:textId="7976488D" w:rsidR="0094476E" w:rsidRPr="00790DE3" w:rsidRDefault="003B4C77" w:rsidP="00213810">
      <w:pPr>
        <w:spacing w:line="228" w:lineRule="auto"/>
        <w:rPr>
          <w:rFonts w:cs="Times New Roman"/>
          <w:highlight w:val="yellow"/>
          <w:lang w:val="bg"/>
        </w:rPr>
      </w:pPr>
      <w:r>
        <w:rPr>
          <w:rFonts w:cs="Times New Roman"/>
          <w:lang w:val="bg"/>
        </w:rPr>
        <w:t xml:space="preserve">Клиничното проследяване след пускането на пазара на съдовата примка Atrieve Snare се провежда в съответствие с PMCFP-029, </w:t>
      </w:r>
      <w:r w:rsidR="0082045C">
        <w:rPr>
          <w:rFonts w:cs="Times New Roman"/>
        </w:rPr>
        <w:t>Rev</w:t>
      </w:r>
      <w:r>
        <w:rPr>
          <w:rFonts w:cs="Times New Roman"/>
          <w:lang w:val="bg"/>
        </w:rPr>
        <w:t>. C, и следва изискванията на приложение XIV, част Б на Регламента за медицинските изделия</w:t>
      </w:r>
      <w:r w:rsidR="00AE4AB9" w:rsidRPr="00213810">
        <w:rPr>
          <w:rFonts w:cs="Times New Roman"/>
          <w:lang w:val="bg"/>
        </w:rPr>
        <w:t xml:space="preserve"> (</w:t>
      </w:r>
      <w:r w:rsidR="00AE4AB9">
        <w:rPr>
          <w:rFonts w:cs="Times New Roman"/>
        </w:rPr>
        <w:t>MDR</w:t>
      </w:r>
      <w:r w:rsidR="00AE4AB9" w:rsidRPr="00213810">
        <w:rPr>
          <w:rFonts w:cs="Times New Roman"/>
          <w:lang w:val="bg"/>
        </w:rPr>
        <w:t>)</w:t>
      </w:r>
      <w:r>
        <w:rPr>
          <w:rFonts w:cs="Times New Roman"/>
          <w:lang w:val="bg"/>
        </w:rPr>
        <w:t>. Дейностите по PMCF са предназначени проактивно да потвърдят безопасността и клиничните показатели на изделието в рутинната клинична практика, да идентифицират всички нововъзникващи рискове и да проверят дали профилът полза-риск остава приемлив.</w:t>
      </w:r>
    </w:p>
    <w:p w14:paraId="58642C16" w14:textId="276C8BA1" w:rsidR="00E541DE" w:rsidRPr="00790DE3" w:rsidRDefault="00E541DE" w:rsidP="00213810">
      <w:pPr>
        <w:pStyle w:val="NormalWeb"/>
        <w:spacing w:before="0" w:beforeAutospacing="0" w:after="0" w:afterAutospacing="0" w:line="228" w:lineRule="auto"/>
        <w:rPr>
          <w:lang w:val="bg"/>
        </w:rPr>
      </w:pPr>
      <w:r>
        <w:rPr>
          <w:rStyle w:val="Strong"/>
          <w:lang w:val="bg"/>
        </w:rPr>
        <w:t>Текущи дейности на PMCF</w:t>
      </w:r>
      <w:r>
        <w:rPr>
          <w:lang w:val="bg"/>
        </w:rPr>
        <w:br/>
        <w:t>Следните текущи дейности са планирани да се извършват през целия жизнен цикъл на изделието:</w:t>
      </w:r>
    </w:p>
    <w:p w14:paraId="15FC3A69" w14:textId="31C9D895" w:rsidR="00E541DE" w:rsidRPr="00790DE3" w:rsidRDefault="00DE3CC0" w:rsidP="00213810">
      <w:pPr>
        <w:pStyle w:val="NormalWeb"/>
        <w:numPr>
          <w:ilvl w:val="0"/>
          <w:numId w:val="29"/>
        </w:numPr>
        <w:spacing w:before="0" w:beforeAutospacing="0" w:line="216" w:lineRule="auto"/>
        <w:rPr>
          <w:lang w:val="bg"/>
        </w:rPr>
      </w:pPr>
      <w:r>
        <w:rPr>
          <w:rStyle w:val="Strong"/>
          <w:b w:val="0"/>
          <w:bCs w:val="0"/>
          <w:lang w:val="bg"/>
        </w:rPr>
        <w:t>Годишен систематичен преглед на литературата:</w:t>
      </w:r>
      <w:r>
        <w:rPr>
          <w:lang w:val="bg"/>
        </w:rPr>
        <w:t xml:space="preserve"> Провежда се системен преглед на публикувани клинични доказателства, свързани със съдови примки и сравними изделия, за да се идентифицира нова информация относно безопасността, клиничните показатели, клиничните техники или нововъзникващите рискове.</w:t>
      </w:r>
    </w:p>
    <w:p w14:paraId="08598FA3" w14:textId="6BDEE605" w:rsidR="00E541DE" w:rsidRPr="00790DE3" w:rsidRDefault="00DE3CC0" w:rsidP="00213810">
      <w:pPr>
        <w:pStyle w:val="NormalWeb"/>
        <w:numPr>
          <w:ilvl w:val="0"/>
          <w:numId w:val="29"/>
        </w:numPr>
        <w:spacing w:line="216" w:lineRule="auto"/>
        <w:rPr>
          <w:lang w:val="bg"/>
        </w:rPr>
      </w:pPr>
      <w:r>
        <w:rPr>
          <w:rStyle w:val="Strong"/>
          <w:b w:val="0"/>
          <w:bCs w:val="0"/>
          <w:lang w:val="bg"/>
        </w:rPr>
        <w:t>Годишен преглед на най-съвременните технологии (SOA):</w:t>
      </w:r>
      <w:r>
        <w:rPr>
          <w:lang w:val="bg"/>
        </w:rPr>
        <w:t xml:space="preserve"> Извършва се оценка на клиничните практически насоки, международните стандарти и конкурентните технологии, за да се осигури непрекъснато съответствие със съществуващата клинична и техническа практика.</w:t>
      </w:r>
    </w:p>
    <w:p w14:paraId="6EE80A3F" w14:textId="77777777" w:rsidR="00E541DE" w:rsidRPr="00790DE3" w:rsidRDefault="00E541DE" w:rsidP="00213810">
      <w:pPr>
        <w:pStyle w:val="NormalWeb"/>
        <w:numPr>
          <w:ilvl w:val="0"/>
          <w:numId w:val="29"/>
        </w:numPr>
        <w:spacing w:line="216" w:lineRule="auto"/>
        <w:rPr>
          <w:lang w:val="bg"/>
        </w:rPr>
      </w:pPr>
      <w:r>
        <w:rPr>
          <w:rStyle w:val="Strong"/>
          <w:b w:val="0"/>
          <w:bCs w:val="0"/>
          <w:lang w:val="bg"/>
        </w:rPr>
        <w:t>Непрекъснат преглед на данните за оплаквания и нежелани събития:</w:t>
      </w:r>
      <w:r>
        <w:rPr>
          <w:lang w:val="bg"/>
        </w:rPr>
        <w:t xml:space="preserve"> Въпреки че това е дейност по PMS, а не по PMCF, ключовите открития се оценяват в рамките на процеса на PMCF, за да се определи дали е необходимо допълнително клинично проследяване.</w:t>
      </w:r>
    </w:p>
    <w:p w14:paraId="39597E9A" w14:textId="6DA6CC6A" w:rsidR="009E1EBB" w:rsidRPr="00790DE3" w:rsidRDefault="009E1EBB" w:rsidP="00213810">
      <w:pPr>
        <w:pStyle w:val="NormalWeb"/>
        <w:spacing w:after="0" w:afterAutospacing="0" w:line="228" w:lineRule="auto"/>
        <w:rPr>
          <w:lang w:val="bg"/>
        </w:rPr>
      </w:pPr>
      <w:r>
        <w:rPr>
          <w:rStyle w:val="Strong"/>
          <w:lang w:val="bg"/>
        </w:rPr>
        <w:t>Планирани дейности по програмата PMCF</w:t>
      </w:r>
      <w:r>
        <w:rPr>
          <w:lang w:val="bg"/>
        </w:rPr>
        <w:br/>
        <w:t>За събиране на целенасочени реални доказателства за комплекта съдова примка Atrieve Snare е планирана следната дейност:</w:t>
      </w:r>
    </w:p>
    <w:p w14:paraId="395AA027" w14:textId="77777777" w:rsidR="009E1EBB" w:rsidRPr="00790DE3" w:rsidRDefault="009E1EBB" w:rsidP="00213810">
      <w:pPr>
        <w:pStyle w:val="NormalWeb"/>
        <w:numPr>
          <w:ilvl w:val="0"/>
          <w:numId w:val="32"/>
        </w:numPr>
        <w:spacing w:before="0" w:beforeAutospacing="0" w:line="216" w:lineRule="auto"/>
        <w:rPr>
          <w:lang w:val="bg"/>
        </w:rPr>
      </w:pPr>
      <w:r>
        <w:rPr>
          <w:rStyle w:val="Strong"/>
          <w:lang w:val="bg"/>
        </w:rPr>
        <w:lastRenderedPageBreak/>
        <w:t>Анкета за лекари по PMCF:</w:t>
      </w:r>
      <w:r>
        <w:rPr>
          <w:lang w:val="bg"/>
        </w:rPr>
        <w:br/>
        <w:t>Ще бъде проведено структурирано проучване сред клиничните потребители, за да се установи техният опит с изделието, да се оценят неговите клинични показатели в рутинната практика и да се идентифицират всички наблюдавани усложнения или неочаквани събития. Резултатите от проучването ще бъдат анализирани и включени в Доклада за оценка на PMCF. Констатациите ще информират решенията относно необходимостта от допълнителни дейности по PMCF или актуализации на Доклада за клинична оценка (CER) и Доклада за управление на риска (RMR).</w:t>
      </w:r>
    </w:p>
    <w:p w14:paraId="1DED8B40" w14:textId="75A6881E" w:rsidR="00DE0007" w:rsidRPr="00790DE3" w:rsidRDefault="00DE0007" w:rsidP="00213810">
      <w:pPr>
        <w:pStyle w:val="NormalWeb"/>
        <w:spacing w:line="228" w:lineRule="auto"/>
        <w:rPr>
          <w:lang w:val="bg"/>
        </w:rPr>
      </w:pPr>
      <w:r>
        <w:rPr>
          <w:rStyle w:val="Strong"/>
          <w:lang w:val="bg"/>
        </w:rPr>
        <w:t>Обосновка за подхода PMCF</w:t>
      </w:r>
      <w:r>
        <w:rPr>
          <w:lang w:val="bg"/>
        </w:rPr>
        <w:br/>
        <w:t>Въз основа на настоящата клинична оценка, литературните доказателства и опита след пускане на пазара не са установени нови или нововъзникващи рискове, които биха изисквали специфично за изделието клинично изпитване. Съществуващите дейности на PMCF, годишната литература и прегледите на SOA, подкрепени от целенасочена обратна връзка от лекари, се считат за достатъчни, за да потвърдят текущата безопасност и клиничните показатели на това добре наложено изделие от клас III – комплект съдова примка Atrieve Snare.</w:t>
      </w:r>
    </w:p>
    <w:p w14:paraId="3DA3C9CA" w14:textId="77777777" w:rsidR="005B4422" w:rsidRPr="00790DE3" w:rsidRDefault="005B4422" w:rsidP="00213810">
      <w:pPr>
        <w:pStyle w:val="NormalWeb"/>
        <w:spacing w:before="0" w:beforeAutospacing="0" w:after="0" w:afterAutospacing="0" w:line="228" w:lineRule="auto"/>
        <w:rPr>
          <w:lang w:val="bg"/>
        </w:rPr>
      </w:pPr>
      <w:r>
        <w:rPr>
          <w:rStyle w:val="Strong"/>
          <w:lang w:val="bg"/>
        </w:rPr>
        <w:t>Доклад за PMCF</w:t>
      </w:r>
    </w:p>
    <w:p w14:paraId="5C389055" w14:textId="14E4D114" w:rsidR="0094476E" w:rsidRPr="00790DE3" w:rsidRDefault="00B04139" w:rsidP="00213810">
      <w:pPr>
        <w:pStyle w:val="NormalWeb"/>
        <w:spacing w:before="0" w:beforeAutospacing="0" w:after="0" w:afterAutospacing="0" w:line="228" w:lineRule="auto"/>
        <w:rPr>
          <w:lang w:val="bg"/>
        </w:rPr>
      </w:pPr>
      <w:r>
        <w:rPr>
          <w:lang w:val="bg"/>
        </w:rPr>
        <w:t>Доклад за PMCF се генерира на определени интервали и винаги когато се появи нова информация, която може да повлияе на профила полза-риск. Всички резултати от PMCF се включват в Доклада за клинична оценка (CER), Доклада за управление на риска (RMR) и други процеси след пускане на пазара, ако се изисква.</w:t>
      </w:r>
    </w:p>
    <w:p w14:paraId="09D946B7" w14:textId="77777777" w:rsidR="007002E4" w:rsidRPr="00790DE3" w:rsidRDefault="007002E4" w:rsidP="00213810">
      <w:pPr>
        <w:pStyle w:val="NormalWeb"/>
        <w:spacing w:before="0" w:beforeAutospacing="0" w:after="0" w:afterAutospacing="0" w:line="228" w:lineRule="auto"/>
        <w:rPr>
          <w:lang w:val="bg"/>
        </w:rPr>
      </w:pPr>
    </w:p>
    <w:p w14:paraId="748C3FE5" w14:textId="1D19292C" w:rsidR="00760400" w:rsidRPr="009461CC" w:rsidRDefault="00760400" w:rsidP="00213810">
      <w:pPr>
        <w:pStyle w:val="Heading1"/>
        <w:numPr>
          <w:ilvl w:val="0"/>
          <w:numId w:val="2"/>
        </w:numPr>
        <w:spacing w:line="228" w:lineRule="auto"/>
        <w:rPr>
          <w:rFonts w:cs="Times New Roman"/>
        </w:rPr>
      </w:pPr>
      <w:bookmarkStart w:id="77" w:name="_Toc222741210"/>
      <w:r>
        <w:rPr>
          <w:rFonts w:cs="Times New Roman"/>
          <w:bCs/>
          <w:lang w:val="bg"/>
        </w:rPr>
        <w:t>Възможни диагностични или терапевтични алтернативи</w:t>
      </w:r>
      <w:bookmarkEnd w:id="77"/>
      <w:r>
        <w:rPr>
          <w:rFonts w:cs="Times New Roman"/>
          <w:bCs/>
          <w:lang w:val="bg"/>
        </w:rPr>
        <w:t xml:space="preserve"> </w:t>
      </w:r>
    </w:p>
    <w:p w14:paraId="60C316BA" w14:textId="63B474F6" w:rsidR="00042B91" w:rsidRPr="00790DE3" w:rsidRDefault="008373C6" w:rsidP="00213810">
      <w:pPr>
        <w:spacing w:line="228" w:lineRule="auto"/>
        <w:rPr>
          <w:rFonts w:cs="Times New Roman"/>
          <w:lang w:val="bg"/>
        </w:rPr>
      </w:pPr>
      <w:r>
        <w:rPr>
          <w:rFonts w:cs="Times New Roman"/>
          <w:lang w:val="bg"/>
        </w:rPr>
        <w:t xml:space="preserve">Съгласно CER-029, </w:t>
      </w:r>
      <w:r w:rsidR="00CE1E5D">
        <w:rPr>
          <w:rFonts w:cs="Times New Roman"/>
        </w:rPr>
        <w:t>Rev</w:t>
      </w:r>
      <w:r>
        <w:rPr>
          <w:rFonts w:cs="Times New Roman"/>
          <w:lang w:val="bg"/>
        </w:rPr>
        <w:t>. B, са посочени три основни алтернативи за отстраняване на чужди тела (</w:t>
      </w:r>
      <w:r w:rsidR="00CE1E5D">
        <w:rPr>
          <w:rFonts w:cs="Times New Roman"/>
        </w:rPr>
        <w:t>FB</w:t>
      </w:r>
      <w:r>
        <w:rPr>
          <w:rFonts w:cs="Times New Roman"/>
          <w:lang w:val="bg"/>
        </w:rPr>
        <w:t>) в сърдечносъдовата система. Консервативното лечение се препоръчва при асимптоматични или високорискови хирургични пациенти, като се разчита на внимателно наблюдение и образна диагностика, когато интервенцията може да представлява по-голям риск. Минимално инвазивните техники са предпочитаният подход, като примките, особено примките тип „гъша шия“, се използват широко както за стандартни, така и за сложни извличания. Форцепсът осигурява прецизен захват и е подходящ за трудни случаи, като счупени или фиксирани изделия. Хирургичното извличане, например торакотомия или стернотомия, е последна мярка поради инвазивния си характер и по-високия риск за пациента. Като цяло, ендоваскуларното извличане остава стандартът за лечение, като лечението е съобразено със състоянието на пациента и характеристиките на чуждото тяло.</w:t>
      </w:r>
    </w:p>
    <w:p w14:paraId="2CDE6FBF" w14:textId="77777777" w:rsidR="00042B91" w:rsidRPr="00790DE3" w:rsidRDefault="00042B91" w:rsidP="00213810">
      <w:pPr>
        <w:pStyle w:val="Heading1"/>
        <w:numPr>
          <w:ilvl w:val="0"/>
          <w:numId w:val="2"/>
        </w:numPr>
        <w:spacing w:line="228" w:lineRule="auto"/>
        <w:rPr>
          <w:rFonts w:cs="Times New Roman"/>
          <w:lang w:val="bg"/>
        </w:rPr>
      </w:pPr>
      <w:bookmarkStart w:id="78" w:name="_Toc222741211"/>
      <w:r>
        <w:rPr>
          <w:rFonts w:cs="Times New Roman"/>
          <w:bCs/>
          <w:lang w:val="bg"/>
        </w:rPr>
        <w:t>Препоръчван профил и обучение за потребителите</w:t>
      </w:r>
      <w:bookmarkEnd w:id="78"/>
    </w:p>
    <w:p w14:paraId="35173865" w14:textId="0C72FD3E" w:rsidR="00042B91" w:rsidRPr="00790DE3" w:rsidRDefault="00A5239F" w:rsidP="00213810">
      <w:pPr>
        <w:spacing w:after="0" w:afterAutospacing="0" w:line="228" w:lineRule="auto"/>
        <w:rPr>
          <w:rFonts w:eastAsia="Calibri" w:cs="Times New Roman"/>
          <w:szCs w:val="24"/>
          <w:lang w:val="bg"/>
        </w:rPr>
      </w:pPr>
      <w:r>
        <w:rPr>
          <w:rFonts w:eastAsia="Calibri" w:cs="Times New Roman"/>
          <w:szCs w:val="24"/>
          <w:lang w:val="bg"/>
        </w:rPr>
        <w:t>Продуктът е предназначен за употреба само от медицински професионалисти и трябва да се използва само от квалифициран персонал, който е запознат с техниката на прилагане.</w:t>
      </w:r>
    </w:p>
    <w:p w14:paraId="21A7D581" w14:textId="77777777" w:rsidR="00A5239F" w:rsidRPr="00790DE3" w:rsidRDefault="00A5239F" w:rsidP="00213810">
      <w:pPr>
        <w:spacing w:after="0" w:afterAutospacing="0" w:line="228" w:lineRule="auto"/>
        <w:rPr>
          <w:rFonts w:cs="Times New Roman"/>
          <w:i/>
          <w:color w:val="FF0000"/>
          <w:highlight w:val="yellow"/>
          <w:lang w:val="bg"/>
        </w:rPr>
      </w:pPr>
    </w:p>
    <w:p w14:paraId="7848B753" w14:textId="692785D6" w:rsidR="0037316E" w:rsidRPr="009461CC" w:rsidRDefault="00760400" w:rsidP="00213810">
      <w:pPr>
        <w:pStyle w:val="Heading1"/>
        <w:numPr>
          <w:ilvl w:val="0"/>
          <w:numId w:val="2"/>
        </w:numPr>
        <w:spacing w:line="228" w:lineRule="auto"/>
        <w:rPr>
          <w:rFonts w:cs="Times New Roman"/>
        </w:rPr>
      </w:pPr>
      <w:bookmarkStart w:id="79" w:name="_Toc222741212"/>
      <w:r>
        <w:rPr>
          <w:rFonts w:cs="Times New Roman"/>
          <w:bCs/>
          <w:lang w:val="bg"/>
        </w:rPr>
        <w:t>Хармонизирани стандарти/общи спецификации</w:t>
      </w:r>
      <w:bookmarkEnd w:id="79"/>
    </w:p>
    <w:tbl>
      <w:tblPr>
        <w:tblStyle w:val="TableGrid"/>
        <w:tblW w:w="4959" w:type="pct"/>
        <w:tblLook w:val="04A0" w:firstRow="1" w:lastRow="0" w:firstColumn="1" w:lastColumn="0" w:noHBand="0" w:noVBand="1"/>
      </w:tblPr>
      <w:tblGrid>
        <w:gridCol w:w="2336"/>
        <w:gridCol w:w="8008"/>
      </w:tblGrid>
      <w:tr w:rsidR="0094168A" w:rsidRPr="009461CC" w14:paraId="04F3E487" w14:textId="77777777" w:rsidTr="00293453">
        <w:trPr>
          <w:tblHeader/>
        </w:trPr>
        <w:tc>
          <w:tcPr>
            <w:tcW w:w="1129" w:type="pct"/>
          </w:tcPr>
          <w:p w14:paraId="5EEB168D" w14:textId="77777777" w:rsidR="0094168A" w:rsidRPr="009461CC" w:rsidRDefault="0094168A" w:rsidP="00213810">
            <w:pPr>
              <w:spacing w:after="0" w:afterAutospacing="0" w:line="216" w:lineRule="auto"/>
              <w:jc w:val="center"/>
              <w:rPr>
                <w:rFonts w:cs="Times New Roman"/>
                <w:b/>
                <w:bCs/>
                <w:sz w:val="22"/>
              </w:rPr>
            </w:pPr>
            <w:r>
              <w:rPr>
                <w:rFonts w:cs="Times New Roman"/>
                <w:b/>
                <w:bCs/>
                <w:sz w:val="22"/>
                <w:lang w:val="bg"/>
              </w:rPr>
              <w:t>Дата на съответствие на Argon/версия</w:t>
            </w:r>
          </w:p>
        </w:tc>
        <w:tc>
          <w:tcPr>
            <w:tcW w:w="3871" w:type="pct"/>
          </w:tcPr>
          <w:p w14:paraId="7BCD1036" w14:textId="77777777" w:rsidR="0094168A" w:rsidRPr="009461CC" w:rsidRDefault="0094168A" w:rsidP="00213810">
            <w:pPr>
              <w:spacing w:after="0" w:afterAutospacing="0" w:line="216" w:lineRule="auto"/>
              <w:jc w:val="center"/>
              <w:rPr>
                <w:rFonts w:cs="Times New Roman"/>
                <w:b/>
                <w:bCs/>
                <w:sz w:val="22"/>
              </w:rPr>
            </w:pPr>
            <w:r>
              <w:rPr>
                <w:rFonts w:cs="Times New Roman"/>
                <w:b/>
                <w:bCs/>
                <w:sz w:val="22"/>
                <w:lang w:val="bg"/>
              </w:rPr>
              <w:t>Наименование на стандартите</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213810">
            <w:pPr>
              <w:spacing w:after="0" w:afterAutospacing="0" w:line="216" w:lineRule="auto"/>
              <w:jc w:val="center"/>
              <w:rPr>
                <w:rFonts w:cs="Times New Roman"/>
                <w:b/>
                <w:bCs/>
                <w:sz w:val="22"/>
              </w:rPr>
            </w:pPr>
            <w:r>
              <w:rPr>
                <w:rFonts w:cs="Times New Roman"/>
                <w:b/>
                <w:bCs/>
                <w:sz w:val="22"/>
                <w:lang w:val="bg"/>
              </w:rPr>
              <w:t>Етикетиране</w:t>
            </w:r>
          </w:p>
        </w:tc>
      </w:tr>
      <w:tr w:rsidR="0094168A" w:rsidRPr="009461CC" w14:paraId="25DF072C" w14:textId="77777777" w:rsidTr="00293453">
        <w:tc>
          <w:tcPr>
            <w:tcW w:w="1129" w:type="pct"/>
          </w:tcPr>
          <w:p w14:paraId="434B73AC" w14:textId="77777777" w:rsidR="0094168A" w:rsidRPr="009461CC" w:rsidRDefault="0094168A" w:rsidP="00213810">
            <w:pPr>
              <w:spacing w:after="0" w:afterAutospacing="0" w:line="216" w:lineRule="auto"/>
              <w:rPr>
                <w:rFonts w:cs="Times New Roman"/>
                <w:sz w:val="22"/>
              </w:rPr>
            </w:pPr>
            <w:r>
              <w:rPr>
                <w:rFonts w:eastAsia="Times New Roman" w:cs="Times New Roman"/>
                <w:sz w:val="22"/>
                <w:lang w:val="bg"/>
              </w:rPr>
              <w:t>EN ISO 15223-1:2021</w:t>
            </w:r>
          </w:p>
        </w:tc>
        <w:tc>
          <w:tcPr>
            <w:tcW w:w="3871" w:type="pct"/>
          </w:tcPr>
          <w:p w14:paraId="40A15B1C" w14:textId="77777777" w:rsidR="0094168A" w:rsidRPr="009461CC" w:rsidRDefault="0094168A" w:rsidP="00213810">
            <w:pPr>
              <w:spacing w:after="0" w:afterAutospacing="0" w:line="216" w:lineRule="auto"/>
              <w:rPr>
                <w:rFonts w:cs="Times New Roman"/>
                <w:sz w:val="22"/>
              </w:rPr>
            </w:pPr>
            <w:r>
              <w:rPr>
                <w:rFonts w:cs="Times New Roman"/>
                <w:sz w:val="22"/>
                <w:lang w:val="bg"/>
              </w:rPr>
              <w:t xml:space="preserve">Медицински изделия – Означения, които се използва при медицинските изделия. </w:t>
            </w:r>
          </w:p>
          <w:p w14:paraId="093121E8" w14:textId="77777777" w:rsidR="0094168A" w:rsidRPr="009461CC" w:rsidRDefault="0094168A" w:rsidP="00213810">
            <w:pPr>
              <w:spacing w:after="0" w:afterAutospacing="0" w:line="216" w:lineRule="auto"/>
              <w:rPr>
                <w:rFonts w:cs="Times New Roman"/>
                <w:sz w:val="22"/>
              </w:rPr>
            </w:pPr>
            <w:r>
              <w:rPr>
                <w:rFonts w:cs="Times New Roman"/>
                <w:sz w:val="22"/>
                <w:lang w:val="bg"/>
              </w:rPr>
              <w:t xml:space="preserve">Етикети, етикетиране и информация, която трябва да се предостави - Част 1: Общи изисквания. </w:t>
            </w:r>
          </w:p>
          <w:p w14:paraId="3CEE87DD" w14:textId="77777777" w:rsidR="0094168A" w:rsidRPr="009461CC" w:rsidRDefault="0094168A" w:rsidP="00213810">
            <w:pPr>
              <w:spacing w:after="0" w:afterAutospacing="0" w:line="216" w:lineRule="auto"/>
              <w:rPr>
                <w:rFonts w:cs="Times New Roman"/>
                <w:sz w:val="22"/>
              </w:rPr>
            </w:pPr>
          </w:p>
        </w:tc>
      </w:tr>
      <w:tr w:rsidR="0094168A" w:rsidRPr="009461CC" w14:paraId="13723641" w14:textId="77777777" w:rsidTr="00293453">
        <w:tc>
          <w:tcPr>
            <w:tcW w:w="1129" w:type="pct"/>
          </w:tcPr>
          <w:p w14:paraId="7822ED4F" w14:textId="77777777" w:rsidR="0094168A" w:rsidRPr="009461CC" w:rsidRDefault="0094168A" w:rsidP="00213810">
            <w:pPr>
              <w:spacing w:after="0" w:afterAutospacing="0" w:line="216" w:lineRule="auto"/>
              <w:rPr>
                <w:rFonts w:cs="Times New Roman"/>
                <w:sz w:val="22"/>
              </w:rPr>
            </w:pPr>
            <w:r>
              <w:rPr>
                <w:rFonts w:cs="Times New Roman"/>
                <w:sz w:val="22"/>
                <w:lang w:val="bg"/>
              </w:rPr>
              <w:lastRenderedPageBreak/>
              <w:t>EN ISO 20417:2021</w:t>
            </w:r>
          </w:p>
        </w:tc>
        <w:tc>
          <w:tcPr>
            <w:tcW w:w="3871" w:type="pct"/>
          </w:tcPr>
          <w:p w14:paraId="6EF6F718" w14:textId="77777777" w:rsidR="0094168A" w:rsidRPr="009461CC" w:rsidRDefault="0094168A" w:rsidP="00213810">
            <w:pPr>
              <w:spacing w:after="0" w:afterAutospacing="0" w:line="216" w:lineRule="auto"/>
              <w:rPr>
                <w:rFonts w:cs="Times New Roman"/>
                <w:sz w:val="22"/>
              </w:rPr>
            </w:pPr>
            <w:r>
              <w:rPr>
                <w:rFonts w:cs="Times New Roman"/>
                <w:sz w:val="22"/>
                <w:lang w:val="bg"/>
              </w:rPr>
              <w:t>Терминология, символи и информация, предоставяни с медицинските изделия: Информация, предоставяна от производителя за медицинските изделия</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213810">
            <w:pPr>
              <w:spacing w:after="0" w:afterAutospacing="0" w:line="216" w:lineRule="auto"/>
              <w:jc w:val="center"/>
              <w:rPr>
                <w:rFonts w:cs="Times New Roman"/>
                <w:b/>
                <w:bCs/>
                <w:sz w:val="22"/>
              </w:rPr>
            </w:pPr>
            <w:r>
              <w:rPr>
                <w:rFonts w:cs="Times New Roman"/>
                <w:b/>
                <w:bCs/>
                <w:sz w:val="22"/>
                <w:lang w:val="bg"/>
              </w:rPr>
              <w:t>Общи стандарти – Стерилизация</w:t>
            </w:r>
          </w:p>
        </w:tc>
      </w:tr>
      <w:tr w:rsidR="0094168A" w:rsidRPr="009461CC" w14:paraId="7C28E0D3" w14:textId="77777777" w:rsidTr="00293453">
        <w:tc>
          <w:tcPr>
            <w:tcW w:w="1129" w:type="pct"/>
          </w:tcPr>
          <w:p w14:paraId="0416000A" w14:textId="77777777" w:rsidR="0094168A" w:rsidRPr="009461CC" w:rsidRDefault="0094168A" w:rsidP="00213810">
            <w:pPr>
              <w:spacing w:after="0" w:afterAutospacing="0" w:line="216" w:lineRule="auto"/>
              <w:rPr>
                <w:rFonts w:cs="Times New Roman"/>
                <w:sz w:val="22"/>
              </w:rPr>
            </w:pPr>
            <w:r>
              <w:rPr>
                <w:rFonts w:cs="Times New Roman"/>
                <w:sz w:val="22"/>
                <w:lang w:val="bg"/>
              </w:rPr>
              <w:t>ISO 10555-1:2013</w:t>
            </w:r>
          </w:p>
        </w:tc>
        <w:tc>
          <w:tcPr>
            <w:tcW w:w="3871" w:type="pct"/>
          </w:tcPr>
          <w:p w14:paraId="5B0C265F" w14:textId="77777777" w:rsidR="0094168A" w:rsidRPr="009461CC" w:rsidRDefault="0094168A" w:rsidP="00213810">
            <w:pPr>
              <w:spacing w:after="0" w:afterAutospacing="0" w:line="216" w:lineRule="auto"/>
              <w:rPr>
                <w:rFonts w:cs="Times New Roman"/>
                <w:sz w:val="22"/>
              </w:rPr>
            </w:pPr>
            <w:r>
              <w:rPr>
                <w:rFonts w:cs="Times New Roman"/>
                <w:sz w:val="22"/>
                <w:lang w:val="bg"/>
              </w:rPr>
              <w:t>Интраваскуларни катетри. Стерилни катетри за еднократна употреба. Част 1: Общи изисквания</w:t>
            </w:r>
          </w:p>
        </w:tc>
      </w:tr>
      <w:tr w:rsidR="0094168A" w:rsidRPr="009461CC" w14:paraId="088E27B4" w14:textId="77777777" w:rsidTr="00293453">
        <w:tc>
          <w:tcPr>
            <w:tcW w:w="1129" w:type="pct"/>
          </w:tcPr>
          <w:p w14:paraId="47460872" w14:textId="77777777" w:rsidR="0094168A" w:rsidRPr="009461CC" w:rsidRDefault="0094168A" w:rsidP="00213810">
            <w:pPr>
              <w:spacing w:after="0" w:afterAutospacing="0" w:line="216" w:lineRule="auto"/>
              <w:rPr>
                <w:rFonts w:cs="Times New Roman"/>
                <w:sz w:val="22"/>
              </w:rPr>
            </w:pPr>
            <w:r>
              <w:rPr>
                <w:rFonts w:cs="Times New Roman"/>
                <w:sz w:val="22"/>
                <w:lang w:val="bg"/>
              </w:rPr>
              <w:t>EN 556-1:2024</w:t>
            </w:r>
          </w:p>
        </w:tc>
        <w:tc>
          <w:tcPr>
            <w:tcW w:w="3871" w:type="pct"/>
          </w:tcPr>
          <w:p w14:paraId="64BED8C0" w14:textId="77777777" w:rsidR="0094168A" w:rsidRPr="009461CC" w:rsidRDefault="0094168A" w:rsidP="00213810">
            <w:pPr>
              <w:spacing w:after="0" w:afterAutospacing="0" w:line="216" w:lineRule="auto"/>
              <w:rPr>
                <w:rFonts w:cs="Times New Roman"/>
                <w:sz w:val="22"/>
              </w:rPr>
            </w:pPr>
            <w:r>
              <w:rPr>
                <w:rFonts w:cs="Times New Roman"/>
                <w:sz w:val="22"/>
                <w:lang w:val="bg"/>
              </w:rPr>
              <w:t>Стерилизация на медицински изделия. Изисквания за медицинските изделия, които трябва да бъдат обозначени като СТЕРИЛНИ. Изисквания за окончателно стерилизирани медицински изделия</w:t>
            </w:r>
          </w:p>
        </w:tc>
      </w:tr>
      <w:tr w:rsidR="0094168A" w:rsidRPr="000514F4" w14:paraId="4DEE0525" w14:textId="77777777" w:rsidTr="00293453">
        <w:tc>
          <w:tcPr>
            <w:tcW w:w="1129" w:type="pct"/>
          </w:tcPr>
          <w:p w14:paraId="5095D1B9" w14:textId="77777777" w:rsidR="0094168A" w:rsidRPr="009461CC" w:rsidRDefault="0094168A" w:rsidP="00213810">
            <w:pPr>
              <w:spacing w:after="0" w:afterAutospacing="0" w:line="216" w:lineRule="auto"/>
              <w:rPr>
                <w:rFonts w:cs="Times New Roman"/>
                <w:sz w:val="22"/>
              </w:rPr>
            </w:pPr>
            <w:r>
              <w:rPr>
                <w:rFonts w:cs="Times New Roman"/>
                <w:sz w:val="22"/>
                <w:lang w:val="bg"/>
              </w:rPr>
              <w:t>EN ISO 11135:2019</w:t>
            </w:r>
          </w:p>
        </w:tc>
        <w:tc>
          <w:tcPr>
            <w:tcW w:w="3871" w:type="pct"/>
          </w:tcPr>
          <w:p w14:paraId="1E9B7BED" w14:textId="77777777" w:rsidR="0094168A" w:rsidRPr="00790DE3" w:rsidRDefault="0094168A" w:rsidP="00213810">
            <w:pPr>
              <w:spacing w:after="0" w:afterAutospacing="0" w:line="216" w:lineRule="auto"/>
              <w:rPr>
                <w:rFonts w:cs="Times New Roman"/>
                <w:sz w:val="22"/>
                <w:lang w:val="bg"/>
              </w:rPr>
            </w:pPr>
            <w:r>
              <w:rPr>
                <w:rFonts w:cs="Times New Roman"/>
                <w:sz w:val="22"/>
                <w:lang w:val="bg"/>
              </w:rPr>
              <w:t>Стерилизация на продукти за здравеопазването. Етиленов оксид. Част 1: Изисквания за разработване, валидиране и редовен контрол на процеса на стерилизация за медицински изделия</w:t>
            </w:r>
          </w:p>
        </w:tc>
      </w:tr>
      <w:tr w:rsidR="0094168A" w:rsidRPr="009461CC" w14:paraId="6B89F042" w14:textId="77777777" w:rsidTr="00293453">
        <w:tc>
          <w:tcPr>
            <w:tcW w:w="1129" w:type="pct"/>
          </w:tcPr>
          <w:p w14:paraId="3F48324F" w14:textId="77777777" w:rsidR="0094168A" w:rsidRPr="009461CC" w:rsidRDefault="0094168A" w:rsidP="00213810">
            <w:pPr>
              <w:spacing w:after="0" w:afterAutospacing="0" w:line="216" w:lineRule="auto"/>
              <w:rPr>
                <w:rFonts w:cs="Times New Roman"/>
                <w:sz w:val="22"/>
              </w:rPr>
            </w:pPr>
            <w:r>
              <w:rPr>
                <w:rFonts w:cs="Times New Roman"/>
                <w:sz w:val="22"/>
                <w:lang w:val="bg"/>
              </w:rPr>
              <w:t>AAMI TIR28:2016</w:t>
            </w:r>
          </w:p>
          <w:p w14:paraId="4FBEE0AF" w14:textId="77777777" w:rsidR="0094168A" w:rsidRPr="009461CC" w:rsidRDefault="0094168A" w:rsidP="00213810">
            <w:pPr>
              <w:spacing w:after="0" w:afterAutospacing="0" w:line="216" w:lineRule="auto"/>
              <w:jc w:val="center"/>
              <w:rPr>
                <w:rFonts w:cs="Times New Roman"/>
                <w:sz w:val="22"/>
              </w:rPr>
            </w:pPr>
          </w:p>
        </w:tc>
        <w:tc>
          <w:tcPr>
            <w:tcW w:w="3871" w:type="pct"/>
          </w:tcPr>
          <w:p w14:paraId="68BE6733" w14:textId="77777777" w:rsidR="0094168A" w:rsidRPr="009461CC" w:rsidRDefault="0094168A" w:rsidP="00213810">
            <w:pPr>
              <w:spacing w:after="0" w:afterAutospacing="0" w:line="216" w:lineRule="auto"/>
              <w:rPr>
                <w:rFonts w:cs="Times New Roman"/>
                <w:sz w:val="22"/>
              </w:rPr>
            </w:pPr>
            <w:r>
              <w:rPr>
                <w:rFonts w:cs="Times New Roman"/>
                <w:sz w:val="22"/>
                <w:lang w:val="bg"/>
              </w:rPr>
              <w:t>Приемане на продукти и еквивалентност на процесите при стерилизация с етиленов оксид</w:t>
            </w:r>
          </w:p>
        </w:tc>
      </w:tr>
      <w:tr w:rsidR="0094168A" w:rsidRPr="009461CC" w14:paraId="1E1CCCD6" w14:textId="77777777" w:rsidTr="00293453">
        <w:tc>
          <w:tcPr>
            <w:tcW w:w="1129" w:type="pct"/>
          </w:tcPr>
          <w:p w14:paraId="25D300ED" w14:textId="77777777" w:rsidR="0094168A" w:rsidRPr="009461CC" w:rsidRDefault="0094168A" w:rsidP="00213810">
            <w:pPr>
              <w:spacing w:after="0" w:afterAutospacing="0" w:line="216" w:lineRule="auto"/>
              <w:jc w:val="center"/>
              <w:rPr>
                <w:rFonts w:cs="Times New Roman"/>
                <w:sz w:val="22"/>
              </w:rPr>
            </w:pPr>
            <w:r>
              <w:rPr>
                <w:rFonts w:cs="Times New Roman"/>
                <w:sz w:val="22"/>
                <w:lang w:val="bg"/>
              </w:rPr>
              <w:t>EN ISO 14644-1:2015</w:t>
            </w:r>
          </w:p>
        </w:tc>
        <w:tc>
          <w:tcPr>
            <w:tcW w:w="3871" w:type="pct"/>
          </w:tcPr>
          <w:p w14:paraId="2AD73BC5" w14:textId="77777777" w:rsidR="0094168A" w:rsidRPr="009461CC" w:rsidRDefault="0094168A" w:rsidP="00213810">
            <w:pPr>
              <w:spacing w:after="0" w:afterAutospacing="0" w:line="216" w:lineRule="auto"/>
              <w:rPr>
                <w:rFonts w:cs="Times New Roman"/>
                <w:sz w:val="22"/>
              </w:rPr>
            </w:pPr>
            <w:r>
              <w:rPr>
                <w:rFonts w:cs="Times New Roman"/>
                <w:sz w:val="22"/>
                <w:lang w:val="bg"/>
              </w:rPr>
              <w:t>Класификация на чистотата на въздуха, чистите помещения и свързаните с тях контролирани среди. Част 1: Класификация на чистотата на въздуха</w:t>
            </w:r>
          </w:p>
        </w:tc>
      </w:tr>
      <w:tr w:rsidR="0094168A" w:rsidRPr="009461CC" w14:paraId="27E7EE41" w14:textId="77777777" w:rsidTr="00293453">
        <w:trPr>
          <w:trHeight w:val="1097"/>
        </w:trPr>
        <w:tc>
          <w:tcPr>
            <w:tcW w:w="1129" w:type="pct"/>
          </w:tcPr>
          <w:p w14:paraId="51EAE02B" w14:textId="77777777" w:rsidR="0094168A" w:rsidRPr="009461CC" w:rsidRDefault="0094168A" w:rsidP="00213810">
            <w:pPr>
              <w:spacing w:after="0" w:afterAutospacing="0" w:line="216" w:lineRule="auto"/>
              <w:jc w:val="center"/>
              <w:rPr>
                <w:rFonts w:cs="Times New Roman"/>
                <w:sz w:val="22"/>
              </w:rPr>
            </w:pPr>
            <w:r>
              <w:rPr>
                <w:rFonts w:cs="Times New Roman"/>
                <w:sz w:val="22"/>
                <w:lang w:val="bg"/>
              </w:rPr>
              <w:t>EN ISO 14644-2:2015</w:t>
            </w:r>
          </w:p>
        </w:tc>
        <w:tc>
          <w:tcPr>
            <w:tcW w:w="3871" w:type="pct"/>
          </w:tcPr>
          <w:p w14:paraId="3AA6B4D4" w14:textId="77777777" w:rsidR="0094168A" w:rsidRPr="00790DE3" w:rsidRDefault="0094168A" w:rsidP="00213810">
            <w:pPr>
              <w:spacing w:after="0" w:afterAutospacing="0" w:line="216" w:lineRule="auto"/>
              <w:rPr>
                <w:rFonts w:cs="Times New Roman"/>
                <w:sz w:val="22"/>
                <w:lang w:val="bg"/>
              </w:rPr>
            </w:pPr>
            <w:r>
              <w:rPr>
                <w:rFonts w:cs="Times New Roman"/>
                <w:sz w:val="22"/>
                <w:lang w:val="bg"/>
              </w:rPr>
              <w:t xml:space="preserve">Чисти стаи и свързаната с тях контролирана околна среда. Част 2: Мониторинг за поддържане на експлоатационните характеристики на чистите стаи. </w:t>
            </w:r>
          </w:p>
          <w:p w14:paraId="2873EF60" w14:textId="77777777" w:rsidR="0094168A" w:rsidRPr="00790DE3" w:rsidRDefault="0094168A" w:rsidP="00213810">
            <w:pPr>
              <w:spacing w:after="0" w:afterAutospacing="0" w:line="216" w:lineRule="auto"/>
              <w:rPr>
                <w:rFonts w:cs="Times New Roman"/>
                <w:sz w:val="22"/>
                <w:lang w:val="bg"/>
              </w:rPr>
            </w:pPr>
            <w:r>
              <w:rPr>
                <w:rFonts w:cs="Times New Roman"/>
                <w:sz w:val="22"/>
                <w:lang w:val="bg"/>
              </w:rPr>
              <w:t xml:space="preserve">свързани с чистотата на въздуха в зависимост от концентрацията </w:t>
            </w:r>
          </w:p>
          <w:p w14:paraId="02B2FEDC" w14:textId="77777777" w:rsidR="0094168A" w:rsidRPr="009461CC" w:rsidRDefault="0094168A" w:rsidP="00213810">
            <w:pPr>
              <w:spacing w:after="0" w:afterAutospacing="0" w:line="216" w:lineRule="auto"/>
              <w:rPr>
                <w:rFonts w:cs="Times New Roman"/>
                <w:sz w:val="22"/>
              </w:rPr>
            </w:pPr>
            <w:r>
              <w:rPr>
                <w:rFonts w:cs="Times New Roman"/>
                <w:sz w:val="22"/>
                <w:lang w:val="bg"/>
              </w:rPr>
              <w:t>на частиците</w:t>
            </w:r>
          </w:p>
        </w:tc>
      </w:tr>
      <w:tr w:rsidR="0094168A" w:rsidRPr="000514F4"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213810">
            <w:pPr>
              <w:spacing w:after="0" w:afterAutospacing="0" w:line="216" w:lineRule="auto"/>
              <w:jc w:val="center"/>
              <w:rPr>
                <w:rFonts w:cs="Times New Roman"/>
                <w:sz w:val="22"/>
              </w:rPr>
            </w:pPr>
            <w:r>
              <w:rPr>
                <w:rFonts w:eastAsia="Times New Roman" w:cs="Times New Roman"/>
                <w:sz w:val="22"/>
                <w:lang w:val="bg"/>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790DE3" w:rsidRDefault="0094168A" w:rsidP="00213810">
            <w:pPr>
              <w:spacing w:after="0" w:afterAutospacing="0" w:line="216" w:lineRule="auto"/>
              <w:rPr>
                <w:rFonts w:cs="Times New Roman"/>
                <w:sz w:val="22"/>
                <w:lang w:val="bg"/>
              </w:rPr>
            </w:pPr>
            <w:r>
              <w:rPr>
                <w:rFonts w:eastAsia="Times New Roman" w:cs="Times New Roman"/>
                <w:sz w:val="22"/>
                <w:lang w:val="bg"/>
              </w:rPr>
              <w:t>Стерилизация на продукти за здравеопазването. Микробиологични методи. Част 1: Определяне на популацията от микроорганизми в продуктите</w:t>
            </w:r>
          </w:p>
        </w:tc>
      </w:tr>
      <w:tr w:rsidR="0094168A" w:rsidRPr="000514F4"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213810">
            <w:pPr>
              <w:spacing w:after="0" w:afterAutospacing="0" w:line="216" w:lineRule="auto"/>
              <w:jc w:val="center"/>
              <w:rPr>
                <w:rFonts w:cs="Times New Roman"/>
                <w:sz w:val="22"/>
              </w:rPr>
            </w:pPr>
            <w:r>
              <w:rPr>
                <w:rFonts w:eastAsia="Times New Roman" w:cs="Times New Roman"/>
                <w:sz w:val="22"/>
                <w:lang w:val="bg"/>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790DE3" w:rsidRDefault="0094168A" w:rsidP="00213810">
            <w:pPr>
              <w:spacing w:after="0" w:afterAutospacing="0" w:line="216" w:lineRule="auto"/>
              <w:rPr>
                <w:rFonts w:cs="Times New Roman"/>
                <w:sz w:val="22"/>
                <w:lang w:val="bg"/>
              </w:rPr>
            </w:pPr>
            <w:r>
              <w:rPr>
                <w:rFonts w:eastAsia="Times New Roman" w:cs="Times New Roman"/>
                <w:sz w:val="22"/>
                <w:lang w:val="bg"/>
              </w:rPr>
              <w:t>Биологична оценка на медицинските изделия. Остатъчни вещества от стерилизация с етилен оксид</w:t>
            </w:r>
          </w:p>
        </w:tc>
      </w:tr>
      <w:tr w:rsidR="0094168A" w:rsidRPr="009461CC" w14:paraId="255576C7" w14:textId="77777777" w:rsidTr="00293453">
        <w:tc>
          <w:tcPr>
            <w:tcW w:w="1129" w:type="pct"/>
          </w:tcPr>
          <w:p w14:paraId="3E855248" w14:textId="77777777" w:rsidR="0094168A" w:rsidRPr="009461CC" w:rsidRDefault="0094168A" w:rsidP="00213810">
            <w:pPr>
              <w:spacing w:after="0" w:afterAutospacing="0" w:line="216" w:lineRule="auto"/>
              <w:rPr>
                <w:rFonts w:cs="Times New Roman"/>
                <w:sz w:val="22"/>
              </w:rPr>
            </w:pPr>
            <w:r>
              <w:rPr>
                <w:rFonts w:cs="Times New Roman"/>
                <w:sz w:val="22"/>
                <w:lang w:val="bg"/>
              </w:rPr>
              <w:t>NSI/AAMI ST72:2019</w:t>
            </w:r>
          </w:p>
        </w:tc>
        <w:tc>
          <w:tcPr>
            <w:tcW w:w="3871" w:type="pct"/>
          </w:tcPr>
          <w:p w14:paraId="1BB2618F" w14:textId="77777777" w:rsidR="0094168A" w:rsidRPr="009461CC" w:rsidRDefault="0094168A" w:rsidP="00213810">
            <w:pPr>
              <w:spacing w:after="0" w:afterAutospacing="0" w:line="216" w:lineRule="auto"/>
              <w:rPr>
                <w:rFonts w:cs="Times New Roman"/>
                <w:sz w:val="22"/>
              </w:rPr>
            </w:pPr>
            <w:r>
              <w:rPr>
                <w:rFonts w:cs="Times New Roman"/>
                <w:sz w:val="22"/>
                <w:lang w:val="bg"/>
              </w:rPr>
              <w:t>Тест за бактериални ендотоксини</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213810">
            <w:pPr>
              <w:spacing w:after="0" w:afterAutospacing="0" w:line="216" w:lineRule="auto"/>
              <w:jc w:val="center"/>
              <w:rPr>
                <w:rFonts w:cs="Times New Roman"/>
                <w:b/>
                <w:bCs/>
                <w:sz w:val="22"/>
              </w:rPr>
            </w:pPr>
            <w:r>
              <w:rPr>
                <w:rFonts w:cs="Times New Roman"/>
                <w:b/>
                <w:bCs/>
                <w:sz w:val="22"/>
                <w:lang w:val="bg"/>
              </w:rPr>
              <w:t>Общи стандарти – Системи за качество</w:t>
            </w:r>
          </w:p>
        </w:tc>
      </w:tr>
      <w:tr w:rsidR="0094168A" w:rsidRPr="009461CC"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213810">
            <w:pPr>
              <w:spacing w:after="0" w:afterAutospacing="0" w:line="216" w:lineRule="auto"/>
              <w:rPr>
                <w:rFonts w:cs="Times New Roman"/>
                <w:sz w:val="22"/>
              </w:rPr>
            </w:pPr>
            <w:r>
              <w:rPr>
                <w:rFonts w:eastAsia="Times New Roman" w:cs="Times New Roman"/>
                <w:sz w:val="22"/>
                <w:lang w:val="bg"/>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9461CC" w:rsidRDefault="0094168A" w:rsidP="00213810">
            <w:pPr>
              <w:spacing w:after="0" w:afterAutospacing="0" w:line="216" w:lineRule="auto"/>
              <w:rPr>
                <w:rFonts w:cs="Times New Roman"/>
                <w:sz w:val="22"/>
              </w:rPr>
            </w:pPr>
            <w:r>
              <w:rPr>
                <w:rFonts w:eastAsia="Times New Roman" w:cs="Times New Roman"/>
                <w:sz w:val="22"/>
                <w:lang w:val="bg"/>
              </w:rPr>
              <w:t>Медицински изделия. Системи за управление на качеството. Изисквания за регулаторни цели</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213810">
            <w:pPr>
              <w:spacing w:after="0" w:afterAutospacing="0" w:line="216" w:lineRule="auto"/>
              <w:jc w:val="center"/>
              <w:rPr>
                <w:rFonts w:cs="Times New Roman"/>
                <w:b/>
                <w:bCs/>
                <w:sz w:val="22"/>
              </w:rPr>
            </w:pPr>
            <w:r>
              <w:rPr>
                <w:rFonts w:cs="Times New Roman"/>
                <w:b/>
                <w:bCs/>
                <w:sz w:val="22"/>
                <w:lang w:val="bg"/>
              </w:rPr>
              <w:t>Управление на риска</w:t>
            </w:r>
          </w:p>
        </w:tc>
      </w:tr>
      <w:tr w:rsidR="0094168A" w:rsidRPr="009461CC" w14:paraId="75307B89" w14:textId="77777777" w:rsidTr="00293453">
        <w:tc>
          <w:tcPr>
            <w:tcW w:w="1129" w:type="pct"/>
          </w:tcPr>
          <w:p w14:paraId="653BDB44" w14:textId="77777777" w:rsidR="0094168A" w:rsidRPr="009461CC" w:rsidRDefault="0094168A" w:rsidP="00213810">
            <w:pPr>
              <w:spacing w:after="0" w:afterAutospacing="0" w:line="216" w:lineRule="auto"/>
              <w:rPr>
                <w:rFonts w:cs="Times New Roman"/>
                <w:sz w:val="22"/>
              </w:rPr>
            </w:pPr>
            <w:r>
              <w:rPr>
                <w:rFonts w:cs="Times New Roman"/>
                <w:sz w:val="22"/>
                <w:lang w:val="bg"/>
              </w:rPr>
              <w:t>EN ISO 14971:2019</w:t>
            </w:r>
          </w:p>
        </w:tc>
        <w:tc>
          <w:tcPr>
            <w:tcW w:w="3871" w:type="pct"/>
          </w:tcPr>
          <w:p w14:paraId="4457BE68" w14:textId="77777777" w:rsidR="0094168A" w:rsidRPr="009461CC" w:rsidRDefault="0094168A" w:rsidP="00213810">
            <w:pPr>
              <w:spacing w:after="0" w:afterAutospacing="0" w:line="216" w:lineRule="auto"/>
              <w:rPr>
                <w:rFonts w:cs="Times New Roman"/>
                <w:sz w:val="22"/>
              </w:rPr>
            </w:pPr>
            <w:r>
              <w:rPr>
                <w:rFonts w:cs="Times New Roman"/>
                <w:sz w:val="22"/>
                <w:lang w:val="bg"/>
              </w:rPr>
              <w:t>Медицински изделия. Прилагане на управлението на риска при медицински изделия</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213810">
            <w:pPr>
              <w:spacing w:after="0" w:afterAutospacing="0" w:line="216" w:lineRule="auto"/>
              <w:jc w:val="center"/>
              <w:rPr>
                <w:rFonts w:cs="Times New Roman"/>
                <w:sz w:val="22"/>
              </w:rPr>
            </w:pPr>
            <w:r>
              <w:rPr>
                <w:rFonts w:eastAsia="Arial" w:cs="Times New Roman"/>
                <w:b/>
                <w:bCs/>
                <w:sz w:val="22"/>
                <w:lang w:val="bg"/>
              </w:rPr>
              <w:t>Биологична безопасност</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213810">
            <w:pPr>
              <w:spacing w:after="0" w:afterAutospacing="0" w:line="216" w:lineRule="auto"/>
              <w:rPr>
                <w:rFonts w:cs="Times New Roman"/>
                <w:bCs/>
                <w:sz w:val="22"/>
              </w:rPr>
            </w:pPr>
            <w:r>
              <w:rPr>
                <w:rFonts w:eastAsia="Arial" w:cs="Times New Roman"/>
                <w:sz w:val="22"/>
                <w:lang w:val="bg"/>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9461CC" w:rsidRDefault="0094168A" w:rsidP="00213810">
            <w:pPr>
              <w:spacing w:after="14" w:afterAutospacing="0" w:line="216" w:lineRule="auto"/>
              <w:rPr>
                <w:rFonts w:cs="Times New Roman"/>
                <w:sz w:val="22"/>
              </w:rPr>
            </w:pPr>
            <w:r>
              <w:rPr>
                <w:rFonts w:eastAsia="Arial" w:cs="Times New Roman"/>
                <w:sz w:val="22"/>
                <w:lang w:val="bg"/>
              </w:rPr>
              <w:t xml:space="preserve">Биологично преценяване на медицински изделия. Част 1: </w:t>
            </w:r>
          </w:p>
          <w:p w14:paraId="1D869305" w14:textId="77777777" w:rsidR="0094168A" w:rsidRPr="009461CC" w:rsidRDefault="0094168A" w:rsidP="00213810">
            <w:pPr>
              <w:tabs>
                <w:tab w:val="left" w:pos="1320"/>
              </w:tabs>
              <w:spacing w:after="0" w:afterAutospacing="0" w:line="216" w:lineRule="auto"/>
              <w:rPr>
                <w:rFonts w:cs="Times New Roman"/>
                <w:sz w:val="22"/>
              </w:rPr>
            </w:pPr>
            <w:r>
              <w:rPr>
                <w:rFonts w:eastAsia="Arial" w:cs="Times New Roman"/>
                <w:sz w:val="22"/>
                <w:lang w:val="bg"/>
              </w:rPr>
              <w:t xml:space="preserve">Преценяване и изпитване  </w:t>
            </w:r>
          </w:p>
        </w:tc>
      </w:tr>
      <w:tr w:rsidR="0094168A" w:rsidRPr="000514F4"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213810">
            <w:pPr>
              <w:spacing w:after="0" w:afterAutospacing="0" w:line="216" w:lineRule="auto"/>
              <w:rPr>
                <w:rFonts w:cs="Times New Roman"/>
                <w:bCs/>
                <w:sz w:val="22"/>
              </w:rPr>
            </w:pPr>
            <w:r>
              <w:rPr>
                <w:rFonts w:eastAsia="Arial" w:cs="Times New Roman"/>
                <w:sz w:val="22"/>
                <w:lang w:val="bg"/>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790DE3" w:rsidRDefault="0094168A" w:rsidP="00213810">
            <w:pPr>
              <w:spacing w:after="0" w:afterAutospacing="0" w:line="216" w:lineRule="auto"/>
              <w:rPr>
                <w:rFonts w:cs="Times New Roman"/>
                <w:sz w:val="22"/>
                <w:lang w:val="bg"/>
              </w:rPr>
            </w:pPr>
            <w:r>
              <w:rPr>
                <w:rFonts w:eastAsia="Arial" w:cs="Times New Roman"/>
                <w:sz w:val="22"/>
                <w:lang w:val="bg"/>
              </w:rPr>
              <w:t xml:space="preserve">Биологично преценяване на медицински изделия. Част 3: Изпитвания за генотоксичност, канцерогенност и репродуктивна токсичност </w:t>
            </w:r>
          </w:p>
        </w:tc>
      </w:tr>
      <w:tr w:rsidR="0094168A" w:rsidRPr="000514F4"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213810">
            <w:pPr>
              <w:spacing w:after="0" w:afterAutospacing="0" w:line="216" w:lineRule="auto"/>
              <w:rPr>
                <w:rFonts w:cs="Times New Roman"/>
                <w:bCs/>
                <w:sz w:val="22"/>
              </w:rPr>
            </w:pPr>
            <w:r>
              <w:rPr>
                <w:rFonts w:eastAsia="Arial" w:cs="Times New Roman"/>
                <w:sz w:val="22"/>
                <w:lang w:val="bg"/>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790DE3" w:rsidRDefault="0094168A" w:rsidP="00213810">
            <w:pPr>
              <w:spacing w:after="0" w:afterAutospacing="0" w:line="216" w:lineRule="auto"/>
              <w:rPr>
                <w:rFonts w:cs="Times New Roman"/>
                <w:sz w:val="22"/>
                <w:lang w:val="bg"/>
              </w:rPr>
            </w:pPr>
            <w:r>
              <w:rPr>
                <w:rFonts w:eastAsia="Arial" w:cs="Times New Roman"/>
                <w:sz w:val="22"/>
                <w:lang w:val="bg"/>
              </w:rPr>
              <w:t xml:space="preserve">Биологично преценяване на медицински изделия. Част 4: Избор на изпитвания за взаимодействия с кръв </w:t>
            </w:r>
          </w:p>
        </w:tc>
      </w:tr>
      <w:tr w:rsidR="0094168A" w:rsidRPr="000514F4"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213810">
            <w:pPr>
              <w:spacing w:after="0" w:afterAutospacing="0" w:line="216" w:lineRule="auto"/>
              <w:rPr>
                <w:rFonts w:cs="Times New Roman"/>
                <w:bCs/>
                <w:sz w:val="22"/>
              </w:rPr>
            </w:pPr>
            <w:r>
              <w:rPr>
                <w:rFonts w:eastAsia="Arial" w:cs="Times New Roman"/>
                <w:sz w:val="22"/>
                <w:lang w:val="bg"/>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790DE3" w:rsidRDefault="0094168A" w:rsidP="00213810">
            <w:pPr>
              <w:spacing w:after="0" w:afterAutospacing="0" w:line="216" w:lineRule="auto"/>
              <w:rPr>
                <w:rFonts w:cs="Times New Roman"/>
                <w:sz w:val="22"/>
                <w:lang w:val="bg"/>
              </w:rPr>
            </w:pPr>
            <w:r>
              <w:rPr>
                <w:rFonts w:eastAsia="Arial" w:cs="Times New Roman"/>
                <w:sz w:val="22"/>
                <w:lang w:val="bg"/>
              </w:rPr>
              <w:t xml:space="preserve">Биологично преценяване на медицински изделия. Част 5: Изпитвания за инвитро цитотоксичност </w:t>
            </w:r>
          </w:p>
        </w:tc>
      </w:tr>
      <w:tr w:rsidR="0094168A" w:rsidRPr="000514F4"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213810">
            <w:pPr>
              <w:spacing w:after="0" w:afterAutospacing="0" w:line="216" w:lineRule="auto"/>
              <w:rPr>
                <w:rFonts w:cs="Times New Roman"/>
                <w:bCs/>
                <w:sz w:val="22"/>
              </w:rPr>
            </w:pPr>
            <w:r>
              <w:rPr>
                <w:rFonts w:eastAsia="Arial" w:cs="Times New Roman"/>
                <w:sz w:val="22"/>
                <w:lang w:val="bg"/>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790DE3" w:rsidRDefault="0094168A" w:rsidP="00213810">
            <w:pPr>
              <w:spacing w:after="0" w:afterAutospacing="0" w:line="216" w:lineRule="auto"/>
              <w:rPr>
                <w:rFonts w:cs="Times New Roman"/>
                <w:sz w:val="22"/>
                <w:lang w:val="bg"/>
              </w:rPr>
            </w:pPr>
            <w:r>
              <w:rPr>
                <w:rFonts w:eastAsia="Arial" w:cs="Times New Roman"/>
                <w:sz w:val="22"/>
                <w:lang w:val="bg"/>
              </w:rPr>
              <w:t xml:space="preserve">Биологично преценяване на медицински изделия. Част 10: Изпитвания за чувствителност на кожата </w:t>
            </w:r>
          </w:p>
        </w:tc>
      </w:tr>
      <w:tr w:rsidR="0094168A" w:rsidRPr="000514F4"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213810">
            <w:pPr>
              <w:spacing w:after="0" w:afterAutospacing="0" w:line="216" w:lineRule="auto"/>
              <w:rPr>
                <w:rFonts w:cs="Times New Roman"/>
                <w:bCs/>
                <w:sz w:val="22"/>
              </w:rPr>
            </w:pPr>
            <w:r>
              <w:rPr>
                <w:rFonts w:eastAsia="Arial" w:cs="Times New Roman"/>
                <w:sz w:val="22"/>
                <w:lang w:val="bg"/>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790DE3" w:rsidRDefault="0094168A" w:rsidP="00213810">
            <w:pPr>
              <w:spacing w:after="0" w:afterAutospacing="0" w:line="216" w:lineRule="auto"/>
              <w:rPr>
                <w:rFonts w:cs="Times New Roman"/>
                <w:sz w:val="22"/>
                <w:lang w:val="bg"/>
              </w:rPr>
            </w:pPr>
            <w:r>
              <w:rPr>
                <w:rFonts w:eastAsia="Arial" w:cs="Times New Roman"/>
                <w:sz w:val="22"/>
                <w:lang w:val="bg"/>
              </w:rPr>
              <w:t xml:space="preserve">Биологично преценяване на медицински изделия. Част 11: Изпитвания за общо токсично действие </w:t>
            </w:r>
          </w:p>
        </w:tc>
      </w:tr>
      <w:tr w:rsidR="0094168A" w:rsidRPr="000514F4"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213810">
            <w:pPr>
              <w:spacing w:after="0" w:afterAutospacing="0" w:line="216" w:lineRule="auto"/>
              <w:rPr>
                <w:rFonts w:cs="Times New Roman"/>
                <w:bCs/>
                <w:sz w:val="22"/>
              </w:rPr>
            </w:pPr>
            <w:r>
              <w:rPr>
                <w:rFonts w:eastAsia="Arial" w:cs="Times New Roman"/>
                <w:sz w:val="22"/>
                <w:lang w:val="bg"/>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790DE3" w:rsidRDefault="0094168A" w:rsidP="00213810">
            <w:pPr>
              <w:spacing w:after="0" w:afterAutospacing="0" w:line="216" w:lineRule="auto"/>
              <w:rPr>
                <w:rFonts w:cs="Times New Roman"/>
                <w:sz w:val="22"/>
                <w:lang w:val="bg"/>
              </w:rPr>
            </w:pPr>
            <w:r>
              <w:rPr>
                <w:rFonts w:eastAsia="Arial" w:cs="Times New Roman"/>
                <w:sz w:val="22"/>
                <w:lang w:val="bg"/>
              </w:rPr>
              <w:t xml:space="preserve">Биологична оценка на медицински изделия. Част 12: Подготовка на проби и сравнителни материали </w:t>
            </w:r>
          </w:p>
        </w:tc>
      </w:tr>
      <w:tr w:rsidR="00586415" w:rsidRPr="009461CC"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213810">
            <w:pPr>
              <w:spacing w:after="0" w:afterAutospacing="0" w:line="216" w:lineRule="auto"/>
              <w:rPr>
                <w:rFonts w:eastAsia="Arial" w:cs="Times New Roman"/>
                <w:bCs/>
                <w:sz w:val="22"/>
              </w:rPr>
            </w:pPr>
            <w:r>
              <w:rPr>
                <w:rFonts w:eastAsia="Arial" w:cs="Times New Roman"/>
                <w:sz w:val="22"/>
                <w:lang w:val="bg"/>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9461CC" w:rsidRDefault="00586415" w:rsidP="00213810">
            <w:pPr>
              <w:spacing w:after="0" w:afterAutospacing="0" w:line="216" w:lineRule="auto"/>
              <w:rPr>
                <w:rFonts w:eastAsia="Arial" w:cs="Times New Roman"/>
                <w:sz w:val="22"/>
              </w:rPr>
            </w:pPr>
            <w:r>
              <w:rPr>
                <w:rFonts w:eastAsia="Arial" w:cs="Times New Roman"/>
                <w:sz w:val="22"/>
                <w:lang w:val="bg"/>
              </w:rPr>
              <w:t>Токсикологична оценка на риска на съставките на медицинските изделия</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213810">
            <w:pPr>
              <w:spacing w:after="0" w:afterAutospacing="0" w:line="216" w:lineRule="auto"/>
              <w:jc w:val="center"/>
              <w:rPr>
                <w:rFonts w:cs="Times New Roman"/>
                <w:sz w:val="22"/>
              </w:rPr>
            </w:pPr>
            <w:r>
              <w:rPr>
                <w:rFonts w:eastAsia="Arial" w:cs="Times New Roman"/>
                <w:b/>
                <w:bCs/>
                <w:sz w:val="22"/>
                <w:lang w:val="bg"/>
              </w:rPr>
              <w:t>Клинична оценка</w:t>
            </w:r>
          </w:p>
        </w:tc>
      </w:tr>
      <w:tr w:rsidR="00586415" w:rsidRPr="009461CC" w14:paraId="1F26EC64" w14:textId="77777777" w:rsidTr="00293453">
        <w:tc>
          <w:tcPr>
            <w:tcW w:w="1129" w:type="pct"/>
          </w:tcPr>
          <w:p w14:paraId="5AF3269C" w14:textId="697D779E" w:rsidR="00586415" w:rsidRPr="009461CC" w:rsidRDefault="00586415" w:rsidP="00213810">
            <w:pPr>
              <w:spacing w:after="0" w:afterAutospacing="0" w:line="216" w:lineRule="auto"/>
              <w:ind w:right="-102"/>
              <w:rPr>
                <w:rFonts w:cs="Times New Roman"/>
                <w:bCs/>
                <w:sz w:val="22"/>
              </w:rPr>
            </w:pPr>
            <w:r>
              <w:rPr>
                <w:rFonts w:eastAsia="Arial" w:cs="Times New Roman"/>
                <w:sz w:val="22"/>
                <w:lang w:val="bg"/>
              </w:rPr>
              <w:lastRenderedPageBreak/>
              <w:t xml:space="preserve">MEDDEV 2.7/1, </w:t>
            </w:r>
            <w:r w:rsidR="00B843D3">
              <w:rPr>
                <w:rFonts w:eastAsia="Arial" w:cs="Times New Roman"/>
                <w:sz w:val="22"/>
              </w:rPr>
              <w:t>Rev</w:t>
            </w:r>
            <w:r>
              <w:rPr>
                <w:rFonts w:eastAsia="Arial" w:cs="Times New Roman"/>
                <w:sz w:val="22"/>
                <w:lang w:val="bg"/>
              </w:rPr>
              <w:t>4</w:t>
            </w:r>
          </w:p>
        </w:tc>
        <w:tc>
          <w:tcPr>
            <w:tcW w:w="3871" w:type="pct"/>
          </w:tcPr>
          <w:p w14:paraId="3D1D1121" w14:textId="77777777" w:rsidR="00586415" w:rsidRPr="009461CC" w:rsidRDefault="00586415" w:rsidP="00213810">
            <w:pPr>
              <w:spacing w:after="0" w:afterAutospacing="0" w:line="216" w:lineRule="auto"/>
              <w:rPr>
                <w:rFonts w:cs="Times New Roman"/>
                <w:sz w:val="22"/>
              </w:rPr>
            </w:pPr>
            <w:r>
              <w:rPr>
                <w:rFonts w:cs="Times New Roman"/>
                <w:sz w:val="22"/>
                <w:lang w:val="bg"/>
              </w:rPr>
              <w:t>Клинична оценка: Ръководство за производители и нотифицирани органи</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213810">
            <w:pPr>
              <w:spacing w:after="0" w:afterAutospacing="0" w:line="216" w:lineRule="auto"/>
              <w:jc w:val="center"/>
              <w:rPr>
                <w:rFonts w:cs="Times New Roman"/>
                <w:sz w:val="22"/>
              </w:rPr>
            </w:pPr>
            <w:r>
              <w:rPr>
                <w:rFonts w:eastAsia="Arial" w:cs="Times New Roman"/>
                <w:b/>
                <w:bCs/>
                <w:sz w:val="22"/>
                <w:lang w:val="bg"/>
              </w:rPr>
              <w:t>Контрол на дизайна</w:t>
            </w:r>
          </w:p>
        </w:tc>
      </w:tr>
      <w:tr w:rsidR="00586415" w:rsidRPr="009461CC" w14:paraId="54F49ECD" w14:textId="77777777" w:rsidTr="00293453">
        <w:tc>
          <w:tcPr>
            <w:tcW w:w="1129" w:type="pct"/>
          </w:tcPr>
          <w:p w14:paraId="4795B615" w14:textId="77777777" w:rsidR="00586415" w:rsidRPr="009461CC" w:rsidRDefault="00586415" w:rsidP="00213810">
            <w:pPr>
              <w:spacing w:after="0" w:afterAutospacing="0" w:line="216" w:lineRule="auto"/>
              <w:rPr>
                <w:rFonts w:cs="Times New Roman"/>
                <w:sz w:val="22"/>
              </w:rPr>
            </w:pPr>
            <w:r>
              <w:rPr>
                <w:rFonts w:cs="Times New Roman"/>
                <w:sz w:val="22"/>
                <w:lang w:val="bg"/>
              </w:rPr>
              <w:t>EN ISO 14971</w:t>
            </w:r>
          </w:p>
        </w:tc>
        <w:tc>
          <w:tcPr>
            <w:tcW w:w="3871" w:type="pct"/>
          </w:tcPr>
          <w:p w14:paraId="55771886" w14:textId="77777777" w:rsidR="00586415" w:rsidRPr="009461CC" w:rsidRDefault="00586415" w:rsidP="00213810">
            <w:pPr>
              <w:spacing w:after="0" w:afterAutospacing="0" w:line="216" w:lineRule="auto"/>
              <w:rPr>
                <w:rFonts w:cs="Times New Roman"/>
                <w:sz w:val="22"/>
              </w:rPr>
            </w:pPr>
            <w:r>
              <w:rPr>
                <w:rFonts w:cs="Times New Roman"/>
                <w:sz w:val="22"/>
                <w:lang w:val="bg"/>
              </w:rPr>
              <w:t>Медицински изделия - Прилагане на управление на риска към медицински изделия</w:t>
            </w:r>
          </w:p>
        </w:tc>
      </w:tr>
      <w:tr w:rsidR="00586415" w:rsidRPr="009461CC" w14:paraId="48F71F50" w14:textId="77777777" w:rsidTr="00293453">
        <w:tc>
          <w:tcPr>
            <w:tcW w:w="1129" w:type="pct"/>
          </w:tcPr>
          <w:p w14:paraId="477CFB4F" w14:textId="77777777" w:rsidR="00586415" w:rsidRPr="009461CC" w:rsidRDefault="00586415" w:rsidP="00213810">
            <w:pPr>
              <w:spacing w:after="0" w:afterAutospacing="0" w:line="216" w:lineRule="auto"/>
              <w:jc w:val="center"/>
              <w:rPr>
                <w:rFonts w:cs="Times New Roman"/>
                <w:sz w:val="22"/>
              </w:rPr>
            </w:pPr>
          </w:p>
        </w:tc>
        <w:tc>
          <w:tcPr>
            <w:tcW w:w="3871" w:type="pct"/>
          </w:tcPr>
          <w:p w14:paraId="20C1E190" w14:textId="77777777" w:rsidR="00586415" w:rsidRPr="009461CC" w:rsidRDefault="00586415" w:rsidP="00213810">
            <w:pPr>
              <w:spacing w:after="0" w:afterAutospacing="0" w:line="216" w:lineRule="auto"/>
              <w:rPr>
                <w:rFonts w:cs="Times New Roman"/>
                <w:sz w:val="22"/>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213810">
            <w:pPr>
              <w:spacing w:after="0" w:afterAutospacing="0" w:line="216" w:lineRule="auto"/>
              <w:jc w:val="center"/>
              <w:rPr>
                <w:rFonts w:cs="Times New Roman"/>
                <w:b/>
                <w:bCs/>
                <w:sz w:val="22"/>
              </w:rPr>
            </w:pPr>
            <w:r>
              <w:rPr>
                <w:rFonts w:cs="Times New Roman"/>
                <w:b/>
                <w:bCs/>
                <w:sz w:val="22"/>
                <w:lang w:val="bg"/>
              </w:rPr>
              <w:t>Използваемост</w:t>
            </w:r>
          </w:p>
        </w:tc>
      </w:tr>
      <w:tr w:rsidR="00586415" w:rsidRPr="009461CC" w14:paraId="29A23DD2" w14:textId="77777777" w:rsidTr="00293453">
        <w:tc>
          <w:tcPr>
            <w:tcW w:w="1129" w:type="pct"/>
          </w:tcPr>
          <w:p w14:paraId="38C30B53" w14:textId="77777777" w:rsidR="00586415" w:rsidRPr="009461CC" w:rsidRDefault="00586415" w:rsidP="00213810">
            <w:pPr>
              <w:spacing w:after="0" w:afterAutospacing="0" w:line="216" w:lineRule="auto"/>
              <w:rPr>
                <w:rFonts w:cs="Times New Roman"/>
                <w:sz w:val="22"/>
              </w:rPr>
            </w:pPr>
            <w:r>
              <w:rPr>
                <w:rFonts w:cs="Times New Roman"/>
                <w:sz w:val="22"/>
                <w:lang w:val="bg"/>
              </w:rPr>
              <w:t>IEC 62366-1:2015 и</w:t>
            </w:r>
          </w:p>
          <w:p w14:paraId="2D964E3D" w14:textId="77777777" w:rsidR="00586415" w:rsidRPr="009461CC" w:rsidRDefault="00586415" w:rsidP="00213810">
            <w:pPr>
              <w:spacing w:after="0" w:afterAutospacing="0" w:line="216" w:lineRule="auto"/>
              <w:rPr>
                <w:rFonts w:cs="Times New Roman"/>
                <w:sz w:val="22"/>
              </w:rPr>
            </w:pPr>
            <w:r>
              <w:rPr>
                <w:rFonts w:cs="Times New Roman"/>
                <w:sz w:val="22"/>
                <w:lang w:val="bg"/>
              </w:rPr>
              <w:t>IEC 62366-1:2015/ COR1:2016</w:t>
            </w:r>
          </w:p>
        </w:tc>
        <w:tc>
          <w:tcPr>
            <w:tcW w:w="3871" w:type="pct"/>
          </w:tcPr>
          <w:p w14:paraId="7A444F47" w14:textId="77777777" w:rsidR="00586415" w:rsidRPr="009461CC" w:rsidRDefault="00586415" w:rsidP="00213810">
            <w:pPr>
              <w:spacing w:after="0" w:afterAutospacing="0" w:line="216" w:lineRule="auto"/>
              <w:rPr>
                <w:rFonts w:cs="Times New Roman"/>
                <w:sz w:val="22"/>
              </w:rPr>
            </w:pPr>
            <w:r>
              <w:rPr>
                <w:rFonts w:cs="Times New Roman"/>
                <w:sz w:val="22"/>
                <w:lang w:val="bg"/>
              </w:rPr>
              <w:t>Медицински изделия – Използване на приложен инженеринг в медицински изделия</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213810">
            <w:pPr>
              <w:spacing w:after="0" w:afterAutospacing="0" w:line="216" w:lineRule="auto"/>
              <w:jc w:val="center"/>
              <w:rPr>
                <w:rFonts w:cs="Times New Roman"/>
                <w:b/>
                <w:bCs/>
                <w:sz w:val="22"/>
              </w:rPr>
            </w:pPr>
            <w:r>
              <w:rPr>
                <w:rFonts w:cs="Times New Roman"/>
                <w:b/>
                <w:bCs/>
                <w:sz w:val="22"/>
                <w:lang w:val="bg"/>
              </w:rPr>
              <w:t>Опаковка</w:t>
            </w:r>
          </w:p>
        </w:tc>
      </w:tr>
      <w:tr w:rsidR="00586415" w:rsidRPr="000514F4"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213810">
            <w:pPr>
              <w:spacing w:after="0" w:afterAutospacing="0" w:line="216" w:lineRule="auto"/>
              <w:rPr>
                <w:rFonts w:cs="Times New Roman"/>
                <w:bCs/>
                <w:sz w:val="22"/>
              </w:rPr>
            </w:pPr>
            <w:r>
              <w:rPr>
                <w:rFonts w:eastAsia="Arial" w:cs="Times New Roman"/>
                <w:sz w:val="22"/>
                <w:lang w:val="bg"/>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790DE3" w:rsidRDefault="00586415" w:rsidP="00213810">
            <w:pPr>
              <w:spacing w:after="0" w:afterAutospacing="0" w:line="216" w:lineRule="auto"/>
              <w:rPr>
                <w:rFonts w:cs="Times New Roman"/>
                <w:sz w:val="22"/>
                <w:lang w:val="bg"/>
              </w:rPr>
            </w:pPr>
            <w:r>
              <w:rPr>
                <w:rFonts w:eastAsia="Arial" w:cs="Times New Roman"/>
                <w:sz w:val="22"/>
                <w:lang w:val="bg"/>
              </w:rPr>
              <w:t xml:space="preserve">Опаковки за окончателно стерилизирани медицински изделия. Част 1: Изисквания за материали, стерилни преградни системи и системи за опаковане. </w:t>
            </w:r>
          </w:p>
        </w:tc>
      </w:tr>
      <w:tr w:rsidR="00586415" w:rsidRPr="000514F4"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213810">
            <w:pPr>
              <w:spacing w:after="16" w:afterAutospacing="0" w:line="216" w:lineRule="auto"/>
              <w:ind w:left="1"/>
              <w:rPr>
                <w:rFonts w:cs="Times New Roman"/>
                <w:bCs/>
                <w:sz w:val="22"/>
              </w:rPr>
            </w:pPr>
            <w:r>
              <w:rPr>
                <w:rFonts w:eastAsia="Arial" w:cs="Times New Roman"/>
                <w:sz w:val="22"/>
                <w:lang w:val="bg"/>
              </w:rPr>
              <w:t>EN ISO 11607-2:2020</w:t>
            </w:r>
          </w:p>
          <w:p w14:paraId="2A1BCB52" w14:textId="77777777" w:rsidR="00586415" w:rsidRPr="009461CC" w:rsidRDefault="00586415" w:rsidP="00213810">
            <w:pPr>
              <w:spacing w:after="0" w:afterAutospacing="0" w:line="216" w:lineRule="auto"/>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790DE3" w:rsidRDefault="00586415" w:rsidP="00213810">
            <w:pPr>
              <w:spacing w:after="0" w:afterAutospacing="0" w:line="216" w:lineRule="auto"/>
              <w:rPr>
                <w:rFonts w:cs="Times New Roman"/>
                <w:sz w:val="22"/>
                <w:lang w:val="bg"/>
              </w:rPr>
            </w:pPr>
            <w:r>
              <w:rPr>
                <w:rFonts w:eastAsia="Arial" w:cs="Times New Roman"/>
                <w:sz w:val="22"/>
                <w:lang w:val="bg"/>
              </w:rPr>
              <w:t xml:space="preserve">Опаковки за окончателно стерилизирани медицински изделия. Част 2: Изисквания за валидиране на процесите за оформяне, запечатване и окомплектоване </w:t>
            </w:r>
          </w:p>
        </w:tc>
      </w:tr>
      <w:tr w:rsidR="00586415" w:rsidRPr="009461CC"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213810">
            <w:pPr>
              <w:spacing w:after="14" w:afterAutospacing="0" w:line="216" w:lineRule="auto"/>
              <w:ind w:left="1"/>
              <w:rPr>
                <w:rFonts w:cs="Times New Roman"/>
                <w:bCs/>
                <w:sz w:val="22"/>
              </w:rPr>
            </w:pPr>
            <w:r>
              <w:rPr>
                <w:rFonts w:eastAsia="Arial" w:cs="Times New Roman"/>
                <w:sz w:val="22"/>
                <w:lang w:val="bg"/>
              </w:rPr>
              <w:t>EN ISO 2233:2001</w:t>
            </w:r>
          </w:p>
          <w:p w14:paraId="3F44F0A2" w14:textId="77777777" w:rsidR="00586415" w:rsidRPr="009461CC" w:rsidRDefault="00586415" w:rsidP="00213810">
            <w:pPr>
              <w:spacing w:after="0" w:afterAutospacing="0" w:line="216" w:lineRule="auto"/>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9461CC" w:rsidRDefault="00586415" w:rsidP="00213810">
            <w:pPr>
              <w:spacing w:after="0" w:afterAutospacing="0" w:line="216" w:lineRule="auto"/>
              <w:rPr>
                <w:rFonts w:cs="Times New Roman"/>
                <w:sz w:val="22"/>
              </w:rPr>
            </w:pPr>
            <w:r>
              <w:rPr>
                <w:rFonts w:eastAsia="Arial" w:cs="Times New Roman"/>
                <w:sz w:val="22"/>
                <w:lang w:val="bg"/>
              </w:rPr>
              <w:t xml:space="preserve">Опаковане – комплектувани, пълни транспортни опаковки и товарни единици. Кондициониране за изпитване </w:t>
            </w:r>
          </w:p>
        </w:tc>
      </w:tr>
      <w:tr w:rsidR="00586415" w:rsidRPr="009461CC"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0D62E65B" w:rsidR="00586415" w:rsidRPr="009461CC" w:rsidRDefault="00586415" w:rsidP="00213810">
            <w:pPr>
              <w:spacing w:after="0" w:afterAutospacing="0" w:line="216" w:lineRule="auto"/>
              <w:rPr>
                <w:rFonts w:cs="Times New Roman"/>
                <w:bCs/>
                <w:sz w:val="22"/>
              </w:rPr>
            </w:pPr>
            <w:hyperlink r:id="rId14">
              <w:r>
                <w:rPr>
                  <w:rFonts w:eastAsia="Arial" w:cs="Times New Roman"/>
                  <w:sz w:val="22"/>
                  <w:lang w:val="bg"/>
                </w:rPr>
                <w:t>ASTM D4169</w:t>
              </w:r>
            </w:hyperlink>
            <w:r w:rsidR="004A1CDC">
              <w:t xml:space="preserve"> </w:t>
            </w:r>
            <w:r>
              <w:rPr>
                <w:rFonts w:eastAsia="Arial" w:cs="Times New Roman"/>
                <w:sz w:val="22"/>
                <w:lang w:val="bg"/>
              </w:rPr>
              <w:t>:2022</w:t>
            </w:r>
            <w:hyperlink r:id="rId15">
              <w:r>
                <w:rPr>
                  <w:rFonts w:eastAsia="Arial" w:cs="Times New Roman"/>
                  <w:sz w:val="22"/>
                  <w:lang w:val="bg"/>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9461CC" w:rsidRDefault="00586415" w:rsidP="00213810">
            <w:pPr>
              <w:spacing w:after="0" w:afterAutospacing="0" w:line="216" w:lineRule="auto"/>
              <w:rPr>
                <w:rFonts w:cs="Times New Roman"/>
                <w:sz w:val="22"/>
              </w:rPr>
            </w:pPr>
            <w:r>
              <w:rPr>
                <w:rFonts w:eastAsia="Arial" w:cs="Times New Roman"/>
                <w:sz w:val="22"/>
                <w:lang w:val="bg"/>
              </w:rPr>
              <w:t xml:space="preserve">Стандартна практика за изпитване на функционалността на транспортни контейнери и системи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213810">
            <w:pPr>
              <w:spacing w:after="0" w:afterAutospacing="0" w:line="216" w:lineRule="auto"/>
              <w:rPr>
                <w:rFonts w:cs="Times New Roman"/>
                <w:bCs/>
                <w:sz w:val="22"/>
              </w:rPr>
            </w:pPr>
            <w:hyperlink r:id="rId16">
              <w:r>
                <w:rPr>
                  <w:rFonts w:eastAsia="Arial" w:cs="Times New Roman"/>
                  <w:sz w:val="22"/>
                  <w:lang w:val="bg"/>
                </w:rPr>
                <w:t xml:space="preserve">ASTM F2096 </w:t>
              </w:r>
            </w:hyperlink>
            <w:hyperlink r:id="rId17">
              <w:r>
                <w:rPr>
                  <w:rFonts w:eastAsia="Arial" w:cs="Times New Roman"/>
                  <w:sz w:val="22"/>
                  <w:lang w:val="bg"/>
                </w:rPr>
                <w:t xml:space="preserve">– </w:t>
              </w:r>
            </w:hyperlink>
            <w:r>
              <w:rPr>
                <w:rFonts w:eastAsia="Arial" w:cs="Times New Roman"/>
                <w:sz w:val="22"/>
                <w:lang w:val="bg"/>
              </w:rPr>
              <w:t>20</w:t>
            </w:r>
            <w:hyperlink r:id="rId18">
              <w:r>
                <w:rPr>
                  <w:rFonts w:eastAsia="Arial" w:cs="Times New Roman"/>
                  <w:sz w:val="22"/>
                  <w:lang w:val="bg"/>
                </w:rPr>
                <w:t xml:space="preserve">11 (R2019) </w:t>
              </w:r>
            </w:hyperlink>
            <w:hyperlink r:id="rId19">
              <w:r>
                <w:rPr>
                  <w:rFonts w:eastAsia="Arial" w:cs="Times New Roman"/>
                  <w:sz w:val="22"/>
                  <w:lang w:val="bg"/>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9461CC" w:rsidRDefault="00586415" w:rsidP="00213810">
            <w:pPr>
              <w:spacing w:after="14" w:afterAutospacing="0" w:line="216" w:lineRule="auto"/>
              <w:rPr>
                <w:rFonts w:cs="Times New Roman"/>
                <w:sz w:val="22"/>
              </w:rPr>
            </w:pPr>
            <w:r>
              <w:rPr>
                <w:rFonts w:eastAsia="Arial" w:cs="Times New Roman"/>
                <w:sz w:val="22"/>
                <w:lang w:val="bg"/>
              </w:rPr>
              <w:t xml:space="preserve">Стандартен метод за изпитване за откриване на големи течове в </w:t>
            </w:r>
          </w:p>
          <w:p w14:paraId="403EB0FF" w14:textId="77777777" w:rsidR="00586415" w:rsidRPr="009461CC" w:rsidRDefault="00586415" w:rsidP="00213810">
            <w:pPr>
              <w:spacing w:after="16" w:afterAutospacing="0" w:line="216" w:lineRule="auto"/>
              <w:rPr>
                <w:rFonts w:cs="Times New Roman"/>
                <w:sz w:val="22"/>
              </w:rPr>
            </w:pPr>
            <w:r>
              <w:rPr>
                <w:rFonts w:eastAsia="Arial" w:cs="Times New Roman"/>
                <w:sz w:val="22"/>
                <w:lang w:val="bg"/>
              </w:rPr>
              <w:t xml:space="preserve">медицински опаковки чрез вътрешно налягане (тест с мехурчета) </w:t>
            </w:r>
          </w:p>
          <w:p w14:paraId="401902E0" w14:textId="77777777" w:rsidR="00586415" w:rsidRPr="009461CC" w:rsidRDefault="00586415" w:rsidP="00213810">
            <w:pPr>
              <w:spacing w:after="0" w:afterAutospacing="0" w:line="216" w:lineRule="auto"/>
              <w:rPr>
                <w:rFonts w:cs="Times New Roman"/>
                <w:sz w:val="22"/>
              </w:rPr>
            </w:pPr>
            <w:r>
              <w:rPr>
                <w:rFonts w:eastAsia="Arial" w:cs="Times New Roman"/>
                <w:sz w:val="22"/>
                <w:lang w:val="bg"/>
              </w:rPr>
              <w:t xml:space="preserve">- ASTM F 2096-11 (2019) </w:t>
            </w:r>
          </w:p>
        </w:tc>
      </w:tr>
      <w:tr w:rsidR="00586415" w:rsidRPr="009461CC"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213810">
            <w:pPr>
              <w:spacing w:after="0" w:afterAutospacing="0" w:line="216" w:lineRule="auto"/>
              <w:rPr>
                <w:rFonts w:cs="Times New Roman"/>
                <w:bCs/>
                <w:sz w:val="22"/>
              </w:rPr>
            </w:pPr>
            <w:hyperlink r:id="rId20">
              <w:r>
                <w:rPr>
                  <w:rFonts w:eastAsia="Arial" w:cs="Times New Roman"/>
                  <w:sz w:val="22"/>
                  <w:lang w:val="bg"/>
                </w:rPr>
                <w:t xml:space="preserve">ASTM F1929 </w:t>
              </w:r>
            </w:hyperlink>
            <w:hyperlink r:id="rId21">
              <w:r>
                <w:rPr>
                  <w:rFonts w:eastAsia="Arial" w:cs="Times New Roman"/>
                  <w:sz w:val="22"/>
                  <w:lang w:val="bg"/>
                </w:rPr>
                <w:t xml:space="preserve">- </w:t>
              </w:r>
            </w:hyperlink>
            <w:hyperlink r:id="rId22">
              <w:r>
                <w:rPr>
                  <w:rFonts w:eastAsia="Arial" w:cs="Times New Roman"/>
                  <w:sz w:val="22"/>
                  <w:lang w:val="bg"/>
                </w:rPr>
                <w:t xml:space="preserve">15 </w:t>
              </w:r>
            </w:hyperlink>
            <w:hyperlink r:id="rId23">
              <w:r>
                <w:rPr>
                  <w:rFonts w:eastAsia="Arial" w:cs="Times New Roman"/>
                  <w:sz w:val="22"/>
                  <w:lang w:val="bg"/>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9461CC" w:rsidRDefault="00586415" w:rsidP="00213810">
            <w:pPr>
              <w:spacing w:after="14" w:afterAutospacing="0" w:line="216" w:lineRule="auto"/>
              <w:rPr>
                <w:rFonts w:cs="Times New Roman"/>
                <w:sz w:val="22"/>
              </w:rPr>
            </w:pPr>
            <w:r>
              <w:rPr>
                <w:rFonts w:eastAsia="Arial" w:cs="Times New Roman"/>
                <w:sz w:val="22"/>
                <w:lang w:val="bg"/>
              </w:rPr>
              <w:t xml:space="preserve">Стандартен метод за изпитване за откриване на течове в порести </w:t>
            </w:r>
          </w:p>
          <w:p w14:paraId="1449B41C" w14:textId="77777777" w:rsidR="00586415" w:rsidRPr="009461CC" w:rsidRDefault="00586415" w:rsidP="00213810">
            <w:pPr>
              <w:spacing w:after="0" w:afterAutospacing="0" w:line="216" w:lineRule="auto"/>
              <w:rPr>
                <w:rFonts w:cs="Times New Roman"/>
                <w:sz w:val="22"/>
              </w:rPr>
            </w:pPr>
            <w:r>
              <w:rPr>
                <w:rFonts w:eastAsia="Arial" w:cs="Times New Roman"/>
                <w:sz w:val="22"/>
                <w:lang w:val="bg"/>
              </w:rPr>
              <w:t xml:space="preserve">медицински опаковки чрез проникване на багрило - ASTM F 1929 </w:t>
            </w:r>
          </w:p>
        </w:tc>
      </w:tr>
      <w:tr w:rsidR="00586415" w:rsidRPr="009461CC"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213810">
            <w:pPr>
              <w:spacing w:after="0" w:afterAutospacing="0" w:line="216" w:lineRule="auto"/>
              <w:rPr>
                <w:rFonts w:cs="Times New Roman"/>
                <w:bCs/>
                <w:sz w:val="22"/>
              </w:rPr>
            </w:pPr>
            <w:hyperlink r:id="rId24">
              <w:r>
                <w:rPr>
                  <w:rFonts w:eastAsia="Arial" w:cs="Times New Roman"/>
                  <w:sz w:val="22"/>
                  <w:lang w:val="bg"/>
                </w:rPr>
                <w:t xml:space="preserve">ASTM F88 / F88M </w:t>
              </w:r>
            </w:hyperlink>
            <w:hyperlink r:id="rId25">
              <w:r>
                <w:rPr>
                  <w:rFonts w:eastAsia="Arial" w:cs="Times New Roman"/>
                  <w:sz w:val="22"/>
                  <w:lang w:val="bg"/>
                </w:rPr>
                <w:t xml:space="preserve">- </w:t>
              </w:r>
            </w:hyperlink>
            <w:r>
              <w:rPr>
                <w:rFonts w:eastAsia="Arial" w:cs="Times New Roman"/>
                <w:sz w:val="22"/>
                <w:lang w:val="bg"/>
              </w:rPr>
              <w:t>2021</w:t>
            </w:r>
            <w:hyperlink r:id="rId26">
              <w:r>
                <w:rPr>
                  <w:rFonts w:eastAsia="Arial" w:cs="Times New Roman"/>
                  <w:sz w:val="22"/>
                  <w:lang w:val="bg"/>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9461CC" w:rsidRDefault="00586415" w:rsidP="00213810">
            <w:pPr>
              <w:spacing w:after="0" w:afterAutospacing="0" w:line="216" w:lineRule="auto"/>
              <w:rPr>
                <w:rFonts w:cs="Times New Roman"/>
                <w:sz w:val="22"/>
              </w:rPr>
            </w:pPr>
            <w:r>
              <w:rPr>
                <w:rFonts w:eastAsia="Arial" w:cs="Times New Roman"/>
                <w:sz w:val="22"/>
                <w:lang w:val="bg"/>
              </w:rPr>
              <w:t xml:space="preserve">Стандартен метод за изпитване за якост на уплътнения на гъвкави преградни материали - ASTM F88 </w:t>
            </w:r>
          </w:p>
        </w:tc>
      </w:tr>
      <w:tr w:rsidR="00586415" w:rsidRPr="009461CC"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213810">
            <w:pPr>
              <w:spacing w:after="0" w:afterAutospacing="0" w:line="216" w:lineRule="auto"/>
              <w:rPr>
                <w:rFonts w:cs="Times New Roman"/>
                <w:bCs/>
                <w:sz w:val="22"/>
              </w:rPr>
            </w:pPr>
            <w:hyperlink r:id="rId27">
              <w:r>
                <w:rPr>
                  <w:rFonts w:eastAsia="Arial" w:cs="Times New Roman"/>
                  <w:sz w:val="22"/>
                  <w:lang w:val="bg"/>
                </w:rPr>
                <w:t xml:space="preserve">ASTM F1980 </w:t>
              </w:r>
            </w:hyperlink>
            <w:hyperlink r:id="rId28">
              <w:r>
                <w:rPr>
                  <w:rFonts w:eastAsia="Arial" w:cs="Times New Roman"/>
                  <w:sz w:val="22"/>
                  <w:lang w:val="bg"/>
                </w:rPr>
                <w:t xml:space="preserve">- </w:t>
              </w:r>
            </w:hyperlink>
            <w:r>
              <w:rPr>
                <w:rFonts w:eastAsia="Arial" w:cs="Times New Roman"/>
                <w:sz w:val="22"/>
                <w:lang w:val="bg"/>
              </w:rPr>
              <w:t>2021</w:t>
            </w:r>
            <w:hyperlink r:id="rId29">
              <w:r>
                <w:rPr>
                  <w:rFonts w:eastAsia="Arial" w:cs="Times New Roman"/>
                  <w:sz w:val="22"/>
                  <w:lang w:val="bg"/>
                </w:rPr>
                <w:t xml:space="preserve"> </w:t>
              </w:r>
            </w:hyperlink>
            <w:hyperlink r:id="rId30">
              <w:r>
                <w:rPr>
                  <w:rFonts w:eastAsia="Arial" w:cs="Times New Roman"/>
                  <w:sz w:val="22"/>
                  <w:lang w:val="bg"/>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9461CC" w:rsidRDefault="00586415" w:rsidP="00213810">
            <w:pPr>
              <w:spacing w:after="0" w:afterAutospacing="0" w:line="216" w:lineRule="auto"/>
              <w:rPr>
                <w:rFonts w:cs="Times New Roman"/>
                <w:sz w:val="22"/>
              </w:rPr>
            </w:pPr>
            <w:r>
              <w:rPr>
                <w:rFonts w:eastAsia="Arial" w:cs="Times New Roman"/>
                <w:sz w:val="22"/>
                <w:lang w:val="bg"/>
              </w:rPr>
              <w:t xml:space="preserve">Стандартно ръководство за ускорено стареене на стерилни преградни системи за медицински изделия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213810">
            <w:pPr>
              <w:spacing w:after="0" w:afterAutospacing="0" w:line="216" w:lineRule="auto"/>
              <w:jc w:val="center"/>
              <w:rPr>
                <w:rFonts w:cs="Times New Roman"/>
                <w:b/>
                <w:bCs/>
                <w:sz w:val="22"/>
              </w:rPr>
            </w:pPr>
            <w:r>
              <w:rPr>
                <w:rFonts w:cs="Times New Roman"/>
                <w:b/>
                <w:bCs/>
                <w:sz w:val="22"/>
                <w:lang w:val="bg"/>
              </w:rPr>
              <w:t>Клинично проследяване след пускането на пазара</w:t>
            </w:r>
          </w:p>
        </w:tc>
      </w:tr>
      <w:tr w:rsidR="00586415" w:rsidRPr="009461CC" w14:paraId="72BDA171" w14:textId="77777777" w:rsidTr="00293453">
        <w:tc>
          <w:tcPr>
            <w:tcW w:w="1129" w:type="pct"/>
          </w:tcPr>
          <w:p w14:paraId="4A2D9F88" w14:textId="7EDC7711" w:rsidR="00586415" w:rsidRPr="009461CC" w:rsidRDefault="00586415" w:rsidP="00213810">
            <w:pPr>
              <w:spacing w:after="0" w:afterAutospacing="0" w:line="216" w:lineRule="auto"/>
              <w:jc w:val="center"/>
              <w:rPr>
                <w:rFonts w:cs="Times New Roman"/>
                <w:sz w:val="22"/>
              </w:rPr>
            </w:pPr>
            <w:r>
              <w:rPr>
                <w:rFonts w:cs="Times New Roman"/>
                <w:sz w:val="22"/>
                <w:lang w:val="bg"/>
              </w:rPr>
              <w:t xml:space="preserve">MEDDEV 2.12/2, </w:t>
            </w:r>
            <w:r w:rsidR="004A73D8">
              <w:rPr>
                <w:rFonts w:cs="Times New Roman"/>
                <w:sz w:val="22"/>
              </w:rPr>
              <w:t>Rev</w:t>
            </w:r>
            <w:r>
              <w:rPr>
                <w:rFonts w:cs="Times New Roman"/>
                <w:sz w:val="22"/>
                <w:lang w:val="bg"/>
              </w:rPr>
              <w:t>2</w:t>
            </w:r>
          </w:p>
        </w:tc>
        <w:tc>
          <w:tcPr>
            <w:tcW w:w="3871" w:type="pct"/>
          </w:tcPr>
          <w:p w14:paraId="534E025E" w14:textId="77777777" w:rsidR="00586415" w:rsidRPr="009461CC" w:rsidRDefault="00586415" w:rsidP="00213810">
            <w:pPr>
              <w:spacing w:after="0" w:afterAutospacing="0" w:line="216" w:lineRule="auto"/>
              <w:rPr>
                <w:rFonts w:cs="Times New Roman"/>
                <w:sz w:val="22"/>
              </w:rPr>
            </w:pPr>
            <w:r>
              <w:rPr>
                <w:rFonts w:cs="Times New Roman"/>
                <w:sz w:val="22"/>
                <w:lang w:val="bg"/>
              </w:rPr>
              <w:t>Изследвания за клинично проследяване след пускането на пазара</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213810">
            <w:pPr>
              <w:spacing w:after="0" w:afterAutospacing="0" w:line="216" w:lineRule="auto"/>
              <w:jc w:val="center"/>
              <w:rPr>
                <w:rFonts w:cs="Times New Roman"/>
                <w:b/>
                <w:bCs/>
                <w:sz w:val="22"/>
              </w:rPr>
            </w:pPr>
            <w:r>
              <w:rPr>
                <w:rFonts w:cs="Times New Roman"/>
                <w:b/>
                <w:bCs/>
                <w:sz w:val="22"/>
                <w:lang w:val="bg"/>
              </w:rPr>
              <w:t>Проследяване на безопасността</w:t>
            </w:r>
          </w:p>
        </w:tc>
      </w:tr>
      <w:tr w:rsidR="00586415" w:rsidRPr="009461CC" w14:paraId="577ABEC8" w14:textId="77777777" w:rsidTr="00293453">
        <w:tc>
          <w:tcPr>
            <w:tcW w:w="1129" w:type="pct"/>
          </w:tcPr>
          <w:p w14:paraId="403A7E80" w14:textId="6310ED81" w:rsidR="00586415" w:rsidRPr="009461CC" w:rsidRDefault="00586415" w:rsidP="00213810">
            <w:pPr>
              <w:spacing w:after="0" w:afterAutospacing="0" w:line="216" w:lineRule="auto"/>
              <w:jc w:val="center"/>
              <w:rPr>
                <w:rFonts w:cs="Times New Roman"/>
                <w:sz w:val="22"/>
              </w:rPr>
            </w:pPr>
            <w:r>
              <w:rPr>
                <w:rFonts w:cs="Times New Roman"/>
                <w:sz w:val="22"/>
                <w:lang w:val="bg"/>
              </w:rPr>
              <w:t xml:space="preserve">MEDDEV 2.12/1, </w:t>
            </w:r>
            <w:r w:rsidR="004A73D8">
              <w:rPr>
                <w:rFonts w:cs="Times New Roman"/>
                <w:sz w:val="22"/>
              </w:rPr>
              <w:t>Rev</w:t>
            </w:r>
            <w:r>
              <w:rPr>
                <w:rFonts w:cs="Times New Roman"/>
                <w:sz w:val="22"/>
                <w:lang w:val="bg"/>
              </w:rPr>
              <w:t>8</w:t>
            </w:r>
          </w:p>
        </w:tc>
        <w:tc>
          <w:tcPr>
            <w:tcW w:w="3871" w:type="pct"/>
          </w:tcPr>
          <w:p w14:paraId="1F13D90E" w14:textId="77777777" w:rsidR="00586415" w:rsidRPr="009461CC" w:rsidRDefault="00586415" w:rsidP="00213810">
            <w:pPr>
              <w:spacing w:after="0" w:afterAutospacing="0" w:line="216" w:lineRule="auto"/>
              <w:rPr>
                <w:rFonts w:cs="Times New Roman"/>
                <w:sz w:val="22"/>
              </w:rPr>
            </w:pPr>
            <w:r>
              <w:rPr>
                <w:rFonts w:cs="Times New Roman"/>
                <w:sz w:val="22"/>
                <w:lang w:val="bg"/>
              </w:rPr>
              <w:t>Насоки за система за проследяване на безопасността на медицинските изделия</w:t>
            </w:r>
          </w:p>
        </w:tc>
      </w:tr>
    </w:tbl>
    <w:p w14:paraId="06B25AF7" w14:textId="77777777" w:rsidR="00582286" w:rsidRPr="009461CC" w:rsidRDefault="00582286" w:rsidP="00213810">
      <w:pPr>
        <w:spacing w:after="0" w:afterAutospacing="0" w:line="216" w:lineRule="auto"/>
        <w:rPr>
          <w:rFonts w:cs="Times New Roman"/>
        </w:rPr>
      </w:pPr>
    </w:p>
    <w:p w14:paraId="6F757B16" w14:textId="77777777" w:rsidR="00601F87" w:rsidRPr="009461CC" w:rsidRDefault="00601F87" w:rsidP="00213810">
      <w:pPr>
        <w:spacing w:after="0" w:afterAutospacing="0" w:line="216" w:lineRule="auto"/>
        <w:rPr>
          <w:rFonts w:cs="Times New Roman"/>
        </w:rPr>
      </w:pPr>
    </w:p>
    <w:p w14:paraId="438059D7" w14:textId="77777777" w:rsidR="00601F87" w:rsidRPr="009461CC" w:rsidRDefault="00601F87" w:rsidP="00213810">
      <w:pPr>
        <w:pStyle w:val="Heading1"/>
        <w:numPr>
          <w:ilvl w:val="0"/>
          <w:numId w:val="2"/>
        </w:numPr>
        <w:spacing w:line="216" w:lineRule="auto"/>
        <w:rPr>
          <w:rFonts w:cs="Times New Roman"/>
        </w:rPr>
      </w:pPr>
      <w:bookmarkStart w:id="80" w:name="_Toc181362715"/>
      <w:bookmarkStart w:id="81" w:name="_Toc222741213"/>
      <w:r>
        <w:rPr>
          <w:rFonts w:cs="Times New Roman"/>
          <w:bCs/>
          <w:lang w:val="bg"/>
        </w:rPr>
        <w:t>История на редакциите</w:t>
      </w:r>
      <w:bookmarkEnd w:id="80"/>
      <w:bookmarkEnd w:id="81"/>
    </w:p>
    <w:tbl>
      <w:tblPr>
        <w:tblStyle w:val="TableGrid"/>
        <w:tblW w:w="5000" w:type="pct"/>
        <w:tblLook w:val="04A0" w:firstRow="1" w:lastRow="0" w:firstColumn="1" w:lastColumn="0" w:noHBand="0" w:noVBand="1"/>
      </w:tblPr>
      <w:tblGrid>
        <w:gridCol w:w="1199"/>
        <w:gridCol w:w="1857"/>
        <w:gridCol w:w="3690"/>
        <w:gridCol w:w="3684"/>
      </w:tblGrid>
      <w:tr w:rsidR="00601F87" w:rsidRPr="009461CC" w14:paraId="5B6BFC55" w14:textId="77777777" w:rsidTr="00213810">
        <w:tc>
          <w:tcPr>
            <w:tcW w:w="575" w:type="pct"/>
          </w:tcPr>
          <w:p w14:paraId="2E035377" w14:textId="77777777" w:rsidR="00601F87" w:rsidRPr="009461CC" w:rsidRDefault="00601F87" w:rsidP="00213810">
            <w:pPr>
              <w:spacing w:after="0" w:afterAutospacing="0" w:line="216" w:lineRule="auto"/>
              <w:rPr>
                <w:rFonts w:cs="Times New Roman"/>
                <w:b/>
                <w:sz w:val="22"/>
              </w:rPr>
            </w:pPr>
            <w:r>
              <w:rPr>
                <w:rFonts w:cs="Times New Roman"/>
                <w:b/>
                <w:bCs/>
                <w:sz w:val="22"/>
                <w:lang w:val="bg"/>
              </w:rPr>
              <w:t>Редакция</w:t>
            </w:r>
          </w:p>
        </w:tc>
        <w:tc>
          <w:tcPr>
            <w:tcW w:w="890" w:type="pct"/>
          </w:tcPr>
          <w:p w14:paraId="50A5C536" w14:textId="77777777" w:rsidR="00601F87" w:rsidRPr="009461CC" w:rsidRDefault="00601F87" w:rsidP="00213810">
            <w:pPr>
              <w:spacing w:after="0" w:afterAutospacing="0" w:line="216" w:lineRule="auto"/>
              <w:rPr>
                <w:rFonts w:cs="Times New Roman"/>
                <w:b/>
                <w:sz w:val="22"/>
              </w:rPr>
            </w:pPr>
            <w:r>
              <w:rPr>
                <w:rFonts w:cs="Times New Roman"/>
                <w:b/>
                <w:bCs/>
                <w:sz w:val="22"/>
                <w:lang w:val="bg"/>
              </w:rPr>
              <w:t>Дата на издаване</w:t>
            </w:r>
          </w:p>
        </w:tc>
        <w:tc>
          <w:tcPr>
            <w:tcW w:w="1769" w:type="pct"/>
          </w:tcPr>
          <w:p w14:paraId="028B7F50" w14:textId="77777777" w:rsidR="00601F87" w:rsidRPr="009461CC" w:rsidRDefault="00601F87" w:rsidP="00213810">
            <w:pPr>
              <w:spacing w:after="0" w:afterAutospacing="0" w:line="216" w:lineRule="auto"/>
              <w:rPr>
                <w:rFonts w:cs="Times New Roman"/>
                <w:b/>
                <w:sz w:val="22"/>
              </w:rPr>
            </w:pPr>
            <w:r>
              <w:rPr>
                <w:rFonts w:cs="Times New Roman"/>
                <w:b/>
                <w:bCs/>
                <w:sz w:val="22"/>
                <w:lang w:val="bg"/>
              </w:rPr>
              <w:t>Описание на промяната</w:t>
            </w:r>
          </w:p>
        </w:tc>
        <w:tc>
          <w:tcPr>
            <w:tcW w:w="1766" w:type="pct"/>
          </w:tcPr>
          <w:p w14:paraId="3C9FD99C" w14:textId="77777777" w:rsidR="00601F87" w:rsidRPr="009461CC" w:rsidRDefault="00601F87" w:rsidP="00213810">
            <w:pPr>
              <w:spacing w:after="0" w:afterAutospacing="0" w:line="216" w:lineRule="auto"/>
              <w:rPr>
                <w:rFonts w:cs="Times New Roman"/>
                <w:b/>
                <w:sz w:val="22"/>
              </w:rPr>
            </w:pPr>
            <w:r>
              <w:rPr>
                <w:rFonts w:cs="Times New Roman"/>
                <w:b/>
                <w:bCs/>
                <w:sz w:val="22"/>
                <w:lang w:val="bg"/>
              </w:rPr>
              <w:t>Редакцията утвърдена ли е от нотифицирания орган?</w:t>
            </w:r>
          </w:p>
        </w:tc>
      </w:tr>
      <w:tr w:rsidR="00601F87" w:rsidRPr="009461CC" w14:paraId="16EC10C7" w14:textId="77777777" w:rsidTr="00213810">
        <w:tc>
          <w:tcPr>
            <w:tcW w:w="575" w:type="pct"/>
          </w:tcPr>
          <w:p w14:paraId="58BC1E5F" w14:textId="77777777" w:rsidR="00601F87" w:rsidRPr="009461CC" w:rsidRDefault="00601F87" w:rsidP="00213810">
            <w:pPr>
              <w:spacing w:after="0" w:afterAutospacing="0" w:line="216" w:lineRule="auto"/>
              <w:rPr>
                <w:rFonts w:cs="Times New Roman"/>
                <w:sz w:val="22"/>
              </w:rPr>
            </w:pPr>
            <w:r>
              <w:rPr>
                <w:rFonts w:cs="Times New Roman"/>
                <w:sz w:val="22"/>
                <w:lang w:val="bg"/>
              </w:rPr>
              <w:t>A</w:t>
            </w:r>
          </w:p>
        </w:tc>
        <w:tc>
          <w:tcPr>
            <w:tcW w:w="890" w:type="pct"/>
          </w:tcPr>
          <w:p w14:paraId="6A81A9AF" w14:textId="71A1E241" w:rsidR="00601F87" w:rsidRPr="009461CC" w:rsidRDefault="002069F1" w:rsidP="00213810">
            <w:pPr>
              <w:spacing w:after="0" w:afterAutospacing="0" w:line="216" w:lineRule="auto"/>
              <w:rPr>
                <w:rFonts w:cs="Times New Roman"/>
                <w:iCs/>
                <w:sz w:val="22"/>
              </w:rPr>
            </w:pPr>
            <w:r>
              <w:rPr>
                <w:rFonts w:cs="Times New Roman"/>
                <w:sz w:val="22"/>
                <w:lang w:val="bg"/>
              </w:rPr>
              <w:t>22 май 2022 г.</w:t>
            </w:r>
          </w:p>
        </w:tc>
        <w:tc>
          <w:tcPr>
            <w:tcW w:w="1769" w:type="pct"/>
          </w:tcPr>
          <w:p w14:paraId="0B577D70" w14:textId="77777777" w:rsidR="00601F87" w:rsidRPr="009461CC" w:rsidRDefault="00601F87" w:rsidP="00213810">
            <w:pPr>
              <w:spacing w:after="0" w:afterAutospacing="0" w:line="216" w:lineRule="auto"/>
              <w:rPr>
                <w:rFonts w:cs="Times New Roman"/>
                <w:sz w:val="22"/>
              </w:rPr>
            </w:pPr>
            <w:r>
              <w:rPr>
                <w:rFonts w:cs="Times New Roman"/>
                <w:sz w:val="22"/>
                <w:lang w:val="bg"/>
              </w:rPr>
              <w:t>Първоначално вътрешно издание – Не е валидирано от BSI</w:t>
            </w:r>
          </w:p>
        </w:tc>
        <w:tc>
          <w:tcPr>
            <w:tcW w:w="1766" w:type="pct"/>
          </w:tcPr>
          <w:p w14:paraId="3673E384" w14:textId="77777777" w:rsidR="00601F87" w:rsidRPr="009461CC" w:rsidRDefault="00000000" w:rsidP="00213810">
            <w:pPr>
              <w:spacing w:after="0" w:afterAutospacing="0" w:line="216" w:lineRule="auto"/>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sidR="00EF3507">
                  <w:rPr>
                    <w:rFonts w:ascii="Segoe UI Symbol" w:eastAsia="MS Gothic" w:hAnsi="Segoe UI Symbol" w:cs="Segoe UI Symbol"/>
                    <w:sz w:val="22"/>
                    <w:lang w:val="bg"/>
                  </w:rPr>
                  <w:t>☒</w:t>
                </w:r>
              </w:sdtContent>
            </w:sdt>
            <w:r w:rsidR="00EF3507">
              <w:rPr>
                <w:rFonts w:eastAsia="MS Gothic"/>
                <w:sz w:val="22"/>
                <w:lang w:val="bg"/>
              </w:rPr>
              <w:t xml:space="preserve"> Само за вътрешна употреба</w:t>
            </w:r>
          </w:p>
        </w:tc>
      </w:tr>
      <w:tr w:rsidR="00601F87" w:rsidRPr="009461CC" w14:paraId="253ED939" w14:textId="77777777" w:rsidTr="00213810">
        <w:tc>
          <w:tcPr>
            <w:tcW w:w="575" w:type="pct"/>
          </w:tcPr>
          <w:p w14:paraId="794C6341" w14:textId="77777777" w:rsidR="00601F87" w:rsidRPr="009461CC" w:rsidRDefault="00601F87" w:rsidP="00213810">
            <w:pPr>
              <w:spacing w:after="0" w:afterAutospacing="0" w:line="216" w:lineRule="auto"/>
              <w:rPr>
                <w:rFonts w:cs="Times New Roman"/>
                <w:sz w:val="22"/>
              </w:rPr>
            </w:pPr>
            <w:r>
              <w:rPr>
                <w:rFonts w:cs="Times New Roman"/>
                <w:sz w:val="22"/>
                <w:lang w:val="bg"/>
              </w:rPr>
              <w:t xml:space="preserve">B </w:t>
            </w:r>
          </w:p>
        </w:tc>
        <w:tc>
          <w:tcPr>
            <w:tcW w:w="890" w:type="pct"/>
          </w:tcPr>
          <w:p w14:paraId="4E93CA05" w14:textId="47A5412E" w:rsidR="00601F87" w:rsidRPr="009461CC" w:rsidRDefault="00624761" w:rsidP="00213810">
            <w:pPr>
              <w:spacing w:after="0" w:afterAutospacing="0" w:line="216" w:lineRule="auto"/>
              <w:rPr>
                <w:rFonts w:cs="Times New Roman"/>
                <w:iCs/>
                <w:sz w:val="22"/>
              </w:rPr>
            </w:pPr>
            <w:r>
              <w:rPr>
                <w:rFonts w:cs="Times New Roman"/>
                <w:sz w:val="22"/>
                <w:lang w:val="bg"/>
              </w:rPr>
              <w:t xml:space="preserve">15 декември 2025 г. </w:t>
            </w:r>
          </w:p>
          <w:p w14:paraId="76ECF0BB" w14:textId="21F4F941" w:rsidR="00601F87" w:rsidRPr="009461CC" w:rsidRDefault="00601F87" w:rsidP="00213810">
            <w:pPr>
              <w:spacing w:after="0" w:afterAutospacing="0" w:line="216" w:lineRule="auto"/>
              <w:rPr>
                <w:rFonts w:cs="Times New Roman"/>
                <w:iCs/>
                <w:sz w:val="22"/>
              </w:rPr>
            </w:pPr>
          </w:p>
        </w:tc>
        <w:tc>
          <w:tcPr>
            <w:tcW w:w="1769" w:type="pct"/>
          </w:tcPr>
          <w:p w14:paraId="7ADC2C3E" w14:textId="77777777" w:rsidR="00601F87" w:rsidRPr="009461CC" w:rsidRDefault="00601F87" w:rsidP="00213810">
            <w:pPr>
              <w:spacing w:after="0" w:afterAutospacing="0" w:line="216" w:lineRule="auto"/>
              <w:rPr>
                <w:rFonts w:cs="Times New Roman"/>
                <w:sz w:val="22"/>
              </w:rPr>
            </w:pPr>
            <w:r>
              <w:rPr>
                <w:rFonts w:cs="Times New Roman"/>
                <w:sz w:val="22"/>
                <w:lang w:val="bg"/>
              </w:rPr>
              <w:t>Първоначално подаване до BSI за преглед</w:t>
            </w:r>
          </w:p>
          <w:p w14:paraId="17842BBC" w14:textId="53FA9776" w:rsidR="00601F87" w:rsidRPr="009461CC" w:rsidRDefault="00601F87" w:rsidP="00213810">
            <w:pPr>
              <w:spacing w:after="0" w:afterAutospacing="0" w:line="216" w:lineRule="auto"/>
              <w:rPr>
                <w:rFonts w:cs="Times New Roman"/>
                <w:sz w:val="22"/>
              </w:rPr>
            </w:pPr>
            <w:r>
              <w:rPr>
                <w:rFonts w:cs="Times New Roman"/>
                <w:sz w:val="22"/>
                <w:lang w:val="bg"/>
              </w:rPr>
              <w:t xml:space="preserve"> </w:t>
            </w:r>
          </w:p>
        </w:tc>
        <w:tc>
          <w:tcPr>
            <w:tcW w:w="1766" w:type="pct"/>
          </w:tcPr>
          <w:p w14:paraId="0FC9FC92" w14:textId="465431A0" w:rsidR="006D6EA3" w:rsidRPr="009461CC" w:rsidRDefault="00000000" w:rsidP="00213810">
            <w:pPr>
              <w:spacing w:after="0" w:afterAutospacing="0" w:line="216" w:lineRule="auto"/>
              <w:rPr>
                <w:rFonts w:cs="Times New Roman"/>
                <w:sz w:val="22"/>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sidR="00EF3507">
                  <w:rPr>
                    <w:rFonts w:ascii="Segoe UI Symbol" w:eastAsia="MS Gothic" w:hAnsi="Segoe UI Symbol" w:cs="Segoe UI Symbol"/>
                    <w:sz w:val="22"/>
                    <w:lang w:val="bg"/>
                  </w:rPr>
                  <w:t>☒</w:t>
                </w:r>
              </w:sdtContent>
            </w:sdt>
            <w:r w:rsidR="00EF3507">
              <w:rPr>
                <w:rFonts w:eastAsia="MS Gothic"/>
                <w:sz w:val="22"/>
                <w:lang w:val="bg"/>
              </w:rPr>
              <w:t xml:space="preserve"> Да </w:t>
            </w:r>
          </w:p>
          <w:p w14:paraId="52EB2E13" w14:textId="77777777" w:rsidR="006D6EA3" w:rsidRPr="009461CC" w:rsidRDefault="006D6EA3" w:rsidP="00213810">
            <w:pPr>
              <w:spacing w:after="0" w:afterAutospacing="0" w:line="216" w:lineRule="auto"/>
              <w:rPr>
                <w:rFonts w:cs="Times New Roman"/>
                <w:sz w:val="22"/>
              </w:rPr>
            </w:pPr>
            <w:r>
              <w:rPr>
                <w:rFonts w:cs="Times New Roman"/>
                <w:sz w:val="22"/>
                <w:lang w:val="bg"/>
              </w:rPr>
              <w:t xml:space="preserve">Език на валидацията: </w:t>
            </w:r>
          </w:p>
          <w:p w14:paraId="293F45BE" w14:textId="789551FE" w:rsidR="00CA46B0" w:rsidRPr="009461CC" w:rsidRDefault="006D6EA3" w:rsidP="00213810">
            <w:pPr>
              <w:spacing w:after="0" w:afterAutospacing="0" w:line="216" w:lineRule="auto"/>
              <w:rPr>
                <w:rFonts w:cs="Times New Roman"/>
                <w:sz w:val="22"/>
              </w:rPr>
            </w:pPr>
            <w:r>
              <w:rPr>
                <w:rFonts w:cs="Times New Roman"/>
                <w:sz w:val="22"/>
                <w:lang w:val="bg"/>
              </w:rPr>
              <w:t>Български</w:t>
            </w:r>
          </w:p>
          <w:p w14:paraId="2C6B2388" w14:textId="4247228F" w:rsidR="00601F87" w:rsidRPr="009461CC" w:rsidRDefault="006D6EA3" w:rsidP="00213810">
            <w:pPr>
              <w:spacing w:after="0" w:afterAutospacing="0" w:line="216" w:lineRule="auto"/>
              <w:rPr>
                <w:rFonts w:cs="Times New Roman"/>
                <w:sz w:val="22"/>
                <w:highlight w:val="yellow"/>
              </w:rPr>
            </w:pPr>
            <w:r>
              <w:rPr>
                <w:rFonts w:ascii="Segoe UI Symbol" w:hAnsi="Segoe UI Symbol"/>
                <w:sz w:val="22"/>
                <w:lang w:val="bg"/>
              </w:rPr>
              <w:t>☐</w:t>
            </w:r>
            <w:r>
              <w:rPr>
                <w:sz w:val="22"/>
                <w:lang w:val="bg"/>
              </w:rPr>
              <w:t xml:space="preserve"> Не (приложимо само за изделия от клас IIa или някои от клас IIb, за които </w:t>
            </w:r>
            <w:r w:rsidR="00663878">
              <w:rPr>
                <w:sz w:val="22"/>
              </w:rPr>
              <w:t>SSCP</w:t>
            </w:r>
            <w:r w:rsidR="00663878">
              <w:rPr>
                <w:sz w:val="22"/>
                <w:lang w:val="bg"/>
              </w:rPr>
              <w:t xml:space="preserve"> </w:t>
            </w:r>
            <w:r>
              <w:rPr>
                <w:sz w:val="22"/>
                <w:lang w:val="bg"/>
              </w:rPr>
              <w:t>все още не е утвърдено от нотифицирания орган</w:t>
            </w:r>
            <w:r w:rsidR="00AE4AB9">
              <w:rPr>
                <w:sz w:val="22"/>
              </w:rPr>
              <w:t xml:space="preserve"> (NB)</w:t>
            </w:r>
            <w:r>
              <w:rPr>
                <w:sz w:val="22"/>
                <w:lang w:val="bg"/>
              </w:rPr>
              <w:t>)</w:t>
            </w:r>
          </w:p>
        </w:tc>
      </w:tr>
    </w:tbl>
    <w:p w14:paraId="05B94FC3" w14:textId="73ABFCCD" w:rsidR="00601F87" w:rsidRPr="009461CC" w:rsidRDefault="00601F87" w:rsidP="00601F87">
      <w:pPr>
        <w:tabs>
          <w:tab w:val="left" w:pos="3633"/>
        </w:tabs>
        <w:rPr>
          <w:rFonts w:cs="Times New Roman"/>
        </w:rPr>
      </w:pPr>
    </w:p>
    <w:sectPr w:rsidR="00601F87" w:rsidRPr="009461CC" w:rsidSect="008018FA">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F7CD" w14:textId="77777777" w:rsidR="002D7D4F" w:rsidRDefault="002D7D4F" w:rsidP="009855C3">
      <w:r>
        <w:separator/>
      </w:r>
    </w:p>
  </w:endnote>
  <w:endnote w:type="continuationSeparator" w:id="0">
    <w:p w14:paraId="7196AEFA" w14:textId="77777777" w:rsidR="002D7D4F" w:rsidRDefault="002D7D4F"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2B365B7B" w:rsidR="00BE3D15" w:rsidRPr="003D747D" w:rsidRDefault="003036AD" w:rsidP="009855C3">
    <w:pPr>
      <w:pStyle w:val="Footer"/>
      <w:rPr>
        <w:szCs w:val="24"/>
        <w:lang w:val="ru-RU"/>
      </w:rPr>
    </w:pPr>
    <w:r>
      <w:rPr>
        <w:b/>
        <w:bCs/>
        <w:sz w:val="18"/>
        <w:szCs w:val="18"/>
        <w:lang w:val="bg"/>
      </w:rPr>
      <w:t xml:space="preserve">CAQ-QA-025-F1, </w:t>
    </w:r>
    <w:r w:rsidR="00A84571">
      <w:rPr>
        <w:b/>
        <w:bCs/>
        <w:sz w:val="18"/>
        <w:szCs w:val="18"/>
      </w:rPr>
      <w:t>Rev</w:t>
    </w:r>
    <w:r>
      <w:rPr>
        <w:b/>
        <w:bCs/>
        <w:sz w:val="18"/>
        <w:szCs w:val="18"/>
        <w:lang w:val="bg"/>
      </w:rPr>
      <w:t>. G: Обобщение на безопасността и клиничните показатели (</w:t>
    </w:r>
    <w:r w:rsidR="00A84571">
      <w:rPr>
        <w:b/>
        <w:bCs/>
        <w:sz w:val="18"/>
        <w:szCs w:val="18"/>
      </w:rPr>
      <w:t>SSCP</w:t>
    </w:r>
    <w:r>
      <w:rPr>
        <w:b/>
        <w:bCs/>
        <w:sz w:val="18"/>
        <w:szCs w:val="18"/>
        <w:lang w:val="bg"/>
      </w:rPr>
      <w:t>)</w:t>
    </w:r>
    <w:r>
      <w:rPr>
        <w:lang w:val="bg"/>
      </w:rPr>
      <w:t xml:space="preserve"> </w:t>
    </w:r>
    <w:r>
      <w:rPr>
        <w:lang w:val="bg"/>
      </w:rPr>
      <w:tab/>
      <w:t xml:space="preserve">Страница </w:t>
    </w:r>
    <w:r>
      <w:rPr>
        <w:lang w:val="bg"/>
      </w:rPr>
      <w:fldChar w:fldCharType="begin"/>
    </w:r>
    <w:r>
      <w:rPr>
        <w:lang w:val="bg"/>
      </w:rPr>
      <w:instrText xml:space="preserve"> PAGE  \* Arabic </w:instrText>
    </w:r>
    <w:r>
      <w:rPr>
        <w:lang w:val="bg"/>
      </w:rPr>
      <w:fldChar w:fldCharType="separate"/>
    </w:r>
    <w:r>
      <w:rPr>
        <w:lang w:val="bg"/>
      </w:rPr>
      <w:t>0</w:t>
    </w:r>
    <w:r>
      <w:rPr>
        <w:lang w:val="bg"/>
      </w:rPr>
      <w:fldChar w:fldCharType="end"/>
    </w:r>
    <w:r>
      <w:rPr>
        <w:lang w:val="bg"/>
      </w:rPr>
      <w:t xml:space="preserve"> от </w:t>
    </w:r>
    <w:r>
      <w:fldChar w:fldCharType="begin"/>
    </w:r>
    <w:r>
      <w:instrText xml:space="preserve"> NUMPAGES  </w:instrText>
    </w:r>
    <w:r>
      <w:fldChar w:fldCharType="separate"/>
    </w:r>
    <w:r>
      <w:rPr>
        <w:lang w:val="bg"/>
      </w:rPr>
      <w:t>12</w:t>
    </w:r>
    <w:r>
      <w:rPr>
        <w:lang w:val="bg"/>
      </w:rPr>
      <w:fldChar w:fldCharType="end"/>
    </w:r>
    <w:r>
      <w:rPr>
        <w:lang w:val="bg"/>
      </w:rPr>
      <w:t xml:space="preserve">  </w:t>
    </w:r>
    <w:r>
      <w:rPr>
        <w:lang w:val="bg"/>
      </w:rPr>
      <w:tab/>
    </w:r>
    <w:r>
      <w:rPr>
        <w:lang w:val="bg"/>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8943" w14:textId="77777777" w:rsidR="002D7D4F" w:rsidRDefault="002D7D4F" w:rsidP="009855C3">
      <w:r>
        <w:separator/>
      </w:r>
    </w:p>
  </w:footnote>
  <w:footnote w:type="continuationSeparator" w:id="0">
    <w:p w14:paraId="20FCC549" w14:textId="77777777" w:rsidR="002D7D4F" w:rsidRDefault="002D7D4F"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0514F4" w14:paraId="7E46E4C7" w14:textId="77777777" w:rsidTr="00B62140">
      <w:tc>
        <w:tcPr>
          <w:tcW w:w="3080" w:type="dxa"/>
        </w:tcPr>
        <w:p w14:paraId="184F2588" w14:textId="6EABB2E0" w:rsidR="00B62140" w:rsidRDefault="00B62140" w:rsidP="00B62140">
          <w:pPr>
            <w:pStyle w:val="Header"/>
            <w:jc w:val="left"/>
          </w:pPr>
          <w:r>
            <w:rPr>
              <w:noProof/>
              <w:lang w:val="bg"/>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3E05987F" w:rsidR="005450DC" w:rsidRPr="003D747D" w:rsidRDefault="005450DC" w:rsidP="005450DC">
          <w:pPr>
            <w:spacing w:after="0" w:afterAutospacing="0"/>
            <w:rPr>
              <w:rFonts w:ascii="Arial" w:hAnsi="Arial" w:cs="Arial"/>
              <w:b/>
              <w:bCs/>
              <w:sz w:val="28"/>
              <w:szCs w:val="28"/>
              <w:lang w:val="ru-RU"/>
            </w:rPr>
          </w:pPr>
          <w:r>
            <w:rPr>
              <w:rFonts w:ascii="Arial" w:hAnsi="Arial" w:cs="Arial"/>
              <w:b/>
              <w:bCs/>
              <w:sz w:val="28"/>
              <w:szCs w:val="28"/>
              <w:lang w:val="bg"/>
            </w:rPr>
            <w:t>Обобщение на безопасността и клиничните показатели (</w:t>
          </w:r>
          <w:r w:rsidR="00790DE3">
            <w:rPr>
              <w:rFonts w:ascii="Arial" w:hAnsi="Arial" w:cs="Arial"/>
              <w:b/>
              <w:bCs/>
              <w:sz w:val="28"/>
              <w:szCs w:val="28"/>
            </w:rPr>
            <w:t>SSCP</w:t>
          </w:r>
          <w:r>
            <w:rPr>
              <w:rFonts w:ascii="Arial" w:hAnsi="Arial" w:cs="Arial"/>
              <w:b/>
              <w:bCs/>
              <w:sz w:val="28"/>
              <w:szCs w:val="28"/>
              <w:lang w:val="bg"/>
            </w:rPr>
            <w:t>)</w:t>
          </w:r>
        </w:p>
        <w:p w14:paraId="3BB3B2B1" w14:textId="77B82417" w:rsidR="009F5769" w:rsidRPr="003D747D" w:rsidRDefault="009F5769" w:rsidP="009F5769">
          <w:pPr>
            <w:spacing w:after="0" w:afterAutospacing="0"/>
            <w:rPr>
              <w:rFonts w:ascii="Arial" w:hAnsi="Arial" w:cs="Arial"/>
              <w:sz w:val="18"/>
              <w:szCs w:val="18"/>
              <w:lang w:val="ru-RU"/>
            </w:rPr>
          </w:pPr>
          <w:r>
            <w:rPr>
              <w:rFonts w:ascii="Arial" w:hAnsi="Arial" w:cs="Arial"/>
              <w:b/>
              <w:bCs/>
              <w:sz w:val="18"/>
              <w:szCs w:val="18"/>
              <w:lang w:val="bg"/>
            </w:rPr>
            <w:t xml:space="preserve">SSCP-0006: </w:t>
          </w:r>
          <w:bookmarkStart w:id="82" w:name="_Hlk196721157"/>
          <w:r>
            <w:rPr>
              <w:rFonts w:ascii="Arial" w:hAnsi="Arial" w:cs="Arial"/>
              <w:sz w:val="18"/>
              <w:szCs w:val="18"/>
              <w:lang w:val="bg"/>
            </w:rPr>
            <w:t xml:space="preserve">Комплект съдова примка Atrieve </w:t>
          </w:r>
          <w:r w:rsidR="00565F23">
            <w:rPr>
              <w:rFonts w:ascii="Arial" w:hAnsi="Arial" w:cs="Arial"/>
              <w:sz w:val="18"/>
              <w:szCs w:val="18"/>
              <w:lang w:val="cs-CZ"/>
            </w:rPr>
            <w:t>Snare</w:t>
          </w:r>
          <w:bookmarkEnd w:id="82"/>
        </w:p>
        <w:p w14:paraId="32066318" w14:textId="5996CDC6" w:rsidR="005450DC" w:rsidRPr="003D747D" w:rsidRDefault="005450DC" w:rsidP="005450DC">
          <w:pPr>
            <w:spacing w:after="0" w:afterAutospacing="0"/>
            <w:rPr>
              <w:rFonts w:ascii="Arial" w:hAnsi="Arial" w:cs="Arial"/>
              <w:sz w:val="18"/>
              <w:szCs w:val="18"/>
              <w:lang w:val="ru-RU"/>
            </w:rPr>
          </w:pPr>
          <w:r>
            <w:rPr>
              <w:rFonts w:ascii="Arial" w:hAnsi="Arial" w:cs="Arial"/>
              <w:sz w:val="18"/>
              <w:szCs w:val="18"/>
              <w:lang w:val="bg"/>
            </w:rPr>
            <w:t>Редакция: В</w:t>
          </w:r>
        </w:p>
        <w:p w14:paraId="2F5F8390" w14:textId="0ABFBBD1" w:rsidR="005450DC" w:rsidRPr="003D747D" w:rsidRDefault="005450DC" w:rsidP="005450DC">
          <w:pPr>
            <w:pStyle w:val="Header"/>
            <w:jc w:val="left"/>
            <w:rPr>
              <w:rFonts w:ascii="Arial" w:hAnsi="Arial" w:cs="Arial"/>
              <w:sz w:val="18"/>
              <w:lang w:val="ru-RU"/>
            </w:rPr>
          </w:pPr>
          <w:r>
            <w:rPr>
              <w:rFonts w:ascii="Calibri" w:eastAsiaTheme="minorHAnsi" w:hAnsi="Calibri" w:cs="Calibri"/>
              <w:sz w:val="18"/>
              <w:szCs w:val="18"/>
              <w:lang w:val="bg"/>
            </w:rPr>
            <w:t>Местоположение на Argon: всички обекти</w:t>
          </w:r>
        </w:p>
      </w:tc>
    </w:tr>
  </w:tbl>
  <w:p w14:paraId="0BD58B4F" w14:textId="7DA38D57" w:rsidR="00B62140" w:rsidRPr="003D747D" w:rsidRDefault="00B62140" w:rsidP="00B62140">
    <w:pPr>
      <w:pStyle w:val="Header"/>
      <w:jc w:val="lef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3DB8"/>
    <w:rsid w:val="000167B6"/>
    <w:rsid w:val="00017BF4"/>
    <w:rsid w:val="00021D6F"/>
    <w:rsid w:val="00021E83"/>
    <w:rsid w:val="0002755B"/>
    <w:rsid w:val="00034879"/>
    <w:rsid w:val="000379B4"/>
    <w:rsid w:val="00042B91"/>
    <w:rsid w:val="00047250"/>
    <w:rsid w:val="00050F24"/>
    <w:rsid w:val="000514F4"/>
    <w:rsid w:val="0005411A"/>
    <w:rsid w:val="000542AF"/>
    <w:rsid w:val="00054522"/>
    <w:rsid w:val="00057D5B"/>
    <w:rsid w:val="000628F7"/>
    <w:rsid w:val="00063367"/>
    <w:rsid w:val="00072278"/>
    <w:rsid w:val="00076AE4"/>
    <w:rsid w:val="00076F70"/>
    <w:rsid w:val="000774DD"/>
    <w:rsid w:val="000857E5"/>
    <w:rsid w:val="000920E7"/>
    <w:rsid w:val="00093C15"/>
    <w:rsid w:val="000975C6"/>
    <w:rsid w:val="000A1236"/>
    <w:rsid w:val="000A23CB"/>
    <w:rsid w:val="000A25FA"/>
    <w:rsid w:val="000A5EBD"/>
    <w:rsid w:val="000A6E93"/>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AF7"/>
    <w:rsid w:val="00113A33"/>
    <w:rsid w:val="001209D7"/>
    <w:rsid w:val="00120DD8"/>
    <w:rsid w:val="00122999"/>
    <w:rsid w:val="00125511"/>
    <w:rsid w:val="00125D9F"/>
    <w:rsid w:val="00142B70"/>
    <w:rsid w:val="00142D15"/>
    <w:rsid w:val="001440E1"/>
    <w:rsid w:val="001475A8"/>
    <w:rsid w:val="00151F01"/>
    <w:rsid w:val="001533A4"/>
    <w:rsid w:val="00154AAA"/>
    <w:rsid w:val="00155220"/>
    <w:rsid w:val="0015690A"/>
    <w:rsid w:val="00156CF3"/>
    <w:rsid w:val="00161CDF"/>
    <w:rsid w:val="00162917"/>
    <w:rsid w:val="00162923"/>
    <w:rsid w:val="00165A00"/>
    <w:rsid w:val="001861C6"/>
    <w:rsid w:val="00187CF5"/>
    <w:rsid w:val="001919D6"/>
    <w:rsid w:val="00191ED2"/>
    <w:rsid w:val="0019672B"/>
    <w:rsid w:val="001A3916"/>
    <w:rsid w:val="001A7EA5"/>
    <w:rsid w:val="001B4005"/>
    <w:rsid w:val="001B6D13"/>
    <w:rsid w:val="001C2457"/>
    <w:rsid w:val="001C43C6"/>
    <w:rsid w:val="001D1887"/>
    <w:rsid w:val="001E5AFF"/>
    <w:rsid w:val="001E6921"/>
    <w:rsid w:val="001E7A0E"/>
    <w:rsid w:val="001F115C"/>
    <w:rsid w:val="001F4798"/>
    <w:rsid w:val="001F48BA"/>
    <w:rsid w:val="001F5B3B"/>
    <w:rsid w:val="00201156"/>
    <w:rsid w:val="002069F1"/>
    <w:rsid w:val="00207A7C"/>
    <w:rsid w:val="00210ACA"/>
    <w:rsid w:val="00210E41"/>
    <w:rsid w:val="00213810"/>
    <w:rsid w:val="00214E2F"/>
    <w:rsid w:val="0021589A"/>
    <w:rsid w:val="0022033C"/>
    <w:rsid w:val="00221CEF"/>
    <w:rsid w:val="00226C45"/>
    <w:rsid w:val="002277B9"/>
    <w:rsid w:val="00230011"/>
    <w:rsid w:val="002351E5"/>
    <w:rsid w:val="00235AAE"/>
    <w:rsid w:val="00237870"/>
    <w:rsid w:val="00242075"/>
    <w:rsid w:val="00243417"/>
    <w:rsid w:val="002538C9"/>
    <w:rsid w:val="00253F87"/>
    <w:rsid w:val="00257EE2"/>
    <w:rsid w:val="00265787"/>
    <w:rsid w:val="00265A7F"/>
    <w:rsid w:val="002669BD"/>
    <w:rsid w:val="00272B97"/>
    <w:rsid w:val="00272DEA"/>
    <w:rsid w:val="00273413"/>
    <w:rsid w:val="00275A67"/>
    <w:rsid w:val="00277426"/>
    <w:rsid w:val="00280A53"/>
    <w:rsid w:val="00290AFE"/>
    <w:rsid w:val="002914F4"/>
    <w:rsid w:val="00291A3E"/>
    <w:rsid w:val="00297A62"/>
    <w:rsid w:val="002A1AF1"/>
    <w:rsid w:val="002A24E8"/>
    <w:rsid w:val="002A75DC"/>
    <w:rsid w:val="002B2F38"/>
    <w:rsid w:val="002D4833"/>
    <w:rsid w:val="002D4C43"/>
    <w:rsid w:val="002D6103"/>
    <w:rsid w:val="002D62F4"/>
    <w:rsid w:val="002D6725"/>
    <w:rsid w:val="002D7D4F"/>
    <w:rsid w:val="002E59B4"/>
    <w:rsid w:val="002F199B"/>
    <w:rsid w:val="002F2571"/>
    <w:rsid w:val="002F344E"/>
    <w:rsid w:val="002F37BF"/>
    <w:rsid w:val="002F39DB"/>
    <w:rsid w:val="00300E25"/>
    <w:rsid w:val="00300FC0"/>
    <w:rsid w:val="003036AD"/>
    <w:rsid w:val="003074B3"/>
    <w:rsid w:val="00314ACD"/>
    <w:rsid w:val="0032368A"/>
    <w:rsid w:val="003326A4"/>
    <w:rsid w:val="00335020"/>
    <w:rsid w:val="00335181"/>
    <w:rsid w:val="0033663C"/>
    <w:rsid w:val="0034308B"/>
    <w:rsid w:val="003513E0"/>
    <w:rsid w:val="00354365"/>
    <w:rsid w:val="003663A1"/>
    <w:rsid w:val="0037316E"/>
    <w:rsid w:val="00375370"/>
    <w:rsid w:val="0037599D"/>
    <w:rsid w:val="00375CFE"/>
    <w:rsid w:val="00376A92"/>
    <w:rsid w:val="00380316"/>
    <w:rsid w:val="00383678"/>
    <w:rsid w:val="00384B21"/>
    <w:rsid w:val="003859AF"/>
    <w:rsid w:val="003859DA"/>
    <w:rsid w:val="00386F47"/>
    <w:rsid w:val="003912E5"/>
    <w:rsid w:val="00394151"/>
    <w:rsid w:val="003951DC"/>
    <w:rsid w:val="00395788"/>
    <w:rsid w:val="00395FDB"/>
    <w:rsid w:val="003966BD"/>
    <w:rsid w:val="00397AE0"/>
    <w:rsid w:val="003A26B9"/>
    <w:rsid w:val="003A3A2E"/>
    <w:rsid w:val="003A3DB1"/>
    <w:rsid w:val="003A3F2F"/>
    <w:rsid w:val="003B4C77"/>
    <w:rsid w:val="003B5B28"/>
    <w:rsid w:val="003B70D7"/>
    <w:rsid w:val="003D4104"/>
    <w:rsid w:val="003D63DA"/>
    <w:rsid w:val="003D747D"/>
    <w:rsid w:val="003E5476"/>
    <w:rsid w:val="003F2EB4"/>
    <w:rsid w:val="003F3F3C"/>
    <w:rsid w:val="003F5F86"/>
    <w:rsid w:val="00405ED9"/>
    <w:rsid w:val="004065D7"/>
    <w:rsid w:val="004235A7"/>
    <w:rsid w:val="00425D62"/>
    <w:rsid w:val="004263BF"/>
    <w:rsid w:val="0043056A"/>
    <w:rsid w:val="004329F3"/>
    <w:rsid w:val="00433305"/>
    <w:rsid w:val="00441215"/>
    <w:rsid w:val="0044138A"/>
    <w:rsid w:val="00442087"/>
    <w:rsid w:val="004430BE"/>
    <w:rsid w:val="00446152"/>
    <w:rsid w:val="004466ED"/>
    <w:rsid w:val="00451EE5"/>
    <w:rsid w:val="00453251"/>
    <w:rsid w:val="00453B44"/>
    <w:rsid w:val="00454296"/>
    <w:rsid w:val="004553D9"/>
    <w:rsid w:val="00465F4B"/>
    <w:rsid w:val="00466071"/>
    <w:rsid w:val="00466981"/>
    <w:rsid w:val="004673E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1CDC"/>
    <w:rsid w:val="004A2596"/>
    <w:rsid w:val="004A4063"/>
    <w:rsid w:val="004A4D87"/>
    <w:rsid w:val="004A73D8"/>
    <w:rsid w:val="004B30A3"/>
    <w:rsid w:val="004B4929"/>
    <w:rsid w:val="004C0D7F"/>
    <w:rsid w:val="004C12F0"/>
    <w:rsid w:val="004C4434"/>
    <w:rsid w:val="004C73EF"/>
    <w:rsid w:val="004D77A4"/>
    <w:rsid w:val="004D7A94"/>
    <w:rsid w:val="004E24F8"/>
    <w:rsid w:val="004E28F8"/>
    <w:rsid w:val="004E397F"/>
    <w:rsid w:val="004E3C57"/>
    <w:rsid w:val="004E6AE3"/>
    <w:rsid w:val="004E6C1C"/>
    <w:rsid w:val="004F01A5"/>
    <w:rsid w:val="004F26D9"/>
    <w:rsid w:val="004F2CB7"/>
    <w:rsid w:val="004F3CA9"/>
    <w:rsid w:val="004F5057"/>
    <w:rsid w:val="004F7F77"/>
    <w:rsid w:val="005010E4"/>
    <w:rsid w:val="005063EA"/>
    <w:rsid w:val="005072B8"/>
    <w:rsid w:val="005104CC"/>
    <w:rsid w:val="0051131D"/>
    <w:rsid w:val="00511B41"/>
    <w:rsid w:val="0051305A"/>
    <w:rsid w:val="00516D79"/>
    <w:rsid w:val="00522664"/>
    <w:rsid w:val="00524D41"/>
    <w:rsid w:val="00525377"/>
    <w:rsid w:val="005257E7"/>
    <w:rsid w:val="0052695A"/>
    <w:rsid w:val="00533C0A"/>
    <w:rsid w:val="00536EDE"/>
    <w:rsid w:val="00540616"/>
    <w:rsid w:val="00541D68"/>
    <w:rsid w:val="005439FC"/>
    <w:rsid w:val="005450DC"/>
    <w:rsid w:val="00547018"/>
    <w:rsid w:val="00547353"/>
    <w:rsid w:val="00550F97"/>
    <w:rsid w:val="0055697A"/>
    <w:rsid w:val="00560A40"/>
    <w:rsid w:val="00563107"/>
    <w:rsid w:val="005647F4"/>
    <w:rsid w:val="00565F23"/>
    <w:rsid w:val="00567FF4"/>
    <w:rsid w:val="00570454"/>
    <w:rsid w:val="00575EE3"/>
    <w:rsid w:val="00577A16"/>
    <w:rsid w:val="00580274"/>
    <w:rsid w:val="0058041F"/>
    <w:rsid w:val="005808F2"/>
    <w:rsid w:val="00582286"/>
    <w:rsid w:val="005842F3"/>
    <w:rsid w:val="00586415"/>
    <w:rsid w:val="00595963"/>
    <w:rsid w:val="005A1E4B"/>
    <w:rsid w:val="005A23F3"/>
    <w:rsid w:val="005A310B"/>
    <w:rsid w:val="005A3D4F"/>
    <w:rsid w:val="005A48D7"/>
    <w:rsid w:val="005A5584"/>
    <w:rsid w:val="005A6AE9"/>
    <w:rsid w:val="005B3E76"/>
    <w:rsid w:val="005B4422"/>
    <w:rsid w:val="005C4CB9"/>
    <w:rsid w:val="005C642C"/>
    <w:rsid w:val="005C6A90"/>
    <w:rsid w:val="005D00E4"/>
    <w:rsid w:val="005D04DF"/>
    <w:rsid w:val="005D3210"/>
    <w:rsid w:val="005D41AF"/>
    <w:rsid w:val="005D424F"/>
    <w:rsid w:val="005D4A52"/>
    <w:rsid w:val="005D7627"/>
    <w:rsid w:val="005D7D43"/>
    <w:rsid w:val="005E76F6"/>
    <w:rsid w:val="005F1F10"/>
    <w:rsid w:val="005F2B16"/>
    <w:rsid w:val="005F44C1"/>
    <w:rsid w:val="00601F73"/>
    <w:rsid w:val="00601F87"/>
    <w:rsid w:val="00602115"/>
    <w:rsid w:val="006027B7"/>
    <w:rsid w:val="00607046"/>
    <w:rsid w:val="00612216"/>
    <w:rsid w:val="00612BE6"/>
    <w:rsid w:val="00614E9F"/>
    <w:rsid w:val="00616ADF"/>
    <w:rsid w:val="00617869"/>
    <w:rsid w:val="00620D8F"/>
    <w:rsid w:val="00622C5B"/>
    <w:rsid w:val="00623CC6"/>
    <w:rsid w:val="00624761"/>
    <w:rsid w:val="006266F5"/>
    <w:rsid w:val="00634E28"/>
    <w:rsid w:val="00647A09"/>
    <w:rsid w:val="0065086A"/>
    <w:rsid w:val="006517A0"/>
    <w:rsid w:val="006524A2"/>
    <w:rsid w:val="00663878"/>
    <w:rsid w:val="00674185"/>
    <w:rsid w:val="00683D4A"/>
    <w:rsid w:val="00686D39"/>
    <w:rsid w:val="00692CDD"/>
    <w:rsid w:val="0069398D"/>
    <w:rsid w:val="006962F2"/>
    <w:rsid w:val="00696541"/>
    <w:rsid w:val="006A4B34"/>
    <w:rsid w:val="006A5C21"/>
    <w:rsid w:val="006B14DC"/>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6757"/>
    <w:rsid w:val="007076C9"/>
    <w:rsid w:val="00710948"/>
    <w:rsid w:val="00710EE4"/>
    <w:rsid w:val="00713233"/>
    <w:rsid w:val="0071436C"/>
    <w:rsid w:val="00716E6B"/>
    <w:rsid w:val="00717248"/>
    <w:rsid w:val="00720869"/>
    <w:rsid w:val="00723AC2"/>
    <w:rsid w:val="00725BB8"/>
    <w:rsid w:val="007263B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0CD1"/>
    <w:rsid w:val="007811AA"/>
    <w:rsid w:val="007867EE"/>
    <w:rsid w:val="00790BF0"/>
    <w:rsid w:val="00790C23"/>
    <w:rsid w:val="00790DE3"/>
    <w:rsid w:val="007923AE"/>
    <w:rsid w:val="007A1221"/>
    <w:rsid w:val="007A2AD5"/>
    <w:rsid w:val="007A47F1"/>
    <w:rsid w:val="007A5226"/>
    <w:rsid w:val="007B0F04"/>
    <w:rsid w:val="007B2D5F"/>
    <w:rsid w:val="007B72EE"/>
    <w:rsid w:val="007C7E15"/>
    <w:rsid w:val="007D5088"/>
    <w:rsid w:val="007D708F"/>
    <w:rsid w:val="007F42BD"/>
    <w:rsid w:val="008002AB"/>
    <w:rsid w:val="008018FA"/>
    <w:rsid w:val="0080432B"/>
    <w:rsid w:val="00804949"/>
    <w:rsid w:val="00805DD8"/>
    <w:rsid w:val="008103FA"/>
    <w:rsid w:val="008170F8"/>
    <w:rsid w:val="0082045C"/>
    <w:rsid w:val="0083288A"/>
    <w:rsid w:val="00832C94"/>
    <w:rsid w:val="00832EBC"/>
    <w:rsid w:val="008373C6"/>
    <w:rsid w:val="0084795E"/>
    <w:rsid w:val="00864E1E"/>
    <w:rsid w:val="00873051"/>
    <w:rsid w:val="008735FE"/>
    <w:rsid w:val="0087371C"/>
    <w:rsid w:val="008745ED"/>
    <w:rsid w:val="00874EDF"/>
    <w:rsid w:val="00882C64"/>
    <w:rsid w:val="0088793A"/>
    <w:rsid w:val="00887E5D"/>
    <w:rsid w:val="00894B7F"/>
    <w:rsid w:val="008A15B7"/>
    <w:rsid w:val="008A210D"/>
    <w:rsid w:val="008B0C3D"/>
    <w:rsid w:val="008B13A5"/>
    <w:rsid w:val="008B1BA9"/>
    <w:rsid w:val="008B3CB9"/>
    <w:rsid w:val="008B667F"/>
    <w:rsid w:val="008C2DA2"/>
    <w:rsid w:val="008C5C2C"/>
    <w:rsid w:val="008C7623"/>
    <w:rsid w:val="008C78ED"/>
    <w:rsid w:val="008D7F1C"/>
    <w:rsid w:val="008E0695"/>
    <w:rsid w:val="008F6E85"/>
    <w:rsid w:val="00900933"/>
    <w:rsid w:val="0090367B"/>
    <w:rsid w:val="00905F56"/>
    <w:rsid w:val="00914027"/>
    <w:rsid w:val="009140CD"/>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C1D"/>
    <w:rsid w:val="009C4FD5"/>
    <w:rsid w:val="009D19D6"/>
    <w:rsid w:val="009D3291"/>
    <w:rsid w:val="009D54C6"/>
    <w:rsid w:val="009D6705"/>
    <w:rsid w:val="009D6FE2"/>
    <w:rsid w:val="009D7E33"/>
    <w:rsid w:val="009E10C6"/>
    <w:rsid w:val="009E1812"/>
    <w:rsid w:val="009E1EBB"/>
    <w:rsid w:val="009E4BE1"/>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15C8F"/>
    <w:rsid w:val="00A2055A"/>
    <w:rsid w:val="00A24C7B"/>
    <w:rsid w:val="00A25FCE"/>
    <w:rsid w:val="00A30F54"/>
    <w:rsid w:val="00A36237"/>
    <w:rsid w:val="00A3639B"/>
    <w:rsid w:val="00A44D21"/>
    <w:rsid w:val="00A4616A"/>
    <w:rsid w:val="00A51D2C"/>
    <w:rsid w:val="00A5239F"/>
    <w:rsid w:val="00A538EF"/>
    <w:rsid w:val="00A56D87"/>
    <w:rsid w:val="00A570BF"/>
    <w:rsid w:val="00A57182"/>
    <w:rsid w:val="00A603C9"/>
    <w:rsid w:val="00A62721"/>
    <w:rsid w:val="00A62AA4"/>
    <w:rsid w:val="00A80721"/>
    <w:rsid w:val="00A8284F"/>
    <w:rsid w:val="00A84571"/>
    <w:rsid w:val="00A8483B"/>
    <w:rsid w:val="00A8663C"/>
    <w:rsid w:val="00A86CBA"/>
    <w:rsid w:val="00A90A1C"/>
    <w:rsid w:val="00A938F4"/>
    <w:rsid w:val="00A95910"/>
    <w:rsid w:val="00AA2E04"/>
    <w:rsid w:val="00AA3502"/>
    <w:rsid w:val="00AA3694"/>
    <w:rsid w:val="00AA7F1D"/>
    <w:rsid w:val="00AB04FB"/>
    <w:rsid w:val="00AC1EE8"/>
    <w:rsid w:val="00AC53BA"/>
    <w:rsid w:val="00AC7864"/>
    <w:rsid w:val="00AD0542"/>
    <w:rsid w:val="00AD355F"/>
    <w:rsid w:val="00AD3C62"/>
    <w:rsid w:val="00AD4A16"/>
    <w:rsid w:val="00AE212B"/>
    <w:rsid w:val="00AE2B73"/>
    <w:rsid w:val="00AE4AB9"/>
    <w:rsid w:val="00AE5A46"/>
    <w:rsid w:val="00AF1118"/>
    <w:rsid w:val="00AF2584"/>
    <w:rsid w:val="00B0012D"/>
    <w:rsid w:val="00B01620"/>
    <w:rsid w:val="00B0256A"/>
    <w:rsid w:val="00B04139"/>
    <w:rsid w:val="00B06F88"/>
    <w:rsid w:val="00B07777"/>
    <w:rsid w:val="00B1087D"/>
    <w:rsid w:val="00B11A66"/>
    <w:rsid w:val="00B15E55"/>
    <w:rsid w:val="00B16AB3"/>
    <w:rsid w:val="00B17CC3"/>
    <w:rsid w:val="00B21F5E"/>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43D3"/>
    <w:rsid w:val="00B8570A"/>
    <w:rsid w:val="00B8696D"/>
    <w:rsid w:val="00B9692A"/>
    <w:rsid w:val="00BA7D3E"/>
    <w:rsid w:val="00BB10A1"/>
    <w:rsid w:val="00BB36B1"/>
    <w:rsid w:val="00BB79B1"/>
    <w:rsid w:val="00BC0CE0"/>
    <w:rsid w:val="00BC3DD7"/>
    <w:rsid w:val="00BD1913"/>
    <w:rsid w:val="00BD7F46"/>
    <w:rsid w:val="00BE0727"/>
    <w:rsid w:val="00BE09C5"/>
    <w:rsid w:val="00BE3D15"/>
    <w:rsid w:val="00BE7E3B"/>
    <w:rsid w:val="00BF53FD"/>
    <w:rsid w:val="00BF7DE6"/>
    <w:rsid w:val="00C00243"/>
    <w:rsid w:val="00C01A53"/>
    <w:rsid w:val="00C0200E"/>
    <w:rsid w:val="00C02BC0"/>
    <w:rsid w:val="00C134BC"/>
    <w:rsid w:val="00C13612"/>
    <w:rsid w:val="00C1549E"/>
    <w:rsid w:val="00C16423"/>
    <w:rsid w:val="00C16D85"/>
    <w:rsid w:val="00C3050A"/>
    <w:rsid w:val="00C3226E"/>
    <w:rsid w:val="00C35563"/>
    <w:rsid w:val="00C361CA"/>
    <w:rsid w:val="00C3745E"/>
    <w:rsid w:val="00C46C3A"/>
    <w:rsid w:val="00C47B0F"/>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46B0"/>
    <w:rsid w:val="00CA7832"/>
    <w:rsid w:val="00CB0F1E"/>
    <w:rsid w:val="00CB7CB0"/>
    <w:rsid w:val="00CC0372"/>
    <w:rsid w:val="00CD129C"/>
    <w:rsid w:val="00CD6594"/>
    <w:rsid w:val="00CD6EF2"/>
    <w:rsid w:val="00CD76E0"/>
    <w:rsid w:val="00CE1E5D"/>
    <w:rsid w:val="00CE3EA4"/>
    <w:rsid w:val="00CE6144"/>
    <w:rsid w:val="00CE7154"/>
    <w:rsid w:val="00CF0AF4"/>
    <w:rsid w:val="00CF3F87"/>
    <w:rsid w:val="00CF6BEB"/>
    <w:rsid w:val="00CF7C5F"/>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11F7"/>
    <w:rsid w:val="00D52DF8"/>
    <w:rsid w:val="00D558E5"/>
    <w:rsid w:val="00D56C82"/>
    <w:rsid w:val="00D600D7"/>
    <w:rsid w:val="00D62E8E"/>
    <w:rsid w:val="00D63EAA"/>
    <w:rsid w:val="00D64EA5"/>
    <w:rsid w:val="00D75384"/>
    <w:rsid w:val="00D75D87"/>
    <w:rsid w:val="00D760D8"/>
    <w:rsid w:val="00D82C89"/>
    <w:rsid w:val="00D91CDB"/>
    <w:rsid w:val="00D94089"/>
    <w:rsid w:val="00D96F6A"/>
    <w:rsid w:val="00D979CC"/>
    <w:rsid w:val="00DA4404"/>
    <w:rsid w:val="00DA5FD1"/>
    <w:rsid w:val="00DA6381"/>
    <w:rsid w:val="00DB020C"/>
    <w:rsid w:val="00DB582A"/>
    <w:rsid w:val="00DB74A8"/>
    <w:rsid w:val="00DD0637"/>
    <w:rsid w:val="00DD13F4"/>
    <w:rsid w:val="00DD54B4"/>
    <w:rsid w:val="00DE0007"/>
    <w:rsid w:val="00DE2118"/>
    <w:rsid w:val="00DE3CC0"/>
    <w:rsid w:val="00DE6313"/>
    <w:rsid w:val="00DE6327"/>
    <w:rsid w:val="00DE7FD7"/>
    <w:rsid w:val="00DF0617"/>
    <w:rsid w:val="00DF596A"/>
    <w:rsid w:val="00DF62DC"/>
    <w:rsid w:val="00E013FE"/>
    <w:rsid w:val="00E03D31"/>
    <w:rsid w:val="00E11D92"/>
    <w:rsid w:val="00E1442F"/>
    <w:rsid w:val="00E14C97"/>
    <w:rsid w:val="00E213E0"/>
    <w:rsid w:val="00E23984"/>
    <w:rsid w:val="00E269CF"/>
    <w:rsid w:val="00E3060B"/>
    <w:rsid w:val="00E3332E"/>
    <w:rsid w:val="00E352B4"/>
    <w:rsid w:val="00E407A5"/>
    <w:rsid w:val="00E409AE"/>
    <w:rsid w:val="00E41C44"/>
    <w:rsid w:val="00E46137"/>
    <w:rsid w:val="00E529DC"/>
    <w:rsid w:val="00E535E2"/>
    <w:rsid w:val="00E541DE"/>
    <w:rsid w:val="00E7114E"/>
    <w:rsid w:val="00E714ED"/>
    <w:rsid w:val="00E818B5"/>
    <w:rsid w:val="00E87974"/>
    <w:rsid w:val="00E91403"/>
    <w:rsid w:val="00E950A1"/>
    <w:rsid w:val="00E9587C"/>
    <w:rsid w:val="00EA0589"/>
    <w:rsid w:val="00EA2539"/>
    <w:rsid w:val="00EA2A12"/>
    <w:rsid w:val="00EA34B1"/>
    <w:rsid w:val="00EA386A"/>
    <w:rsid w:val="00EA3F04"/>
    <w:rsid w:val="00EB3CE1"/>
    <w:rsid w:val="00EB4EEE"/>
    <w:rsid w:val="00EB5323"/>
    <w:rsid w:val="00EB55F4"/>
    <w:rsid w:val="00EC009B"/>
    <w:rsid w:val="00EC0A5C"/>
    <w:rsid w:val="00EC0F3C"/>
    <w:rsid w:val="00ED2006"/>
    <w:rsid w:val="00ED2C52"/>
    <w:rsid w:val="00ED57DD"/>
    <w:rsid w:val="00ED6077"/>
    <w:rsid w:val="00ED60E5"/>
    <w:rsid w:val="00ED6755"/>
    <w:rsid w:val="00EE18FA"/>
    <w:rsid w:val="00EE3541"/>
    <w:rsid w:val="00EF15BF"/>
    <w:rsid w:val="00EF2775"/>
    <w:rsid w:val="00EF3507"/>
    <w:rsid w:val="00F05325"/>
    <w:rsid w:val="00F0588E"/>
    <w:rsid w:val="00F07DD1"/>
    <w:rsid w:val="00F12464"/>
    <w:rsid w:val="00F12AB9"/>
    <w:rsid w:val="00F1562A"/>
    <w:rsid w:val="00F1569C"/>
    <w:rsid w:val="00F20DD6"/>
    <w:rsid w:val="00F24AE3"/>
    <w:rsid w:val="00F32C32"/>
    <w:rsid w:val="00F332F1"/>
    <w:rsid w:val="00F343C3"/>
    <w:rsid w:val="00F347FB"/>
    <w:rsid w:val="00F35B6F"/>
    <w:rsid w:val="00F3731D"/>
    <w:rsid w:val="00F37F87"/>
    <w:rsid w:val="00F44E82"/>
    <w:rsid w:val="00F501B1"/>
    <w:rsid w:val="00F56303"/>
    <w:rsid w:val="00F604C9"/>
    <w:rsid w:val="00F63689"/>
    <w:rsid w:val="00F66077"/>
    <w:rsid w:val="00F66E1F"/>
    <w:rsid w:val="00F67A0E"/>
    <w:rsid w:val="00F67D06"/>
    <w:rsid w:val="00F7558C"/>
    <w:rsid w:val="00F761EC"/>
    <w:rsid w:val="00F86E3F"/>
    <w:rsid w:val="00F9112F"/>
    <w:rsid w:val="00FA19CD"/>
    <w:rsid w:val="00FA1D26"/>
    <w:rsid w:val="00FB05F7"/>
    <w:rsid w:val="00FB0A38"/>
    <w:rsid w:val="00FB14AD"/>
    <w:rsid w:val="00FB1FDD"/>
    <w:rsid w:val="00FB59FD"/>
    <w:rsid w:val="00FC1655"/>
    <w:rsid w:val="00FC52C8"/>
    <w:rsid w:val="00FC5667"/>
    <w:rsid w:val="00FC6DBB"/>
    <w:rsid w:val="00FD0ECB"/>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 w:type="paragraph" w:styleId="CommentSubject">
    <w:name w:val="annotation subject"/>
    <w:basedOn w:val="CommentText"/>
    <w:next w:val="CommentText"/>
    <w:link w:val="CommentSubjectChar"/>
    <w:uiPriority w:val="99"/>
    <w:semiHidden/>
    <w:unhideWhenUsed/>
    <w:rsid w:val="00F05325"/>
    <w:pPr>
      <w:widowControl/>
      <w:autoSpaceDE/>
      <w:autoSpaceDN/>
      <w:spacing w:after="100" w:afterAutospacing="1"/>
    </w:pPr>
    <w:rPr>
      <w:rFonts w:ascii="Times New Roman" w:eastAsiaTheme="minorHAnsi" w:hAnsi="Times New Roman" w:cstheme="minorBidi"/>
      <w:b/>
      <w:bCs/>
      <w:lang w:eastAsia="en-GB"/>
    </w:rPr>
  </w:style>
  <w:style w:type="character" w:customStyle="1" w:styleId="CommentSubjectChar">
    <w:name w:val="Comment Subject Char"/>
    <w:basedOn w:val="CommentTextChar"/>
    <w:link w:val="CommentSubject"/>
    <w:uiPriority w:val="99"/>
    <w:semiHidden/>
    <w:rsid w:val="00F05325"/>
    <w:rPr>
      <w:rFonts w:ascii="Times New Roman" w:eastAsia="Arial" w:hAnsi="Times New Roman"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2.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customXml/itemProps3.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B36AD9-7C49-4C9F-8758-EEFFA6AB49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4678</Words>
  <Characters>26671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4</cp:revision>
  <cp:lastPrinted>2026-02-23T12:13:00Z</cp:lastPrinted>
  <dcterms:created xsi:type="dcterms:W3CDTF">2026-02-25T20:42:00Z</dcterms:created>
  <dcterms:modified xsi:type="dcterms:W3CDTF">2026-02-25T22:23:00Z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