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B8D4" w14:textId="7140A925" w:rsidR="0005411A" w:rsidRPr="009461CC" w:rsidRDefault="0005411A" w:rsidP="00042B91">
      <w:pPr>
        <w:pStyle w:val="BodyText3"/>
        <w:spacing w:after="0" w:afterAutospacing="0"/>
        <w:rPr>
          <w:sz w:val="24"/>
        </w:rPr>
      </w:pPr>
    </w:p>
    <w:p w14:paraId="2D72A510" w14:textId="58A5ED92" w:rsidR="0005411A" w:rsidRPr="009461CC" w:rsidRDefault="00E91403" w:rsidP="00042B91">
      <w:pPr>
        <w:pStyle w:val="BodyText3"/>
        <w:spacing w:after="0" w:afterAutospacing="0"/>
      </w:pPr>
      <w:r>
        <w:rPr>
          <w:bCs/>
          <w:noProof/>
          <w:lang w:val="c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0C8B7" wp14:editId="6DA47034">
                <wp:simplePos x="0" y="0"/>
                <wp:positionH relativeFrom="column">
                  <wp:posOffset>-190500</wp:posOffset>
                </wp:positionH>
                <wp:positionV relativeFrom="paragraph">
                  <wp:posOffset>71755</wp:posOffset>
                </wp:positionV>
                <wp:extent cx="6448425" cy="1209675"/>
                <wp:effectExtent l="19050" t="19050" r="47625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C1F47" w14:textId="77777777" w:rsidR="0005411A" w:rsidRPr="004B64B4" w:rsidRDefault="006F0810" w:rsidP="006D00F2">
                            <w:pPr>
                              <w:pStyle w:val="Heading7"/>
                              <w:spacing w:after="0" w:afterAutospacing="0"/>
                              <w:rPr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val="cs"/>
                              </w:rPr>
                              <w:t>SOUHRN ÚDAJŮ O BEZPEČNOSTI A KLINICKÉ FUNKCI (SSCP)</w:t>
                            </w:r>
                          </w:p>
                          <w:p w14:paraId="0E1996B2" w14:textId="77777777" w:rsidR="005D4A52" w:rsidRPr="004B64B4" w:rsidRDefault="005D4A52" w:rsidP="006D00F2">
                            <w:pPr>
                              <w:pStyle w:val="Heading7"/>
                              <w:spacing w:after="0" w:afterAutospacing="0"/>
                              <w:rPr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val="cs"/>
                              </w:rPr>
                              <w:t>SSCP-0006</w:t>
                            </w:r>
                          </w:p>
                          <w:p w14:paraId="06B6F153" w14:textId="2140F052" w:rsidR="005D4A52" w:rsidRPr="004B64B4" w:rsidRDefault="00F1569C" w:rsidP="006D00F2">
                            <w:pPr>
                              <w:pStyle w:val="Heading7"/>
                              <w:spacing w:after="0" w:afterAutospacing="0"/>
                              <w:rPr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bCs/>
                                <w:sz w:val="32"/>
                                <w:szCs w:val="32"/>
                                <w:lang w:val="cs"/>
                              </w:rPr>
                              <w:t xml:space="preserve">Souprava cévního smyčkového katétru </w:t>
                            </w:r>
                            <w:r w:rsidR="00EA6597">
                              <w:rPr>
                                <w:bCs/>
                                <w:sz w:val="32"/>
                                <w:szCs w:val="32"/>
                                <w:lang w:val="cs"/>
                              </w:rPr>
                              <w:t xml:space="preserve">Snare 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  <w:lang w:val="cs"/>
                              </w:rPr>
                              <w:t>Atrieve</w:t>
                            </w:r>
                            <w:r>
                              <w:rPr>
                                <w:bCs/>
                                <w:sz w:val="32"/>
                                <w:szCs w:val="32"/>
                                <w:vertAlign w:val="superscript"/>
                                <w:lang w:val="cs"/>
                              </w:rPr>
                              <w:t>TM</w:t>
                            </w:r>
                          </w:p>
                          <w:p w14:paraId="3354BBA5" w14:textId="08AF297F" w:rsidR="005D4A52" w:rsidRPr="005B469C" w:rsidRDefault="005D4A52" w:rsidP="006D00F2">
                            <w:pPr>
                              <w:spacing w:after="0" w:afterAutospacing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cs"/>
                              </w:rPr>
                              <w:t>DHF-82248</w:t>
                            </w:r>
                          </w:p>
                          <w:p w14:paraId="3CF39942" w14:textId="77777777" w:rsidR="0005411A" w:rsidRPr="00267292" w:rsidRDefault="0005411A" w:rsidP="009855C3"/>
                          <w:p w14:paraId="684B57C2" w14:textId="77777777" w:rsidR="0005411A" w:rsidRPr="00267292" w:rsidRDefault="0005411A" w:rsidP="009855C3">
                            <w:r>
                              <w:rPr>
                                <w:lang w:val="cs"/>
                              </w:rPr>
                              <w:t>[DATUM]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0C8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pt;margin-top:5.65pt;width:507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" strokeweight="4.5pt">
                <v:stroke linestyle="thinThick"/>
                <v:textbox>
                  <w:txbxContent>
                    <w:p w14:paraId="488C1F47" w14:textId="77777777" w:rsidR="0005411A" w:rsidRPr="004B64B4" w:rsidRDefault="006F0810" w:rsidP="006D00F2">
                      <w:pPr>
                        <w:pStyle w:val="Heading7"/>
                        <w:spacing w:after="0" w:afterAutospacing="0"/>
                        <w:rPr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bCs/>
                          <w:sz w:val="32"/>
                          <w:szCs w:val="32"/>
                          <w:lang w:val="cs"/>
                        </w:rPr>
                        <w:t>SOUHRN ÚDAJŮ O BEZPEČNOSTI A KLINICKÉ FUNKCI (SSCP)</w:t>
                      </w:r>
                    </w:p>
                    <w:p w14:paraId="0E1996B2" w14:textId="77777777" w:rsidR="005D4A52" w:rsidRPr="004B64B4" w:rsidRDefault="005D4A52" w:rsidP="006D00F2">
                      <w:pPr>
                        <w:pStyle w:val="Heading7"/>
                        <w:spacing w:after="0" w:afterAutospacing="0"/>
                        <w:rPr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bCs/>
                          <w:sz w:val="32"/>
                          <w:szCs w:val="32"/>
                          <w:lang w:val="cs"/>
                        </w:rPr>
                        <w:t>SSCP-0006</w:t>
                      </w:r>
                    </w:p>
                    <w:p w14:paraId="06B6F153" w14:textId="2140F052" w:rsidR="005D4A52" w:rsidRPr="004B64B4" w:rsidRDefault="00F1569C" w:rsidP="006D00F2">
                      <w:pPr>
                        <w:pStyle w:val="Heading7"/>
                        <w:spacing w:after="0" w:afterAutospacing="0"/>
                        <w:rPr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bCs/>
                          <w:sz w:val="32"/>
                          <w:szCs w:val="32"/>
                          <w:lang w:val="cs"/>
                        </w:rPr>
                        <w:t xml:space="preserve">Souprava cévního smyčkového katétru </w:t>
                      </w:r>
                      <w:r w:rsidR="00EA6597">
                        <w:rPr>
                          <w:bCs/>
                          <w:sz w:val="32"/>
                          <w:szCs w:val="32"/>
                          <w:lang w:val="cs"/>
                        </w:rPr>
                        <w:t xml:space="preserve">Snare </w:t>
                      </w:r>
                      <w:r>
                        <w:rPr>
                          <w:bCs/>
                          <w:sz w:val="32"/>
                          <w:szCs w:val="32"/>
                          <w:lang w:val="cs"/>
                        </w:rPr>
                        <w:t>Atrieve</w:t>
                      </w:r>
                      <w:r>
                        <w:rPr>
                          <w:bCs/>
                          <w:sz w:val="32"/>
                          <w:szCs w:val="32"/>
                          <w:vertAlign w:val="superscript"/>
                          <w:lang w:val="cs"/>
                        </w:rPr>
                        <w:t>TM</w:t>
                      </w:r>
                    </w:p>
                    <w:p w14:paraId="3354BBA5" w14:textId="08AF297F" w:rsidR="005D4A52" w:rsidRPr="005B469C" w:rsidRDefault="005D4A52" w:rsidP="006D00F2">
                      <w:pPr>
                        <w:spacing w:after="0" w:afterAutospacing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cs"/>
                        </w:rPr>
                        <w:t>DHF-82248</w:t>
                      </w:r>
                    </w:p>
                    <w:p w14:paraId="3CF39942" w14:textId="77777777" w:rsidR="0005411A" w:rsidRPr="00267292" w:rsidRDefault="0005411A" w:rsidP="009855C3"/>
                    <w:p w14:paraId="684B57C2" w14:textId="77777777" w:rsidR="0005411A" w:rsidRPr="00267292" w:rsidRDefault="0005411A" w:rsidP="009855C3">
                      <w:r>
                        <w:rPr>
                          <w:lang w:val="cs"/>
                        </w:rPr>
                        <w:t>[DATUM]</w:t>
                      </w:r>
                    </w:p>
                  </w:txbxContent>
                </v:textbox>
              </v:shape>
            </w:pict>
          </mc:Fallback>
        </mc:AlternateContent>
      </w:r>
    </w:p>
    <w:p w14:paraId="22332CC2" w14:textId="77777777" w:rsidR="0005411A" w:rsidRPr="009461CC" w:rsidRDefault="0005411A" w:rsidP="00042B91">
      <w:pPr>
        <w:pStyle w:val="BodyText3"/>
        <w:spacing w:after="0" w:afterAutospacing="0"/>
      </w:pPr>
    </w:p>
    <w:p w14:paraId="2048CF11" w14:textId="77777777" w:rsidR="0005411A" w:rsidRPr="009461CC" w:rsidRDefault="0005411A" w:rsidP="00042B91">
      <w:pPr>
        <w:pStyle w:val="BodyText3"/>
        <w:spacing w:after="0" w:afterAutospacing="0"/>
      </w:pPr>
    </w:p>
    <w:p w14:paraId="243C88AF" w14:textId="77777777" w:rsidR="0005411A" w:rsidRPr="009461CC" w:rsidRDefault="0005411A" w:rsidP="00042B91">
      <w:pPr>
        <w:pStyle w:val="BodyText3"/>
        <w:spacing w:after="0" w:afterAutospacing="0"/>
      </w:pPr>
    </w:p>
    <w:p w14:paraId="41545C51" w14:textId="2690A02B" w:rsidR="0005411A" w:rsidRPr="009461CC" w:rsidRDefault="0005411A" w:rsidP="00042B91">
      <w:pPr>
        <w:spacing w:after="0" w:afterAutospacing="0" w:line="240" w:lineRule="auto"/>
        <w:rPr>
          <w:rFonts w:cs="Times New Roman"/>
        </w:rPr>
      </w:pPr>
    </w:p>
    <w:p w14:paraId="155D5FB3" w14:textId="51695512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50F16F2D" w14:textId="5942F0CE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781CF868" w14:textId="0A72AB5D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7525C55B" w14:textId="09737261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2CF7AE6F" w14:textId="1272C31A" w:rsidR="00E91403" w:rsidRPr="009461CC" w:rsidRDefault="00E91403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cs"/>
        </w:rPr>
        <w:t>Pro publikaci v systému Eudamed</w:t>
      </w:r>
    </w:p>
    <w:p w14:paraId="57B38593" w14:textId="77777777" w:rsidR="00E91403" w:rsidRPr="009461CC" w:rsidRDefault="00E91403" w:rsidP="00042B91">
      <w:pPr>
        <w:spacing w:after="0" w:afterAutospacing="0" w:line="240" w:lineRule="auto"/>
        <w:rPr>
          <w:rFonts w:cs="Times New Roman"/>
        </w:rPr>
      </w:pPr>
    </w:p>
    <w:tbl>
      <w:tblPr>
        <w:tblW w:w="9949" w:type="dxa"/>
        <w:tblInd w:w="-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36"/>
        <w:gridCol w:w="1497"/>
        <w:gridCol w:w="7116"/>
      </w:tblGrid>
      <w:tr w:rsidR="00E91403" w:rsidRPr="009461CC" w14:paraId="481127A2" w14:textId="77777777" w:rsidTr="00E91403">
        <w:tc>
          <w:tcPr>
            <w:tcW w:w="112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164CC73A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cs"/>
              </w:rPr>
              <w:t>ROLE</w:t>
            </w:r>
          </w:p>
        </w:tc>
        <w:tc>
          <w:tcPr>
            <w:tcW w:w="130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1A83C01C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cs"/>
              </w:rPr>
              <w:t>ODDĚLENÍ</w:t>
            </w:r>
          </w:p>
        </w:tc>
        <w:tc>
          <w:tcPr>
            <w:tcW w:w="7519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4B6DA2F3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cs"/>
              </w:rPr>
              <w:t>JMÉNO/FUNKCE</w:t>
            </w:r>
          </w:p>
        </w:tc>
      </w:tr>
      <w:tr w:rsidR="006E0847" w:rsidRPr="00123F3D" w14:paraId="45F6CF0D" w14:textId="77777777" w:rsidTr="008E1D43">
        <w:trPr>
          <w:trHeight w:val="582"/>
        </w:trPr>
        <w:tc>
          <w:tcPr>
            <w:tcW w:w="1125" w:type="dxa"/>
            <w:tcBorders>
              <w:top w:val="double" w:sz="4" w:space="0" w:color="auto"/>
            </w:tcBorders>
            <w:vAlign w:val="center"/>
          </w:tcPr>
          <w:p w14:paraId="552A4625" w14:textId="77777777" w:rsidR="006E0847" w:rsidRPr="009461CC" w:rsidRDefault="006E0847" w:rsidP="006E08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cs"/>
              </w:rPr>
              <w:t>Připravil/a</w:t>
            </w:r>
          </w:p>
        </w:tc>
        <w:tc>
          <w:tcPr>
            <w:tcW w:w="1305" w:type="dxa"/>
            <w:tcBorders>
              <w:top w:val="double" w:sz="4" w:space="0" w:color="auto"/>
            </w:tcBorders>
          </w:tcPr>
          <w:p w14:paraId="51D1E08B" w14:textId="5374772E" w:rsidR="006E0847" w:rsidRPr="009461CC" w:rsidRDefault="006E0847" w:rsidP="006E08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cs"/>
              </w:rPr>
              <w:t>Regulační záležitosti</w:t>
            </w:r>
          </w:p>
        </w:tc>
        <w:tc>
          <w:tcPr>
            <w:tcW w:w="7519" w:type="dxa"/>
            <w:tcBorders>
              <w:top w:val="double" w:sz="4" w:space="0" w:color="auto"/>
            </w:tcBorders>
          </w:tcPr>
          <w:p w14:paraId="360D10DB" w14:textId="77777777" w:rsidR="006E0847" w:rsidRPr="002C2733" w:rsidRDefault="006E0847" w:rsidP="006E0847">
            <w:pPr>
              <w:spacing w:after="0" w:afterAutospacing="0"/>
              <w:jc w:val="center"/>
              <w:rPr>
                <w:rFonts w:cs="Times New Roman"/>
                <w:szCs w:val="24"/>
                <w:lang w:val="it-IT"/>
              </w:rPr>
            </w:pPr>
            <w:r>
              <w:rPr>
                <w:rFonts w:cs="Times New Roman"/>
                <w:szCs w:val="24"/>
                <w:lang w:val="cs"/>
              </w:rPr>
              <w:t>Nadira Lotus</w:t>
            </w:r>
          </w:p>
          <w:p w14:paraId="7BA00BEF" w14:textId="2E4C5FAD" w:rsidR="006E0847" w:rsidRPr="002C2733" w:rsidRDefault="006E0847" w:rsidP="006E0847">
            <w:pPr>
              <w:jc w:val="center"/>
              <w:rPr>
                <w:rFonts w:cs="Times New Roman"/>
                <w:szCs w:val="24"/>
                <w:lang w:val="it-IT"/>
              </w:rPr>
            </w:pPr>
            <w:r>
              <w:rPr>
                <w:rFonts w:cs="Times New Roman"/>
                <w:szCs w:val="24"/>
                <w:lang w:val="cs"/>
              </w:rPr>
              <w:t>Manažer, dohled po uvedení na trh</w:t>
            </w:r>
          </w:p>
        </w:tc>
      </w:tr>
    </w:tbl>
    <w:p w14:paraId="45EA3393" w14:textId="77777777" w:rsidR="00E91403" w:rsidRPr="002C2733" w:rsidRDefault="00E91403" w:rsidP="00E91403">
      <w:pPr>
        <w:jc w:val="center"/>
        <w:rPr>
          <w:rFonts w:cs="Times New Roman"/>
          <w:b/>
          <w:lang w:val="it-IT"/>
        </w:rPr>
      </w:pPr>
    </w:p>
    <w:p w14:paraId="3ADE6C89" w14:textId="0496458B" w:rsidR="00E91403" w:rsidRPr="002C2733" w:rsidRDefault="00E91403" w:rsidP="00E91403">
      <w:pPr>
        <w:tabs>
          <w:tab w:val="center" w:pos="5220"/>
          <w:tab w:val="right" w:pos="10440"/>
        </w:tabs>
        <w:rPr>
          <w:rFonts w:cs="Times New Roman"/>
          <w:b/>
          <w:lang w:val="cs"/>
        </w:rPr>
      </w:pPr>
      <w:r>
        <w:rPr>
          <w:rFonts w:cs="Times New Roman"/>
          <w:lang w:val="cs"/>
        </w:rPr>
        <w:tab/>
      </w:r>
      <w:r>
        <w:rPr>
          <w:rFonts w:cs="Times New Roman"/>
          <w:b/>
          <w:bCs/>
          <w:lang w:val="cs"/>
        </w:rPr>
        <w:t>Matice schválení a podpisů</w:t>
      </w:r>
      <w:r>
        <w:rPr>
          <w:rFonts w:cs="Times New Roman"/>
          <w:lang w:val="cs"/>
        </w:rPr>
        <w:tab/>
      </w:r>
    </w:p>
    <w:p w14:paraId="01F684E3" w14:textId="77777777" w:rsidR="00E91403" w:rsidRPr="002C2733" w:rsidRDefault="00E91403" w:rsidP="00E91403">
      <w:pPr>
        <w:spacing w:after="60"/>
        <w:ind w:right="274"/>
        <w:rPr>
          <w:rFonts w:cs="Times New Roman"/>
          <w:sz w:val="20"/>
          <w:szCs w:val="20"/>
          <w:lang w:val="cs"/>
        </w:rPr>
      </w:pPr>
      <w:r>
        <w:rPr>
          <w:rFonts w:cs="Times New Roman"/>
          <w:sz w:val="20"/>
          <w:szCs w:val="20"/>
          <w:lang w:val="cs"/>
        </w:rPr>
        <w:t>Tento dokument musí být zkontrolován a schválen všemi níže uvedenými osobami nebo jejich oprávněnými zástupci.</w:t>
      </w:r>
    </w:p>
    <w:tbl>
      <w:tblPr>
        <w:tblW w:w="9949" w:type="dxa"/>
        <w:tblInd w:w="-1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03"/>
        <w:gridCol w:w="1497"/>
        <w:gridCol w:w="7249"/>
      </w:tblGrid>
      <w:tr w:rsidR="00E91403" w:rsidRPr="009461CC" w14:paraId="0DB197AA" w14:textId="77777777" w:rsidTr="00E91403">
        <w:trPr>
          <w:trHeight w:val="279"/>
        </w:trPr>
        <w:tc>
          <w:tcPr>
            <w:tcW w:w="112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6954A605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cs"/>
              </w:rPr>
              <w:t>ROLE</w:t>
            </w:r>
          </w:p>
        </w:tc>
        <w:tc>
          <w:tcPr>
            <w:tcW w:w="1305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6F71F870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cs"/>
              </w:rPr>
              <w:t>ODDĚLENÍ</w:t>
            </w:r>
          </w:p>
        </w:tc>
        <w:tc>
          <w:tcPr>
            <w:tcW w:w="7519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0254E3BE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cs"/>
              </w:rPr>
              <w:t>JMÉNO/FUNKCE</w:t>
            </w:r>
          </w:p>
        </w:tc>
      </w:tr>
      <w:tr w:rsidR="00386F47" w:rsidRPr="009461CC" w14:paraId="658FB919" w14:textId="77777777" w:rsidTr="00E91403">
        <w:trPr>
          <w:trHeight w:val="606"/>
        </w:trPr>
        <w:tc>
          <w:tcPr>
            <w:tcW w:w="1125" w:type="dxa"/>
            <w:vAlign w:val="center"/>
          </w:tcPr>
          <w:p w14:paraId="41D60951" w14:textId="77777777" w:rsidR="00386F47" w:rsidRPr="009461CC" w:rsidRDefault="00386F47" w:rsidP="00386F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cs"/>
              </w:rPr>
              <w:t>Schválení</w:t>
            </w:r>
          </w:p>
        </w:tc>
        <w:tc>
          <w:tcPr>
            <w:tcW w:w="1305" w:type="dxa"/>
            <w:vAlign w:val="center"/>
          </w:tcPr>
          <w:p w14:paraId="4B304E07" w14:textId="2D98EABD" w:rsidR="00386F47" w:rsidRPr="009461CC" w:rsidRDefault="00386F47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cs"/>
              </w:rPr>
              <w:t>Klinické záležitosti</w:t>
            </w:r>
          </w:p>
        </w:tc>
        <w:tc>
          <w:tcPr>
            <w:tcW w:w="7519" w:type="dxa"/>
            <w:vAlign w:val="center"/>
          </w:tcPr>
          <w:p w14:paraId="613876EC" w14:textId="1B43F333" w:rsidR="00386F47" w:rsidRPr="009461CC" w:rsidRDefault="00386F47" w:rsidP="00386F47">
            <w:pPr>
              <w:spacing w:after="0" w:afterAutospacing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cs"/>
              </w:rPr>
              <w:t>Dan</w:t>
            </w:r>
            <w:r w:rsidR="00D649AC">
              <w:rPr>
                <w:rFonts w:cs="Times New Roman"/>
                <w:szCs w:val="24"/>
                <w:lang w:val="cs"/>
              </w:rPr>
              <w:t>y</w:t>
            </w:r>
            <w:r>
              <w:rPr>
                <w:rFonts w:cs="Times New Roman"/>
                <w:szCs w:val="24"/>
                <w:lang w:val="cs"/>
              </w:rPr>
              <w:t>el Carr</w:t>
            </w:r>
          </w:p>
          <w:p w14:paraId="172E4813" w14:textId="2E4F9175" w:rsidR="00386F47" w:rsidRPr="009461CC" w:rsidRDefault="00E03D31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cs"/>
              </w:rPr>
              <w:t>Vrchní ředitel, klinické záležitosti</w:t>
            </w:r>
          </w:p>
        </w:tc>
      </w:tr>
      <w:tr w:rsidR="00386F47" w:rsidRPr="009461CC" w14:paraId="526E9923" w14:textId="77777777" w:rsidTr="00E91403">
        <w:trPr>
          <w:trHeight w:val="624"/>
        </w:trPr>
        <w:tc>
          <w:tcPr>
            <w:tcW w:w="1125" w:type="dxa"/>
            <w:vAlign w:val="center"/>
          </w:tcPr>
          <w:p w14:paraId="55BCD6C3" w14:textId="77777777" w:rsidR="00386F47" w:rsidRPr="009461CC" w:rsidRDefault="00386F47" w:rsidP="00386F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cs"/>
              </w:rPr>
              <w:t>Schválení</w:t>
            </w:r>
          </w:p>
        </w:tc>
        <w:tc>
          <w:tcPr>
            <w:tcW w:w="1305" w:type="dxa"/>
            <w:vAlign w:val="center"/>
          </w:tcPr>
          <w:p w14:paraId="4887D925" w14:textId="1B032CD4" w:rsidR="00386F47" w:rsidRPr="009461CC" w:rsidRDefault="00386F47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cs"/>
              </w:rPr>
              <w:t xml:space="preserve">Kvalita </w:t>
            </w:r>
          </w:p>
        </w:tc>
        <w:tc>
          <w:tcPr>
            <w:tcW w:w="7519" w:type="dxa"/>
            <w:vAlign w:val="center"/>
          </w:tcPr>
          <w:p w14:paraId="3D954801" w14:textId="77777777" w:rsidR="00F07DD1" w:rsidRDefault="00F07DD1" w:rsidP="004065D7">
            <w:pPr>
              <w:spacing w:after="0" w:afterAutospacing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cs"/>
              </w:rPr>
              <w:t xml:space="preserve">James Stephens </w:t>
            </w:r>
          </w:p>
          <w:p w14:paraId="1EA24645" w14:textId="5BC698A1" w:rsidR="00386F47" w:rsidRPr="009461CC" w:rsidRDefault="00547353" w:rsidP="004065D7">
            <w:pPr>
              <w:spacing w:after="0" w:afterAutospacing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cs"/>
              </w:rPr>
              <w:t>Vrchní ředitel, operace související s kvalitou</w:t>
            </w:r>
          </w:p>
        </w:tc>
      </w:tr>
      <w:tr w:rsidR="00386F47" w:rsidRPr="009461CC" w14:paraId="01329AB2" w14:textId="77777777" w:rsidTr="00E91403">
        <w:trPr>
          <w:trHeight w:val="624"/>
        </w:trPr>
        <w:tc>
          <w:tcPr>
            <w:tcW w:w="1125" w:type="dxa"/>
            <w:vAlign w:val="center"/>
          </w:tcPr>
          <w:p w14:paraId="77F5A5E8" w14:textId="77777777" w:rsidR="00386F47" w:rsidRPr="009461CC" w:rsidRDefault="00386F47" w:rsidP="00386F47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cs"/>
              </w:rPr>
              <w:t>Schválení</w:t>
            </w:r>
          </w:p>
        </w:tc>
        <w:tc>
          <w:tcPr>
            <w:tcW w:w="1305" w:type="dxa"/>
            <w:vAlign w:val="center"/>
          </w:tcPr>
          <w:p w14:paraId="25EABF73" w14:textId="63DB84E6" w:rsidR="00386F47" w:rsidRPr="009461CC" w:rsidRDefault="00386F47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cs"/>
              </w:rPr>
              <w:t xml:space="preserve">Regulace </w:t>
            </w:r>
          </w:p>
        </w:tc>
        <w:tc>
          <w:tcPr>
            <w:tcW w:w="7519" w:type="dxa"/>
            <w:vAlign w:val="center"/>
          </w:tcPr>
          <w:p w14:paraId="7676555E" w14:textId="77777777" w:rsidR="00386F47" w:rsidRPr="009461CC" w:rsidRDefault="00386F47" w:rsidP="00386F47">
            <w:pPr>
              <w:spacing w:after="0" w:afterAutospacing="0" w:line="240" w:lineRule="auto"/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val="cs"/>
              </w:rPr>
              <w:t>Scott Bishop</w:t>
            </w:r>
          </w:p>
          <w:p w14:paraId="39BF7685" w14:textId="4DD9DE97" w:rsidR="00386F47" w:rsidRPr="009461CC" w:rsidRDefault="00E950A1" w:rsidP="00386F4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  <w:lang w:val="cs"/>
              </w:rPr>
              <w:t>VP, globální regulační záležitosti a kvalita</w:t>
            </w:r>
          </w:p>
        </w:tc>
      </w:tr>
    </w:tbl>
    <w:p w14:paraId="51DA0A01" w14:textId="5402C604" w:rsidR="00E91403" w:rsidRPr="009461CC" w:rsidRDefault="00E91403" w:rsidP="00E91403">
      <w:pPr>
        <w:jc w:val="center"/>
        <w:rPr>
          <w:rFonts w:cs="Times New Roman"/>
          <w:b/>
        </w:rPr>
      </w:pPr>
      <w:r>
        <w:rPr>
          <w:rFonts w:cs="Times New Roman"/>
          <w:b/>
          <w:bCs/>
          <w:lang w:val="cs"/>
        </w:rPr>
        <w:t>Historie revizí</w:t>
      </w:r>
    </w:p>
    <w:tbl>
      <w:tblPr>
        <w:tblW w:w="97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93"/>
        <w:gridCol w:w="1416"/>
        <w:gridCol w:w="1144"/>
        <w:gridCol w:w="4268"/>
        <w:gridCol w:w="1766"/>
      </w:tblGrid>
      <w:tr w:rsidR="00E91403" w:rsidRPr="009461CC" w14:paraId="38F29FD4" w14:textId="77777777" w:rsidTr="00740900">
        <w:tc>
          <w:tcPr>
            <w:tcW w:w="1214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34BEB815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cs"/>
              </w:rPr>
              <w:t>Revize</w:t>
            </w:r>
          </w:p>
        </w:tc>
        <w:tc>
          <w:tcPr>
            <w:tcW w:w="1128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13A8D0CD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cs"/>
              </w:rPr>
              <w:t>Datum</w:t>
            </w:r>
          </w:p>
        </w:tc>
        <w:tc>
          <w:tcPr>
            <w:tcW w:w="1150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4E5F13C6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cs"/>
              </w:rPr>
              <w:t>Části</w:t>
            </w:r>
          </w:p>
        </w:tc>
        <w:tc>
          <w:tcPr>
            <w:tcW w:w="4496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308681D3" w14:textId="77777777" w:rsidR="00E91403" w:rsidRPr="009461CC" w:rsidRDefault="00E91403" w:rsidP="00842611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cs"/>
              </w:rPr>
              <w:t>Popis revize</w:t>
            </w:r>
          </w:p>
        </w:tc>
        <w:tc>
          <w:tcPr>
            <w:tcW w:w="1799" w:type="dxa"/>
            <w:tcBorders>
              <w:top w:val="single" w:sz="18" w:space="0" w:color="auto"/>
              <w:bottom w:val="double" w:sz="4" w:space="0" w:color="auto"/>
            </w:tcBorders>
            <w:shd w:val="clear" w:color="auto" w:fill="E0E0E0"/>
          </w:tcPr>
          <w:p w14:paraId="332F4EE6" w14:textId="77777777" w:rsidR="00E91403" w:rsidRPr="009461CC" w:rsidRDefault="00E91403" w:rsidP="00842611">
            <w:pPr>
              <w:tabs>
                <w:tab w:val="left" w:pos="465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  <w:lang w:val="cs"/>
              </w:rPr>
              <w:t>Číslo žádosti o změnu</w:t>
            </w:r>
          </w:p>
        </w:tc>
      </w:tr>
      <w:tr w:rsidR="00740900" w:rsidRPr="009461CC" w14:paraId="47D66140" w14:textId="77777777" w:rsidTr="00740900">
        <w:tc>
          <w:tcPr>
            <w:tcW w:w="1214" w:type="dxa"/>
            <w:tcBorders>
              <w:top w:val="double" w:sz="4" w:space="0" w:color="auto"/>
              <w:bottom w:val="single" w:sz="4" w:space="0" w:color="auto"/>
            </w:tcBorders>
          </w:tcPr>
          <w:p w14:paraId="4EEA4C6D" w14:textId="5A95910B" w:rsidR="00740900" w:rsidRPr="009461CC" w:rsidRDefault="00740900" w:rsidP="0074090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cs"/>
              </w:rPr>
              <w:t>A</w:t>
            </w:r>
          </w:p>
        </w:tc>
        <w:tc>
          <w:tcPr>
            <w:tcW w:w="1128" w:type="dxa"/>
            <w:tcBorders>
              <w:top w:val="double" w:sz="4" w:space="0" w:color="auto"/>
              <w:bottom w:val="single" w:sz="4" w:space="0" w:color="auto"/>
            </w:tcBorders>
          </w:tcPr>
          <w:p w14:paraId="0D82C539" w14:textId="6206AFE6" w:rsidR="00740900" w:rsidRPr="009461CC" w:rsidRDefault="00740900" w:rsidP="0074090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cs"/>
              </w:rPr>
              <w:t>22. 5. 2022</w:t>
            </w:r>
          </w:p>
        </w:tc>
        <w:tc>
          <w:tcPr>
            <w:tcW w:w="1150" w:type="dxa"/>
            <w:tcBorders>
              <w:top w:val="double" w:sz="4" w:space="0" w:color="auto"/>
              <w:bottom w:val="single" w:sz="4" w:space="0" w:color="auto"/>
            </w:tcBorders>
          </w:tcPr>
          <w:p w14:paraId="6CD4C417" w14:textId="536D40E4" w:rsidR="00740900" w:rsidRPr="009461CC" w:rsidRDefault="00740900" w:rsidP="0074090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cs"/>
              </w:rPr>
              <w:t>Všechny</w:t>
            </w:r>
          </w:p>
        </w:tc>
        <w:tc>
          <w:tcPr>
            <w:tcW w:w="4496" w:type="dxa"/>
            <w:tcBorders>
              <w:top w:val="double" w:sz="4" w:space="0" w:color="auto"/>
              <w:bottom w:val="single" w:sz="4" w:space="0" w:color="auto"/>
            </w:tcBorders>
          </w:tcPr>
          <w:p w14:paraId="3973A2E3" w14:textId="3D8B33BA" w:rsidR="00740900" w:rsidRPr="002C2733" w:rsidRDefault="00740900" w:rsidP="00740900">
            <w:pPr>
              <w:rPr>
                <w:rFonts w:cs="Times New Roman"/>
                <w:szCs w:val="24"/>
                <w:lang w:val="it-IT"/>
              </w:rPr>
            </w:pPr>
            <w:r>
              <w:rPr>
                <w:rFonts w:cs="Times New Roman"/>
                <w:szCs w:val="24"/>
                <w:lang w:val="cs"/>
              </w:rPr>
              <w:t>PÚvodní zpráva pouze pro interní použití</w:t>
            </w:r>
          </w:p>
        </w:tc>
        <w:tc>
          <w:tcPr>
            <w:tcW w:w="1799" w:type="dxa"/>
            <w:tcBorders>
              <w:top w:val="double" w:sz="4" w:space="0" w:color="auto"/>
              <w:bottom w:val="single" w:sz="4" w:space="0" w:color="auto"/>
            </w:tcBorders>
          </w:tcPr>
          <w:p w14:paraId="243CB41C" w14:textId="62833BA2" w:rsidR="00740900" w:rsidRPr="009461CC" w:rsidRDefault="00740900" w:rsidP="0074090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cs"/>
              </w:rPr>
              <w:t>Nevztahuje se</w:t>
            </w:r>
          </w:p>
        </w:tc>
      </w:tr>
      <w:tr w:rsidR="00923982" w:rsidRPr="009461CC" w14:paraId="495D8A1C" w14:textId="77777777" w:rsidTr="00740900">
        <w:tc>
          <w:tcPr>
            <w:tcW w:w="1214" w:type="dxa"/>
            <w:tcBorders>
              <w:top w:val="single" w:sz="4" w:space="0" w:color="auto"/>
              <w:bottom w:val="single" w:sz="12" w:space="0" w:color="auto"/>
            </w:tcBorders>
          </w:tcPr>
          <w:p w14:paraId="065DAE3E" w14:textId="16DC1CE4" w:rsidR="00923982" w:rsidRPr="009461CC" w:rsidRDefault="00923982" w:rsidP="009239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cs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12" w:space="0" w:color="auto"/>
            </w:tcBorders>
          </w:tcPr>
          <w:p w14:paraId="52F239C5" w14:textId="69AD5128" w:rsidR="00923982" w:rsidRPr="009461CC" w:rsidRDefault="006F76E2" w:rsidP="009239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cs"/>
              </w:rPr>
              <w:t>15. 12. 2025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12" w:space="0" w:color="auto"/>
            </w:tcBorders>
          </w:tcPr>
          <w:p w14:paraId="319F0BB7" w14:textId="488E18A0" w:rsidR="00923982" w:rsidRPr="009461CC" w:rsidRDefault="00923982" w:rsidP="0092398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cs"/>
              </w:rPr>
              <w:t>Všechny</w:t>
            </w:r>
          </w:p>
        </w:tc>
        <w:tc>
          <w:tcPr>
            <w:tcW w:w="4496" w:type="dxa"/>
            <w:tcBorders>
              <w:top w:val="single" w:sz="4" w:space="0" w:color="auto"/>
              <w:bottom w:val="single" w:sz="12" w:space="0" w:color="auto"/>
            </w:tcBorders>
          </w:tcPr>
          <w:p w14:paraId="3D913A75" w14:textId="09B5D375" w:rsidR="00923982" w:rsidRPr="009461CC" w:rsidRDefault="0080432B" w:rsidP="0092398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cs"/>
              </w:rPr>
              <w:t>Podání EU MDR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12" w:space="0" w:color="auto"/>
            </w:tcBorders>
          </w:tcPr>
          <w:p w14:paraId="077C5F38" w14:textId="76003B93" w:rsidR="00923982" w:rsidRPr="009461CC" w:rsidRDefault="008735FE" w:rsidP="0092398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cs"/>
              </w:rPr>
              <w:t>07919</w:t>
            </w:r>
          </w:p>
        </w:tc>
      </w:tr>
    </w:tbl>
    <w:p w14:paraId="5C951A98" w14:textId="6A651DC3" w:rsidR="0005411A" w:rsidRPr="009461CC" w:rsidRDefault="00E91403" w:rsidP="00E91403">
      <w:pPr>
        <w:jc w:val="center"/>
        <w:rPr>
          <w:rFonts w:cs="Times New Roman"/>
        </w:rPr>
      </w:pPr>
      <w:r>
        <w:rPr>
          <w:rFonts w:cs="Times New Roman"/>
          <w:i/>
          <w:iCs/>
          <w:lang w:val="cs"/>
        </w:rPr>
        <w:t>Poznámka: Schválení budou získána prostřednictvím související žádosti o změnu.</w:t>
      </w:r>
    </w:p>
    <w:p w14:paraId="700C8B5F" w14:textId="34A53550" w:rsidR="006F0810" w:rsidRPr="009461CC" w:rsidRDefault="0005411A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szCs w:val="24"/>
          <w:lang w:val="cs"/>
        </w:rPr>
        <w:br w:type="page"/>
      </w:r>
      <w:r>
        <w:rPr>
          <w:rFonts w:cs="Times New Roman"/>
          <w:lang w:val="cs"/>
        </w:rPr>
        <w:lastRenderedPageBreak/>
        <w:t>Obsah</w:t>
      </w:r>
    </w:p>
    <w:p w14:paraId="51705D4D" w14:textId="218C7CD4" w:rsidR="00D114D5" w:rsidRDefault="006F0810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r>
        <w:rPr>
          <w:lang w:val="cs"/>
        </w:rPr>
        <w:fldChar w:fldCharType="begin"/>
      </w:r>
      <w:r>
        <w:instrText xml:space="preserve"> TOC \o "1-3" \h \z \u </w:instrText>
      </w:r>
      <w:r>
        <w:fldChar w:fldCharType="separate"/>
      </w:r>
      <w:hyperlink w:anchor="_Toc222741214" w:history="1">
        <w:r w:rsidR="00D114D5" w:rsidRPr="00834C20">
          <w:rPr>
            <w:rStyle w:val="Hyperlink"/>
            <w:noProof/>
          </w:rPr>
          <w:t>1.</w:t>
        </w:r>
        <w:r w:rsidR="00D114D5"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="00D114D5" w:rsidRPr="00834C20">
          <w:rPr>
            <w:rStyle w:val="Hyperlink"/>
            <w:bCs/>
            <w:noProof/>
            <w:lang w:val="cs"/>
          </w:rPr>
          <w:t>Rozsah tohoto souhrnu údajů o bezpečnosti a klinické funkci (SSCP):</w:t>
        </w:r>
        <w:r w:rsidR="00D114D5">
          <w:rPr>
            <w:noProof/>
            <w:webHidden/>
          </w:rPr>
          <w:tab/>
        </w:r>
        <w:r w:rsidR="00D114D5">
          <w:rPr>
            <w:noProof/>
            <w:webHidden/>
          </w:rPr>
          <w:fldChar w:fldCharType="begin"/>
        </w:r>
        <w:r w:rsidR="00D114D5">
          <w:rPr>
            <w:noProof/>
            <w:webHidden/>
          </w:rPr>
          <w:instrText xml:space="preserve"> PAGEREF _Toc222741214 \h </w:instrText>
        </w:r>
        <w:r w:rsidR="00D114D5">
          <w:rPr>
            <w:noProof/>
            <w:webHidden/>
          </w:rPr>
        </w:r>
        <w:r w:rsidR="00D114D5"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3</w:t>
        </w:r>
        <w:r w:rsidR="00D114D5">
          <w:rPr>
            <w:noProof/>
            <w:webHidden/>
          </w:rPr>
          <w:fldChar w:fldCharType="end"/>
        </w:r>
      </w:hyperlink>
    </w:p>
    <w:p w14:paraId="5EB82BC3" w14:textId="71E19669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15" w:history="1">
        <w:r w:rsidRPr="00834C20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Obchodní název prostředku: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A73BB0B" w14:textId="15D3F696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16" w:history="1">
        <w:r w:rsidRPr="00834C20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Popis prostředku, základní UDI-DI a klasifikace EU: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4DB81B8" w14:textId="5DE48A65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17" w:history="1">
        <w:r w:rsidRPr="00834C20">
          <w:rPr>
            <w:rStyle w:val="Hyperlink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Rok, kdy byl vydán první certifikát (CE) vztahující se k prostředku: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40C38D4" w14:textId="08B1E348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18" w:history="1">
        <w:r w:rsidRPr="00834C20">
          <w:rPr>
            <w:rStyle w:val="Hyperlink"/>
            <w:noProof/>
          </w:rPr>
          <w:t>1.4.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Název výrobce, adresa a registrační číslo: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ECCD58" w14:textId="7638689B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19" w:history="1">
        <w:r w:rsidRPr="00834C20">
          <w:rPr>
            <w:rStyle w:val="Hyperlink"/>
            <w:noProof/>
          </w:rPr>
          <w:t>1.5.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Název oprávněného zástupce a registrační číslo: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E8E88E1" w14:textId="63C6D210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20" w:history="1">
        <w:r w:rsidRPr="00834C20">
          <w:rPr>
            <w:rStyle w:val="Hyperlink"/>
            <w:noProof/>
          </w:rPr>
          <w:t>1.6.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Název OS a jednotné identifikační číslo: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D25E665" w14:textId="0516F057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21" w:history="1">
        <w:r w:rsidRPr="00834C20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Zamýšlené použití/účel prostředku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04958C" w14:textId="18D5AE11" w:rsidR="00D114D5" w:rsidRDefault="00C543E4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22" w:history="1">
        <w:r w:rsidRPr="00834C20"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Zamýšlený účel / zamýšlené použití</w:t>
        </w:r>
        <w:r>
          <w:rPr>
            <w:noProof/>
            <w:webHidden/>
          </w:rPr>
          <w:tab/>
          <w:t>4</w:t>
        </w:r>
      </w:hyperlink>
    </w:p>
    <w:p w14:paraId="54E9E211" w14:textId="5883810A" w:rsidR="00D114D5" w:rsidRDefault="00C543E4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23" w:history="1">
        <w:r w:rsidRPr="00834C20"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Indikace k použití</w:t>
        </w:r>
        <w:r>
          <w:rPr>
            <w:noProof/>
            <w:webHidden/>
          </w:rPr>
          <w:tab/>
          <w:t>4</w:t>
        </w:r>
      </w:hyperlink>
    </w:p>
    <w:p w14:paraId="2B928796" w14:textId="65DE1258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24" w:history="1">
        <w:r w:rsidRPr="00834C20">
          <w:rPr>
            <w:rStyle w:val="Hyperlink"/>
            <w:noProof/>
          </w:rPr>
          <w:t>2.3.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Cílová populace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F683E10" w14:textId="2F74A8AA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25" w:history="1">
        <w:r w:rsidRPr="00834C20">
          <w:rPr>
            <w:rStyle w:val="Hyperlink"/>
            <w:noProof/>
          </w:rPr>
          <w:t>2.4.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Kontraindikace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D21CAF9" w14:textId="5F6437E5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26" w:history="1">
        <w:r w:rsidRPr="00834C20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Popis prostředku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4748029" w14:textId="6A2FAC4C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27" w:history="1">
        <w:r w:rsidRPr="00834C20">
          <w:rPr>
            <w:rStyle w:val="Hyperlink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Popis prostředku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465663C" w14:textId="47FA45AF" w:rsidR="00D114D5" w:rsidRDefault="00C543E4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28" w:history="1">
        <w:r w:rsidRPr="00834C20">
          <w:rPr>
            <w:rStyle w:val="Hyperlink"/>
            <w:noProof/>
          </w:rPr>
          <w:t>3.2.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Předchozí varianty a odlišnosti oproti nim</w:t>
        </w:r>
        <w:r>
          <w:rPr>
            <w:noProof/>
            <w:webHidden/>
          </w:rPr>
          <w:tab/>
          <w:t>5</w:t>
        </w:r>
      </w:hyperlink>
    </w:p>
    <w:p w14:paraId="610FCE42" w14:textId="67501760" w:rsidR="00D114D5" w:rsidRDefault="00C543E4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29" w:history="1">
        <w:r w:rsidRPr="00834C20">
          <w:rPr>
            <w:rStyle w:val="Hyperlink"/>
            <w:noProof/>
          </w:rPr>
          <w:t>3.3.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Příslušenství, kompatibilní prostředky a další produkty používané v kombinaci</w:t>
        </w:r>
        <w:r>
          <w:rPr>
            <w:noProof/>
            <w:webHidden/>
          </w:rPr>
          <w:tab/>
          <w:t>5</w:t>
        </w:r>
      </w:hyperlink>
    </w:p>
    <w:p w14:paraId="3668983D" w14:textId="52EB1F31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30" w:history="1">
        <w:r w:rsidRPr="00834C20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Rizika a varování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5A522F7" w14:textId="4222CA8B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31" w:history="1">
        <w:r w:rsidRPr="00834C20">
          <w:rPr>
            <w:rStyle w:val="Hyperlink"/>
            <w:noProof/>
          </w:rPr>
          <w:t>4.1.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Zbytková rizika a nežádoucí vedlejší účinky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B3B5086" w14:textId="48F880C6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32" w:history="1">
        <w:r w:rsidRPr="00834C20">
          <w:rPr>
            <w:rStyle w:val="Hyperlink"/>
            <w:noProof/>
          </w:rPr>
          <w:t>4.2.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Varování a bezpečnostní opatření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D8CE2A4" w14:textId="0E21C3C6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33" w:history="1">
        <w:r w:rsidRPr="00834C20">
          <w:rPr>
            <w:rStyle w:val="Hyperlink"/>
            <w:noProof/>
          </w:rPr>
          <w:t>4.3.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Další relevantní aspekty bezpečnosti, včetně shrnutí případných bezpečnostních nápravných opatření pro terén (FSCA včetně FSN), pokud existují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0DFB61A" w14:textId="4453A521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34" w:history="1">
        <w:r w:rsidRPr="00834C20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Souhrn klinického hodnocení a klinického sledování po uvedení na trh (PMCF)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159B4F9" w14:textId="17009A28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35" w:history="1">
        <w:r w:rsidRPr="00834C20">
          <w:rPr>
            <w:rStyle w:val="Hyperlink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Souhrn klinických údajů týkajících se ekvivalentního prostředku, pokud existuje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98090C5" w14:textId="1DD93920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36" w:history="1">
        <w:r w:rsidRPr="00834C20">
          <w:rPr>
            <w:rStyle w:val="Hyperlink"/>
            <w:noProof/>
          </w:rPr>
          <w:t>5.2.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Souhrn klinických údajů z provedených zkoušek prostředku před označením CE, pokud existují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43EA703" w14:textId="6235B518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37" w:history="1">
        <w:r w:rsidRPr="00834C20">
          <w:rPr>
            <w:rStyle w:val="Hyperlink"/>
            <w:noProof/>
          </w:rPr>
          <w:t>5.3.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Souhrn klinických údajů z jiných zdrojů, pokud existují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29A08F0" w14:textId="3129ABB9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38" w:history="1">
        <w:r w:rsidRPr="00834C20">
          <w:rPr>
            <w:rStyle w:val="Hyperlink"/>
            <w:noProof/>
          </w:rPr>
          <w:t>5.4.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Celkové shrnutí klinické funkce a bezpečnosti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A55B9C6" w14:textId="6E891F91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39" w:history="1">
        <w:r w:rsidRPr="00834C20">
          <w:rPr>
            <w:rStyle w:val="Hyperlink"/>
            <w:noProof/>
          </w:rPr>
          <w:t>5.5.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Probíhající nebo plánované klinické sledování po uvedení na trh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5C4D1EC" w14:textId="424E1102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40" w:history="1">
        <w:r w:rsidRPr="00834C20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Možné diagnostické nebo terapeutické alternativy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AB62148" w14:textId="069D9EB0" w:rsidR="00D114D5" w:rsidRDefault="00C543E4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41" w:history="1">
        <w:r w:rsidRPr="00834C20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Navrhovaný profil a školení pro uživatele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82772C5" w14:textId="67DD6D1F" w:rsidR="00D114D5" w:rsidRDefault="00C543E4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42" w:history="1">
        <w:r w:rsidRPr="00834C20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Harmonizované normy / společné specifikace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C6A981A" w14:textId="0AFAC62B" w:rsidR="00D114D5" w:rsidRDefault="00D114D5">
      <w:pPr>
        <w:pStyle w:val="TOC1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2741243" w:history="1">
        <w:r w:rsidRPr="00834C20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lang w:eastAsia="zh-CN"/>
            <w14:ligatures w14:val="standardContextual"/>
          </w:rPr>
          <w:tab/>
        </w:r>
        <w:r w:rsidRPr="00834C20">
          <w:rPr>
            <w:rStyle w:val="Hyperlink"/>
            <w:bCs/>
            <w:noProof/>
            <w:lang w:val="cs"/>
          </w:rPr>
          <w:t>Historie revizí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_Toc222741243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273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9D6E5E3" w14:textId="505A018D" w:rsidR="006F0810" w:rsidRPr="009461CC" w:rsidRDefault="006F0810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</w:rPr>
        <w:fldChar w:fldCharType="end"/>
      </w:r>
    </w:p>
    <w:p w14:paraId="343DF155" w14:textId="77777777" w:rsidR="006F0810" w:rsidRPr="009461CC" w:rsidRDefault="006F0810" w:rsidP="00042B91">
      <w:pPr>
        <w:spacing w:after="0" w:afterAutospacing="0" w:line="240" w:lineRule="auto"/>
        <w:rPr>
          <w:rFonts w:cs="Times New Roman"/>
        </w:rPr>
      </w:pPr>
      <w:r>
        <w:rPr>
          <w:rFonts w:cs="Times New Roman"/>
          <w:lang w:val="cs"/>
        </w:rPr>
        <w:br w:type="page"/>
      </w:r>
    </w:p>
    <w:p w14:paraId="453DC774" w14:textId="77777777" w:rsidR="00221CEF" w:rsidRPr="004B64B4" w:rsidRDefault="00221CEF" w:rsidP="00042B91">
      <w:pPr>
        <w:pStyle w:val="Heading7"/>
        <w:spacing w:after="0" w:afterAutospacing="0"/>
        <w:rPr>
          <w:lang w:val="pl-PL"/>
        </w:rPr>
      </w:pPr>
      <w:r>
        <w:rPr>
          <w:bCs/>
          <w:lang w:val="cs"/>
        </w:rPr>
        <w:lastRenderedPageBreak/>
        <w:t>Souhrn údajů o bezpečnosti a klinické funkci</w:t>
      </w:r>
    </w:p>
    <w:p w14:paraId="2D567C3A" w14:textId="4D6B7954" w:rsidR="00221CEF" w:rsidRPr="004B64B4" w:rsidRDefault="00221CEF" w:rsidP="00042B91">
      <w:pPr>
        <w:spacing w:after="0" w:afterAutospacing="0" w:line="240" w:lineRule="auto"/>
        <w:rPr>
          <w:rFonts w:cs="Times New Roman"/>
          <w:lang w:val="pl-PL"/>
        </w:rPr>
      </w:pPr>
      <w:r>
        <w:rPr>
          <w:rFonts w:cs="Times New Roman"/>
          <w:lang w:val="cs"/>
        </w:rPr>
        <w:t>Účelem tohoto souhrnu údajů o bezpečnosti a klinické funkci (SSCP) je poskytnout veřejný přístup k aktualizovanému souhrnu hlavních aspektů bezpečnosti a klinické funkce prostředku.</w:t>
      </w:r>
    </w:p>
    <w:p w14:paraId="549AF428" w14:textId="35F6904C" w:rsidR="00221CEF" w:rsidRPr="004B64B4" w:rsidRDefault="00221CEF" w:rsidP="00042B91">
      <w:pPr>
        <w:spacing w:after="0" w:afterAutospacing="0" w:line="240" w:lineRule="auto"/>
        <w:rPr>
          <w:rFonts w:cs="Times New Roman"/>
          <w:lang w:val="pl-PL"/>
        </w:rPr>
      </w:pPr>
      <w:r>
        <w:rPr>
          <w:rFonts w:cs="Times New Roman"/>
          <w:lang w:val="cs"/>
        </w:rPr>
        <w:t>Účelem SSCP není nahradit návod k použití jako hlavní dokument zajišťující bezpečné používání prostředku, ani poskytovat diagnostické nebo terapeutické návrhy zamýšleným uživatelům nebo pacientům.</w:t>
      </w:r>
    </w:p>
    <w:p w14:paraId="6E1D4297" w14:textId="77777777" w:rsidR="00042B91" w:rsidRPr="004B64B4" w:rsidRDefault="00042B91" w:rsidP="00042B91">
      <w:pPr>
        <w:spacing w:after="0" w:afterAutospacing="0" w:line="240" w:lineRule="auto"/>
        <w:rPr>
          <w:rFonts w:cs="Times New Roman"/>
          <w:lang w:val="pl-PL"/>
        </w:rPr>
      </w:pPr>
    </w:p>
    <w:p w14:paraId="57958E5A" w14:textId="739089BF" w:rsidR="00221CEF" w:rsidRPr="004B64B4" w:rsidRDefault="00221CEF" w:rsidP="00042B91">
      <w:pPr>
        <w:spacing w:after="0" w:afterAutospacing="0" w:line="240" w:lineRule="auto"/>
        <w:rPr>
          <w:rFonts w:cs="Times New Roman"/>
          <w:lang w:val="pl-PL"/>
        </w:rPr>
      </w:pPr>
      <w:r>
        <w:rPr>
          <w:rFonts w:cs="Times New Roman"/>
          <w:lang w:val="cs"/>
        </w:rPr>
        <w:t>Následující informace jsou určeny pro uživatele / zdravotnické pracovníky.</w:t>
      </w:r>
    </w:p>
    <w:p w14:paraId="18A77BED" w14:textId="77777777" w:rsidR="00042B91" w:rsidRPr="004B64B4" w:rsidRDefault="00042B91" w:rsidP="00042B91">
      <w:pPr>
        <w:spacing w:after="0" w:afterAutospacing="0" w:line="240" w:lineRule="auto"/>
        <w:rPr>
          <w:rFonts w:cs="Times New Roman"/>
          <w:lang w:val="pl-PL"/>
        </w:rPr>
      </w:pPr>
    </w:p>
    <w:p w14:paraId="6E5276B4" w14:textId="2AFD9220" w:rsidR="00042B91" w:rsidRPr="004B64B4" w:rsidRDefault="006F0810" w:rsidP="00F67A0E">
      <w:pPr>
        <w:pStyle w:val="Heading1"/>
        <w:numPr>
          <w:ilvl w:val="0"/>
          <w:numId w:val="2"/>
        </w:numPr>
        <w:rPr>
          <w:rFonts w:cs="Times New Roman"/>
          <w:lang w:val="pl-PL"/>
        </w:rPr>
      </w:pPr>
      <w:bookmarkStart w:id="0" w:name="_Toc222741214"/>
      <w:r>
        <w:rPr>
          <w:rFonts w:cs="Times New Roman"/>
          <w:bCs/>
          <w:lang w:val="cs"/>
        </w:rPr>
        <w:t>Rozsah tohoto souhrnu údajů o bezpečnosti a klinické funkci (SSCP):</w:t>
      </w:r>
      <w:bookmarkEnd w:id="0"/>
    </w:p>
    <w:p w14:paraId="5CDBAEA3" w14:textId="77777777" w:rsidR="00042B91" w:rsidRPr="004B64B4" w:rsidRDefault="00042B91" w:rsidP="00042B91">
      <w:pPr>
        <w:spacing w:after="0" w:afterAutospacing="0" w:line="240" w:lineRule="auto"/>
        <w:rPr>
          <w:rFonts w:cs="Times New Roman"/>
          <w:lang w:val="pl-PL"/>
        </w:rPr>
      </w:pPr>
    </w:p>
    <w:p w14:paraId="45E5BCB2" w14:textId="6E901CD2" w:rsidR="00AA2E04" w:rsidRPr="009461CC" w:rsidRDefault="00221CEF" w:rsidP="00042B91">
      <w:pPr>
        <w:pStyle w:val="Heading1"/>
        <w:rPr>
          <w:rFonts w:cs="Times New Roman"/>
        </w:rPr>
      </w:pPr>
      <w:bookmarkStart w:id="1" w:name="_Toc222741215"/>
      <w:r>
        <w:rPr>
          <w:rFonts w:cs="Times New Roman"/>
          <w:bCs/>
          <w:lang w:val="cs"/>
        </w:rPr>
        <w:t>Obchodní název prostředku:</w:t>
      </w:r>
      <w:bookmarkEnd w:id="1"/>
      <w:r>
        <w:rPr>
          <w:rFonts w:cs="Times New Roman"/>
          <w:bCs/>
          <w:lang w:val="cs"/>
        </w:rPr>
        <w:t xml:space="preserve"> </w:t>
      </w:r>
    </w:p>
    <w:p w14:paraId="29AE9E59" w14:textId="34B03E64" w:rsidR="00042B91" w:rsidRPr="009461CC" w:rsidRDefault="00982459" w:rsidP="001E6921">
      <w:pPr>
        <w:spacing w:after="0" w:afterAutospacing="0" w:line="240" w:lineRule="auto"/>
        <w:ind w:left="792"/>
        <w:rPr>
          <w:rFonts w:cs="Times New Roman"/>
        </w:rPr>
      </w:pPr>
      <w:r>
        <w:rPr>
          <w:rFonts w:cs="Times New Roman"/>
          <w:lang w:val="cs"/>
        </w:rPr>
        <w:t xml:space="preserve">Souprava cévního smyčkového katétru </w:t>
      </w:r>
      <w:r w:rsidR="004B64B4">
        <w:rPr>
          <w:rFonts w:cs="Times New Roman"/>
          <w:lang w:val="cs"/>
        </w:rPr>
        <w:t xml:space="preserve">Snare </w:t>
      </w:r>
      <w:r>
        <w:rPr>
          <w:rFonts w:cs="Times New Roman"/>
          <w:lang w:val="cs"/>
        </w:rPr>
        <w:t>Atrieve</w:t>
      </w:r>
    </w:p>
    <w:p w14:paraId="6E4554A3" w14:textId="77777777" w:rsidR="00982459" w:rsidRPr="009461CC" w:rsidRDefault="00982459" w:rsidP="00042B91">
      <w:pPr>
        <w:spacing w:after="0" w:afterAutospacing="0" w:line="240" w:lineRule="auto"/>
        <w:rPr>
          <w:rFonts w:cs="Times New Roman"/>
        </w:rPr>
      </w:pPr>
    </w:p>
    <w:p w14:paraId="7E6E8DB0" w14:textId="23280863" w:rsidR="00221CEF" w:rsidRPr="002C2733" w:rsidRDefault="00221CEF" w:rsidP="00042B91">
      <w:pPr>
        <w:pStyle w:val="Heading1"/>
        <w:rPr>
          <w:rFonts w:cs="Times New Roman"/>
          <w:lang w:val="it-IT"/>
        </w:rPr>
      </w:pPr>
      <w:bookmarkStart w:id="2" w:name="_Toc222741216"/>
      <w:r>
        <w:rPr>
          <w:rFonts w:cs="Times New Roman"/>
          <w:bCs/>
          <w:lang w:val="cs"/>
        </w:rPr>
        <w:t>Popis prostředku, základní UDI-DI a klasifikace EU: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1440"/>
        <w:gridCol w:w="1530"/>
        <w:gridCol w:w="1350"/>
        <w:gridCol w:w="2065"/>
      </w:tblGrid>
      <w:tr w:rsidR="006266F5" w:rsidRPr="009461CC" w14:paraId="77A15E5D" w14:textId="77777777" w:rsidTr="00F36B7E">
        <w:tc>
          <w:tcPr>
            <w:tcW w:w="4045" w:type="dxa"/>
            <w:shd w:val="clear" w:color="auto" w:fill="E7E6E6" w:themeFill="background2"/>
          </w:tcPr>
          <w:p w14:paraId="6089AC65" w14:textId="5ACA6E64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cs"/>
              </w:rPr>
              <w:t>Název prostředku a popis</w:t>
            </w:r>
          </w:p>
        </w:tc>
        <w:tc>
          <w:tcPr>
            <w:tcW w:w="1440" w:type="dxa"/>
            <w:shd w:val="clear" w:color="auto" w:fill="E7E6E6" w:themeFill="background2"/>
          </w:tcPr>
          <w:p w14:paraId="18959F52" w14:textId="108D25E1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cs"/>
              </w:rPr>
              <w:t>Klasifikace</w:t>
            </w:r>
          </w:p>
        </w:tc>
        <w:tc>
          <w:tcPr>
            <w:tcW w:w="1530" w:type="dxa"/>
            <w:shd w:val="clear" w:color="auto" w:fill="E7E6E6" w:themeFill="background2"/>
          </w:tcPr>
          <w:p w14:paraId="1CA77B88" w14:textId="5CBB4D69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cs"/>
              </w:rPr>
              <w:t>Kód GMDN</w:t>
            </w:r>
          </w:p>
        </w:tc>
        <w:tc>
          <w:tcPr>
            <w:tcW w:w="1350" w:type="dxa"/>
            <w:shd w:val="clear" w:color="auto" w:fill="E7E6E6" w:themeFill="background2"/>
          </w:tcPr>
          <w:p w14:paraId="603AC5E7" w14:textId="64E6761C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cs"/>
              </w:rPr>
              <w:t>EMDN</w:t>
            </w:r>
          </w:p>
        </w:tc>
        <w:tc>
          <w:tcPr>
            <w:tcW w:w="2065" w:type="dxa"/>
            <w:shd w:val="clear" w:color="auto" w:fill="E7E6E6" w:themeFill="background2"/>
          </w:tcPr>
          <w:p w14:paraId="49C72348" w14:textId="0CB79C70" w:rsidR="006266F5" w:rsidRPr="009461CC" w:rsidRDefault="006266F5" w:rsidP="0015690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lang w:val="cs"/>
              </w:rPr>
              <w:t>Základní UDI-DI</w:t>
            </w:r>
          </w:p>
        </w:tc>
      </w:tr>
      <w:tr w:rsidR="006266F5" w:rsidRPr="009461CC" w14:paraId="72288A12" w14:textId="77777777" w:rsidTr="00F36B7E">
        <w:tc>
          <w:tcPr>
            <w:tcW w:w="4045" w:type="dxa"/>
          </w:tcPr>
          <w:p w14:paraId="04AE147E" w14:textId="1B341BB9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 xml:space="preserve">Souprava cévního smyčkového katétru </w:t>
            </w:r>
            <w:r w:rsidR="004B64B4">
              <w:rPr>
                <w:rFonts w:cs="Times New Roman"/>
                <w:lang w:val="cs"/>
              </w:rPr>
              <w:t>Snare™ Atrieve</w:t>
            </w:r>
            <w:r>
              <w:rPr>
                <w:rFonts w:cs="Times New Roman"/>
                <w:lang w:val="cs"/>
              </w:rPr>
              <w:t>, průměr smyčky 6–10 mm x 120 cm, katétr 6F x 100 cm</w:t>
            </w:r>
          </w:p>
        </w:tc>
        <w:tc>
          <w:tcPr>
            <w:tcW w:w="1440" w:type="dxa"/>
            <w:vMerge w:val="restart"/>
          </w:tcPr>
          <w:p w14:paraId="016CD4E1" w14:textId="205743A9" w:rsidR="006266F5" w:rsidRPr="009461CC" w:rsidRDefault="00BA7D3E" w:rsidP="00D241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Třída III</w:t>
            </w:r>
          </w:p>
        </w:tc>
        <w:tc>
          <w:tcPr>
            <w:tcW w:w="1530" w:type="dxa"/>
            <w:vMerge w:val="restart"/>
          </w:tcPr>
          <w:p w14:paraId="2554DF3F" w14:textId="217E32BA" w:rsidR="006266F5" w:rsidRPr="009461CC" w:rsidRDefault="006266F5" w:rsidP="00D241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17927</w:t>
            </w:r>
          </w:p>
        </w:tc>
        <w:tc>
          <w:tcPr>
            <w:tcW w:w="1350" w:type="dxa"/>
            <w:vMerge w:val="restart"/>
          </w:tcPr>
          <w:p w14:paraId="44053393" w14:textId="5F7E5816" w:rsidR="006266F5" w:rsidRPr="009461CC" w:rsidRDefault="006266F5" w:rsidP="00D241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C019005</w:t>
            </w:r>
          </w:p>
        </w:tc>
        <w:tc>
          <w:tcPr>
            <w:tcW w:w="2065" w:type="dxa"/>
            <w:vMerge w:val="restart"/>
          </w:tcPr>
          <w:p w14:paraId="16987761" w14:textId="1464A232" w:rsidR="006266F5" w:rsidRPr="009461CC" w:rsidRDefault="006266F5" w:rsidP="00D2416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088633329000132</w:t>
            </w:r>
          </w:p>
        </w:tc>
      </w:tr>
      <w:tr w:rsidR="006266F5" w:rsidRPr="009461CC" w14:paraId="674985B4" w14:textId="77777777" w:rsidTr="00F36B7E">
        <w:tc>
          <w:tcPr>
            <w:tcW w:w="4045" w:type="dxa"/>
          </w:tcPr>
          <w:p w14:paraId="1845B978" w14:textId="3918577B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 xml:space="preserve">Souprava cévního smyčkového katétru </w:t>
            </w:r>
            <w:r w:rsidR="004B64B4">
              <w:rPr>
                <w:rFonts w:cs="Times New Roman"/>
                <w:lang w:val="cs"/>
              </w:rPr>
              <w:t>Snare™ Atrieve</w:t>
            </w:r>
            <w:r>
              <w:rPr>
                <w:rFonts w:cs="Times New Roman"/>
                <w:lang w:val="cs"/>
              </w:rPr>
              <w:t xml:space="preserve">, průměr smyčky 9–15 mm x 120 cm, katétr 6F x 100 cm </w:t>
            </w:r>
          </w:p>
        </w:tc>
        <w:tc>
          <w:tcPr>
            <w:tcW w:w="1440" w:type="dxa"/>
            <w:vMerge/>
          </w:tcPr>
          <w:p w14:paraId="0F2DCD20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530" w:type="dxa"/>
            <w:vMerge/>
          </w:tcPr>
          <w:p w14:paraId="45E8FDD8" w14:textId="4AADF8C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165F2BBA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065" w:type="dxa"/>
            <w:vMerge/>
          </w:tcPr>
          <w:p w14:paraId="5C1D3365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1B0B0E25" w14:textId="77777777" w:rsidTr="00F36B7E">
        <w:tc>
          <w:tcPr>
            <w:tcW w:w="4045" w:type="dxa"/>
          </w:tcPr>
          <w:p w14:paraId="0A9B2655" w14:textId="75E0EA43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 xml:space="preserve">Souprava cévního smyčkového katétru </w:t>
            </w:r>
            <w:r w:rsidR="004B64B4">
              <w:rPr>
                <w:rFonts w:cs="Times New Roman"/>
                <w:lang w:val="cs"/>
              </w:rPr>
              <w:t>Snare™ Atrieve</w:t>
            </w:r>
            <w:r>
              <w:rPr>
                <w:rFonts w:cs="Times New Roman"/>
                <w:lang w:val="cs"/>
              </w:rPr>
              <w:t xml:space="preserve">, průměr smyčky 12–20 mm x 120 cm, katétr 6F x 100 cm </w:t>
            </w:r>
          </w:p>
        </w:tc>
        <w:tc>
          <w:tcPr>
            <w:tcW w:w="1440" w:type="dxa"/>
            <w:vMerge/>
          </w:tcPr>
          <w:p w14:paraId="4F42F09B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530" w:type="dxa"/>
            <w:vMerge/>
          </w:tcPr>
          <w:p w14:paraId="7D1A397B" w14:textId="2F1838AC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721C2322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065" w:type="dxa"/>
            <w:vMerge/>
          </w:tcPr>
          <w:p w14:paraId="3C7CCE81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06B07953" w14:textId="77777777" w:rsidTr="00F36B7E">
        <w:tc>
          <w:tcPr>
            <w:tcW w:w="4045" w:type="dxa"/>
          </w:tcPr>
          <w:p w14:paraId="122A6EC5" w14:textId="508811B6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 xml:space="preserve">Souprava cévního smyčkového katétru </w:t>
            </w:r>
            <w:r w:rsidR="004B64B4">
              <w:rPr>
                <w:rFonts w:cs="Times New Roman"/>
                <w:lang w:val="cs"/>
              </w:rPr>
              <w:t>Snare™ Atrieve</w:t>
            </w:r>
            <w:r>
              <w:rPr>
                <w:rFonts w:cs="Times New Roman"/>
                <w:lang w:val="cs"/>
              </w:rPr>
              <w:t xml:space="preserve">, průměr smyčky 18–30 mm x 120 cm, katétr 7F x 100 cm </w:t>
            </w:r>
          </w:p>
        </w:tc>
        <w:tc>
          <w:tcPr>
            <w:tcW w:w="1440" w:type="dxa"/>
            <w:vMerge/>
          </w:tcPr>
          <w:p w14:paraId="1913C875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530" w:type="dxa"/>
            <w:vMerge/>
          </w:tcPr>
          <w:p w14:paraId="00E8406E" w14:textId="7131A855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68FC6CAA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065" w:type="dxa"/>
            <w:vMerge/>
          </w:tcPr>
          <w:p w14:paraId="36E19225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70E2EDC2" w14:textId="77777777" w:rsidTr="00F36B7E">
        <w:tc>
          <w:tcPr>
            <w:tcW w:w="4045" w:type="dxa"/>
          </w:tcPr>
          <w:p w14:paraId="3B2B1D80" w14:textId="0F1C593F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 xml:space="preserve">Souprava cévního smyčkového katétru </w:t>
            </w:r>
            <w:r w:rsidR="004B64B4">
              <w:rPr>
                <w:rFonts w:cs="Times New Roman"/>
                <w:lang w:val="cs"/>
              </w:rPr>
              <w:t>Snare™ Atrieve</w:t>
            </w:r>
            <w:r>
              <w:rPr>
                <w:rFonts w:cs="Times New Roman"/>
                <w:lang w:val="cs"/>
              </w:rPr>
              <w:t>, průměr smyčky 27–45 mm x 120 cm, katétr 7F x 100 cm</w:t>
            </w:r>
          </w:p>
        </w:tc>
        <w:tc>
          <w:tcPr>
            <w:tcW w:w="1440" w:type="dxa"/>
            <w:vMerge/>
          </w:tcPr>
          <w:p w14:paraId="5D298385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530" w:type="dxa"/>
            <w:vMerge/>
          </w:tcPr>
          <w:p w14:paraId="001781C2" w14:textId="46419622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20D9A32E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065" w:type="dxa"/>
            <w:vMerge/>
          </w:tcPr>
          <w:p w14:paraId="5855DBED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7E3403A6" w14:textId="77777777" w:rsidTr="00F36B7E">
        <w:tc>
          <w:tcPr>
            <w:tcW w:w="4045" w:type="dxa"/>
          </w:tcPr>
          <w:p w14:paraId="675708BF" w14:textId="4D988F77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 xml:space="preserve">Souprava cévního smyčkového katétru </w:t>
            </w:r>
            <w:r w:rsidR="004B64B4">
              <w:rPr>
                <w:rFonts w:cs="Times New Roman"/>
                <w:lang w:val="cs"/>
              </w:rPr>
              <w:t>Snare™ Atrieve</w:t>
            </w:r>
            <w:r>
              <w:rPr>
                <w:rFonts w:cs="Times New Roman"/>
                <w:lang w:val="cs"/>
              </w:rPr>
              <w:t xml:space="preserve">, průměr smyčky 2–4 mm x 175 cm, katétr 3.2F x 150 cm </w:t>
            </w:r>
          </w:p>
        </w:tc>
        <w:tc>
          <w:tcPr>
            <w:tcW w:w="1440" w:type="dxa"/>
            <w:vMerge/>
          </w:tcPr>
          <w:p w14:paraId="4005AAE7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530" w:type="dxa"/>
            <w:vMerge/>
          </w:tcPr>
          <w:p w14:paraId="10F77F80" w14:textId="1EEE88E0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01E30B80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065" w:type="dxa"/>
            <w:vMerge/>
          </w:tcPr>
          <w:p w14:paraId="7E3CD13D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  <w:tr w:rsidR="006266F5" w:rsidRPr="009461CC" w14:paraId="163BEE28" w14:textId="77777777" w:rsidTr="00F36B7E">
        <w:tc>
          <w:tcPr>
            <w:tcW w:w="4045" w:type="dxa"/>
          </w:tcPr>
          <w:p w14:paraId="2C7CFD34" w14:textId="70C4B04E" w:rsidR="006266F5" w:rsidRPr="009461CC" w:rsidRDefault="006266F5" w:rsidP="005B3E76">
            <w:pPr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 xml:space="preserve">Souprava cévního smyčkového katétru </w:t>
            </w:r>
            <w:r w:rsidR="004B64B4">
              <w:rPr>
                <w:rFonts w:cs="Times New Roman"/>
                <w:lang w:val="cs"/>
              </w:rPr>
              <w:t>Snare™ Atrieve</w:t>
            </w:r>
            <w:r>
              <w:rPr>
                <w:rFonts w:cs="Times New Roman"/>
                <w:lang w:val="cs"/>
              </w:rPr>
              <w:t>, průměr smyčky 4–8 mm x 175 cm, katétr 3.2F x 150 cm</w:t>
            </w:r>
          </w:p>
        </w:tc>
        <w:tc>
          <w:tcPr>
            <w:tcW w:w="1440" w:type="dxa"/>
            <w:vMerge/>
          </w:tcPr>
          <w:p w14:paraId="796C4314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530" w:type="dxa"/>
            <w:vMerge/>
          </w:tcPr>
          <w:p w14:paraId="520A7E25" w14:textId="5F41C696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1350" w:type="dxa"/>
            <w:vMerge/>
          </w:tcPr>
          <w:p w14:paraId="77962B81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  <w:tc>
          <w:tcPr>
            <w:tcW w:w="2065" w:type="dxa"/>
            <w:vMerge/>
          </w:tcPr>
          <w:p w14:paraId="570FDA70" w14:textId="77777777" w:rsidR="006266F5" w:rsidRPr="009461CC" w:rsidRDefault="006266F5" w:rsidP="005B3E76">
            <w:pPr>
              <w:rPr>
                <w:rFonts w:cs="Times New Roman"/>
              </w:rPr>
            </w:pPr>
          </w:p>
        </w:tc>
      </w:tr>
    </w:tbl>
    <w:p w14:paraId="2DAE4D4B" w14:textId="77777777" w:rsidR="00AA2E04" w:rsidRPr="009461CC" w:rsidRDefault="00AA2E04" w:rsidP="00AA3694">
      <w:pPr>
        <w:pStyle w:val="Heading1"/>
        <w:numPr>
          <w:ilvl w:val="0"/>
          <w:numId w:val="0"/>
        </w:numPr>
        <w:rPr>
          <w:rFonts w:cs="Times New Roman"/>
        </w:rPr>
      </w:pPr>
    </w:p>
    <w:p w14:paraId="4B18C73D" w14:textId="72C79B52" w:rsidR="009855C3" w:rsidRPr="009461CC" w:rsidRDefault="009855C3" w:rsidP="00042B91">
      <w:pPr>
        <w:pStyle w:val="Heading1"/>
        <w:rPr>
          <w:rFonts w:cs="Times New Roman"/>
        </w:rPr>
      </w:pPr>
      <w:bookmarkStart w:id="3" w:name="_Toc222741217"/>
      <w:r>
        <w:rPr>
          <w:rFonts w:cs="Times New Roman"/>
          <w:bCs/>
          <w:lang w:val="cs"/>
        </w:rPr>
        <w:t>Rok, kdy byl vydán první certifikát (CE) vztahující se k prostředku:</w:t>
      </w:r>
      <w:bookmarkEnd w:id="3"/>
      <w:r>
        <w:rPr>
          <w:rFonts w:cs="Times New Roman"/>
          <w:bCs/>
          <w:lang w:val="cs"/>
        </w:rPr>
        <w:t xml:space="preserve"> </w:t>
      </w:r>
    </w:p>
    <w:p w14:paraId="76BA3EF9" w14:textId="44AC85A4" w:rsidR="00713233" w:rsidRPr="009461CC" w:rsidRDefault="00780A59" w:rsidP="00E714ED">
      <w:pPr>
        <w:spacing w:after="0" w:afterAutospacing="0" w:line="240" w:lineRule="auto"/>
        <w:ind w:left="792"/>
        <w:rPr>
          <w:rFonts w:cs="Times New Roman"/>
        </w:rPr>
      </w:pPr>
      <w:r>
        <w:rPr>
          <w:rFonts w:cs="Times New Roman"/>
          <w:lang w:val="cs"/>
        </w:rPr>
        <w:t xml:space="preserve">Souprava cévního smyčkového katétru </w:t>
      </w:r>
      <w:r w:rsidR="004B64B4">
        <w:rPr>
          <w:rFonts w:cs="Times New Roman"/>
          <w:lang w:val="cs"/>
        </w:rPr>
        <w:t xml:space="preserve">Snare </w:t>
      </w:r>
      <w:r>
        <w:rPr>
          <w:rFonts w:cs="Times New Roman"/>
          <w:lang w:val="cs"/>
        </w:rPr>
        <w:t xml:space="preserve">Atrieve získala v roce 2010 označení CE (CE 608298) v rámci směrnice MDD </w:t>
      </w:r>
    </w:p>
    <w:p w14:paraId="6B157940" w14:textId="77777777" w:rsidR="00FE78AD" w:rsidRPr="009461CC" w:rsidRDefault="00FE78AD" w:rsidP="00E714ED">
      <w:pPr>
        <w:spacing w:after="0" w:afterAutospacing="0" w:line="240" w:lineRule="auto"/>
        <w:ind w:left="792"/>
        <w:rPr>
          <w:rFonts w:cs="Times New Roman"/>
        </w:rPr>
      </w:pPr>
    </w:p>
    <w:p w14:paraId="7DB260B7" w14:textId="77777777" w:rsidR="00FE78AD" w:rsidRPr="009461CC" w:rsidRDefault="00FE78AD" w:rsidP="00E714ED">
      <w:pPr>
        <w:spacing w:after="0" w:afterAutospacing="0" w:line="240" w:lineRule="auto"/>
        <w:ind w:left="792"/>
        <w:rPr>
          <w:rFonts w:cs="Times New Roman"/>
        </w:rPr>
      </w:pPr>
    </w:p>
    <w:p w14:paraId="79EE515A" w14:textId="77777777" w:rsidR="00FE78AD" w:rsidRPr="009461CC" w:rsidRDefault="00FE78AD" w:rsidP="00E714ED">
      <w:pPr>
        <w:spacing w:after="0" w:afterAutospacing="0" w:line="240" w:lineRule="auto"/>
        <w:ind w:left="792"/>
        <w:rPr>
          <w:rFonts w:cs="Times New Roman"/>
        </w:rPr>
      </w:pPr>
    </w:p>
    <w:p w14:paraId="234B8791" w14:textId="77777777" w:rsidR="005C6A90" w:rsidRPr="009461CC" w:rsidRDefault="005C6A90" w:rsidP="00E714ED">
      <w:pPr>
        <w:spacing w:after="0" w:afterAutospacing="0" w:line="240" w:lineRule="auto"/>
        <w:ind w:left="792"/>
        <w:rPr>
          <w:rFonts w:cs="Times New Roman"/>
        </w:rPr>
      </w:pPr>
    </w:p>
    <w:p w14:paraId="10A04209" w14:textId="75FC9DEC" w:rsidR="009855C3" w:rsidRPr="00BB4EC1" w:rsidRDefault="009855C3" w:rsidP="00042B91">
      <w:pPr>
        <w:pStyle w:val="Heading1"/>
        <w:rPr>
          <w:rFonts w:cs="Times New Roman"/>
          <w:lang w:val="pt-BR"/>
        </w:rPr>
      </w:pPr>
      <w:r>
        <w:rPr>
          <w:rFonts w:cs="Times New Roman"/>
          <w:bCs/>
          <w:lang w:val="cs"/>
        </w:rPr>
        <w:lastRenderedPageBreak/>
        <w:t xml:space="preserve"> </w:t>
      </w:r>
      <w:bookmarkStart w:id="4" w:name="_Toc222741218"/>
      <w:r>
        <w:rPr>
          <w:rFonts w:cs="Times New Roman"/>
          <w:bCs/>
          <w:lang w:val="cs"/>
        </w:rPr>
        <w:t>Název výrobce, adresa a registrační číslo:</w:t>
      </w:r>
      <w:bookmarkEnd w:id="4"/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675"/>
        <w:gridCol w:w="5755"/>
      </w:tblGrid>
      <w:tr w:rsidR="00493B5B" w:rsidRPr="009461CC" w14:paraId="49C995E4" w14:textId="77777777" w:rsidTr="00272DE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DB8134E" w14:textId="77777777" w:rsidR="00493B5B" w:rsidRPr="009461CC" w:rsidRDefault="00493B5B" w:rsidP="00AA3694">
            <w:pPr>
              <w:spacing w:after="0" w:afterAutospacing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cs"/>
              </w:rPr>
              <w:t>Informace o výrobci</w:t>
            </w:r>
          </w:p>
        </w:tc>
      </w:tr>
      <w:tr w:rsidR="00493B5B" w:rsidRPr="009461CC" w14:paraId="49F686BA" w14:textId="77777777" w:rsidTr="00272DEA">
        <w:trPr>
          <w:trHeight w:val="489"/>
        </w:trPr>
        <w:tc>
          <w:tcPr>
            <w:tcW w:w="2241" w:type="pct"/>
          </w:tcPr>
          <w:p w14:paraId="55881DB9" w14:textId="77777777" w:rsidR="00493B5B" w:rsidRPr="009461CC" w:rsidRDefault="00493B5B" w:rsidP="00AA3694">
            <w:pPr>
              <w:spacing w:after="0" w:afterAutospacing="0"/>
              <w:jc w:val="both"/>
              <w:rPr>
                <w:spacing w:val="-5"/>
                <w:szCs w:val="24"/>
              </w:rPr>
            </w:pPr>
            <w:r>
              <w:rPr>
                <w:szCs w:val="24"/>
                <w:lang w:val="cs"/>
              </w:rPr>
              <w:t>Registrační číslo výrobce: US-MF-000002324</w:t>
            </w:r>
          </w:p>
        </w:tc>
        <w:tc>
          <w:tcPr>
            <w:tcW w:w="2759" w:type="pct"/>
          </w:tcPr>
          <w:p w14:paraId="61E93080" w14:textId="77777777" w:rsidR="00493B5B" w:rsidRPr="009461CC" w:rsidRDefault="00493B5B" w:rsidP="00AA3694">
            <w:pPr>
              <w:spacing w:after="0" w:afterAutospacing="0"/>
              <w:rPr>
                <w:szCs w:val="24"/>
              </w:rPr>
            </w:pPr>
            <w:r>
              <w:rPr>
                <w:szCs w:val="24"/>
                <w:lang w:val="cs"/>
              </w:rPr>
              <w:t>Název výrobce: Argon Medical Devices, Inc.</w:t>
            </w:r>
          </w:p>
        </w:tc>
      </w:tr>
      <w:tr w:rsidR="00493B5B" w:rsidRPr="009461CC" w14:paraId="03F91594" w14:textId="77777777" w:rsidTr="00272DEA">
        <w:trPr>
          <w:trHeight w:val="525"/>
        </w:trPr>
        <w:tc>
          <w:tcPr>
            <w:tcW w:w="2241" w:type="pct"/>
          </w:tcPr>
          <w:p w14:paraId="119B5A73" w14:textId="77777777" w:rsidR="00493B5B" w:rsidRPr="009461CC" w:rsidRDefault="00493B5B" w:rsidP="00AA3694">
            <w:pPr>
              <w:spacing w:after="0" w:afterAutospacing="0"/>
              <w:jc w:val="both"/>
              <w:rPr>
                <w:spacing w:val="-2"/>
                <w:szCs w:val="24"/>
              </w:rPr>
            </w:pPr>
            <w:r>
              <w:rPr>
                <w:szCs w:val="24"/>
                <w:lang w:val="cs"/>
              </w:rPr>
              <w:t>Jméno a příjmení kontaktní osoby: Scott Bishop</w:t>
            </w:r>
          </w:p>
        </w:tc>
        <w:tc>
          <w:tcPr>
            <w:tcW w:w="2759" w:type="pct"/>
          </w:tcPr>
          <w:p w14:paraId="0FE9AF31" w14:textId="77777777" w:rsidR="00493B5B" w:rsidRPr="009461CC" w:rsidRDefault="00493B5B" w:rsidP="00AA3694">
            <w:pPr>
              <w:widowControl w:val="0"/>
              <w:autoSpaceDE w:val="0"/>
              <w:autoSpaceDN w:val="0"/>
              <w:spacing w:before="42"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cs"/>
              </w:rPr>
              <w:t>E-mail:</w:t>
            </w:r>
            <w:r>
              <w:rPr>
                <w:sz w:val="22"/>
                <w:lang w:val="cs"/>
              </w:rPr>
              <w:t xml:space="preserve"> </w:t>
            </w:r>
            <w:hyperlink r:id="rId11" w:history="1">
              <w:r>
                <w:rPr>
                  <w:color w:val="0563C1"/>
                  <w:szCs w:val="24"/>
                  <w:u w:val="single"/>
                  <w:lang w:val="cs"/>
                </w:rPr>
                <w:t>RegCompliance@argonmedical.com</w:t>
              </w:r>
            </w:hyperlink>
          </w:p>
          <w:p w14:paraId="12F2B43C" w14:textId="77777777" w:rsidR="00493B5B" w:rsidRPr="009461CC" w:rsidRDefault="00493B5B" w:rsidP="00AA3694">
            <w:pPr>
              <w:spacing w:after="0" w:afterAutospacing="0"/>
              <w:rPr>
                <w:szCs w:val="24"/>
              </w:rPr>
            </w:pPr>
          </w:p>
        </w:tc>
      </w:tr>
      <w:tr w:rsidR="00493B5B" w:rsidRPr="009461CC" w14:paraId="075079C3" w14:textId="77777777" w:rsidTr="00272DEA">
        <w:trPr>
          <w:trHeight w:val="525"/>
        </w:trPr>
        <w:tc>
          <w:tcPr>
            <w:tcW w:w="2241" w:type="pct"/>
          </w:tcPr>
          <w:p w14:paraId="05BD6F97" w14:textId="77777777" w:rsidR="00493B5B" w:rsidRPr="009461CC" w:rsidRDefault="00493B5B" w:rsidP="00AA3694">
            <w:pPr>
              <w:widowControl w:val="0"/>
              <w:autoSpaceDE w:val="0"/>
              <w:autoSpaceDN w:val="0"/>
              <w:spacing w:before="42"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cs"/>
              </w:rPr>
              <w:t>Telefonní číslo: 903.675.9321</w:t>
            </w:r>
          </w:p>
        </w:tc>
        <w:tc>
          <w:tcPr>
            <w:tcW w:w="2759" w:type="pct"/>
          </w:tcPr>
          <w:p w14:paraId="260E0D3D" w14:textId="77777777" w:rsidR="001533A4" w:rsidRPr="009461CC" w:rsidRDefault="001533A4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cs"/>
              </w:rPr>
              <w:t>Adresa:</w:t>
            </w:r>
          </w:p>
          <w:p w14:paraId="041EA64B" w14:textId="77777777" w:rsidR="001533A4" w:rsidRPr="009461CC" w:rsidRDefault="001533A4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cs"/>
              </w:rPr>
              <w:t>1445 Flat Creek Rd.</w:t>
            </w:r>
          </w:p>
          <w:p w14:paraId="26DE4983" w14:textId="77777777" w:rsidR="001533A4" w:rsidRPr="009461CC" w:rsidRDefault="001533A4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cs"/>
              </w:rPr>
              <w:t>Athens, Texas 75751</w:t>
            </w:r>
          </w:p>
          <w:p w14:paraId="586DCCA3" w14:textId="38B6FE42" w:rsidR="00493B5B" w:rsidRPr="009461CC" w:rsidRDefault="001533A4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cs"/>
              </w:rPr>
              <w:t>USA</w:t>
            </w:r>
          </w:p>
        </w:tc>
      </w:tr>
    </w:tbl>
    <w:p w14:paraId="2E5002E8" w14:textId="77777777" w:rsidR="00D20FA4" w:rsidRPr="009461CC" w:rsidRDefault="00D20FA4" w:rsidP="00042B91">
      <w:pPr>
        <w:spacing w:after="0" w:afterAutospacing="0" w:line="240" w:lineRule="auto"/>
        <w:ind w:left="1440"/>
        <w:rPr>
          <w:rFonts w:cs="Times New Roman"/>
        </w:rPr>
      </w:pPr>
    </w:p>
    <w:p w14:paraId="1CFB1B57" w14:textId="4BD4E170" w:rsidR="009855C3" w:rsidRPr="00BB4EC1" w:rsidRDefault="00887E5D" w:rsidP="00AA3694">
      <w:pPr>
        <w:pStyle w:val="Heading1"/>
        <w:rPr>
          <w:rFonts w:cs="Times New Roman"/>
          <w:lang w:val="pt-BR"/>
        </w:rPr>
      </w:pPr>
      <w:bookmarkStart w:id="5" w:name="_Toc222741219"/>
      <w:r>
        <w:rPr>
          <w:rFonts w:cs="Times New Roman"/>
          <w:bCs/>
          <w:lang w:val="cs"/>
        </w:rPr>
        <w:t>Název oprávněného zástupce a registrační číslo:</w:t>
      </w:r>
      <w:bookmarkEnd w:id="5"/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4675"/>
        <w:gridCol w:w="5755"/>
      </w:tblGrid>
      <w:tr w:rsidR="008A210D" w:rsidRPr="009461CC" w14:paraId="5389928F" w14:textId="77777777" w:rsidTr="00272DE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FB4BB7C" w14:textId="77777777" w:rsidR="008A210D" w:rsidRPr="009461CC" w:rsidRDefault="008A210D" w:rsidP="008A210D">
            <w:pPr>
              <w:spacing w:after="0" w:afterAutospacing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cs"/>
              </w:rPr>
              <w:t>Informace o oprávněném zástupci</w:t>
            </w:r>
          </w:p>
        </w:tc>
      </w:tr>
      <w:tr w:rsidR="008A210D" w:rsidRPr="00123F3D" w14:paraId="486856D5" w14:textId="77777777" w:rsidTr="00272DEA">
        <w:trPr>
          <w:trHeight w:val="489"/>
        </w:trPr>
        <w:tc>
          <w:tcPr>
            <w:tcW w:w="2241" w:type="pct"/>
          </w:tcPr>
          <w:p w14:paraId="5FC8645E" w14:textId="77777777" w:rsidR="008A210D" w:rsidRPr="009461CC" w:rsidRDefault="008A210D" w:rsidP="008A210D">
            <w:pPr>
              <w:spacing w:after="0" w:afterAutospacing="0"/>
              <w:jc w:val="both"/>
              <w:rPr>
                <w:spacing w:val="-5"/>
                <w:szCs w:val="24"/>
              </w:rPr>
            </w:pPr>
            <w:r>
              <w:rPr>
                <w:szCs w:val="24"/>
                <w:lang w:val="cs"/>
              </w:rPr>
              <w:t>Registrační číslo: NL-AR-000000116</w:t>
            </w:r>
          </w:p>
        </w:tc>
        <w:tc>
          <w:tcPr>
            <w:tcW w:w="2759" w:type="pct"/>
          </w:tcPr>
          <w:p w14:paraId="25BF63FC" w14:textId="77777777" w:rsidR="008A210D" w:rsidRPr="00BB4EC1" w:rsidRDefault="008A210D" w:rsidP="008A210D">
            <w:pPr>
              <w:widowControl w:val="0"/>
              <w:autoSpaceDE w:val="0"/>
              <w:autoSpaceDN w:val="0"/>
              <w:spacing w:before="119" w:after="0" w:afterAutospacing="0"/>
              <w:rPr>
                <w:bCs/>
                <w:szCs w:val="24"/>
                <w:lang w:val="pt-BR"/>
              </w:rPr>
            </w:pPr>
            <w:r>
              <w:rPr>
                <w:szCs w:val="24"/>
                <w:lang w:val="cs"/>
              </w:rPr>
              <w:t>Název organizace oprávněného zástupce:</w:t>
            </w:r>
          </w:p>
          <w:p w14:paraId="3A6B7B5C" w14:textId="77777777" w:rsidR="008A210D" w:rsidRPr="00BB4EC1" w:rsidRDefault="008A210D" w:rsidP="008A210D">
            <w:pPr>
              <w:spacing w:after="0" w:afterAutospacing="0"/>
              <w:rPr>
                <w:szCs w:val="24"/>
                <w:lang w:val="pt-BR"/>
              </w:rPr>
            </w:pPr>
            <w:r>
              <w:rPr>
                <w:szCs w:val="24"/>
                <w:lang w:val="cs"/>
              </w:rPr>
              <w:t>Emergo Europe</w:t>
            </w:r>
          </w:p>
        </w:tc>
      </w:tr>
      <w:tr w:rsidR="008A210D" w:rsidRPr="00123F3D" w14:paraId="7AE34B46" w14:textId="77777777" w:rsidTr="00272DEA">
        <w:trPr>
          <w:trHeight w:val="525"/>
        </w:trPr>
        <w:tc>
          <w:tcPr>
            <w:tcW w:w="2241" w:type="pct"/>
          </w:tcPr>
          <w:p w14:paraId="65D7FE1F" w14:textId="77777777" w:rsidR="008A210D" w:rsidRPr="004B64B4" w:rsidRDefault="008A210D" w:rsidP="008A210D">
            <w:pPr>
              <w:spacing w:after="0" w:afterAutospacing="0"/>
              <w:jc w:val="both"/>
              <w:rPr>
                <w:spacing w:val="-2"/>
                <w:szCs w:val="24"/>
                <w:lang w:val="pl-PL"/>
              </w:rPr>
            </w:pPr>
            <w:r>
              <w:rPr>
                <w:szCs w:val="24"/>
                <w:lang w:val="cs"/>
              </w:rPr>
              <w:t>Kontaktní informace: Tým pro vigilanci</w:t>
            </w:r>
          </w:p>
        </w:tc>
        <w:tc>
          <w:tcPr>
            <w:tcW w:w="2759" w:type="pct"/>
          </w:tcPr>
          <w:p w14:paraId="2A3CD5D0" w14:textId="77777777" w:rsidR="008A210D" w:rsidRPr="00BB4EC1" w:rsidRDefault="008A210D" w:rsidP="008A210D">
            <w:pPr>
              <w:widowControl w:val="0"/>
              <w:autoSpaceDE w:val="0"/>
              <w:autoSpaceDN w:val="0"/>
              <w:spacing w:before="39" w:after="0" w:afterAutospacing="0"/>
              <w:rPr>
                <w:spacing w:val="-2"/>
                <w:szCs w:val="24"/>
                <w:lang w:val="pt-BR"/>
              </w:rPr>
            </w:pPr>
            <w:r>
              <w:rPr>
                <w:szCs w:val="24"/>
                <w:lang w:val="cs"/>
              </w:rPr>
              <w:t xml:space="preserve">E-mail: </w:t>
            </w:r>
            <w:hyperlink r:id="rId12" w:history="1">
              <w:r>
                <w:rPr>
                  <w:color w:val="0563C1"/>
                  <w:szCs w:val="24"/>
                  <w:u w:val="single"/>
                  <w:lang w:val="cs"/>
                </w:rPr>
                <w:t>EmergoVigilance@ul.com</w:t>
              </w:r>
            </w:hyperlink>
          </w:p>
        </w:tc>
      </w:tr>
      <w:tr w:rsidR="008A210D" w:rsidRPr="00123F3D" w14:paraId="0CB481FF" w14:textId="77777777" w:rsidTr="00272DEA">
        <w:trPr>
          <w:trHeight w:val="525"/>
        </w:trPr>
        <w:tc>
          <w:tcPr>
            <w:tcW w:w="2241" w:type="pct"/>
          </w:tcPr>
          <w:p w14:paraId="3652CFB2" w14:textId="77777777" w:rsidR="008A210D" w:rsidRPr="009461CC" w:rsidRDefault="008A210D" w:rsidP="008A210D">
            <w:pPr>
              <w:widowControl w:val="0"/>
              <w:autoSpaceDE w:val="0"/>
              <w:autoSpaceDN w:val="0"/>
              <w:spacing w:before="42" w:after="0" w:afterAutospacing="0"/>
              <w:rPr>
                <w:spacing w:val="-2"/>
                <w:szCs w:val="24"/>
              </w:rPr>
            </w:pPr>
            <w:r>
              <w:rPr>
                <w:szCs w:val="24"/>
                <w:lang w:val="cs"/>
              </w:rPr>
              <w:t>Telefonní číslo: +31.70.345.8570</w:t>
            </w:r>
          </w:p>
          <w:p w14:paraId="7CCBBDE7" w14:textId="739E5D21" w:rsidR="00A603C9" w:rsidRPr="009461CC" w:rsidRDefault="00A603C9" w:rsidP="008A210D">
            <w:pPr>
              <w:widowControl w:val="0"/>
              <w:autoSpaceDE w:val="0"/>
              <w:autoSpaceDN w:val="0"/>
              <w:spacing w:before="42" w:after="0" w:afterAutospacing="0"/>
              <w:rPr>
                <w:spacing w:val="-2"/>
                <w:szCs w:val="24"/>
              </w:rPr>
            </w:pPr>
            <w:r>
              <w:rPr>
                <w:color w:val="000000"/>
                <w:szCs w:val="24"/>
                <w:lang w:val="cs"/>
              </w:rPr>
              <w:t>Fax:+31 (0)70 346 7299</w:t>
            </w:r>
          </w:p>
        </w:tc>
        <w:tc>
          <w:tcPr>
            <w:tcW w:w="2759" w:type="pct"/>
          </w:tcPr>
          <w:p w14:paraId="2F414254" w14:textId="77777777" w:rsidR="008A210D" w:rsidRPr="00BB4EC1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  <w:lang w:val="pt-BR"/>
              </w:rPr>
            </w:pPr>
            <w:r>
              <w:rPr>
                <w:szCs w:val="24"/>
                <w:lang w:val="cs"/>
              </w:rPr>
              <w:t>Adresa</w:t>
            </w:r>
          </w:p>
          <w:p w14:paraId="759A4A48" w14:textId="77777777" w:rsidR="008A210D" w:rsidRPr="00BB4EC1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  <w:lang w:val="pt-BR"/>
              </w:rPr>
            </w:pPr>
            <w:r>
              <w:rPr>
                <w:szCs w:val="24"/>
                <w:lang w:val="cs"/>
              </w:rPr>
              <w:t>Číslo popisné a ulice:</w:t>
            </w:r>
            <w:r>
              <w:rPr>
                <w:sz w:val="22"/>
                <w:lang w:val="cs"/>
              </w:rPr>
              <w:t xml:space="preserve"> 60 </w:t>
            </w:r>
            <w:r>
              <w:rPr>
                <w:szCs w:val="24"/>
                <w:lang w:val="cs"/>
              </w:rPr>
              <w:t>Westervoortsedijk</w:t>
            </w:r>
          </w:p>
          <w:p w14:paraId="3B20AE15" w14:textId="77777777" w:rsidR="008A210D" w:rsidRPr="00BB4EC1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  <w:lang w:val="pt-BR"/>
              </w:rPr>
            </w:pPr>
            <w:r>
              <w:rPr>
                <w:szCs w:val="24"/>
                <w:lang w:val="cs"/>
              </w:rPr>
              <w:t>Město: Arnhem</w:t>
            </w:r>
          </w:p>
          <w:p w14:paraId="6FC33444" w14:textId="77777777" w:rsidR="008A210D" w:rsidRPr="00BB4EC1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  <w:lang w:val="pt-BR"/>
              </w:rPr>
            </w:pPr>
            <w:r>
              <w:rPr>
                <w:szCs w:val="24"/>
                <w:lang w:val="cs"/>
              </w:rPr>
              <w:t>PSČ: 6827 AT</w:t>
            </w:r>
          </w:p>
          <w:p w14:paraId="2EB91056" w14:textId="77777777" w:rsidR="008A210D" w:rsidRPr="00BB4EC1" w:rsidRDefault="008A210D" w:rsidP="009709B4">
            <w:pPr>
              <w:widowControl w:val="0"/>
              <w:autoSpaceDE w:val="0"/>
              <w:autoSpaceDN w:val="0"/>
              <w:spacing w:after="0" w:afterAutospacing="0"/>
              <w:rPr>
                <w:spacing w:val="-2"/>
                <w:szCs w:val="24"/>
                <w:lang w:val="pt-BR"/>
              </w:rPr>
            </w:pPr>
            <w:r>
              <w:rPr>
                <w:szCs w:val="24"/>
                <w:lang w:val="cs"/>
              </w:rPr>
              <w:t>Země: Nizozemsko</w:t>
            </w:r>
          </w:p>
        </w:tc>
      </w:tr>
    </w:tbl>
    <w:p w14:paraId="1624A296" w14:textId="77777777" w:rsidR="009855C3" w:rsidRPr="00BB4EC1" w:rsidRDefault="009855C3" w:rsidP="00042B91">
      <w:pPr>
        <w:spacing w:after="0" w:afterAutospacing="0" w:line="240" w:lineRule="auto"/>
        <w:ind w:left="1440"/>
        <w:rPr>
          <w:rFonts w:cs="Times New Roman"/>
          <w:lang w:val="pt-BR"/>
        </w:rPr>
      </w:pPr>
    </w:p>
    <w:p w14:paraId="6CE36BA3" w14:textId="17803B95" w:rsidR="006517A0" w:rsidRPr="00BB4EC1" w:rsidRDefault="009855C3" w:rsidP="003074B3">
      <w:pPr>
        <w:pStyle w:val="Heading1"/>
        <w:rPr>
          <w:rFonts w:cs="Times New Roman"/>
          <w:lang w:val="pt-BR"/>
        </w:rPr>
      </w:pPr>
      <w:bookmarkStart w:id="6" w:name="_Toc222741220"/>
      <w:r>
        <w:rPr>
          <w:rFonts w:cs="Times New Roman"/>
          <w:bCs/>
          <w:lang w:val="cs"/>
        </w:rPr>
        <w:t>Název OS</w:t>
      </w:r>
      <w:r w:rsidR="00123F3D">
        <w:rPr>
          <w:rFonts w:cs="Times New Roman"/>
          <w:bCs/>
          <w:lang w:val="cs"/>
        </w:rPr>
        <w:t xml:space="preserve"> (NB)</w:t>
      </w:r>
      <w:r>
        <w:rPr>
          <w:rFonts w:cs="Times New Roman"/>
          <w:bCs/>
          <w:lang w:val="cs"/>
        </w:rPr>
        <w:t xml:space="preserve"> a jednotné identifikační číslo:</w:t>
      </w:r>
      <w:bookmarkEnd w:id="6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7"/>
        <w:gridCol w:w="6613"/>
      </w:tblGrid>
      <w:tr w:rsidR="003074B3" w:rsidRPr="009461CC" w14:paraId="7E457138" w14:textId="77777777" w:rsidTr="00272DEA">
        <w:trPr>
          <w:trHeight w:val="26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9932D80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cs"/>
              </w:rPr>
              <w:t>Oznámený subjekt</w:t>
            </w:r>
          </w:p>
        </w:tc>
      </w:tr>
      <w:tr w:rsidR="00272DEA" w:rsidRPr="004B64B4" w14:paraId="0B814508" w14:textId="77777777" w:rsidTr="00272DEA">
        <w:trPr>
          <w:trHeight w:val="350"/>
          <w:jc w:val="center"/>
        </w:trPr>
        <w:tc>
          <w:tcPr>
            <w:tcW w:w="1830" w:type="pct"/>
          </w:tcPr>
          <w:p w14:paraId="49157CDC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cs"/>
              </w:rPr>
              <w:t>Název:</w:t>
            </w:r>
          </w:p>
        </w:tc>
        <w:tc>
          <w:tcPr>
            <w:tcW w:w="3170" w:type="pct"/>
          </w:tcPr>
          <w:p w14:paraId="5863E627" w14:textId="77777777" w:rsidR="003074B3" w:rsidRPr="004B64B4" w:rsidRDefault="003074B3" w:rsidP="00B066F7">
            <w:pPr>
              <w:suppressAutoHyphens/>
              <w:spacing w:after="0" w:afterAutospacing="0" w:line="240" w:lineRule="exact"/>
              <w:rPr>
                <w:rFonts w:eastAsia="Times New Roman" w:cs="Times New Roman"/>
                <w:bCs/>
                <w:szCs w:val="24"/>
                <w:lang w:val="pl-PL"/>
              </w:rPr>
            </w:pPr>
            <w:r>
              <w:rPr>
                <w:rFonts w:cs="Times New Roman"/>
                <w:szCs w:val="24"/>
                <w:lang w:val="cs"/>
              </w:rPr>
              <w:t>Skupina Britského úřadu pro normalizaci (BSI) Nizozemsko B.V.</w:t>
            </w:r>
          </w:p>
        </w:tc>
      </w:tr>
      <w:tr w:rsidR="003074B3" w:rsidRPr="009461CC" w14:paraId="65281175" w14:textId="77777777" w:rsidTr="009709B4">
        <w:trPr>
          <w:trHeight w:val="728"/>
          <w:jc w:val="center"/>
        </w:trPr>
        <w:tc>
          <w:tcPr>
            <w:tcW w:w="1830" w:type="pct"/>
          </w:tcPr>
          <w:p w14:paraId="7941F5BB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cs"/>
              </w:rPr>
              <w:t>Adresa:</w:t>
            </w:r>
          </w:p>
        </w:tc>
        <w:tc>
          <w:tcPr>
            <w:tcW w:w="3170" w:type="pct"/>
          </w:tcPr>
          <w:p w14:paraId="727CFF1E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cs"/>
              </w:rPr>
              <w:t>John M. Keynesplein 9</w:t>
            </w:r>
          </w:p>
          <w:p w14:paraId="4054093A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cs"/>
              </w:rPr>
              <w:t>1066 EP Amsterdam</w:t>
            </w:r>
          </w:p>
          <w:p w14:paraId="72F2BC20" w14:textId="21C3E9CC" w:rsidR="003074B3" w:rsidRPr="009461CC" w:rsidRDefault="003074B3" w:rsidP="00B066F7">
            <w:pPr>
              <w:suppressAutoHyphens/>
              <w:spacing w:after="0" w:afterAutospacing="0" w:line="240" w:lineRule="exact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cs"/>
              </w:rPr>
              <w:t>Nizozemsko</w:t>
            </w:r>
          </w:p>
        </w:tc>
      </w:tr>
      <w:tr w:rsidR="003074B3" w:rsidRPr="009461CC" w14:paraId="7A858549" w14:textId="77777777" w:rsidTr="00272DEA">
        <w:trPr>
          <w:trHeight w:val="351"/>
          <w:jc w:val="center"/>
        </w:trPr>
        <w:tc>
          <w:tcPr>
            <w:tcW w:w="1830" w:type="pct"/>
          </w:tcPr>
          <w:p w14:paraId="4D329CD4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contextualSpacing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cs"/>
              </w:rPr>
              <w:t>Webové stránky:</w:t>
            </w:r>
          </w:p>
        </w:tc>
        <w:tc>
          <w:tcPr>
            <w:tcW w:w="3170" w:type="pct"/>
          </w:tcPr>
          <w:p w14:paraId="29B75D5D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contextualSpacing/>
              <w:rPr>
                <w:rFonts w:eastAsia="Times New Roman" w:cs="Times New Roman"/>
                <w:bCs/>
                <w:szCs w:val="24"/>
              </w:rPr>
            </w:pPr>
            <w:hyperlink r:id="rId13" w:history="1">
              <w:r>
                <w:rPr>
                  <w:rFonts w:eastAsia="Times New Roman" w:cs="Times New Roman"/>
                  <w:color w:val="0000FF"/>
                  <w:szCs w:val="24"/>
                  <w:u w:val="single"/>
                  <w:lang w:val="cs"/>
                </w:rPr>
                <w:t>www.bsigroup.com</w:t>
              </w:r>
            </w:hyperlink>
            <w:r>
              <w:rPr>
                <w:rFonts w:eastAsia="Times New Roman" w:cs="Times New Roman"/>
                <w:szCs w:val="24"/>
                <w:lang w:val="cs"/>
              </w:rPr>
              <w:t xml:space="preserve"> </w:t>
            </w:r>
          </w:p>
        </w:tc>
      </w:tr>
      <w:tr w:rsidR="003074B3" w:rsidRPr="009461CC" w14:paraId="242654B6" w14:textId="77777777" w:rsidTr="00272DEA">
        <w:trPr>
          <w:trHeight w:val="355"/>
          <w:jc w:val="center"/>
        </w:trPr>
        <w:tc>
          <w:tcPr>
            <w:tcW w:w="1830" w:type="pct"/>
          </w:tcPr>
          <w:p w14:paraId="6F572CD0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cs"/>
              </w:rPr>
              <w:t>Telefon:</w:t>
            </w:r>
          </w:p>
        </w:tc>
        <w:tc>
          <w:tcPr>
            <w:tcW w:w="3170" w:type="pct"/>
          </w:tcPr>
          <w:p w14:paraId="7E5F2BF5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cs"/>
              </w:rPr>
              <w:t>+31 (0)20 346 07 80</w:t>
            </w:r>
          </w:p>
        </w:tc>
      </w:tr>
      <w:tr w:rsidR="003074B3" w:rsidRPr="009461CC" w14:paraId="3445789F" w14:textId="77777777" w:rsidTr="00272DEA">
        <w:trPr>
          <w:trHeight w:val="355"/>
          <w:jc w:val="center"/>
        </w:trPr>
        <w:tc>
          <w:tcPr>
            <w:tcW w:w="1830" w:type="pct"/>
          </w:tcPr>
          <w:p w14:paraId="6D8C8396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ind w:left="15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cs"/>
              </w:rPr>
              <w:t>Fax:</w:t>
            </w:r>
          </w:p>
        </w:tc>
        <w:tc>
          <w:tcPr>
            <w:tcW w:w="3170" w:type="pct"/>
          </w:tcPr>
          <w:p w14:paraId="42A0F78B" w14:textId="77777777" w:rsidR="003074B3" w:rsidRPr="009461CC" w:rsidRDefault="003074B3" w:rsidP="00B066F7">
            <w:pPr>
              <w:suppressAutoHyphens/>
              <w:spacing w:after="0" w:afterAutospacing="0" w:line="240" w:lineRule="exac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cs"/>
              </w:rPr>
              <w:t>+31 (0)20 346 07 81</w:t>
            </w:r>
          </w:p>
        </w:tc>
      </w:tr>
      <w:tr w:rsidR="003074B3" w:rsidRPr="009461CC" w14:paraId="108563A6" w14:textId="77777777" w:rsidTr="00272DEA">
        <w:trPr>
          <w:trHeight w:val="323"/>
          <w:jc w:val="center"/>
        </w:trPr>
        <w:tc>
          <w:tcPr>
            <w:tcW w:w="1830" w:type="pct"/>
          </w:tcPr>
          <w:p w14:paraId="68313F88" w14:textId="77777777" w:rsidR="003074B3" w:rsidRPr="009461CC" w:rsidRDefault="003074B3" w:rsidP="00B066F7">
            <w:pPr>
              <w:tabs>
                <w:tab w:val="left" w:pos="3150"/>
              </w:tabs>
              <w:suppressAutoHyphens/>
              <w:spacing w:after="0" w:afterAutospacing="0" w:line="240" w:lineRule="exact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cs"/>
              </w:rPr>
              <w:t>Číslo oznámeného subjektu:</w:t>
            </w:r>
            <w:r>
              <w:rPr>
                <w:rFonts w:eastAsia="Times New Roman" w:cs="Times New Roman"/>
                <w:szCs w:val="24"/>
                <w:lang w:val="cs"/>
              </w:rPr>
              <w:tab/>
            </w:r>
          </w:p>
        </w:tc>
        <w:tc>
          <w:tcPr>
            <w:tcW w:w="3170" w:type="pct"/>
          </w:tcPr>
          <w:p w14:paraId="445F2118" w14:textId="77777777" w:rsidR="003074B3" w:rsidRPr="009461CC" w:rsidRDefault="003074B3" w:rsidP="00B066F7">
            <w:pPr>
              <w:tabs>
                <w:tab w:val="left" w:pos="3150"/>
              </w:tabs>
              <w:suppressAutoHyphens/>
              <w:spacing w:after="0" w:afterAutospacing="0" w:line="240" w:lineRule="exact"/>
              <w:ind w:left="150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  <w:lang w:val="cs"/>
              </w:rPr>
              <w:t>2797</w:t>
            </w:r>
          </w:p>
        </w:tc>
      </w:tr>
    </w:tbl>
    <w:p w14:paraId="49CBA632" w14:textId="77777777" w:rsidR="005C6A90" w:rsidRPr="009461CC" w:rsidRDefault="005C6A90" w:rsidP="00042B91">
      <w:pPr>
        <w:spacing w:after="0" w:afterAutospacing="0" w:line="240" w:lineRule="auto"/>
        <w:rPr>
          <w:rFonts w:cs="Times New Roman"/>
        </w:rPr>
      </w:pPr>
    </w:p>
    <w:p w14:paraId="708F564C" w14:textId="58CA8111" w:rsidR="00AA2E04" w:rsidRPr="009461CC" w:rsidRDefault="00AA2E04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" w:name="_Toc222741221"/>
      <w:r>
        <w:rPr>
          <w:rFonts w:cs="Times New Roman"/>
          <w:bCs/>
          <w:lang w:val="cs"/>
        </w:rPr>
        <w:t>Zamýšlené použití/účel prostředku</w:t>
      </w:r>
      <w:bookmarkEnd w:id="7"/>
      <w:r>
        <w:rPr>
          <w:rFonts w:cs="Times New Roman"/>
          <w:bCs/>
          <w:lang w:val="cs"/>
        </w:rPr>
        <w:t xml:space="preserve"> </w:t>
      </w:r>
    </w:p>
    <w:p w14:paraId="48603D86" w14:textId="3BAB4A94" w:rsidR="00D104AC" w:rsidRPr="009461CC" w:rsidRDefault="00D104AC" w:rsidP="00FB0A38">
      <w:pPr>
        <w:spacing w:after="0" w:afterAutospacing="0"/>
        <w:ind w:left="360"/>
        <w:rPr>
          <w:rFonts w:cs="Times New Roman"/>
        </w:rPr>
      </w:pPr>
      <w:r>
        <w:rPr>
          <w:rFonts w:cs="Times New Roman"/>
          <w:lang w:val="cs"/>
        </w:rPr>
        <w:t>Reference:</w:t>
      </w:r>
    </w:p>
    <w:p w14:paraId="5CC3EE9B" w14:textId="1A780D49" w:rsidR="00042B91" w:rsidRPr="00BB4EC1" w:rsidRDefault="00FE5B73" w:rsidP="00042B91">
      <w:pPr>
        <w:spacing w:after="0" w:afterAutospacing="0" w:line="240" w:lineRule="auto"/>
        <w:rPr>
          <w:rFonts w:cs="Times New Roman"/>
          <w:lang w:val="pt-BR"/>
        </w:rPr>
      </w:pPr>
      <w:r>
        <w:rPr>
          <w:rFonts w:cs="Times New Roman"/>
          <w:lang w:val="cs"/>
        </w:rPr>
        <w:t>Referenční čísla: X9585730-0321-EU Rev A</w:t>
      </w:r>
    </w:p>
    <w:p w14:paraId="1254EE9F" w14:textId="77777777" w:rsidR="00FE5B73" w:rsidRPr="00BB4EC1" w:rsidRDefault="00FE5B73" w:rsidP="00042B91">
      <w:pPr>
        <w:spacing w:after="0" w:afterAutospacing="0" w:line="240" w:lineRule="auto"/>
        <w:rPr>
          <w:rFonts w:cs="Times New Roman"/>
          <w:lang w:val="pt-BR"/>
        </w:rPr>
      </w:pPr>
    </w:p>
    <w:p w14:paraId="39A6DB15" w14:textId="58ED6DAB" w:rsidR="006F0810" w:rsidRPr="009461CC" w:rsidRDefault="00B7112F" w:rsidP="00042B91">
      <w:pPr>
        <w:pStyle w:val="Heading1"/>
        <w:rPr>
          <w:rFonts w:cs="Times New Roman"/>
        </w:rPr>
      </w:pPr>
      <w:r>
        <w:rPr>
          <w:rFonts w:cs="Times New Roman"/>
          <w:bCs/>
          <w:lang w:val="cs"/>
        </w:rPr>
        <w:t xml:space="preserve"> </w:t>
      </w:r>
      <w:bookmarkStart w:id="8" w:name="_Toc222741222"/>
      <w:r>
        <w:rPr>
          <w:rFonts w:cs="Times New Roman"/>
          <w:bCs/>
          <w:lang w:val="cs"/>
        </w:rPr>
        <w:t>Zamýšlený účel / zamýšlené použití</w:t>
      </w:r>
      <w:bookmarkEnd w:id="8"/>
    </w:p>
    <w:p w14:paraId="5F55F24F" w14:textId="20556298" w:rsidR="009B569A" w:rsidRPr="009461CC" w:rsidRDefault="00B82FB3" w:rsidP="00B82FB3">
      <w:pPr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  <w:lang w:val="cs"/>
        </w:rPr>
        <w:t>Určena k použití v kardiovaskulárním systému nebo v dutých viskózních prostorách k extrakci cizích předmětů a manipulaci s nimi.</w:t>
      </w:r>
    </w:p>
    <w:p w14:paraId="0540FB4C" w14:textId="6BE36C7A" w:rsidR="006F0810" w:rsidRPr="009461CC" w:rsidRDefault="006F0810" w:rsidP="00042B91">
      <w:pPr>
        <w:pStyle w:val="Heading1"/>
        <w:rPr>
          <w:rFonts w:cs="Times New Roman"/>
        </w:rPr>
      </w:pPr>
      <w:bookmarkStart w:id="9" w:name="_Toc222741223"/>
      <w:r>
        <w:rPr>
          <w:rFonts w:cs="Times New Roman"/>
          <w:bCs/>
          <w:lang w:val="cs"/>
        </w:rPr>
        <w:t>Indikace k použití</w:t>
      </w:r>
      <w:bookmarkEnd w:id="9"/>
    </w:p>
    <w:p w14:paraId="24ADD508" w14:textId="77777777" w:rsidR="00235AAE" w:rsidRPr="00BB4EC1" w:rsidRDefault="00235AAE" w:rsidP="00235AAE">
      <w:pPr>
        <w:widowControl w:val="0"/>
        <w:rPr>
          <w:rFonts w:cs="Times New Roman"/>
          <w:lang w:val="cs"/>
        </w:rPr>
      </w:pPr>
      <w:r>
        <w:rPr>
          <w:rFonts w:cs="Times New Roman"/>
          <w:lang w:val="cs"/>
        </w:rPr>
        <w:lastRenderedPageBreak/>
        <w:t>Určena k použití v kardiovaskulárním systému nebo v dutých vnitřnosti prostorách k extrakci cizích předmětů a manipulaci s nimi. Manipulační postupy zahrnují repozici zavedeného žilního katétru, odstraňování fibrinového obalu zavedeného žilního katétru a asistenci při punkci s centrálním žilním přístupem.</w:t>
      </w:r>
    </w:p>
    <w:p w14:paraId="498EAE44" w14:textId="77777777" w:rsidR="00D20FA4" w:rsidRPr="009461CC" w:rsidRDefault="00D20FA4" w:rsidP="00042B91">
      <w:pPr>
        <w:pStyle w:val="Heading1"/>
        <w:rPr>
          <w:rFonts w:cs="Times New Roman"/>
        </w:rPr>
      </w:pPr>
      <w:bookmarkStart w:id="10" w:name="_Toc222741224"/>
      <w:r>
        <w:rPr>
          <w:rFonts w:cs="Times New Roman"/>
          <w:bCs/>
          <w:lang w:val="cs"/>
        </w:rPr>
        <w:t>Cílová populace</w:t>
      </w:r>
      <w:bookmarkEnd w:id="10"/>
    </w:p>
    <w:p w14:paraId="099A3585" w14:textId="77777777" w:rsidR="003B70D7" w:rsidRPr="009461CC" w:rsidRDefault="003B70D7" w:rsidP="005A1E4B">
      <w:pPr>
        <w:pStyle w:val="pf0"/>
        <w:widowControl w:val="0"/>
        <w:spacing w:before="0" w:beforeAutospacing="0" w:after="0" w:afterAutospacing="0"/>
      </w:pPr>
      <w:r>
        <w:rPr>
          <w:lang w:val="cs"/>
        </w:rPr>
        <w:t>Dospělí pacienti, včetně starších dospělých, bez ohledu na pohlaví, rasu nebo etnickou příslušnost.</w:t>
      </w:r>
    </w:p>
    <w:p w14:paraId="3621B4F1" w14:textId="77777777" w:rsidR="003B70D7" w:rsidRPr="009461CC" w:rsidRDefault="003B70D7" w:rsidP="003B70D7">
      <w:pPr>
        <w:pStyle w:val="pf0"/>
        <w:widowControl w:val="0"/>
        <w:spacing w:before="0" w:beforeAutospacing="0" w:after="0" w:afterAutospacing="0"/>
      </w:pPr>
    </w:p>
    <w:p w14:paraId="28F544BD" w14:textId="4F93A450" w:rsidR="006F0810" w:rsidRPr="009461CC" w:rsidRDefault="006F0810" w:rsidP="00042B91">
      <w:pPr>
        <w:pStyle w:val="Heading1"/>
        <w:rPr>
          <w:rFonts w:cs="Times New Roman"/>
        </w:rPr>
      </w:pPr>
      <w:bookmarkStart w:id="11" w:name="_Toc222741225"/>
      <w:r>
        <w:rPr>
          <w:rFonts w:cs="Times New Roman"/>
          <w:bCs/>
          <w:lang w:val="cs"/>
        </w:rPr>
        <w:t>Kontraindikace</w:t>
      </w:r>
      <w:bookmarkEnd w:id="11"/>
    </w:p>
    <w:p w14:paraId="169E24EB" w14:textId="77777777" w:rsidR="00AA3502" w:rsidRPr="009461CC" w:rsidRDefault="00AA3502" w:rsidP="004A2596">
      <w:pPr>
        <w:pStyle w:val="ListParagraph"/>
        <w:numPr>
          <w:ilvl w:val="0"/>
          <w:numId w:val="31"/>
        </w:numPr>
        <w:spacing w:after="0" w:afterAutospacing="0" w:line="240" w:lineRule="auto"/>
        <w:jc w:val="both"/>
        <w:rPr>
          <w:rFonts w:eastAsia="Times New Roman" w:cs="Times New Roman"/>
        </w:rPr>
      </w:pPr>
      <w:r>
        <w:rPr>
          <w:rFonts w:cs="Times New Roman"/>
          <w:color w:val="000000"/>
          <w:lang w:val="cs"/>
        </w:rPr>
        <w:t>Tento prostředek není určen k odstraňování cizích předmětů zachycených v důsledku růstu tkáně</w:t>
      </w:r>
      <w:r>
        <w:rPr>
          <w:rFonts w:cs="Times New Roman"/>
          <w:color w:val="4472C4" w:themeColor="accent1"/>
          <w:lang w:val="cs"/>
        </w:rPr>
        <w:t>.</w:t>
      </w:r>
    </w:p>
    <w:p w14:paraId="4BFB00B8" w14:textId="77777777" w:rsidR="00AA3502" w:rsidRPr="009461CC" w:rsidRDefault="00AA3502" w:rsidP="004A2596">
      <w:pPr>
        <w:pStyle w:val="ListParagraph"/>
        <w:numPr>
          <w:ilvl w:val="0"/>
          <w:numId w:val="31"/>
        </w:numPr>
        <w:spacing w:after="0" w:afterAutospacing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cs"/>
        </w:rPr>
        <w:t>Prostředek by se neměl používat k odstraňování fibrinového obalu v případě defektů septa patentního foramen ovale.</w:t>
      </w:r>
    </w:p>
    <w:p w14:paraId="77577945" w14:textId="77777777" w:rsidR="00AA3502" w:rsidRPr="009461CC" w:rsidRDefault="00AA3502" w:rsidP="004A2596">
      <w:pPr>
        <w:pStyle w:val="ListParagraph"/>
        <w:numPr>
          <w:ilvl w:val="0"/>
          <w:numId w:val="31"/>
        </w:numPr>
        <w:spacing w:after="0" w:afterAutospacing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cs"/>
        </w:rPr>
        <w:t>Tento prostředek není určen k odstraňování implantovaných stimulačních elektrod.</w:t>
      </w:r>
    </w:p>
    <w:p w14:paraId="764D1032" w14:textId="77777777" w:rsidR="00761873" w:rsidRPr="009461CC" w:rsidRDefault="00761873" w:rsidP="00761873">
      <w:pPr>
        <w:pStyle w:val="ListParagraph"/>
        <w:spacing w:after="0" w:afterAutospacing="0"/>
        <w:ind w:left="1440"/>
        <w:rPr>
          <w:rFonts w:cs="Times New Roman"/>
        </w:rPr>
      </w:pPr>
    </w:p>
    <w:p w14:paraId="0A9D601E" w14:textId="53FB771D" w:rsidR="00760400" w:rsidRPr="009461CC" w:rsidRDefault="00D20FA4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12" w:name="_Toc222741226"/>
      <w:r>
        <w:rPr>
          <w:rFonts w:cs="Times New Roman"/>
          <w:bCs/>
          <w:lang w:val="cs"/>
        </w:rPr>
        <w:t>Popis prostředku</w:t>
      </w:r>
      <w:bookmarkEnd w:id="12"/>
    </w:p>
    <w:p w14:paraId="7115673A" w14:textId="77777777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33649869" w14:textId="52085753" w:rsidR="00D20FA4" w:rsidRPr="009461CC" w:rsidRDefault="00D20FA4" w:rsidP="00042B91">
      <w:pPr>
        <w:pStyle w:val="Heading1"/>
        <w:rPr>
          <w:rFonts w:cs="Times New Roman"/>
        </w:rPr>
      </w:pPr>
      <w:bookmarkStart w:id="13" w:name="_Toc222741227"/>
      <w:r>
        <w:rPr>
          <w:rFonts w:cs="Times New Roman"/>
          <w:bCs/>
          <w:lang w:val="cs"/>
        </w:rPr>
        <w:t>Popis prostředku</w:t>
      </w:r>
      <w:bookmarkEnd w:id="13"/>
      <w:r>
        <w:rPr>
          <w:rFonts w:cs="Times New Roman"/>
          <w:bCs/>
          <w:lang w:val="cs"/>
        </w:rPr>
        <w:t xml:space="preserve"> </w:t>
      </w:r>
    </w:p>
    <w:p w14:paraId="3DAFEC6E" w14:textId="16E9A261" w:rsidR="00994DB9" w:rsidRPr="00BB4EC1" w:rsidRDefault="00994DB9" w:rsidP="00994DB9">
      <w:pPr>
        <w:rPr>
          <w:rFonts w:cs="Times New Roman"/>
          <w:lang w:val="cs"/>
        </w:rPr>
      </w:pPr>
      <w:bookmarkStart w:id="14" w:name="_Hlk169187630"/>
      <w:r>
        <w:rPr>
          <w:rFonts w:cs="Times New Roman"/>
          <w:lang w:val="cs"/>
        </w:rPr>
        <w:t xml:space="preserve">Souprava cévního smyčkového katétru </w:t>
      </w:r>
      <w:r w:rsidR="004B64B4">
        <w:rPr>
          <w:rFonts w:cs="Times New Roman"/>
          <w:lang w:val="cs"/>
        </w:rPr>
        <w:t xml:space="preserve">Snare </w:t>
      </w:r>
      <w:r>
        <w:rPr>
          <w:rFonts w:cs="Times New Roman"/>
          <w:lang w:val="cs"/>
        </w:rPr>
        <w:t xml:space="preserve">Atrieve™ obsahuje katétr </w:t>
      </w:r>
      <w:r w:rsidR="004B64B4">
        <w:rPr>
          <w:rFonts w:cs="Times New Roman"/>
          <w:lang w:val="cs"/>
        </w:rPr>
        <w:t xml:space="preserve">Snare </w:t>
      </w:r>
      <w:r>
        <w:rPr>
          <w:rFonts w:cs="Times New Roman"/>
          <w:lang w:val="cs"/>
        </w:rPr>
        <w:t xml:space="preserve">se třemi předtvarovanými smyčkami vyrobenými ze superelastického nitinolu a platiny. Smyčky nejsou propletené a mohou se vůči sobě posouvat. Smyčky katétru </w:t>
      </w:r>
      <w:r w:rsidR="004B64B4">
        <w:rPr>
          <w:rFonts w:cs="Times New Roman"/>
          <w:lang w:val="cs"/>
        </w:rPr>
        <w:t xml:space="preserve">Snare </w:t>
      </w:r>
      <w:r>
        <w:rPr>
          <w:rFonts w:cs="Times New Roman"/>
          <w:lang w:val="cs"/>
        </w:rPr>
        <w:t xml:space="preserve">mohou být zavedeny do zaváděcího katétru bez rizika trvalé deformace prostředku. Souprava cévního smyčkového katétru </w:t>
      </w:r>
      <w:r w:rsidR="004B64B4">
        <w:rPr>
          <w:rFonts w:cs="Times New Roman"/>
          <w:lang w:val="cs"/>
        </w:rPr>
        <w:t xml:space="preserve">Snare </w:t>
      </w:r>
      <w:r>
        <w:rPr>
          <w:rFonts w:cs="Times New Roman"/>
          <w:lang w:val="cs"/>
        </w:rPr>
        <w:t>Atrieve zahrnuje také zaváděcí katétr, momentovou rukojeť a zavaděč. Zaváděcí katétr má na distálním konci rentgenkontrastní označovací pásek. Produkt je dodáván zabalený v ochranném pouzdře. Prostředek je určen k jednorázovému použití a dodává se sterilní (ethylenoxid) připraven k okamžitému použití.</w:t>
      </w:r>
    </w:p>
    <w:p w14:paraId="210E0750" w14:textId="30EAA8FF" w:rsidR="00994DB9" w:rsidRPr="00BB4EC1" w:rsidRDefault="00994DB9" w:rsidP="00994DB9">
      <w:pPr>
        <w:rPr>
          <w:rFonts w:cs="Times New Roman"/>
          <w:lang w:val="cs"/>
        </w:rPr>
      </w:pPr>
      <w:r>
        <w:rPr>
          <w:rFonts w:cs="Times New Roman"/>
          <w:lang w:val="cs"/>
        </w:rPr>
        <w:t xml:space="preserve">Souprava cévního smyčkového katétru </w:t>
      </w:r>
      <w:r w:rsidR="004B64B4">
        <w:rPr>
          <w:rFonts w:cs="Times New Roman"/>
          <w:lang w:val="cs"/>
        </w:rPr>
        <w:t xml:space="preserve">Snare </w:t>
      </w:r>
      <w:r>
        <w:rPr>
          <w:rFonts w:cs="Times New Roman"/>
          <w:lang w:val="cs"/>
        </w:rPr>
        <w:t>Atrieve™ je k dispozici v následujících velikostech: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4"/>
        <w:gridCol w:w="2658"/>
        <w:gridCol w:w="2343"/>
        <w:gridCol w:w="2605"/>
      </w:tblGrid>
      <w:tr w:rsidR="00994DB9" w:rsidRPr="009461CC" w14:paraId="5ADE64F6" w14:textId="77777777" w:rsidTr="0022766F">
        <w:tc>
          <w:tcPr>
            <w:tcW w:w="1354" w:type="pct"/>
          </w:tcPr>
          <w:p w14:paraId="323B4940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Rozsah průměrů smyčky</w:t>
            </w:r>
          </w:p>
        </w:tc>
        <w:tc>
          <w:tcPr>
            <w:tcW w:w="1274" w:type="pct"/>
          </w:tcPr>
          <w:p w14:paraId="2775F724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Délka smyčky</w:t>
            </w:r>
          </w:p>
        </w:tc>
        <w:tc>
          <w:tcPr>
            <w:tcW w:w="1123" w:type="pct"/>
          </w:tcPr>
          <w:p w14:paraId="7396E037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Velikost zavádění</w:t>
            </w:r>
          </w:p>
        </w:tc>
        <w:tc>
          <w:tcPr>
            <w:tcW w:w="1250" w:type="pct"/>
          </w:tcPr>
          <w:p w14:paraId="7E248A66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Délka katétru</w:t>
            </w:r>
          </w:p>
        </w:tc>
      </w:tr>
      <w:tr w:rsidR="00994DB9" w:rsidRPr="009461CC" w14:paraId="41F89C56" w14:textId="77777777" w:rsidTr="0022766F">
        <w:tc>
          <w:tcPr>
            <w:tcW w:w="1354" w:type="pct"/>
          </w:tcPr>
          <w:p w14:paraId="20D41F97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2–4 mm</w:t>
            </w:r>
          </w:p>
        </w:tc>
        <w:tc>
          <w:tcPr>
            <w:tcW w:w="1274" w:type="pct"/>
          </w:tcPr>
          <w:p w14:paraId="04CC9EC1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175 cm</w:t>
            </w:r>
          </w:p>
        </w:tc>
        <w:tc>
          <w:tcPr>
            <w:tcW w:w="1123" w:type="pct"/>
          </w:tcPr>
          <w:p w14:paraId="38F2FCC0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3.2 F</w:t>
            </w:r>
          </w:p>
        </w:tc>
        <w:tc>
          <w:tcPr>
            <w:tcW w:w="1250" w:type="pct"/>
          </w:tcPr>
          <w:p w14:paraId="5CD712C9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150 cm</w:t>
            </w:r>
          </w:p>
        </w:tc>
      </w:tr>
      <w:tr w:rsidR="00994DB9" w:rsidRPr="009461CC" w14:paraId="5428D0A0" w14:textId="77777777" w:rsidTr="0022766F">
        <w:tc>
          <w:tcPr>
            <w:tcW w:w="1354" w:type="pct"/>
          </w:tcPr>
          <w:p w14:paraId="7992579F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4–8 mm</w:t>
            </w:r>
          </w:p>
        </w:tc>
        <w:tc>
          <w:tcPr>
            <w:tcW w:w="1274" w:type="pct"/>
          </w:tcPr>
          <w:p w14:paraId="7E385A6E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175 cm</w:t>
            </w:r>
          </w:p>
        </w:tc>
        <w:tc>
          <w:tcPr>
            <w:tcW w:w="1123" w:type="pct"/>
          </w:tcPr>
          <w:p w14:paraId="52F22EE9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3.2 F</w:t>
            </w:r>
          </w:p>
        </w:tc>
        <w:tc>
          <w:tcPr>
            <w:tcW w:w="1250" w:type="pct"/>
          </w:tcPr>
          <w:p w14:paraId="2FFE91B6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150 cm</w:t>
            </w:r>
          </w:p>
        </w:tc>
      </w:tr>
      <w:tr w:rsidR="00994DB9" w:rsidRPr="009461CC" w14:paraId="1CBE6E3D" w14:textId="77777777" w:rsidTr="0022766F">
        <w:tc>
          <w:tcPr>
            <w:tcW w:w="1354" w:type="pct"/>
          </w:tcPr>
          <w:p w14:paraId="3CD87E57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6–10 mm</w:t>
            </w:r>
          </w:p>
        </w:tc>
        <w:tc>
          <w:tcPr>
            <w:tcW w:w="1274" w:type="pct"/>
          </w:tcPr>
          <w:p w14:paraId="58739EE1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120 cm</w:t>
            </w:r>
          </w:p>
        </w:tc>
        <w:tc>
          <w:tcPr>
            <w:tcW w:w="1123" w:type="pct"/>
          </w:tcPr>
          <w:p w14:paraId="66A2FE52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6 F</w:t>
            </w:r>
          </w:p>
        </w:tc>
        <w:tc>
          <w:tcPr>
            <w:tcW w:w="1250" w:type="pct"/>
          </w:tcPr>
          <w:p w14:paraId="16036ECD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100 cm</w:t>
            </w:r>
          </w:p>
        </w:tc>
      </w:tr>
      <w:tr w:rsidR="00994DB9" w:rsidRPr="009461CC" w14:paraId="7137F3A0" w14:textId="77777777" w:rsidTr="0022766F">
        <w:tc>
          <w:tcPr>
            <w:tcW w:w="1354" w:type="pct"/>
          </w:tcPr>
          <w:p w14:paraId="5097E3BD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9–15 mm</w:t>
            </w:r>
          </w:p>
        </w:tc>
        <w:tc>
          <w:tcPr>
            <w:tcW w:w="1274" w:type="pct"/>
          </w:tcPr>
          <w:p w14:paraId="6E08B1BC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120 cm</w:t>
            </w:r>
          </w:p>
        </w:tc>
        <w:tc>
          <w:tcPr>
            <w:tcW w:w="1123" w:type="pct"/>
          </w:tcPr>
          <w:p w14:paraId="5E975E99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6 F</w:t>
            </w:r>
          </w:p>
        </w:tc>
        <w:tc>
          <w:tcPr>
            <w:tcW w:w="1250" w:type="pct"/>
          </w:tcPr>
          <w:p w14:paraId="70150399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100 cm</w:t>
            </w:r>
          </w:p>
        </w:tc>
      </w:tr>
      <w:tr w:rsidR="00994DB9" w:rsidRPr="009461CC" w14:paraId="6873E431" w14:textId="77777777" w:rsidTr="0022766F">
        <w:tc>
          <w:tcPr>
            <w:tcW w:w="1354" w:type="pct"/>
          </w:tcPr>
          <w:p w14:paraId="0A8A2276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12–20 mm</w:t>
            </w:r>
          </w:p>
        </w:tc>
        <w:tc>
          <w:tcPr>
            <w:tcW w:w="1274" w:type="pct"/>
          </w:tcPr>
          <w:p w14:paraId="7058BA8B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120 cm</w:t>
            </w:r>
          </w:p>
        </w:tc>
        <w:tc>
          <w:tcPr>
            <w:tcW w:w="1123" w:type="pct"/>
          </w:tcPr>
          <w:p w14:paraId="16F950BF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6 F</w:t>
            </w:r>
          </w:p>
        </w:tc>
        <w:tc>
          <w:tcPr>
            <w:tcW w:w="1250" w:type="pct"/>
          </w:tcPr>
          <w:p w14:paraId="759B78BD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100 cm</w:t>
            </w:r>
          </w:p>
        </w:tc>
      </w:tr>
      <w:tr w:rsidR="00994DB9" w:rsidRPr="009461CC" w14:paraId="52111BAB" w14:textId="77777777" w:rsidTr="0022766F">
        <w:tc>
          <w:tcPr>
            <w:tcW w:w="1354" w:type="pct"/>
          </w:tcPr>
          <w:p w14:paraId="41061D9E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18–30 mm</w:t>
            </w:r>
          </w:p>
        </w:tc>
        <w:tc>
          <w:tcPr>
            <w:tcW w:w="1274" w:type="pct"/>
          </w:tcPr>
          <w:p w14:paraId="22AB0CDE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120 cm</w:t>
            </w:r>
          </w:p>
        </w:tc>
        <w:tc>
          <w:tcPr>
            <w:tcW w:w="1123" w:type="pct"/>
          </w:tcPr>
          <w:p w14:paraId="17196BA8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7 F</w:t>
            </w:r>
          </w:p>
        </w:tc>
        <w:tc>
          <w:tcPr>
            <w:tcW w:w="1250" w:type="pct"/>
          </w:tcPr>
          <w:p w14:paraId="4543B8B0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100 cm</w:t>
            </w:r>
          </w:p>
        </w:tc>
      </w:tr>
      <w:tr w:rsidR="00994DB9" w:rsidRPr="009461CC" w14:paraId="3F7A77C7" w14:textId="77777777" w:rsidTr="0022766F">
        <w:tc>
          <w:tcPr>
            <w:tcW w:w="1354" w:type="pct"/>
          </w:tcPr>
          <w:p w14:paraId="755F3FE4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27–45 mm</w:t>
            </w:r>
          </w:p>
        </w:tc>
        <w:tc>
          <w:tcPr>
            <w:tcW w:w="1274" w:type="pct"/>
          </w:tcPr>
          <w:p w14:paraId="622306B0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120 cm</w:t>
            </w:r>
          </w:p>
        </w:tc>
        <w:tc>
          <w:tcPr>
            <w:tcW w:w="1123" w:type="pct"/>
          </w:tcPr>
          <w:p w14:paraId="74C46753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7 F</w:t>
            </w:r>
          </w:p>
        </w:tc>
        <w:tc>
          <w:tcPr>
            <w:tcW w:w="1250" w:type="pct"/>
          </w:tcPr>
          <w:p w14:paraId="2DBCCFBE" w14:textId="77777777" w:rsidR="00994DB9" w:rsidRPr="009461CC" w:rsidRDefault="00994DB9" w:rsidP="0022766F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lang w:val="cs"/>
              </w:rPr>
              <w:t>100 cm</w:t>
            </w:r>
          </w:p>
        </w:tc>
      </w:tr>
    </w:tbl>
    <w:p w14:paraId="5D27461E" w14:textId="77777777" w:rsidR="000F4DF1" w:rsidRPr="009461CC" w:rsidRDefault="000F4DF1" w:rsidP="00994DB9">
      <w:pPr>
        <w:rPr>
          <w:rFonts w:cs="Times New Roman"/>
        </w:rPr>
      </w:pPr>
    </w:p>
    <w:p w14:paraId="4C7769AE" w14:textId="77777777" w:rsidR="00D20FA4" w:rsidRPr="004B64B4" w:rsidRDefault="00D20FA4" w:rsidP="00042B91">
      <w:pPr>
        <w:pStyle w:val="Heading1"/>
        <w:rPr>
          <w:rFonts w:cs="Times New Roman"/>
          <w:lang w:val="pl-PL"/>
        </w:rPr>
      </w:pPr>
      <w:bookmarkStart w:id="15" w:name="_Toc222741228"/>
      <w:bookmarkEnd w:id="14"/>
      <w:r>
        <w:rPr>
          <w:rFonts w:cs="Times New Roman"/>
          <w:bCs/>
          <w:lang w:val="cs"/>
        </w:rPr>
        <w:t>Předchozí varianty a odlišnosti oproti nim</w:t>
      </w:r>
      <w:bookmarkEnd w:id="15"/>
    </w:p>
    <w:p w14:paraId="060329F5" w14:textId="3AA8BB73" w:rsidR="00042B91" w:rsidRPr="00BB4EC1" w:rsidRDefault="009D7E33" w:rsidP="007B0F04">
      <w:pPr>
        <w:ind w:left="792"/>
        <w:rPr>
          <w:rFonts w:cs="Times New Roman"/>
          <w:lang w:val="pt-BR"/>
        </w:rPr>
      </w:pPr>
      <w:r>
        <w:rPr>
          <w:rFonts w:cs="Times New Roman"/>
          <w:lang w:val="cs"/>
        </w:rPr>
        <w:t>Tato část není relevantní (není k dispozici).</w:t>
      </w:r>
    </w:p>
    <w:p w14:paraId="26363C05" w14:textId="77777777" w:rsidR="00760400" w:rsidRPr="00BB4EC1" w:rsidRDefault="00760400" w:rsidP="00042B91">
      <w:pPr>
        <w:pStyle w:val="Heading1"/>
        <w:rPr>
          <w:rFonts w:cs="Times New Roman"/>
          <w:lang w:val="pt-BR"/>
        </w:rPr>
      </w:pPr>
      <w:bookmarkStart w:id="16" w:name="_Toc222741229"/>
      <w:r>
        <w:rPr>
          <w:rFonts w:cs="Times New Roman"/>
          <w:bCs/>
          <w:lang w:val="cs"/>
        </w:rPr>
        <w:t>Příslušenství, kompatibilní prostředky a další produkty používané v kombinaci</w:t>
      </w:r>
      <w:bookmarkEnd w:id="16"/>
    </w:p>
    <w:p w14:paraId="21F32064" w14:textId="1ECABF6C" w:rsidR="00C02BC0" w:rsidRPr="00BB4EC1" w:rsidRDefault="00C02BC0" w:rsidP="007B0F04">
      <w:pPr>
        <w:spacing w:after="0" w:afterAutospacing="0"/>
        <w:ind w:left="792"/>
        <w:rPr>
          <w:rFonts w:cs="Times New Roman"/>
          <w:lang w:val="pt-BR"/>
        </w:rPr>
      </w:pPr>
      <w:r>
        <w:rPr>
          <w:rFonts w:cs="Times New Roman"/>
          <w:lang w:val="cs"/>
        </w:rPr>
        <w:t xml:space="preserve">Příslušenství soupravy cévního smyčkového katétru </w:t>
      </w:r>
      <w:r w:rsidR="004B64B4">
        <w:rPr>
          <w:rFonts w:cs="Times New Roman"/>
          <w:lang w:val="cs"/>
        </w:rPr>
        <w:t xml:space="preserve">Snare </w:t>
      </w:r>
      <w:r>
        <w:rPr>
          <w:rFonts w:cs="Times New Roman"/>
          <w:lang w:val="cs"/>
        </w:rPr>
        <w:t>Atrieve zahrnuje zaváděcí katétr, zavaděč a momentovou rukojeť (typu pin vise).</w:t>
      </w:r>
    </w:p>
    <w:p w14:paraId="17CCC4B6" w14:textId="77777777" w:rsidR="00042B91" w:rsidRPr="00BB4EC1" w:rsidRDefault="00042B91" w:rsidP="00042B91">
      <w:pPr>
        <w:spacing w:after="0" w:afterAutospacing="0" w:line="240" w:lineRule="auto"/>
        <w:rPr>
          <w:rFonts w:cs="Times New Roman"/>
          <w:i/>
          <w:color w:val="FF0000"/>
          <w:lang w:val="pt-BR"/>
        </w:rPr>
      </w:pPr>
    </w:p>
    <w:p w14:paraId="45C0A245" w14:textId="61A622A4" w:rsidR="008745ED" w:rsidRPr="009461CC" w:rsidRDefault="008745ED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17" w:name="_Toc222741230"/>
      <w:r>
        <w:rPr>
          <w:rFonts w:cs="Times New Roman"/>
          <w:bCs/>
          <w:lang w:val="cs"/>
        </w:rPr>
        <w:t>Rizika a varování</w:t>
      </w:r>
      <w:bookmarkEnd w:id="17"/>
    </w:p>
    <w:p w14:paraId="3D8BE6E3" w14:textId="77777777" w:rsidR="00042B91" w:rsidRPr="009461CC" w:rsidRDefault="00042B91" w:rsidP="00042B91">
      <w:pPr>
        <w:spacing w:after="0" w:afterAutospacing="0" w:line="240" w:lineRule="auto"/>
        <w:rPr>
          <w:rFonts w:cs="Times New Roman"/>
        </w:rPr>
      </w:pPr>
    </w:p>
    <w:p w14:paraId="04F70349" w14:textId="6FD2DA8D" w:rsidR="008745ED" w:rsidRPr="009461CC" w:rsidRDefault="008745ED" w:rsidP="00042B91">
      <w:pPr>
        <w:pStyle w:val="Heading1"/>
        <w:rPr>
          <w:rFonts w:cs="Times New Roman"/>
        </w:rPr>
      </w:pPr>
      <w:bookmarkStart w:id="18" w:name="_Toc222741231"/>
      <w:r>
        <w:rPr>
          <w:rFonts w:cs="Times New Roman"/>
          <w:bCs/>
          <w:lang w:val="cs"/>
        </w:rPr>
        <w:t>Zbytková rizika a nežádoucí vedlejší účinky</w:t>
      </w:r>
      <w:bookmarkEnd w:id="18"/>
    </w:p>
    <w:p w14:paraId="2F64097C" w14:textId="607FF4A5" w:rsidR="00D15BBE" w:rsidRPr="009461CC" w:rsidRDefault="00C64987" w:rsidP="008D7F1C">
      <w:pPr>
        <w:ind w:left="792"/>
        <w:rPr>
          <w:rFonts w:cs="Times New Roman"/>
        </w:rPr>
      </w:pPr>
      <w:r>
        <w:rPr>
          <w:rFonts w:cs="Times New Roman"/>
          <w:lang w:val="cs"/>
        </w:rPr>
        <w:t xml:space="preserve">V dokumentu RMR-0011 Rev H je uveden následující profil rizik a přínosů produktu: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086"/>
        <w:gridCol w:w="2416"/>
        <w:gridCol w:w="3555"/>
      </w:tblGrid>
      <w:tr w:rsidR="00453251" w:rsidRPr="009461CC" w14:paraId="15FC12E9" w14:textId="77777777" w:rsidTr="00453251">
        <w:trPr>
          <w:trHeight w:val="620"/>
        </w:trPr>
        <w:tc>
          <w:tcPr>
            <w:tcW w:w="1138" w:type="pct"/>
            <w:shd w:val="clear" w:color="auto" w:fill="BFBFBF"/>
            <w:vAlign w:val="center"/>
          </w:tcPr>
          <w:p w14:paraId="024816D8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Výsledek</w:t>
            </w:r>
            <w:bookmarkStart w:id="19" w:name="_Toc86391902"/>
            <w:bookmarkEnd w:id="19"/>
          </w:p>
        </w:tc>
        <w:tc>
          <w:tcPr>
            <w:tcW w:w="1000" w:type="pct"/>
            <w:shd w:val="clear" w:color="auto" w:fill="BFBFBF"/>
          </w:tcPr>
          <w:p w14:paraId="22A108AE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SOA</w:t>
            </w:r>
            <w:r>
              <w:rPr>
                <w:rFonts w:ascii="Times New Roman" w:hAnsi="Times New Roman" w:cs="Times New Roman"/>
                <w:lang w:val="cs"/>
              </w:rPr>
              <w:br/>
              <w:t>Celkový rozsah</w:t>
            </w:r>
          </w:p>
        </w:tc>
        <w:tc>
          <w:tcPr>
            <w:tcW w:w="1158" w:type="pct"/>
            <w:shd w:val="clear" w:color="auto" w:fill="BFBFBF"/>
            <w:vAlign w:val="center"/>
          </w:tcPr>
          <w:p w14:paraId="16D6B523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Konkurenční prostředky</w:t>
            </w:r>
          </w:p>
          <w:p w14:paraId="45EFB37E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Celkový rozsah</w:t>
            </w:r>
            <w:bookmarkStart w:id="20" w:name="_Toc86391905"/>
            <w:bookmarkEnd w:id="20"/>
          </w:p>
        </w:tc>
        <w:tc>
          <w:tcPr>
            <w:tcW w:w="1704" w:type="pct"/>
            <w:shd w:val="clear" w:color="auto" w:fill="BFBFBF"/>
            <w:vAlign w:val="center"/>
          </w:tcPr>
          <w:p w14:paraId="17C5AFF5" w14:textId="77777777" w:rsidR="00453251" w:rsidRPr="009461CC" w:rsidRDefault="00453251" w:rsidP="00AC7398">
            <w:pPr>
              <w:pStyle w:val="TableHeading-Font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Kritéria přijatelnosti</w:t>
            </w:r>
            <w:bookmarkStart w:id="21" w:name="_Toc86391906"/>
            <w:bookmarkEnd w:id="21"/>
          </w:p>
        </w:tc>
        <w:bookmarkStart w:id="22" w:name="_Toc86391907"/>
        <w:bookmarkEnd w:id="22"/>
      </w:tr>
      <w:tr w:rsidR="00453251" w:rsidRPr="009461CC" w14:paraId="5B41AE2D" w14:textId="77777777" w:rsidTr="00453251">
        <w:tc>
          <w:tcPr>
            <w:tcW w:w="5000" w:type="pct"/>
            <w:gridSpan w:val="4"/>
            <w:shd w:val="clear" w:color="auto" w:fill="D9D9D9"/>
          </w:tcPr>
          <w:p w14:paraId="026E445F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 w:val="0"/>
                <w:lang w:val="cs"/>
              </w:rPr>
              <w:t>Bezpečnost</w:t>
            </w:r>
          </w:p>
        </w:tc>
      </w:tr>
      <w:tr w:rsidR="00453251" w:rsidRPr="009461CC" w14:paraId="2ECEC40D" w14:textId="77777777" w:rsidTr="00453251">
        <w:tc>
          <w:tcPr>
            <w:tcW w:w="1138" w:type="pct"/>
          </w:tcPr>
          <w:p w14:paraId="01C3E100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cs"/>
              </w:rPr>
              <w:t>Krvácení</w:t>
            </w:r>
            <w:bookmarkStart w:id="23" w:name="_Toc86391910"/>
            <w:bookmarkEnd w:id="23"/>
          </w:p>
        </w:tc>
        <w:tc>
          <w:tcPr>
            <w:tcW w:w="1000" w:type="pct"/>
            <w:vAlign w:val="center"/>
          </w:tcPr>
          <w:p w14:paraId="529B6FA7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cs"/>
              </w:rPr>
              <w:t>0–3 %</w:t>
            </w:r>
          </w:p>
        </w:tc>
        <w:tc>
          <w:tcPr>
            <w:tcW w:w="1158" w:type="pct"/>
            <w:vAlign w:val="center"/>
          </w:tcPr>
          <w:p w14:paraId="30172B6B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24" w:name="_Toc86391913"/>
            <w:bookmarkStart w:id="25" w:name="_Toc86391911"/>
            <w:bookmarkEnd w:id="24"/>
            <w:bookmarkEnd w:id="25"/>
            <w:r>
              <w:rPr>
                <w:rFonts w:ascii="Times New Roman" w:hAnsi="Times New Roman" w:cs="Times New Roman"/>
                <w:iCs w:val="0"/>
                <w:lang w:val="cs"/>
              </w:rPr>
              <w:t>0–0,6 %</w:t>
            </w:r>
          </w:p>
        </w:tc>
        <w:tc>
          <w:tcPr>
            <w:tcW w:w="1704" w:type="pct"/>
            <w:vAlign w:val="center"/>
          </w:tcPr>
          <w:p w14:paraId="03E978DF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bookmarkStart w:id="26" w:name="_Toc86391914"/>
            <w:bookmarkEnd w:id="26"/>
            <w:r>
              <w:rPr>
                <w:rFonts w:ascii="Times New Roman" w:hAnsi="Times New Roman" w:cs="Times New Roman"/>
                <w:iCs w:val="0"/>
                <w:lang w:val="cs"/>
              </w:rPr>
              <w:t xml:space="preserve">Četnost krvácení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cs"/>
              </w:rPr>
              <w:t>méně než 3 %</w:t>
            </w:r>
          </w:p>
        </w:tc>
        <w:bookmarkStart w:id="27" w:name="_Toc86391915"/>
        <w:bookmarkEnd w:id="27"/>
      </w:tr>
      <w:tr w:rsidR="00453251" w:rsidRPr="009461CC" w14:paraId="770200CA" w14:textId="77777777" w:rsidTr="00453251">
        <w:tc>
          <w:tcPr>
            <w:tcW w:w="1138" w:type="pct"/>
          </w:tcPr>
          <w:p w14:paraId="4D43F3AC" w14:textId="77777777" w:rsidR="00453251" w:rsidRPr="009461CC" w:rsidRDefault="00453251" w:rsidP="00AC7398">
            <w:pPr>
              <w:pStyle w:val="TableTextLeft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cs"/>
              </w:rPr>
              <w:t>Perforace/poškození tkáně</w:t>
            </w:r>
            <w:bookmarkStart w:id="28" w:name="_Toc86391916"/>
            <w:bookmarkEnd w:id="28"/>
          </w:p>
        </w:tc>
        <w:tc>
          <w:tcPr>
            <w:tcW w:w="1000" w:type="pct"/>
            <w:vAlign w:val="center"/>
          </w:tcPr>
          <w:p w14:paraId="42E7FC3B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cs"/>
              </w:rPr>
              <w:t>0–1,7 %</w:t>
            </w:r>
          </w:p>
        </w:tc>
        <w:tc>
          <w:tcPr>
            <w:tcW w:w="1158" w:type="pct"/>
            <w:vAlign w:val="center"/>
          </w:tcPr>
          <w:p w14:paraId="58C428BE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29" w:name="_Toc86391919"/>
            <w:bookmarkStart w:id="30" w:name="_Toc86391917"/>
            <w:bookmarkEnd w:id="29"/>
            <w:bookmarkEnd w:id="30"/>
            <w:r>
              <w:rPr>
                <w:rFonts w:ascii="Times New Roman" w:hAnsi="Times New Roman" w:cs="Times New Roman"/>
                <w:iCs w:val="0"/>
                <w:lang w:val="cs"/>
              </w:rPr>
              <w:t>0–4,0 %</w:t>
            </w:r>
          </w:p>
        </w:tc>
        <w:tc>
          <w:tcPr>
            <w:tcW w:w="1704" w:type="pct"/>
            <w:vAlign w:val="center"/>
          </w:tcPr>
          <w:p w14:paraId="785BDB89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31" w:name="_Toc86391920"/>
            <w:bookmarkEnd w:id="31"/>
            <w:r>
              <w:rPr>
                <w:rFonts w:ascii="Times New Roman" w:hAnsi="Times New Roman" w:cs="Times New Roman"/>
                <w:iCs w:val="0"/>
                <w:lang w:val="cs"/>
              </w:rPr>
              <w:t xml:space="preserve">Četnost perforace / poškození tkáně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cs"/>
              </w:rPr>
              <w:t>méně než 4 %</w:t>
            </w:r>
          </w:p>
        </w:tc>
        <w:bookmarkStart w:id="32" w:name="_Toc86391921"/>
        <w:bookmarkEnd w:id="32"/>
      </w:tr>
      <w:tr w:rsidR="00453251" w:rsidRPr="009461CC" w14:paraId="3D17E0CA" w14:textId="77777777" w:rsidTr="00453251">
        <w:tc>
          <w:tcPr>
            <w:tcW w:w="1138" w:type="pct"/>
          </w:tcPr>
          <w:p w14:paraId="22E5467D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cs"/>
              </w:rPr>
              <w:t>Vzduchová embolie</w:t>
            </w:r>
            <w:bookmarkStart w:id="33" w:name="_Toc86391922"/>
            <w:bookmarkEnd w:id="33"/>
          </w:p>
        </w:tc>
        <w:tc>
          <w:tcPr>
            <w:tcW w:w="1000" w:type="pct"/>
            <w:vAlign w:val="center"/>
          </w:tcPr>
          <w:p w14:paraId="50CDDBB0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cs"/>
              </w:rPr>
              <w:t>0 – 2,1 %</w:t>
            </w:r>
          </w:p>
        </w:tc>
        <w:tc>
          <w:tcPr>
            <w:tcW w:w="1158" w:type="pct"/>
            <w:vAlign w:val="center"/>
          </w:tcPr>
          <w:p w14:paraId="0471C436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34" w:name="_Toc86391925"/>
            <w:bookmarkStart w:id="35" w:name="_Toc86391923"/>
            <w:bookmarkEnd w:id="34"/>
            <w:bookmarkEnd w:id="35"/>
            <w:r>
              <w:rPr>
                <w:rFonts w:ascii="Times New Roman" w:hAnsi="Times New Roman" w:cs="Times New Roman"/>
                <w:iCs w:val="0"/>
                <w:lang w:val="cs"/>
              </w:rPr>
              <w:t>0–0,6 %</w:t>
            </w:r>
          </w:p>
        </w:tc>
        <w:tc>
          <w:tcPr>
            <w:tcW w:w="1704" w:type="pct"/>
            <w:vAlign w:val="center"/>
          </w:tcPr>
          <w:p w14:paraId="1B80F3DB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36" w:name="_Toc86391926"/>
            <w:bookmarkEnd w:id="36"/>
            <w:r>
              <w:rPr>
                <w:rFonts w:ascii="Times New Roman" w:hAnsi="Times New Roman" w:cs="Times New Roman"/>
                <w:iCs w:val="0"/>
                <w:lang w:val="cs"/>
              </w:rPr>
              <w:t xml:space="preserve">Embolie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cs"/>
              </w:rPr>
              <w:t>méně než 2,1 %</w:t>
            </w:r>
          </w:p>
        </w:tc>
        <w:bookmarkStart w:id="37" w:name="_Toc86391927"/>
        <w:bookmarkEnd w:id="37"/>
      </w:tr>
      <w:tr w:rsidR="00453251" w:rsidRPr="009461CC" w14:paraId="33FEDA6C" w14:textId="77777777" w:rsidTr="00453251">
        <w:tc>
          <w:tcPr>
            <w:tcW w:w="1138" w:type="pct"/>
          </w:tcPr>
          <w:p w14:paraId="5817831E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cs"/>
              </w:rPr>
              <w:t>Infekce</w:t>
            </w:r>
            <w:bookmarkStart w:id="38" w:name="_Toc86391928"/>
            <w:bookmarkEnd w:id="38"/>
          </w:p>
        </w:tc>
        <w:tc>
          <w:tcPr>
            <w:tcW w:w="1000" w:type="pct"/>
            <w:vAlign w:val="center"/>
          </w:tcPr>
          <w:p w14:paraId="190DF8A8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cs"/>
              </w:rPr>
              <w:t>0 %</w:t>
            </w:r>
          </w:p>
        </w:tc>
        <w:tc>
          <w:tcPr>
            <w:tcW w:w="1158" w:type="pct"/>
            <w:vAlign w:val="center"/>
          </w:tcPr>
          <w:p w14:paraId="480907F1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39" w:name="_Toc86391931"/>
            <w:bookmarkStart w:id="40" w:name="_Toc86391929"/>
            <w:bookmarkEnd w:id="39"/>
            <w:bookmarkEnd w:id="40"/>
            <w:r>
              <w:rPr>
                <w:rFonts w:ascii="Times New Roman" w:hAnsi="Times New Roman" w:cs="Times New Roman"/>
                <w:iCs w:val="0"/>
                <w:lang w:val="cs"/>
              </w:rPr>
              <w:t>0 %</w:t>
            </w:r>
          </w:p>
        </w:tc>
        <w:tc>
          <w:tcPr>
            <w:tcW w:w="1704" w:type="pct"/>
            <w:vAlign w:val="center"/>
          </w:tcPr>
          <w:p w14:paraId="1D828A42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41" w:name="_Toc86391932"/>
            <w:bookmarkEnd w:id="41"/>
            <w:r>
              <w:rPr>
                <w:rFonts w:ascii="Times New Roman" w:hAnsi="Times New Roman" w:cs="Times New Roman"/>
                <w:iCs w:val="0"/>
                <w:lang w:val="cs"/>
              </w:rPr>
              <w:t xml:space="preserve">Infekce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cs"/>
              </w:rPr>
              <w:t>méně než 0 %</w:t>
            </w:r>
          </w:p>
        </w:tc>
        <w:bookmarkStart w:id="42" w:name="_Toc86391933"/>
        <w:bookmarkEnd w:id="42"/>
      </w:tr>
      <w:tr w:rsidR="00453251" w:rsidRPr="009461CC" w14:paraId="00F9D43C" w14:textId="77777777" w:rsidTr="00453251">
        <w:tc>
          <w:tcPr>
            <w:tcW w:w="1138" w:type="pct"/>
          </w:tcPr>
          <w:p w14:paraId="530E2FE9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cs"/>
              </w:rPr>
              <w:t>Alergická reakce</w:t>
            </w:r>
            <w:bookmarkStart w:id="43" w:name="_Toc86391934"/>
            <w:bookmarkEnd w:id="43"/>
          </w:p>
        </w:tc>
        <w:tc>
          <w:tcPr>
            <w:tcW w:w="1000" w:type="pct"/>
            <w:vAlign w:val="center"/>
          </w:tcPr>
          <w:p w14:paraId="6250CCD8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cs"/>
              </w:rPr>
              <w:t>0 %</w:t>
            </w:r>
          </w:p>
        </w:tc>
        <w:tc>
          <w:tcPr>
            <w:tcW w:w="1158" w:type="pct"/>
            <w:vAlign w:val="center"/>
          </w:tcPr>
          <w:p w14:paraId="50CF5415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44" w:name="_Toc86391937"/>
            <w:bookmarkStart w:id="45" w:name="_Toc86391935"/>
            <w:bookmarkEnd w:id="44"/>
            <w:bookmarkEnd w:id="45"/>
            <w:r>
              <w:rPr>
                <w:rFonts w:ascii="Times New Roman" w:hAnsi="Times New Roman" w:cs="Times New Roman"/>
                <w:iCs w:val="0"/>
                <w:lang w:val="cs"/>
              </w:rPr>
              <w:t>0 %</w:t>
            </w:r>
          </w:p>
        </w:tc>
        <w:tc>
          <w:tcPr>
            <w:tcW w:w="1704" w:type="pct"/>
            <w:vAlign w:val="center"/>
          </w:tcPr>
          <w:p w14:paraId="3CD98CC2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46" w:name="_Toc86391938"/>
            <w:bookmarkEnd w:id="46"/>
            <w:r>
              <w:rPr>
                <w:rFonts w:ascii="Times New Roman" w:hAnsi="Times New Roman" w:cs="Times New Roman"/>
                <w:iCs w:val="0"/>
                <w:lang w:val="cs"/>
              </w:rPr>
              <w:t xml:space="preserve">Alergická reakce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cs"/>
              </w:rPr>
              <w:t>méně než 0 %</w:t>
            </w:r>
          </w:p>
        </w:tc>
        <w:bookmarkStart w:id="47" w:name="_Toc86391939"/>
        <w:bookmarkEnd w:id="47"/>
      </w:tr>
      <w:tr w:rsidR="00453251" w:rsidRPr="009461CC" w14:paraId="027FF060" w14:textId="77777777" w:rsidTr="00453251">
        <w:trPr>
          <w:trHeight w:val="197"/>
        </w:trPr>
        <w:tc>
          <w:tcPr>
            <w:tcW w:w="1138" w:type="pct"/>
          </w:tcPr>
          <w:p w14:paraId="0B4FA88A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cs"/>
              </w:rPr>
              <w:t>Bolest</w:t>
            </w:r>
            <w:bookmarkStart w:id="48" w:name="_Toc86391940"/>
            <w:bookmarkEnd w:id="48"/>
          </w:p>
        </w:tc>
        <w:tc>
          <w:tcPr>
            <w:tcW w:w="1000" w:type="pct"/>
            <w:vAlign w:val="center"/>
          </w:tcPr>
          <w:p w14:paraId="0A016617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cs"/>
              </w:rPr>
              <w:t>0 %</w:t>
            </w:r>
          </w:p>
        </w:tc>
        <w:tc>
          <w:tcPr>
            <w:tcW w:w="1158" w:type="pct"/>
            <w:vAlign w:val="center"/>
          </w:tcPr>
          <w:p w14:paraId="72B648EC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49" w:name="_Toc86391943"/>
            <w:bookmarkStart w:id="50" w:name="_Toc86391941"/>
            <w:bookmarkEnd w:id="49"/>
            <w:bookmarkEnd w:id="50"/>
            <w:r>
              <w:rPr>
                <w:rFonts w:ascii="Times New Roman" w:hAnsi="Times New Roman" w:cs="Times New Roman"/>
                <w:iCs w:val="0"/>
                <w:lang w:val="cs"/>
              </w:rPr>
              <w:t>0 %</w:t>
            </w:r>
          </w:p>
        </w:tc>
        <w:tc>
          <w:tcPr>
            <w:tcW w:w="1704" w:type="pct"/>
            <w:vAlign w:val="center"/>
          </w:tcPr>
          <w:p w14:paraId="56186FA5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  <w:b/>
                <w:bCs/>
              </w:rPr>
            </w:pPr>
            <w:bookmarkStart w:id="51" w:name="_Toc86391944"/>
            <w:bookmarkEnd w:id="51"/>
            <w:r>
              <w:rPr>
                <w:rFonts w:ascii="Times New Roman" w:hAnsi="Times New Roman" w:cs="Times New Roman"/>
                <w:iCs w:val="0"/>
                <w:lang w:val="cs"/>
              </w:rPr>
              <w:t xml:space="preserve">Bolest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cs"/>
              </w:rPr>
              <w:t>méně než 0 %</w:t>
            </w:r>
          </w:p>
        </w:tc>
        <w:bookmarkStart w:id="52" w:name="_Toc86391945"/>
        <w:bookmarkEnd w:id="52"/>
      </w:tr>
      <w:tr w:rsidR="00453251" w:rsidRPr="009461CC" w14:paraId="28252FD0" w14:textId="77777777" w:rsidTr="00453251">
        <w:tc>
          <w:tcPr>
            <w:tcW w:w="1138" w:type="pct"/>
          </w:tcPr>
          <w:p w14:paraId="013547C7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cs"/>
              </w:rPr>
              <w:t>Celkové komplikace</w:t>
            </w:r>
            <w:bookmarkStart w:id="53" w:name="_Toc86391946"/>
            <w:bookmarkEnd w:id="53"/>
          </w:p>
        </w:tc>
        <w:tc>
          <w:tcPr>
            <w:tcW w:w="1000" w:type="pct"/>
            <w:vAlign w:val="center"/>
          </w:tcPr>
          <w:p w14:paraId="740F59E9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cs"/>
              </w:rPr>
              <w:t>0–5,2 %</w:t>
            </w:r>
          </w:p>
        </w:tc>
        <w:tc>
          <w:tcPr>
            <w:tcW w:w="1158" w:type="pct"/>
            <w:vAlign w:val="center"/>
          </w:tcPr>
          <w:p w14:paraId="0BF92E76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54" w:name="_Toc86391949"/>
            <w:bookmarkStart w:id="55" w:name="_Toc86391947"/>
            <w:bookmarkEnd w:id="54"/>
            <w:bookmarkEnd w:id="55"/>
            <w:r>
              <w:rPr>
                <w:rFonts w:ascii="Times New Roman" w:hAnsi="Times New Roman" w:cs="Times New Roman"/>
                <w:iCs w:val="0"/>
                <w:lang w:val="cs"/>
              </w:rPr>
              <w:t>0–4 %</w:t>
            </w:r>
          </w:p>
        </w:tc>
        <w:tc>
          <w:tcPr>
            <w:tcW w:w="1704" w:type="pct"/>
            <w:vAlign w:val="center"/>
          </w:tcPr>
          <w:p w14:paraId="71781E09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bookmarkStart w:id="56" w:name="_Toc86391950"/>
            <w:bookmarkEnd w:id="56"/>
            <w:r>
              <w:rPr>
                <w:rFonts w:ascii="Times New Roman" w:hAnsi="Times New Roman" w:cs="Times New Roman"/>
                <w:iCs w:val="0"/>
                <w:lang w:val="cs"/>
              </w:rPr>
              <w:t xml:space="preserve">Celkové komplikace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cs"/>
              </w:rPr>
              <w:t>méně než 5,2 %</w:t>
            </w:r>
          </w:p>
        </w:tc>
        <w:bookmarkStart w:id="57" w:name="_Toc86391951"/>
        <w:bookmarkEnd w:id="57"/>
      </w:tr>
      <w:tr w:rsidR="00453251" w:rsidRPr="009461CC" w14:paraId="0BC00479" w14:textId="77777777" w:rsidTr="00453251">
        <w:tc>
          <w:tcPr>
            <w:tcW w:w="5000" w:type="pct"/>
            <w:gridSpan w:val="4"/>
            <w:shd w:val="clear" w:color="auto" w:fill="D9D9D9"/>
            <w:vAlign w:val="center"/>
          </w:tcPr>
          <w:p w14:paraId="35A811CF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Cs w:val="0"/>
                <w:lang w:val="cs"/>
              </w:rPr>
              <w:t>Funkce</w:t>
            </w:r>
          </w:p>
        </w:tc>
      </w:tr>
      <w:tr w:rsidR="00453251" w:rsidRPr="009461CC" w14:paraId="6F720CB6" w14:textId="77777777" w:rsidTr="00453251">
        <w:tc>
          <w:tcPr>
            <w:tcW w:w="1138" w:type="pct"/>
            <w:vAlign w:val="center"/>
          </w:tcPr>
          <w:p w14:paraId="60785A5D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cs"/>
              </w:rPr>
              <w:t xml:space="preserve">Technická úspěšnost </w:t>
            </w:r>
            <w:bookmarkStart w:id="58" w:name="_Toc86391954"/>
            <w:bookmarkEnd w:id="58"/>
          </w:p>
        </w:tc>
        <w:tc>
          <w:tcPr>
            <w:tcW w:w="1000" w:type="pct"/>
            <w:vAlign w:val="center"/>
          </w:tcPr>
          <w:p w14:paraId="042F9BC6" w14:textId="77777777" w:rsidR="00453251" w:rsidRPr="009461CC" w:rsidDel="002D4462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cs"/>
              </w:rPr>
              <w:t>82,8–100 %</w:t>
            </w:r>
          </w:p>
        </w:tc>
        <w:tc>
          <w:tcPr>
            <w:tcW w:w="1158" w:type="pct"/>
            <w:vAlign w:val="center"/>
          </w:tcPr>
          <w:p w14:paraId="3177A351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59" w:name="_Toc86391957"/>
            <w:bookmarkStart w:id="60" w:name="_Toc86391955"/>
            <w:bookmarkEnd w:id="59"/>
            <w:bookmarkEnd w:id="60"/>
            <w:r>
              <w:rPr>
                <w:rFonts w:ascii="Times New Roman" w:hAnsi="Times New Roman" w:cs="Times New Roman"/>
                <w:iCs w:val="0"/>
                <w:lang w:val="cs"/>
              </w:rPr>
              <w:t>82,0–100 %</w:t>
            </w:r>
          </w:p>
        </w:tc>
        <w:tc>
          <w:tcPr>
            <w:tcW w:w="1704" w:type="pct"/>
            <w:vAlign w:val="center"/>
          </w:tcPr>
          <w:p w14:paraId="55C13098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bookmarkStart w:id="61" w:name="_Toc86391958"/>
            <w:bookmarkEnd w:id="61"/>
            <w:r>
              <w:rPr>
                <w:rFonts w:ascii="Times New Roman" w:hAnsi="Times New Roman" w:cs="Times New Roman"/>
                <w:iCs w:val="0"/>
                <w:lang w:val="cs"/>
              </w:rPr>
              <w:t xml:space="preserve">Technická úspěšnost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cs"/>
              </w:rPr>
              <w:t>vyšší než 82,0 %</w:t>
            </w:r>
          </w:p>
        </w:tc>
        <w:bookmarkStart w:id="62" w:name="_Toc86391959"/>
        <w:bookmarkEnd w:id="62"/>
      </w:tr>
      <w:tr w:rsidR="00453251" w:rsidRPr="009461CC" w14:paraId="4E839B51" w14:textId="77777777" w:rsidTr="00453251">
        <w:tc>
          <w:tcPr>
            <w:tcW w:w="1138" w:type="pct"/>
            <w:vAlign w:val="center"/>
          </w:tcPr>
          <w:p w14:paraId="055E85A0" w14:textId="77777777" w:rsidR="00453251" w:rsidRPr="009461CC" w:rsidRDefault="00453251" w:rsidP="00AC7398">
            <w:pPr>
              <w:pStyle w:val="TableTextLeft"/>
              <w:rPr>
                <w:rFonts w:ascii="Times New Roman" w:eastAsia="MS Mincho" w:hAnsi="Times New Roman" w:cs="Times New Roman"/>
              </w:rPr>
            </w:pPr>
            <w:r>
              <w:rPr>
                <w:rFonts w:ascii="Times New Roman" w:hAnsi="Times New Roman" w:cs="Times New Roman"/>
                <w:iCs w:val="0"/>
                <w:lang w:val="cs"/>
              </w:rPr>
              <w:t xml:space="preserve">Klinická úspěšnost </w:t>
            </w:r>
            <w:bookmarkStart w:id="63" w:name="_Toc86391960"/>
            <w:bookmarkEnd w:id="63"/>
          </w:p>
        </w:tc>
        <w:tc>
          <w:tcPr>
            <w:tcW w:w="1000" w:type="pct"/>
            <w:vAlign w:val="center"/>
          </w:tcPr>
          <w:p w14:paraId="163906FF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r>
              <w:rPr>
                <w:rFonts w:ascii="Times New Roman" w:hAnsi="Times New Roman" w:cs="Times New Roman"/>
                <w:iCs w:val="0"/>
                <w:lang w:val="cs"/>
              </w:rPr>
              <w:t>95,2–100 %</w:t>
            </w:r>
          </w:p>
        </w:tc>
        <w:tc>
          <w:tcPr>
            <w:tcW w:w="1158" w:type="pct"/>
            <w:vAlign w:val="center"/>
          </w:tcPr>
          <w:p w14:paraId="24CE1D22" w14:textId="77777777" w:rsidR="00453251" w:rsidRPr="009461CC" w:rsidRDefault="00453251" w:rsidP="00AC7398">
            <w:pPr>
              <w:pStyle w:val="TableTextLeft"/>
              <w:jc w:val="center"/>
              <w:rPr>
                <w:rFonts w:ascii="Times New Roman" w:hAnsi="Times New Roman" w:cs="Times New Roman"/>
                <w:iCs w:val="0"/>
              </w:rPr>
            </w:pPr>
            <w:bookmarkStart w:id="64" w:name="_Toc86391963"/>
            <w:bookmarkStart w:id="65" w:name="_Toc86391961"/>
            <w:bookmarkEnd w:id="64"/>
            <w:bookmarkEnd w:id="65"/>
            <w:r>
              <w:rPr>
                <w:rFonts w:ascii="Times New Roman" w:hAnsi="Times New Roman" w:cs="Times New Roman"/>
                <w:iCs w:val="0"/>
                <w:lang w:val="cs"/>
              </w:rPr>
              <w:t>92,3–100 %</w:t>
            </w:r>
          </w:p>
        </w:tc>
        <w:tc>
          <w:tcPr>
            <w:tcW w:w="1704" w:type="pct"/>
            <w:vAlign w:val="center"/>
          </w:tcPr>
          <w:p w14:paraId="1240798C" w14:textId="77777777" w:rsidR="00453251" w:rsidRPr="009461CC" w:rsidRDefault="00453251" w:rsidP="00AC7398">
            <w:pPr>
              <w:pStyle w:val="TableTextLeft"/>
              <w:rPr>
                <w:rFonts w:ascii="Times New Roman" w:hAnsi="Times New Roman" w:cs="Times New Roman"/>
              </w:rPr>
            </w:pPr>
            <w:bookmarkStart w:id="66" w:name="_Toc86391964"/>
            <w:bookmarkEnd w:id="66"/>
            <w:r>
              <w:rPr>
                <w:rFonts w:ascii="Times New Roman" w:hAnsi="Times New Roman" w:cs="Times New Roman"/>
                <w:iCs w:val="0"/>
                <w:lang w:val="cs"/>
              </w:rPr>
              <w:t xml:space="preserve">Klinická úspěšnost </w:t>
            </w:r>
            <w:r>
              <w:rPr>
                <w:rFonts w:ascii="Times New Roman" w:hAnsi="Times New Roman" w:cs="Times New Roman"/>
                <w:b/>
                <w:bCs/>
                <w:iCs w:val="0"/>
                <w:lang w:val="cs"/>
              </w:rPr>
              <w:t>vyšší než 92,3 %</w:t>
            </w:r>
          </w:p>
        </w:tc>
        <w:bookmarkStart w:id="67" w:name="_Toc86391965"/>
        <w:bookmarkEnd w:id="67"/>
      </w:tr>
    </w:tbl>
    <w:p w14:paraId="47F3BE56" w14:textId="78DCE760" w:rsidR="00941D63" w:rsidRPr="00BB4EC1" w:rsidRDefault="00941D63" w:rsidP="00941D63">
      <w:pPr>
        <w:spacing w:before="100" w:beforeAutospacing="1" w:line="240" w:lineRule="auto"/>
        <w:rPr>
          <w:rFonts w:eastAsia="Times New Roman" w:cs="Times New Roman"/>
          <w:szCs w:val="24"/>
          <w:lang w:val="cs"/>
        </w:rPr>
      </w:pPr>
      <w:r>
        <w:rPr>
          <w:rFonts w:eastAsia="Times New Roman" w:cs="Times New Roman"/>
          <w:szCs w:val="24"/>
          <w:lang w:val="cs"/>
        </w:rPr>
        <w:t xml:space="preserve">Souprava cévního smyčkového katétru </w:t>
      </w:r>
      <w:r w:rsidR="004B64B4">
        <w:rPr>
          <w:rFonts w:eastAsia="Times New Roman" w:cs="Times New Roman"/>
          <w:szCs w:val="24"/>
          <w:lang w:val="cs"/>
        </w:rPr>
        <w:t xml:space="preserve">Snare </w:t>
      </w:r>
      <w:r>
        <w:rPr>
          <w:rFonts w:eastAsia="Times New Roman" w:cs="Times New Roman"/>
          <w:szCs w:val="24"/>
          <w:lang w:val="cs"/>
        </w:rPr>
        <w:t>Atrieve vykazuje přijatelný rizikový profil bez zbytkových rizik klasifikovaných jako nepřijatelná. Potenciální poškození pacientů, jako je krvácení, embolie, infekce a poškození tkání, jsou vzácná a spadají do přijatelných mezí v oboru. Běžné poruchy, jako je oddělení součástky nebo odpor prostředku, jsou méně časté a dobře kontrolované.</w:t>
      </w:r>
    </w:p>
    <w:p w14:paraId="6CD9B2F8" w14:textId="27B9DB44" w:rsidR="00941D63" w:rsidRPr="00BB4EC1" w:rsidRDefault="00941D63" w:rsidP="00941D63">
      <w:pPr>
        <w:spacing w:before="100" w:beforeAutospacing="1" w:line="240" w:lineRule="auto"/>
        <w:rPr>
          <w:rFonts w:eastAsia="Times New Roman" w:cs="Times New Roman"/>
          <w:szCs w:val="24"/>
          <w:lang w:val="cs"/>
        </w:rPr>
      </w:pPr>
      <w:r>
        <w:rPr>
          <w:rFonts w:eastAsia="Times New Roman" w:cs="Times New Roman"/>
          <w:szCs w:val="24"/>
          <w:lang w:val="cs"/>
        </w:rPr>
        <w:t>Všechna identifikovaná rizika jsou řešena prostřednictvím označování, varování a návodu k použití. Celkové riziko je srovnatelné s alternativními léčbami a přínosy bezpečného, minimálně invazivního odstraňování cizích těles pomocí prostředku převažují nad riziky. Během sledování po uvedení na trh nebyla zjištěna žádná nová rizika.</w:t>
      </w:r>
    </w:p>
    <w:p w14:paraId="503092B6" w14:textId="15AAF628" w:rsidR="000F0AC2" w:rsidRPr="009461CC" w:rsidRDefault="008745ED" w:rsidP="001035F0">
      <w:pPr>
        <w:pStyle w:val="Heading1"/>
        <w:rPr>
          <w:rFonts w:cs="Times New Roman"/>
        </w:rPr>
      </w:pPr>
      <w:bookmarkStart w:id="68" w:name="_Toc222741232"/>
      <w:r>
        <w:rPr>
          <w:rFonts w:cs="Times New Roman"/>
          <w:bCs/>
          <w:lang w:val="cs"/>
        </w:rPr>
        <w:t>Varování a bezpečnostní opatření</w:t>
      </w:r>
      <w:bookmarkEnd w:id="68"/>
    </w:p>
    <w:p w14:paraId="3AFFFB2C" w14:textId="56B6C6C3" w:rsidR="00A030DC" w:rsidRPr="00BB4EC1" w:rsidRDefault="00C64987" w:rsidP="006F12B6">
      <w:pPr>
        <w:spacing w:after="0" w:afterAutospacing="0" w:line="240" w:lineRule="auto"/>
        <w:ind w:left="792"/>
        <w:rPr>
          <w:rFonts w:cs="Times New Roman"/>
          <w:iCs/>
          <w:lang w:val="pt-BR"/>
        </w:rPr>
      </w:pPr>
      <w:r>
        <w:rPr>
          <w:rFonts w:cs="Times New Roman"/>
          <w:lang w:val="cs"/>
        </w:rPr>
        <w:t>Reference IFU X9585730-0321-EU Rev A</w:t>
      </w:r>
    </w:p>
    <w:p w14:paraId="581EAB6F" w14:textId="38AC09C7" w:rsidR="0084795E" w:rsidRPr="009461CC" w:rsidRDefault="0084795E" w:rsidP="006F12B6">
      <w:pPr>
        <w:spacing w:after="0" w:afterAutospacing="0" w:line="240" w:lineRule="auto"/>
        <w:ind w:left="792"/>
        <w:rPr>
          <w:rFonts w:cs="Times New Roman"/>
          <w:b/>
          <w:bCs/>
          <w:iCs/>
        </w:rPr>
      </w:pPr>
      <w:r>
        <w:rPr>
          <w:rFonts w:cs="Times New Roman"/>
          <w:b/>
          <w:bCs/>
          <w:lang w:val="cs"/>
        </w:rPr>
        <w:t>Varování:</w:t>
      </w:r>
    </w:p>
    <w:p w14:paraId="6D12BCC6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cs"/>
        </w:rPr>
        <w:t>Tento prostředek byl navržen, testován a vyroben pouze k použití u jednoho pacienta. Opětovné použití nebo přepracování tohoto prostředku může vést k jeho selhání a následnému zranění pacienta. Opakované zpracování a/nebo resterilizace tohoto prostředku může představovat riziko kontaminace a infekce pacienta. Tento prostředek nepoužívejte, nepřepracovávejte ani nesterilizujte opakovaně.</w:t>
      </w:r>
    </w:p>
    <w:p w14:paraId="02E0F1FE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cs"/>
        </w:rPr>
        <w:t>Před použitím zkontrolujte neporušený stav obalu.</w:t>
      </w:r>
    </w:p>
    <w:p w14:paraId="0AB04CB5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cs"/>
        </w:rPr>
        <w:t>Nepoužívejte, pokud je obal otevřený nebo poškozený nebo uplynulo datum spotřeby.</w:t>
      </w:r>
    </w:p>
    <w:p w14:paraId="287B6E69" w14:textId="77777777" w:rsidR="00C13612" w:rsidRPr="009461CC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cs"/>
        </w:rPr>
        <w:t>Nepokračujte v používání, pokud je některá ze součástí poškozena během výkonu.</w:t>
      </w:r>
    </w:p>
    <w:p w14:paraId="22477486" w14:textId="77777777" w:rsidR="00C13612" w:rsidRPr="00BB4EC1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  <w:lang w:val="cs"/>
        </w:rPr>
      </w:pPr>
      <w:r>
        <w:rPr>
          <w:rFonts w:eastAsia="Times New Roman" w:cs="Times New Roman"/>
          <w:szCs w:val="24"/>
          <w:lang w:val="cs"/>
        </w:rPr>
        <w:lastRenderedPageBreak/>
        <w:t>Nitinol je slitina niklu a titanu. U pacientů, kteří projevují přecitlivělost na nikl, se může objevit možná reakce.</w:t>
      </w:r>
    </w:p>
    <w:p w14:paraId="2A4E00BA" w14:textId="77777777" w:rsidR="00C13612" w:rsidRPr="00BB4EC1" w:rsidRDefault="00C13612" w:rsidP="00C13612">
      <w:pPr>
        <w:numPr>
          <w:ilvl w:val="0"/>
          <w:numId w:val="22"/>
        </w:numPr>
        <w:spacing w:after="0" w:afterAutospacing="0" w:line="240" w:lineRule="auto"/>
        <w:ind w:left="360"/>
        <w:contextualSpacing/>
        <w:jc w:val="both"/>
        <w:rPr>
          <w:rFonts w:eastAsia="Times New Roman" w:cs="Times New Roman"/>
          <w:szCs w:val="24"/>
          <w:lang w:val="cs"/>
        </w:rPr>
      </w:pPr>
      <w:r>
        <w:rPr>
          <w:rFonts w:eastAsia="Times New Roman" w:cs="Times New Roman"/>
          <w:szCs w:val="24"/>
          <w:lang w:val="cs"/>
        </w:rPr>
        <w:t>U pacientů, kteří projevují přecitlivělost na platinu, se může vyskytnout možná reakce.</w:t>
      </w:r>
    </w:p>
    <w:p w14:paraId="0D7E98B5" w14:textId="77777777" w:rsidR="00C13612" w:rsidRPr="00BB4EC1" w:rsidRDefault="00C13612" w:rsidP="00C13612">
      <w:pPr>
        <w:keepLines/>
        <w:numPr>
          <w:ilvl w:val="0"/>
          <w:numId w:val="22"/>
        </w:numPr>
        <w:autoSpaceDE w:val="0"/>
        <w:autoSpaceDN w:val="0"/>
        <w:adjustRightInd w:val="0"/>
        <w:spacing w:after="0" w:afterAutospacing="0" w:line="240" w:lineRule="auto"/>
        <w:ind w:left="360"/>
        <w:jc w:val="both"/>
        <w:rPr>
          <w:rFonts w:eastAsia="Times New Roman" w:cs="Times New Roman"/>
          <w:szCs w:val="24"/>
          <w:lang w:val="cs"/>
        </w:rPr>
      </w:pPr>
      <w:r>
        <w:rPr>
          <w:rFonts w:eastAsia="Times New Roman" w:cs="Times New Roman"/>
          <w:szCs w:val="24"/>
          <w:lang w:val="cs"/>
        </w:rPr>
        <w:t>Při použití tohoto prostředku k odstranění velkého fibrinového obalu je třeba dbát zvýšené opatrnosti, aby se minimalizovalo riziko plicní embolie.</w:t>
      </w:r>
    </w:p>
    <w:p w14:paraId="4CB50B44" w14:textId="77777777" w:rsidR="00C13612" w:rsidRPr="00BB4EC1" w:rsidRDefault="00C13612" w:rsidP="00C13612">
      <w:pPr>
        <w:keepLines/>
        <w:numPr>
          <w:ilvl w:val="0"/>
          <w:numId w:val="22"/>
        </w:numPr>
        <w:autoSpaceDE w:val="0"/>
        <w:autoSpaceDN w:val="0"/>
        <w:adjustRightInd w:val="0"/>
        <w:spacing w:after="0" w:afterAutospacing="0" w:line="240" w:lineRule="auto"/>
        <w:ind w:left="360"/>
        <w:jc w:val="both"/>
        <w:rPr>
          <w:rFonts w:eastAsia="Times New Roman" w:cs="Times New Roman"/>
          <w:szCs w:val="24"/>
          <w:lang w:val="cs"/>
        </w:rPr>
      </w:pPr>
      <w:r>
        <w:rPr>
          <w:rFonts w:eastAsia="Times New Roman" w:cs="Times New Roman"/>
          <w:szCs w:val="24"/>
          <w:lang w:val="cs"/>
        </w:rPr>
        <w:t>Při některých zákrocích může dojít ke krvácení přes koncovku zaváděcího katétru. K zaváděcímu katétru lze připojit hemostázový ventil (není součástí dodávky), který podle potřeby nebo podle rozhodnutí lékaře snižuje krvácení.</w:t>
      </w:r>
    </w:p>
    <w:p w14:paraId="7C5DC59D" w14:textId="77777777" w:rsidR="0084795E" w:rsidRPr="00BB4EC1" w:rsidRDefault="0084795E" w:rsidP="00FE6595">
      <w:pPr>
        <w:spacing w:after="0" w:afterAutospacing="0" w:line="240" w:lineRule="auto"/>
        <w:ind w:left="792"/>
        <w:rPr>
          <w:rFonts w:cs="Times New Roman"/>
          <w:iCs/>
          <w:lang w:val="cs"/>
        </w:rPr>
      </w:pPr>
    </w:p>
    <w:p w14:paraId="34731DB5" w14:textId="77777777" w:rsidR="0084795E" w:rsidRPr="009461CC" w:rsidRDefault="0084795E" w:rsidP="00FE6595">
      <w:pPr>
        <w:spacing w:after="0" w:afterAutospacing="0" w:line="240" w:lineRule="auto"/>
        <w:ind w:left="792"/>
        <w:rPr>
          <w:rFonts w:cs="Times New Roman"/>
          <w:b/>
          <w:bCs/>
          <w:iCs/>
        </w:rPr>
      </w:pPr>
      <w:r>
        <w:rPr>
          <w:rFonts w:cs="Times New Roman"/>
          <w:b/>
          <w:bCs/>
          <w:lang w:val="cs"/>
        </w:rPr>
        <w:t>Bezpečnostní opatření:</w:t>
      </w:r>
    </w:p>
    <w:p w14:paraId="043EE8E1" w14:textId="77777777" w:rsidR="00533C0A" w:rsidRPr="00BB4EC1" w:rsidRDefault="00533C0A" w:rsidP="00533C0A">
      <w:pPr>
        <w:numPr>
          <w:ilvl w:val="0"/>
          <w:numId w:val="23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  <w:lang w:val="cs"/>
        </w:rPr>
      </w:pPr>
      <w:r>
        <w:rPr>
          <w:rFonts w:eastAsia="Times New Roman" w:cs="Times New Roman"/>
          <w:szCs w:val="24"/>
          <w:lang w:val="cs"/>
        </w:rPr>
        <w:t>Tažné síly působící na katétry během odstraňování fibrinového obalu mohou poškodit, natáhnout nebo zlomit zavedené katétry o průměru 6 French nebo menším. Při pokusu o odstranění fibrinového obalu z katétrů o průměru 6 French nebo menším nepoužívejte nadměrnou tažnou sílu.</w:t>
      </w:r>
    </w:p>
    <w:p w14:paraId="7C78A400" w14:textId="77777777" w:rsidR="00533C0A" w:rsidRPr="00BB4EC1" w:rsidRDefault="00533C0A" w:rsidP="00533C0A">
      <w:pPr>
        <w:numPr>
          <w:ilvl w:val="0"/>
          <w:numId w:val="23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  <w:lang w:val="cs"/>
        </w:rPr>
      </w:pPr>
      <w:r>
        <w:rPr>
          <w:rFonts w:eastAsia="Times New Roman" w:cs="Times New Roman"/>
          <w:szCs w:val="24"/>
          <w:lang w:val="cs"/>
        </w:rPr>
        <w:t>Při manipulaci s katétrem přes zavaděč nepoužívejte nadměrnou sílu.</w:t>
      </w:r>
    </w:p>
    <w:p w14:paraId="68E7CD6A" w14:textId="77777777" w:rsidR="009E4BE1" w:rsidRPr="00BB4EC1" w:rsidRDefault="009E4BE1" w:rsidP="00DB582A">
      <w:pPr>
        <w:spacing w:after="0" w:afterAutospacing="0" w:line="240" w:lineRule="auto"/>
        <w:rPr>
          <w:rFonts w:cs="Times New Roman"/>
          <w:b/>
          <w:bCs/>
          <w:iCs/>
          <w:lang w:val="cs"/>
        </w:rPr>
      </w:pPr>
    </w:p>
    <w:p w14:paraId="1F2A8F23" w14:textId="7550D298" w:rsidR="00481A9E" w:rsidRPr="00BB4EC1" w:rsidRDefault="00481A9E" w:rsidP="00481A9E">
      <w:pPr>
        <w:spacing w:after="120" w:afterAutospacing="0" w:line="240" w:lineRule="auto"/>
        <w:ind w:firstLine="720"/>
        <w:jc w:val="both"/>
        <w:rPr>
          <w:rFonts w:eastAsia="Times New Roman" w:cs="Times New Roman"/>
          <w:b/>
          <w:szCs w:val="24"/>
          <w:lang w:val="cs"/>
        </w:rPr>
      </w:pPr>
      <w:r>
        <w:rPr>
          <w:rFonts w:eastAsia="Times New Roman" w:cs="Times New Roman"/>
          <w:b/>
          <w:bCs/>
          <w:szCs w:val="24"/>
          <w:lang w:val="cs"/>
        </w:rPr>
        <w:t xml:space="preserve">Rizika a nežádoucí účinky </w:t>
      </w:r>
    </w:p>
    <w:p w14:paraId="3EC1F3BA" w14:textId="77777777" w:rsidR="00481A9E" w:rsidRPr="00BB4EC1" w:rsidRDefault="00481A9E" w:rsidP="00481A9E">
      <w:pPr>
        <w:spacing w:after="120" w:afterAutospacing="0" w:line="240" w:lineRule="auto"/>
        <w:jc w:val="both"/>
        <w:rPr>
          <w:rFonts w:eastAsia="Times New Roman" w:cs="Times New Roman"/>
          <w:szCs w:val="24"/>
          <w:lang w:val="cs"/>
        </w:rPr>
      </w:pPr>
      <w:r>
        <w:rPr>
          <w:rFonts w:eastAsia="Times New Roman" w:cs="Times New Roman"/>
          <w:szCs w:val="24"/>
          <w:lang w:val="cs"/>
        </w:rPr>
        <w:t>Mezi potenciální komplikace patří mimo jiné následující:</w:t>
      </w:r>
    </w:p>
    <w:p w14:paraId="31B00162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cs"/>
        </w:rPr>
        <w:t>Embolizace</w:t>
      </w:r>
    </w:p>
    <w:p w14:paraId="4831EC23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cs"/>
        </w:rPr>
        <w:t>Mrtvice</w:t>
      </w:r>
    </w:p>
    <w:p w14:paraId="3E3CC4E5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cs"/>
        </w:rPr>
        <w:t>Infarkt myokardu (v závislosti na umístění)</w:t>
      </w:r>
    </w:p>
    <w:p w14:paraId="3C5A584A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cs"/>
        </w:rPr>
        <w:t>Plicní embolie</w:t>
      </w:r>
    </w:p>
    <w:p w14:paraId="70F9D337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cs"/>
        </w:rPr>
        <w:t>Perforace cévy</w:t>
      </w:r>
    </w:p>
    <w:p w14:paraId="3B28D7FF" w14:textId="77777777" w:rsidR="00481A9E" w:rsidRPr="009461CC" w:rsidRDefault="00481A9E" w:rsidP="00481A9E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cs"/>
        </w:rPr>
        <w:t>Zachycení prostředku</w:t>
      </w:r>
    </w:p>
    <w:p w14:paraId="33ABECFB" w14:textId="77777777" w:rsidR="00D558E5" w:rsidRPr="009461CC" w:rsidRDefault="00481A9E" w:rsidP="00D558E5">
      <w:pPr>
        <w:widowControl w:val="0"/>
        <w:numPr>
          <w:ilvl w:val="0"/>
          <w:numId w:val="24"/>
        </w:numPr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cs"/>
        </w:rPr>
        <w:t>Krvácení/hemoragie</w:t>
      </w:r>
    </w:p>
    <w:p w14:paraId="0A9BFD81" w14:textId="77777777" w:rsidR="00D558E5" w:rsidRPr="009461CC" w:rsidRDefault="00D558E5" w:rsidP="00D558E5">
      <w:pPr>
        <w:widowControl w:val="0"/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</w:p>
    <w:p w14:paraId="6EEBEC55" w14:textId="65AF2143" w:rsidR="00A80721" w:rsidRPr="009461CC" w:rsidRDefault="00A80721" w:rsidP="00D558E5">
      <w:pPr>
        <w:widowControl w:val="0"/>
        <w:spacing w:after="0" w:afterAutospacing="0" w:line="240" w:lineRule="auto"/>
        <w:contextualSpacing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cs"/>
        </w:rPr>
        <w:t>Klinické přínosy.</w:t>
      </w:r>
    </w:p>
    <w:p w14:paraId="12CF44E5" w14:textId="4292E3A6" w:rsidR="00481A9E" w:rsidRPr="009461CC" w:rsidRDefault="00A80721" w:rsidP="00A80721">
      <w:pPr>
        <w:spacing w:after="120" w:afterAutospacing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cs"/>
        </w:rPr>
        <w:t xml:space="preserve">Cévní smyčkový katétr </w:t>
      </w:r>
      <w:r w:rsidR="004B64B4">
        <w:rPr>
          <w:rFonts w:eastAsia="Times New Roman" w:cs="Times New Roman"/>
          <w:szCs w:val="24"/>
          <w:lang w:val="cs"/>
        </w:rPr>
        <w:t xml:space="preserve">Snare </w:t>
      </w:r>
      <w:r>
        <w:rPr>
          <w:rFonts w:eastAsia="Times New Roman" w:cs="Times New Roman"/>
          <w:szCs w:val="24"/>
          <w:lang w:val="cs"/>
        </w:rPr>
        <w:t>Atrieve představuje pro pacienta přímý přínos v podobě perkutánního odstranění cizích těles a manipulace s nimi s méně komplikacemi a riziky ve srovnání s chirurgickým zákrokem.</w:t>
      </w:r>
    </w:p>
    <w:p w14:paraId="5240AF40" w14:textId="3E5A2DE2" w:rsidR="00042B91" w:rsidRPr="009461CC" w:rsidRDefault="00BB36B1" w:rsidP="00A4616A">
      <w:pPr>
        <w:spacing w:after="0" w:afterAutospacing="0" w:line="240" w:lineRule="auto"/>
        <w:rPr>
          <w:rFonts w:cs="Times New Roman"/>
          <w:iCs/>
        </w:rPr>
      </w:pPr>
      <w:r>
        <w:rPr>
          <w:rFonts w:cs="Times New Roman"/>
          <w:lang w:val="cs"/>
        </w:rPr>
        <w:t>Trvání/životnost: Přechodné, méně než 60 minut.</w:t>
      </w:r>
    </w:p>
    <w:p w14:paraId="393C5ED9" w14:textId="77777777" w:rsidR="00E14C97" w:rsidRPr="009461CC" w:rsidRDefault="00E14C97" w:rsidP="00042B91">
      <w:pPr>
        <w:spacing w:after="0" w:afterAutospacing="0" w:line="240" w:lineRule="auto"/>
        <w:rPr>
          <w:rFonts w:cs="Times New Roman"/>
          <w:i/>
          <w:color w:val="FF0000"/>
        </w:rPr>
      </w:pPr>
    </w:p>
    <w:p w14:paraId="09A94B0F" w14:textId="4E664EE0" w:rsidR="00760400" w:rsidRPr="009461CC" w:rsidRDefault="008745ED" w:rsidP="00042B91">
      <w:pPr>
        <w:pStyle w:val="Heading1"/>
        <w:rPr>
          <w:rFonts w:cs="Times New Roman"/>
        </w:rPr>
      </w:pPr>
      <w:bookmarkStart w:id="69" w:name="_Toc222741233"/>
      <w:r>
        <w:rPr>
          <w:rFonts w:cs="Times New Roman"/>
          <w:bCs/>
          <w:lang w:val="cs"/>
        </w:rPr>
        <w:t>Další relevantní aspekty bezpečnosti, včetně shrnutí případných bezpečnostních nápravných opatření pro terén (FSCA včetně FSN), pokud existují</w:t>
      </w:r>
      <w:bookmarkEnd w:id="69"/>
    </w:p>
    <w:p w14:paraId="65E21D1D" w14:textId="58A43005" w:rsidR="004F5057" w:rsidRPr="009461CC" w:rsidRDefault="00FC52C8" w:rsidP="001F48BA">
      <w:pPr>
        <w:rPr>
          <w:rFonts w:cs="Times New Roman"/>
        </w:rPr>
      </w:pPr>
      <w:r>
        <w:rPr>
          <w:rFonts w:cs="Times New Roman"/>
          <w:lang w:val="cs"/>
        </w:rPr>
        <w:t>Během sledovaného období nebyla provedena žádná bezpečnostní nápravná opatření v terénu (FSCA).</w:t>
      </w:r>
    </w:p>
    <w:p w14:paraId="21FC0F42" w14:textId="6F4CDE71" w:rsidR="008745ED" w:rsidRPr="009461CC" w:rsidRDefault="008745ED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0" w:name="_Toc222741234"/>
      <w:r>
        <w:rPr>
          <w:rFonts w:cs="Times New Roman"/>
          <w:bCs/>
          <w:lang w:val="cs"/>
        </w:rPr>
        <w:t>Souhrn klinického hodnocení a klinického sledování po uvedení na trh (PMCF)</w:t>
      </w:r>
      <w:bookmarkEnd w:id="70"/>
    </w:p>
    <w:p w14:paraId="7CA310DE" w14:textId="307843CE" w:rsidR="00DA4404" w:rsidRPr="00BB4EC1" w:rsidRDefault="00DA4404" w:rsidP="00F36B7E">
      <w:pPr>
        <w:spacing w:line="228" w:lineRule="auto"/>
        <w:rPr>
          <w:rFonts w:cs="Times New Roman"/>
          <w:lang w:val="cs"/>
        </w:rPr>
      </w:pPr>
      <w:r>
        <w:rPr>
          <w:rFonts w:cs="Times New Roman"/>
          <w:lang w:val="cs"/>
        </w:rPr>
        <w:t xml:space="preserve">Zpráva o klinickém hodnocení (CER-029 Rev B) potvrzuje, že souprava cévního smyčkového katétru </w:t>
      </w:r>
      <w:r w:rsidR="004B64B4">
        <w:rPr>
          <w:rFonts w:cs="Times New Roman"/>
          <w:lang w:val="cs"/>
        </w:rPr>
        <w:t xml:space="preserve">Snare </w:t>
      </w:r>
      <w:r>
        <w:rPr>
          <w:rFonts w:cs="Times New Roman"/>
          <w:lang w:val="cs"/>
        </w:rPr>
        <w:t>Atrieve je klinicky bezpečná a účinná pro odstraňování cizích předmětů a manipulaci s nimi v kardiovaskulárním systému. Používají ho především vyškolení zdravotničtí pracovníci při minimálně invazivních zákrocích.</w:t>
      </w:r>
    </w:p>
    <w:p w14:paraId="065C32D9" w14:textId="36044E92" w:rsidR="00DA4404" w:rsidRPr="00BB4EC1" w:rsidRDefault="00DA4404" w:rsidP="00F36B7E">
      <w:pPr>
        <w:spacing w:line="228" w:lineRule="auto"/>
        <w:rPr>
          <w:rFonts w:cs="Times New Roman"/>
          <w:lang w:val="cs"/>
        </w:rPr>
      </w:pPr>
      <w:r>
        <w:rPr>
          <w:rFonts w:cs="Times New Roman"/>
          <w:lang w:val="cs"/>
        </w:rPr>
        <w:lastRenderedPageBreak/>
        <w:t>Hodnocení, založené na přehledu literatury, klinických zkušenostech a datech po uvedení na trh, ukazuje vysokou míru technické a klinické úspěšnosti. Komplikace jako krvácení, embolie, infekce nebo alergické reakce jsou vzácné a v rámci přijatelných klinických limitů.</w:t>
      </w:r>
    </w:p>
    <w:p w14:paraId="0DAD67AD" w14:textId="4FF5EA89" w:rsidR="00DA4404" w:rsidRPr="00BB4EC1" w:rsidRDefault="00DA4404" w:rsidP="00F36B7E">
      <w:pPr>
        <w:spacing w:line="228" w:lineRule="auto"/>
        <w:rPr>
          <w:rFonts w:cs="Times New Roman"/>
          <w:lang w:val="cs"/>
        </w:rPr>
      </w:pPr>
      <w:r>
        <w:rPr>
          <w:rFonts w:cs="Times New Roman"/>
          <w:lang w:val="cs"/>
        </w:rPr>
        <w:t>Nebyly zjištěny žádné nové bezpečnostní problémy ani neočekávaná rizika. Prostředek funguje srovnatelně s podobnými produkty na trhu a zachovává si konzistentní poměr rizik a přínosů.</w:t>
      </w:r>
    </w:p>
    <w:p w14:paraId="745B2F11" w14:textId="7CC8241B" w:rsidR="00257EE2" w:rsidRPr="00BB4EC1" w:rsidRDefault="00DA4404" w:rsidP="00F36B7E">
      <w:pPr>
        <w:spacing w:line="228" w:lineRule="auto"/>
        <w:rPr>
          <w:rFonts w:cs="Times New Roman"/>
          <w:highlight w:val="yellow"/>
          <w:lang w:val="cs"/>
        </w:rPr>
      </w:pPr>
      <w:r>
        <w:rPr>
          <w:rFonts w:cs="Times New Roman"/>
          <w:lang w:val="cs"/>
        </w:rPr>
        <w:t xml:space="preserve">Závěrem lze říci, že smyčkový katétr </w:t>
      </w:r>
      <w:r w:rsidR="004B64B4">
        <w:rPr>
          <w:rFonts w:cs="Times New Roman"/>
          <w:lang w:val="cs"/>
        </w:rPr>
        <w:t xml:space="preserve">Snare </w:t>
      </w:r>
      <w:r>
        <w:rPr>
          <w:rFonts w:cs="Times New Roman"/>
          <w:lang w:val="cs"/>
        </w:rPr>
        <w:t>Atrieve vykazuje spolehlivý výkon a silné bezpečnostní výsledky, což podporuje jeho další používání v klinickém prostředí.</w:t>
      </w:r>
    </w:p>
    <w:p w14:paraId="491E112E" w14:textId="43F380B5" w:rsidR="005A5584" w:rsidRPr="00BB4EC1" w:rsidRDefault="005A5584" w:rsidP="00F36B7E">
      <w:pPr>
        <w:spacing w:line="228" w:lineRule="auto"/>
        <w:rPr>
          <w:rFonts w:cs="Times New Roman"/>
          <w:lang w:val="cs"/>
        </w:rPr>
      </w:pPr>
      <w:r>
        <w:rPr>
          <w:rFonts w:cs="Times New Roman"/>
          <w:lang w:val="cs"/>
        </w:rPr>
        <w:t>Plán klinického sledování po uvedení prostředku Atrieve na trh (PMCFP) nastiňuje strukturovaný přístup ke sledování jeho bezpečnosti a funkci po uvedení na trh. Tyto prostředky třídy III se používají k extrakci cizích předmětů nebo manipulaci s nimi v kardiovaskulárním systému a jsou určeny pro přechodné použití.</w:t>
      </w:r>
    </w:p>
    <w:p w14:paraId="72FE8271" w14:textId="5FE4B52E" w:rsidR="00042B91" w:rsidRPr="00BB4EC1" w:rsidRDefault="005A5584" w:rsidP="00F36B7E">
      <w:pPr>
        <w:spacing w:line="228" w:lineRule="auto"/>
        <w:rPr>
          <w:rFonts w:cs="Times New Roman"/>
          <w:lang w:val="cs"/>
        </w:rPr>
      </w:pPr>
      <w:r>
        <w:rPr>
          <w:rFonts w:cs="Times New Roman"/>
          <w:lang w:val="cs"/>
        </w:rPr>
        <w:t>Činnosti PMCF se opírají o obecné metody, včetně ročních přehledů literatury, monitorování databází nežádoucích událostí (např. MAUDE) a analýzy zpráv o sledování po uvedení na trh. Cílem tohoto úsilí je potvrdit trvalou bezpečnost a účinnost, identifikovat nově vznikající rizika a odhalit použití mimo schválené indikace. Klinická data podobných prostředků jsou také přezkoumávána za účelem porovnání výsledků.</w:t>
      </w:r>
    </w:p>
    <w:p w14:paraId="33785C59" w14:textId="7AB0634B" w:rsidR="008745ED" w:rsidRPr="00BB4EC1" w:rsidRDefault="008745ED" w:rsidP="00042B91">
      <w:pPr>
        <w:pStyle w:val="Heading1"/>
        <w:rPr>
          <w:rFonts w:cs="Times New Roman"/>
          <w:lang w:val="cs"/>
        </w:rPr>
      </w:pPr>
      <w:bookmarkStart w:id="71" w:name="_Toc222741235"/>
      <w:r>
        <w:rPr>
          <w:rFonts w:cs="Times New Roman"/>
          <w:bCs/>
          <w:lang w:val="cs"/>
        </w:rPr>
        <w:t>Souhrn klinických údajů týkajících se ekvivalentního prostředku, pokud existuje</w:t>
      </w:r>
      <w:bookmarkEnd w:id="71"/>
      <w:r>
        <w:rPr>
          <w:rFonts w:cs="Times New Roman"/>
          <w:bCs/>
          <w:lang w:val="cs"/>
        </w:rPr>
        <w:t xml:space="preserve"> </w:t>
      </w:r>
    </w:p>
    <w:p w14:paraId="62C65035" w14:textId="2ED3F324" w:rsidR="00B763A0" w:rsidRPr="00BB4EC1" w:rsidRDefault="00F24AE3" w:rsidP="00F36B7E">
      <w:pPr>
        <w:spacing w:line="228" w:lineRule="auto"/>
        <w:ind w:firstLine="360"/>
        <w:rPr>
          <w:rFonts w:cs="Times New Roman"/>
          <w:lang w:val="pt-BR"/>
        </w:rPr>
      </w:pPr>
      <w:r>
        <w:rPr>
          <w:rFonts w:cs="Times New Roman"/>
          <w:lang w:val="cs"/>
        </w:rPr>
        <w:t>Tato část není relevantní (není k dispozici).</w:t>
      </w:r>
    </w:p>
    <w:p w14:paraId="46CE7D79" w14:textId="2B10E133" w:rsidR="008745ED" w:rsidRPr="00BB4EC1" w:rsidRDefault="008745ED" w:rsidP="00F36B7E">
      <w:pPr>
        <w:pStyle w:val="Heading1"/>
        <w:spacing w:line="228" w:lineRule="auto"/>
        <w:rPr>
          <w:rFonts w:cs="Times New Roman"/>
          <w:lang w:val="pt-BR"/>
        </w:rPr>
      </w:pPr>
      <w:bookmarkStart w:id="72" w:name="_Toc222741236"/>
      <w:r>
        <w:rPr>
          <w:rFonts w:cs="Times New Roman"/>
          <w:bCs/>
          <w:lang w:val="cs"/>
        </w:rPr>
        <w:t>Souhrn klinických údajů z provedených zkoušek prostředku před označením CE, pokud existují</w:t>
      </w:r>
      <w:bookmarkEnd w:id="72"/>
      <w:r>
        <w:rPr>
          <w:rFonts w:cs="Times New Roman"/>
          <w:bCs/>
          <w:lang w:val="cs"/>
        </w:rPr>
        <w:t xml:space="preserve"> </w:t>
      </w:r>
    </w:p>
    <w:p w14:paraId="27B7D18D" w14:textId="3346219F" w:rsidR="004846A6" w:rsidRPr="00BB4EC1" w:rsidRDefault="00F604C9" w:rsidP="00F36B7E">
      <w:pPr>
        <w:spacing w:line="228" w:lineRule="auto"/>
        <w:ind w:left="360"/>
        <w:rPr>
          <w:rFonts w:cs="Times New Roman"/>
          <w:lang w:val="pt-BR"/>
        </w:rPr>
      </w:pPr>
      <w:bookmarkStart w:id="73" w:name="_Hlk196514030"/>
      <w:r>
        <w:rPr>
          <w:rFonts w:cs="Times New Roman"/>
          <w:lang w:val="cs"/>
        </w:rPr>
        <w:t>Tato část není relevantní (není k dispozici).</w:t>
      </w:r>
    </w:p>
    <w:p w14:paraId="7A896071" w14:textId="00061818" w:rsidR="008745ED" w:rsidRPr="00BB4EC1" w:rsidRDefault="008745ED" w:rsidP="00F36B7E">
      <w:pPr>
        <w:pStyle w:val="Heading1"/>
        <w:spacing w:line="228" w:lineRule="auto"/>
        <w:rPr>
          <w:rFonts w:cs="Times New Roman"/>
          <w:lang w:val="pt-BR"/>
        </w:rPr>
      </w:pPr>
      <w:bookmarkStart w:id="74" w:name="_Toc222741237"/>
      <w:bookmarkEnd w:id="73"/>
      <w:r>
        <w:rPr>
          <w:rFonts w:cs="Times New Roman"/>
          <w:bCs/>
          <w:lang w:val="cs"/>
        </w:rPr>
        <w:t>Souhrn klinických údajů z jiných zdrojů, pokud existují</w:t>
      </w:r>
      <w:bookmarkEnd w:id="74"/>
      <w:r>
        <w:rPr>
          <w:rFonts w:cs="Times New Roman"/>
          <w:bCs/>
          <w:lang w:val="cs"/>
        </w:rPr>
        <w:t xml:space="preserve"> </w:t>
      </w:r>
    </w:p>
    <w:p w14:paraId="3F1ED76E" w14:textId="5FADBA51" w:rsidR="006C2B68" w:rsidRPr="00BB4EC1" w:rsidRDefault="0037599D" w:rsidP="00F36B7E">
      <w:pPr>
        <w:spacing w:before="100" w:beforeAutospacing="1" w:line="228" w:lineRule="auto"/>
        <w:rPr>
          <w:rFonts w:eastAsia="Times New Roman" w:cs="Times New Roman"/>
          <w:szCs w:val="24"/>
          <w:lang w:val="pt-BR"/>
        </w:rPr>
      </w:pPr>
      <w:r>
        <w:rPr>
          <w:rFonts w:eastAsia="Times New Roman" w:cs="Times New Roman"/>
          <w:szCs w:val="24"/>
          <w:lang w:val="cs"/>
        </w:rPr>
        <w:t>CER-029 Rev B je podložena komplexním přehledem externích klinických údajů, včetně:</w:t>
      </w:r>
    </w:p>
    <w:p w14:paraId="421058D0" w14:textId="26D1A572" w:rsidR="00FB1FDD" w:rsidRPr="00BB4EC1" w:rsidRDefault="00FC5667" w:rsidP="00F36B7E">
      <w:pPr>
        <w:spacing w:before="100" w:beforeAutospacing="1" w:line="228" w:lineRule="auto"/>
        <w:rPr>
          <w:rFonts w:cs="Times New Roman"/>
          <w:lang w:val="cs"/>
        </w:rPr>
      </w:pPr>
      <w:r>
        <w:rPr>
          <w:rFonts w:cs="Times New Roman"/>
          <w:szCs w:val="24"/>
          <w:lang w:val="cs"/>
        </w:rPr>
        <w:t>Literatura o současném stavu techniky (SOA): Systematický přehled 579 článků identifikoval 16 relevantních studií o podobných prostředcích a postupech. Tyto studie prokázaly vysokou míru technické úspěšnosti (≥91,2 %) a nízkou míru komplikací (≤1,1 %), čímž stanovily kritéria pro bezpečnost a funkci.</w:t>
      </w:r>
      <w:r>
        <w:rPr>
          <w:rFonts w:cs="Times New Roman"/>
          <w:lang w:val="cs"/>
        </w:rPr>
        <w:t xml:space="preserve"> </w:t>
      </w:r>
    </w:p>
    <w:p w14:paraId="7C6B59FC" w14:textId="77777777" w:rsidR="00FB1FDD" w:rsidRPr="00BB4EC1" w:rsidRDefault="00D23267" w:rsidP="00F36B7E">
      <w:pPr>
        <w:spacing w:before="100" w:beforeAutospacing="1" w:line="228" w:lineRule="auto"/>
        <w:rPr>
          <w:rFonts w:cs="Times New Roman"/>
          <w:lang w:val="cs"/>
        </w:rPr>
      </w:pPr>
      <w:r>
        <w:rPr>
          <w:rFonts w:cs="Times New Roman"/>
          <w:szCs w:val="24"/>
          <w:lang w:val="cs"/>
        </w:rPr>
        <w:t>Literatura o konkurenčních prostředcích: Osm studií srovnatelných prostředků (např. EN Snare, GooseNeck, CloverSnare) potvrdilo podobné profily bezpečnosti a účinnosti, což upevňuje status smyčkového katétru jako standard péče.</w:t>
      </w:r>
      <w:r>
        <w:rPr>
          <w:rFonts w:cs="Times New Roman"/>
          <w:lang w:val="cs"/>
        </w:rPr>
        <w:t xml:space="preserve"> </w:t>
      </w:r>
    </w:p>
    <w:p w14:paraId="2910073B" w14:textId="4049ACE7" w:rsidR="004846A6" w:rsidRPr="00BB4EC1" w:rsidRDefault="009B4453" w:rsidP="00F36B7E">
      <w:pPr>
        <w:spacing w:before="100" w:beforeAutospacing="1" w:line="228" w:lineRule="auto"/>
        <w:rPr>
          <w:rFonts w:eastAsia="Times New Roman" w:cs="Times New Roman"/>
          <w:szCs w:val="24"/>
          <w:lang w:val="cs"/>
        </w:rPr>
      </w:pPr>
      <w:r>
        <w:rPr>
          <w:rFonts w:eastAsia="Times New Roman" w:cs="Times New Roman"/>
          <w:szCs w:val="24"/>
          <w:lang w:val="cs"/>
        </w:rPr>
        <w:t>Klinické směrnice: Doporučení profesních společností (např. SIR, ESC, KDOQI) podporují použití perkutánních extrakčních metod, včetně smyčkových katétrů, jako léčby první volby pro odstranění cizích těles z kardiovaskulárního systému.</w:t>
      </w:r>
    </w:p>
    <w:p w14:paraId="661EF380" w14:textId="29BB1CA1" w:rsidR="00516D79" w:rsidRPr="00BB4EC1" w:rsidRDefault="00516D79" w:rsidP="00F36B7E">
      <w:pPr>
        <w:spacing w:before="100" w:beforeAutospacing="1" w:line="228" w:lineRule="auto"/>
        <w:rPr>
          <w:rFonts w:eastAsia="Times New Roman" w:cs="Times New Roman"/>
          <w:szCs w:val="24"/>
          <w:lang w:val="cs"/>
        </w:rPr>
      </w:pPr>
      <w:r>
        <w:rPr>
          <w:rFonts w:eastAsia="Times New Roman" w:cs="Times New Roman"/>
          <w:szCs w:val="24"/>
          <w:lang w:val="cs"/>
        </w:rPr>
        <w:t>Literatura k předmětnému prostředku: Třináct publikací (včetně kazuistik a retrospektivních studií) o přípravku Atrieve prokázalo 100% technickou úspěšnost a 94,5% klinickou úspěšnost s minimálními nežádoucími účinky. Některé výkonnostní metriky mírně zaostávaly za měřítky SOA, ale zůstaly v přijatelných klinických mezích.</w:t>
      </w:r>
    </w:p>
    <w:p w14:paraId="66F22352" w14:textId="28F3CCF3" w:rsidR="004846A6" w:rsidRPr="00BB4EC1" w:rsidRDefault="004846A6" w:rsidP="00F36B7E">
      <w:pPr>
        <w:spacing w:before="100" w:beforeAutospacing="1" w:line="228" w:lineRule="auto"/>
        <w:rPr>
          <w:rFonts w:eastAsia="Times New Roman" w:cs="Times New Roman"/>
          <w:szCs w:val="24"/>
          <w:lang w:val="cs"/>
        </w:rPr>
      </w:pPr>
      <w:r>
        <w:rPr>
          <w:rFonts w:eastAsia="Times New Roman" w:cs="Times New Roman"/>
          <w:szCs w:val="24"/>
          <w:lang w:val="cs"/>
        </w:rPr>
        <w:lastRenderedPageBreak/>
        <w:t>Zpráva navíc integruje data ze sledování po uvedení na trh (PMS) shromážděná prostřednictvím strukturovaných plánů sledování produktu Atrieve. To zahrnuje sledování stížností a nežádoucích událostí po dobu pěti let, jakož i nápravná opatření. Navzdory vysokému objemu globálních prodejů data z PMS neodhalila žádné nově vznikající bezpečnostní trendy ani neočekávaná rizika, což posiluje bezpečnostní profily přípravků v reálných podmínkách.</w:t>
      </w:r>
    </w:p>
    <w:p w14:paraId="6527D03E" w14:textId="73944EC6" w:rsidR="004846A6" w:rsidRPr="00BB4EC1" w:rsidRDefault="004846A6" w:rsidP="00F36B7E">
      <w:pPr>
        <w:spacing w:before="100" w:beforeAutospacing="1" w:line="228" w:lineRule="auto"/>
        <w:rPr>
          <w:rFonts w:eastAsia="Times New Roman" w:cs="Times New Roman"/>
          <w:szCs w:val="24"/>
          <w:lang w:val="cs"/>
        </w:rPr>
      </w:pPr>
      <w:r>
        <w:rPr>
          <w:rFonts w:eastAsia="Times New Roman" w:cs="Times New Roman"/>
          <w:szCs w:val="24"/>
          <w:lang w:val="cs"/>
        </w:rPr>
        <w:t>Neklinické údaje, včetně laboratorních zkoušek a hodnocení biokompatibility, nakonec prokazují, že prostředky splňují všechny konstrukční a regulační standardy. Ačkoli u těchto prostředků nebyly provedeny žádné klinické studie, bylo to odůvodněno komplexními údaji z literatury, zdrojů po uvedení na trh a používání starších prostředků. Celkově tyto různé zdroje dat společně podporují bezpečnost a účinnost prostředků v souladu s požadavky EU MDR.</w:t>
      </w:r>
    </w:p>
    <w:p w14:paraId="0F01E5AD" w14:textId="2BD461FF" w:rsidR="008745ED" w:rsidRPr="00BB4EC1" w:rsidRDefault="008745ED" w:rsidP="00F36B7E">
      <w:pPr>
        <w:pStyle w:val="Heading1"/>
        <w:spacing w:line="228" w:lineRule="auto"/>
        <w:rPr>
          <w:rFonts w:cs="Times New Roman"/>
          <w:lang w:val="cs"/>
        </w:rPr>
      </w:pPr>
      <w:bookmarkStart w:id="75" w:name="_Toc222741238"/>
      <w:r>
        <w:rPr>
          <w:rFonts w:cs="Times New Roman"/>
          <w:bCs/>
          <w:lang w:val="cs"/>
        </w:rPr>
        <w:t>Celkové shrnutí klinické funkce a bezpečnosti</w:t>
      </w:r>
      <w:bookmarkEnd w:id="75"/>
      <w:r>
        <w:rPr>
          <w:rFonts w:cs="Times New Roman"/>
          <w:bCs/>
          <w:lang w:val="cs"/>
        </w:rPr>
        <w:t xml:space="preserve"> </w:t>
      </w:r>
    </w:p>
    <w:p w14:paraId="7C1B956B" w14:textId="77777777" w:rsidR="009977D7" w:rsidRPr="00BB4EC1" w:rsidRDefault="009977D7" w:rsidP="00F36B7E">
      <w:pPr>
        <w:spacing w:after="0" w:afterAutospacing="0" w:line="228" w:lineRule="auto"/>
        <w:rPr>
          <w:rFonts w:eastAsia="Times New Roman" w:cs="Times New Roman"/>
          <w:iCs/>
          <w:szCs w:val="24"/>
          <w:lang w:val="cs"/>
        </w:rPr>
      </w:pPr>
    </w:p>
    <w:p w14:paraId="068544DB" w14:textId="43D75CB3" w:rsidR="00D52DF8" w:rsidRPr="00BB4EC1" w:rsidRDefault="00D52DF8" w:rsidP="00F36B7E">
      <w:pPr>
        <w:spacing w:after="0" w:afterAutospacing="0" w:line="228" w:lineRule="auto"/>
        <w:rPr>
          <w:rFonts w:eastAsia="Times New Roman" w:cs="Times New Roman"/>
          <w:iCs/>
          <w:szCs w:val="24"/>
          <w:lang w:val="cs"/>
        </w:rPr>
      </w:pPr>
      <w:r>
        <w:rPr>
          <w:rFonts w:eastAsia="Times New Roman" w:cs="Times New Roman"/>
          <w:szCs w:val="24"/>
          <w:lang w:val="cs"/>
        </w:rPr>
        <w:t xml:space="preserve">Na základě dokumentace X9585730-0321-EU Rev A a CER-029 Rev B pro soupravu cévního smyčkového katétru </w:t>
      </w:r>
      <w:r w:rsidR="004B64B4">
        <w:rPr>
          <w:rFonts w:eastAsia="Times New Roman" w:cs="Times New Roman"/>
          <w:szCs w:val="24"/>
          <w:lang w:val="cs"/>
        </w:rPr>
        <w:t xml:space="preserve">Snare </w:t>
      </w:r>
      <w:r>
        <w:rPr>
          <w:rFonts w:eastAsia="Times New Roman" w:cs="Times New Roman"/>
          <w:szCs w:val="24"/>
          <w:lang w:val="cs"/>
        </w:rPr>
        <w:t>Atrieve je celková klinická funkce a bezpečnostní profil prostředku příznivý a v souladu s očekáváními pro jeho zamýšlené použití.</w:t>
      </w:r>
    </w:p>
    <w:p w14:paraId="3508FD3D" w14:textId="77777777" w:rsidR="002E59B4" w:rsidRPr="00BB4EC1" w:rsidRDefault="002E59B4" w:rsidP="00F36B7E">
      <w:pPr>
        <w:spacing w:after="0" w:afterAutospacing="0" w:line="228" w:lineRule="auto"/>
        <w:rPr>
          <w:rFonts w:eastAsia="Times New Roman" w:cs="Times New Roman"/>
          <w:iCs/>
          <w:szCs w:val="24"/>
          <w:lang w:val="cs"/>
        </w:rPr>
      </w:pPr>
    </w:p>
    <w:p w14:paraId="0A303358" w14:textId="24357A0A" w:rsidR="00C361CA" w:rsidRPr="00BB4EC1" w:rsidRDefault="005C642C" w:rsidP="00F36B7E">
      <w:pPr>
        <w:spacing w:after="0" w:afterAutospacing="0" w:line="228" w:lineRule="auto"/>
        <w:rPr>
          <w:rFonts w:cs="Times New Roman"/>
          <w:lang w:val="cs"/>
        </w:rPr>
      </w:pPr>
      <w:r>
        <w:rPr>
          <w:rFonts w:cs="Times New Roman"/>
          <w:lang w:val="cs"/>
        </w:rPr>
        <w:t xml:space="preserve">Prostředek je určen pro </w:t>
      </w:r>
      <w:r>
        <w:rPr>
          <w:rStyle w:val="Strong"/>
          <w:rFonts w:cs="Times New Roman"/>
          <w:lang w:val="cs"/>
        </w:rPr>
        <w:t>perkutánní extrakci a manipulaci s cizími předměty</w:t>
      </w:r>
      <w:r>
        <w:rPr>
          <w:rFonts w:cs="Times New Roman"/>
          <w:lang w:val="cs"/>
        </w:rPr>
        <w:t xml:space="preserve"> v kardiovaskulárním systému nebo v dutých viskózních prostorách. Mezi klíčové klinické výhody patří minimálně invazivní extrakce, snížené riziko pro pacienta a nižší míra komplikací ve srovnání s chirurgickými alternativami.</w:t>
      </w:r>
    </w:p>
    <w:p w14:paraId="0DE0B963" w14:textId="77777777" w:rsidR="005C642C" w:rsidRPr="00BB4EC1" w:rsidRDefault="005C642C" w:rsidP="00F36B7E">
      <w:pPr>
        <w:spacing w:after="0" w:afterAutospacing="0" w:line="228" w:lineRule="auto"/>
        <w:rPr>
          <w:rFonts w:eastAsia="Times New Roman" w:cs="Times New Roman"/>
          <w:iCs/>
          <w:szCs w:val="24"/>
          <w:lang w:val="cs"/>
        </w:rPr>
      </w:pPr>
    </w:p>
    <w:p w14:paraId="2DA4A118" w14:textId="58FE2B84" w:rsidR="00C97841" w:rsidRPr="00BB4EC1" w:rsidRDefault="00B26297" w:rsidP="00F36B7E">
      <w:pPr>
        <w:spacing w:after="0" w:afterAutospacing="0" w:line="228" w:lineRule="auto"/>
        <w:rPr>
          <w:rFonts w:eastAsia="Times New Roman" w:cs="Times New Roman"/>
          <w:iCs/>
          <w:szCs w:val="24"/>
          <w:lang w:val="cs"/>
        </w:rPr>
      </w:pPr>
      <w:r>
        <w:rPr>
          <w:rFonts w:eastAsia="Times New Roman" w:cs="Times New Roman"/>
          <w:szCs w:val="24"/>
          <w:lang w:val="cs"/>
        </w:rPr>
        <w:t>Klinické hodnocení definuje následující výstupní parametry:</w:t>
      </w: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6"/>
        <w:gridCol w:w="7384"/>
      </w:tblGrid>
      <w:tr w:rsidR="00942C1E" w:rsidRPr="009461CC" w14:paraId="0839D18E" w14:textId="77777777" w:rsidTr="00607046">
        <w:trPr>
          <w:tblHeader/>
          <w:tblCellSpacing w:w="15" w:type="dxa"/>
          <w:jc w:val="center"/>
        </w:trPr>
        <w:tc>
          <w:tcPr>
            <w:tcW w:w="4971" w:type="pct"/>
            <w:gridSpan w:val="2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35368930" w14:textId="77777777" w:rsidR="00942C1E" w:rsidRPr="009461CC" w:rsidRDefault="00942C1E" w:rsidP="00F36B7E">
            <w:pPr>
              <w:spacing w:after="0" w:afterAutospacing="0" w:line="216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cs"/>
              </w:rPr>
              <w:t>Výkonnostní charakteristika</w:t>
            </w:r>
          </w:p>
        </w:tc>
      </w:tr>
      <w:tr w:rsidR="00607046" w:rsidRPr="009461CC" w14:paraId="609C186F" w14:textId="77777777" w:rsidTr="00607046">
        <w:trPr>
          <w:tblHeader/>
          <w:tblCellSpacing w:w="15" w:type="dxa"/>
          <w:jc w:val="center"/>
        </w:trPr>
        <w:tc>
          <w:tcPr>
            <w:tcW w:w="1443" w:type="pct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D28E345" w14:textId="77777777" w:rsidR="00942C1E" w:rsidRPr="009461CC" w:rsidRDefault="00942C1E" w:rsidP="00F36B7E">
            <w:pPr>
              <w:spacing w:after="0" w:afterAutospacing="0" w:line="216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cs"/>
              </w:rPr>
              <w:t>Opatření</w:t>
            </w:r>
          </w:p>
        </w:tc>
        <w:tc>
          <w:tcPr>
            <w:tcW w:w="3514" w:type="pct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4A387C4" w14:textId="77777777" w:rsidR="00942C1E" w:rsidRPr="009461CC" w:rsidRDefault="00942C1E" w:rsidP="00F36B7E">
            <w:pPr>
              <w:spacing w:after="0" w:afterAutospacing="0" w:line="216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cs"/>
              </w:rPr>
              <w:t>Definice</w:t>
            </w:r>
          </w:p>
        </w:tc>
      </w:tr>
      <w:tr w:rsidR="00942C1E" w:rsidRPr="00123F3D" w14:paraId="67F5D1CE" w14:textId="77777777" w:rsidTr="00607046">
        <w:trPr>
          <w:tblCellSpacing w:w="15" w:type="dxa"/>
          <w:jc w:val="center"/>
        </w:trPr>
        <w:tc>
          <w:tcPr>
            <w:tcW w:w="1443" w:type="pct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F6236EF" w14:textId="77777777" w:rsidR="00942C1E" w:rsidRPr="009461CC" w:rsidRDefault="00942C1E" w:rsidP="00F36B7E">
            <w:pPr>
              <w:spacing w:after="0" w:afterAutospacing="0" w:line="21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lang w:val="cs"/>
              </w:rPr>
              <w:t>Technická úspěšnost</w:t>
            </w:r>
          </w:p>
        </w:tc>
        <w:tc>
          <w:tcPr>
            <w:tcW w:w="3514" w:type="pct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5E25C25" w14:textId="77777777" w:rsidR="00942C1E" w:rsidRPr="00BB4EC1" w:rsidRDefault="00942C1E" w:rsidP="00F36B7E">
            <w:pPr>
              <w:spacing w:after="0" w:afterAutospacing="0" w:line="216" w:lineRule="auto"/>
              <w:jc w:val="center"/>
              <w:rPr>
                <w:rFonts w:eastAsia="Times New Roman" w:cs="Times New Roman"/>
                <w:lang w:val="pt-BR"/>
              </w:rPr>
            </w:pPr>
            <w:r>
              <w:rPr>
                <w:rFonts w:eastAsia="Times New Roman" w:cs="Times New Roman"/>
                <w:lang w:val="cs"/>
              </w:rPr>
              <w:t>Úspěšná extrakce/manipulace s cizími předměty</w:t>
            </w:r>
          </w:p>
        </w:tc>
      </w:tr>
      <w:tr w:rsidR="00942C1E" w:rsidRPr="004B64B4" w14:paraId="5EE8C36D" w14:textId="77777777" w:rsidTr="00607046">
        <w:trPr>
          <w:tblCellSpacing w:w="15" w:type="dxa"/>
          <w:jc w:val="center"/>
        </w:trPr>
        <w:tc>
          <w:tcPr>
            <w:tcW w:w="1443" w:type="pct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5C7EA7EC" w14:textId="77777777" w:rsidR="00942C1E" w:rsidRPr="009461CC" w:rsidRDefault="00942C1E" w:rsidP="00F36B7E">
            <w:pPr>
              <w:spacing w:after="0" w:afterAutospacing="0" w:line="21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lang w:val="cs"/>
              </w:rPr>
              <w:t>Klinická úspěšnost</w:t>
            </w:r>
          </w:p>
        </w:tc>
        <w:tc>
          <w:tcPr>
            <w:tcW w:w="3514" w:type="pct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01FCEBA5" w14:textId="77777777" w:rsidR="00942C1E" w:rsidRPr="004B64B4" w:rsidRDefault="00942C1E" w:rsidP="00F36B7E">
            <w:pPr>
              <w:spacing w:after="0" w:afterAutospacing="0" w:line="216" w:lineRule="auto"/>
              <w:jc w:val="center"/>
              <w:rPr>
                <w:rFonts w:eastAsia="Times New Roman" w:cs="Times New Roman"/>
                <w:lang w:val="pl-PL"/>
              </w:rPr>
            </w:pPr>
            <w:r>
              <w:rPr>
                <w:rFonts w:eastAsia="Times New Roman" w:cs="Times New Roman"/>
                <w:lang w:val="cs"/>
              </w:rPr>
              <w:t>Úspěšná extrakce/manipulace bez komplikací spojených s výkonem</w:t>
            </w:r>
          </w:p>
        </w:tc>
      </w:tr>
    </w:tbl>
    <w:p w14:paraId="6CABCDF2" w14:textId="77777777" w:rsidR="004F7F77" w:rsidRPr="004B64B4" w:rsidRDefault="004F7F77" w:rsidP="00F36B7E">
      <w:pPr>
        <w:spacing w:after="0" w:afterAutospacing="0" w:line="216" w:lineRule="auto"/>
        <w:rPr>
          <w:rFonts w:eastAsia="Times New Roman" w:cs="Times New Roman"/>
          <w:iCs/>
          <w:szCs w:val="24"/>
          <w:lang w:val="pl-PL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7"/>
        <w:gridCol w:w="7043"/>
      </w:tblGrid>
      <w:tr w:rsidR="00607046" w:rsidRPr="009461CC" w14:paraId="62F22A34" w14:textId="77777777" w:rsidTr="004241EF">
        <w:trPr>
          <w:tblHeader/>
          <w:tblCellSpacing w:w="15" w:type="dxa"/>
          <w:jc w:val="center"/>
        </w:trPr>
        <w:tc>
          <w:tcPr>
            <w:tcW w:w="0" w:type="auto"/>
            <w:gridSpan w:val="2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</w:tcPr>
          <w:p w14:paraId="142B79F3" w14:textId="77777777" w:rsidR="00607046" w:rsidRPr="009461CC" w:rsidRDefault="00607046" w:rsidP="00F36B7E">
            <w:pPr>
              <w:spacing w:after="0" w:afterAutospacing="0" w:line="216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cs"/>
              </w:rPr>
              <w:t>Bezpečnostní opatření</w:t>
            </w:r>
          </w:p>
        </w:tc>
      </w:tr>
      <w:tr w:rsidR="00607046" w:rsidRPr="009461CC" w14:paraId="6CEF70FC" w14:textId="77777777" w:rsidTr="004241EF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7F49FF4D" w14:textId="77777777" w:rsidR="00607046" w:rsidRPr="009461CC" w:rsidRDefault="00607046" w:rsidP="00F36B7E">
            <w:pPr>
              <w:spacing w:after="0" w:afterAutospacing="0" w:line="216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cs"/>
              </w:rPr>
              <w:t>Opatření</w:t>
            </w:r>
          </w:p>
        </w:tc>
        <w:tc>
          <w:tcPr>
            <w:tcW w:w="0" w:type="auto"/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4D43B30" w14:textId="77777777" w:rsidR="00607046" w:rsidRPr="009461CC" w:rsidRDefault="00607046" w:rsidP="00F36B7E">
            <w:pPr>
              <w:spacing w:after="0" w:afterAutospacing="0" w:line="216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lang w:val="cs"/>
              </w:rPr>
              <w:t>Definice</w:t>
            </w:r>
          </w:p>
        </w:tc>
      </w:tr>
      <w:tr w:rsidR="00607046" w:rsidRPr="004B64B4" w14:paraId="11F5FD97" w14:textId="77777777" w:rsidTr="004241EF">
        <w:trPr>
          <w:tblCellSpacing w:w="15" w:type="dxa"/>
          <w:jc w:val="center"/>
        </w:trPr>
        <w:tc>
          <w:tcPr>
            <w:tcW w:w="0" w:type="auto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8CE5781" w14:textId="77777777" w:rsidR="00607046" w:rsidRPr="009461CC" w:rsidRDefault="00607046" w:rsidP="00F36B7E">
            <w:pPr>
              <w:spacing w:after="0" w:afterAutospacing="0" w:line="21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lang w:val="cs"/>
              </w:rPr>
              <w:t>Komplikace spojené s výkonem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EFFAF53" w14:textId="77777777" w:rsidR="00607046" w:rsidRPr="004B64B4" w:rsidRDefault="00607046" w:rsidP="00F36B7E">
            <w:pPr>
              <w:spacing w:after="0" w:afterAutospacing="0" w:line="216" w:lineRule="auto"/>
              <w:jc w:val="center"/>
              <w:rPr>
                <w:rFonts w:eastAsia="Times New Roman" w:cs="Times New Roman"/>
                <w:lang w:val="pl-PL"/>
              </w:rPr>
            </w:pPr>
            <w:r>
              <w:rPr>
                <w:rFonts w:eastAsia="Times New Roman" w:cs="Times New Roman"/>
                <w:lang w:val="cs"/>
              </w:rPr>
              <w:t>Zahrnuje krvácení, perforaci, embolii, infekci, alergickou reakci, bolest</w:t>
            </w:r>
          </w:p>
        </w:tc>
      </w:tr>
      <w:tr w:rsidR="00607046" w:rsidRPr="009461CC" w14:paraId="6CA744C3" w14:textId="77777777" w:rsidTr="004241EF">
        <w:trPr>
          <w:tblCellSpacing w:w="15" w:type="dxa"/>
          <w:jc w:val="center"/>
        </w:trPr>
        <w:tc>
          <w:tcPr>
            <w:tcW w:w="0" w:type="auto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250E35B1" w14:textId="77777777" w:rsidR="00607046" w:rsidRPr="009461CC" w:rsidRDefault="00607046" w:rsidP="00F36B7E">
            <w:pPr>
              <w:spacing w:after="0" w:afterAutospacing="0" w:line="21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lang w:val="cs"/>
              </w:rPr>
              <w:t>Celková míra komplikací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2D2E84BE" w14:textId="77777777" w:rsidR="00607046" w:rsidRPr="009461CC" w:rsidRDefault="00607046" w:rsidP="00F36B7E">
            <w:pPr>
              <w:spacing w:after="0" w:afterAutospacing="0" w:line="216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cs"/>
              </w:rPr>
              <w:t>Kombinovaná míra všech nežádoucích účinků během zákroku nebo po něm</w:t>
            </w:r>
          </w:p>
        </w:tc>
      </w:tr>
    </w:tbl>
    <w:p w14:paraId="4A64B2C8" w14:textId="77777777" w:rsidR="00607046" w:rsidRPr="009461CC" w:rsidRDefault="00607046" w:rsidP="00C97841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10E95C55" w14:textId="294036BB" w:rsidR="00050F24" w:rsidRPr="009461CC" w:rsidRDefault="00050F24" w:rsidP="00050F24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  <w:r>
        <w:rPr>
          <w:rFonts w:eastAsia="Times New Roman" w:cs="Times New Roman"/>
          <w:szCs w:val="24"/>
          <w:lang w:val="cs"/>
        </w:rPr>
        <w:t xml:space="preserve">Souhrn míry úspěšnosti pro ukazatele výsledků cévního smyčkového katétru </w:t>
      </w:r>
      <w:r w:rsidR="004B64B4">
        <w:rPr>
          <w:rFonts w:eastAsia="Times New Roman" w:cs="Times New Roman"/>
          <w:szCs w:val="24"/>
          <w:lang w:val="cs"/>
        </w:rPr>
        <w:t xml:space="preserve">Snare </w:t>
      </w:r>
      <w:r>
        <w:rPr>
          <w:rFonts w:eastAsia="Times New Roman" w:cs="Times New Roman"/>
          <w:szCs w:val="24"/>
          <w:lang w:val="cs"/>
        </w:rPr>
        <w:t>Atrieve:</w:t>
      </w:r>
    </w:p>
    <w:p w14:paraId="5B675D80" w14:textId="77777777" w:rsidR="00EE18FA" w:rsidRPr="009461CC" w:rsidRDefault="00EE18FA" w:rsidP="00050F24">
      <w:pPr>
        <w:spacing w:after="0" w:afterAutospacing="0" w:line="240" w:lineRule="auto"/>
        <w:rPr>
          <w:rFonts w:eastAsia="Times New Roman" w:cs="Times New Roman"/>
          <w:iCs/>
          <w:szCs w:val="24"/>
        </w:rPr>
      </w:pPr>
    </w:p>
    <w:p w14:paraId="6387EAAA" w14:textId="6A98A9F8" w:rsidR="00050F24" w:rsidRPr="004B64B4" w:rsidRDefault="00050F24" w:rsidP="00050F24">
      <w:pPr>
        <w:pStyle w:val="ListParagraph"/>
        <w:numPr>
          <w:ilvl w:val="0"/>
          <w:numId w:val="27"/>
        </w:numPr>
        <w:spacing w:after="0" w:afterAutospacing="0" w:line="240" w:lineRule="auto"/>
        <w:rPr>
          <w:rFonts w:eastAsia="Times New Roman" w:cs="Times New Roman"/>
          <w:iCs/>
          <w:szCs w:val="24"/>
          <w:lang w:val="pl-PL"/>
        </w:rPr>
      </w:pPr>
      <w:r>
        <w:rPr>
          <w:rFonts w:eastAsia="Times New Roman" w:cs="Times New Roman"/>
          <w:szCs w:val="24"/>
          <w:lang w:val="cs"/>
        </w:rPr>
        <w:t>Technická úspěšnost byla vynikající, na 100 %.</w:t>
      </w:r>
    </w:p>
    <w:p w14:paraId="70426807" w14:textId="6A68FCB6" w:rsidR="00050F24" w:rsidRPr="004B64B4" w:rsidRDefault="00050F24" w:rsidP="00050F24">
      <w:pPr>
        <w:pStyle w:val="ListParagraph"/>
        <w:numPr>
          <w:ilvl w:val="0"/>
          <w:numId w:val="27"/>
        </w:numPr>
        <w:spacing w:after="0" w:afterAutospacing="0" w:line="240" w:lineRule="auto"/>
        <w:rPr>
          <w:rFonts w:eastAsia="Times New Roman" w:cs="Times New Roman"/>
          <w:iCs/>
          <w:szCs w:val="24"/>
          <w:lang w:val="pl-PL"/>
        </w:rPr>
      </w:pPr>
      <w:r>
        <w:rPr>
          <w:rFonts w:eastAsia="Times New Roman" w:cs="Times New Roman"/>
          <w:szCs w:val="24"/>
          <w:lang w:val="cs"/>
        </w:rPr>
        <w:t>Klinická úspěšnost byla 94,5 %, což je mírně pod prahem 97,4 %.</w:t>
      </w:r>
    </w:p>
    <w:p w14:paraId="3E9DC071" w14:textId="055EE80D" w:rsidR="00050F24" w:rsidRPr="004B64B4" w:rsidRDefault="00050F24" w:rsidP="00050F24">
      <w:pPr>
        <w:pStyle w:val="ListParagraph"/>
        <w:numPr>
          <w:ilvl w:val="0"/>
          <w:numId w:val="27"/>
        </w:numPr>
        <w:spacing w:after="0" w:afterAutospacing="0" w:line="240" w:lineRule="auto"/>
        <w:rPr>
          <w:rFonts w:eastAsia="Times New Roman" w:cs="Times New Roman"/>
          <w:iCs/>
          <w:szCs w:val="24"/>
          <w:lang w:val="pl-PL"/>
        </w:rPr>
      </w:pPr>
      <w:r>
        <w:rPr>
          <w:rFonts w:eastAsia="Times New Roman" w:cs="Times New Roman"/>
          <w:szCs w:val="24"/>
          <w:lang w:val="cs"/>
        </w:rPr>
        <w:lastRenderedPageBreak/>
        <w:t>Celková míra komplikací, perforace/poškození tkáně a klinická úspěšnost nesplňovaly kritéria přijatelnosti.</w:t>
      </w:r>
    </w:p>
    <w:p w14:paraId="44EC781B" w14:textId="7DA02325" w:rsidR="00050F24" w:rsidRPr="00BB4EC1" w:rsidRDefault="00050F24" w:rsidP="00050F24">
      <w:pPr>
        <w:pStyle w:val="ListParagraph"/>
        <w:numPr>
          <w:ilvl w:val="0"/>
          <w:numId w:val="27"/>
        </w:numPr>
        <w:spacing w:after="0" w:afterAutospacing="0" w:line="240" w:lineRule="auto"/>
        <w:rPr>
          <w:rFonts w:eastAsia="Times New Roman" w:cs="Times New Roman"/>
          <w:iCs/>
          <w:szCs w:val="24"/>
          <w:lang w:val="pt-BR"/>
        </w:rPr>
      </w:pPr>
      <w:r>
        <w:rPr>
          <w:rFonts w:eastAsia="Times New Roman" w:cs="Times New Roman"/>
          <w:szCs w:val="24"/>
          <w:lang w:val="cs"/>
        </w:rPr>
        <w:t>Míra embolie, bolesti a úmrtnosti byla 0 % a splňovala kritéria.</w:t>
      </w:r>
    </w:p>
    <w:p w14:paraId="05E37DDA" w14:textId="77777777" w:rsidR="00EE18FA" w:rsidRPr="00BB4EC1" w:rsidRDefault="00EE18FA" w:rsidP="00EE18FA">
      <w:pPr>
        <w:pStyle w:val="ListParagraph"/>
        <w:spacing w:after="0" w:afterAutospacing="0" w:line="240" w:lineRule="auto"/>
        <w:rPr>
          <w:rFonts w:eastAsia="Times New Roman" w:cs="Times New Roman"/>
          <w:iCs/>
          <w:szCs w:val="24"/>
          <w:lang w:val="pt-BR"/>
        </w:rPr>
      </w:pPr>
    </w:p>
    <w:p w14:paraId="3F2FC7C2" w14:textId="2808A8DE" w:rsidR="00050F24" w:rsidRPr="00BB4EC1" w:rsidRDefault="00050F24" w:rsidP="00EE18FA">
      <w:pPr>
        <w:spacing w:after="0" w:afterAutospacing="0" w:line="240" w:lineRule="auto"/>
        <w:rPr>
          <w:rFonts w:eastAsia="Times New Roman" w:cs="Times New Roman"/>
          <w:iCs/>
          <w:szCs w:val="24"/>
          <w:lang w:val="pt-BR"/>
        </w:rPr>
      </w:pPr>
      <w:r>
        <w:rPr>
          <w:rFonts w:eastAsia="Times New Roman" w:cs="Times New Roman"/>
          <w:szCs w:val="24"/>
          <w:lang w:val="cs"/>
        </w:rPr>
        <w:t>Přestože některé bezpečnostní cílové parametry překračovaly prahové hodnoty, profil přínosů a rizik zůstal příznivý díky vysoké technické úspěšnosti a komplikacím s nízkou závažností.</w:t>
      </w:r>
    </w:p>
    <w:p w14:paraId="2F8EAFF0" w14:textId="77777777" w:rsidR="00AA7F1D" w:rsidRPr="00BB4EC1" w:rsidRDefault="00AA7F1D" w:rsidP="00D47200">
      <w:pPr>
        <w:spacing w:after="0" w:afterAutospacing="0" w:line="240" w:lineRule="auto"/>
        <w:rPr>
          <w:rFonts w:eastAsia="Times New Roman" w:cs="Times New Roman"/>
          <w:iCs/>
          <w:szCs w:val="24"/>
          <w:lang w:val="pt-BR"/>
        </w:rPr>
      </w:pPr>
    </w:p>
    <w:p w14:paraId="7A0B3597" w14:textId="775DF039" w:rsidR="00D47200" w:rsidRPr="00BB4EC1" w:rsidRDefault="00AA7F1D" w:rsidP="00D47200">
      <w:pPr>
        <w:spacing w:after="0" w:afterAutospacing="0" w:line="240" w:lineRule="auto"/>
        <w:rPr>
          <w:rFonts w:eastAsia="Times New Roman" w:cs="Times New Roman"/>
          <w:iCs/>
          <w:szCs w:val="24"/>
          <w:lang w:val="pt-BR"/>
        </w:rPr>
      </w:pPr>
      <w:r>
        <w:rPr>
          <w:rFonts w:eastAsia="Times New Roman" w:cs="Times New Roman"/>
          <w:szCs w:val="24"/>
          <w:lang w:val="cs"/>
        </w:rPr>
        <w:t xml:space="preserve">Klinická tvrzení v návodu k použití </w:t>
      </w:r>
      <w:r w:rsidR="004B64B4">
        <w:rPr>
          <w:rFonts w:eastAsia="Times New Roman" w:cs="Times New Roman"/>
          <w:szCs w:val="24"/>
          <w:lang w:val="cs"/>
        </w:rPr>
        <w:t xml:space="preserve">(IFU) </w:t>
      </w:r>
      <w:r>
        <w:rPr>
          <w:rFonts w:eastAsia="Times New Roman" w:cs="Times New Roman"/>
          <w:szCs w:val="24"/>
          <w:lang w:val="cs"/>
        </w:rPr>
        <w:t>a marketingových materiálech</w:t>
      </w:r>
    </w:p>
    <w:p w14:paraId="7DADA029" w14:textId="6C6ECAD3" w:rsidR="001F48BA" w:rsidRPr="00BB4EC1" w:rsidRDefault="00C01A53" w:rsidP="00D52DF8">
      <w:pPr>
        <w:spacing w:after="0" w:afterAutospacing="0" w:line="240" w:lineRule="auto"/>
        <w:rPr>
          <w:rFonts w:cs="Times New Roman"/>
          <w:iCs/>
          <w:szCs w:val="24"/>
          <w:lang w:val="pt-BR"/>
        </w:rPr>
      </w:pPr>
      <w:r>
        <w:rPr>
          <w:rFonts w:cs="Times New Roman"/>
          <w:szCs w:val="24"/>
          <w:lang w:val="cs"/>
        </w:rPr>
        <w:t>Následující tvrzení jsou podpořena klinickým hodnocením:</w:t>
      </w:r>
    </w:p>
    <w:p w14:paraId="19E8DAE4" w14:textId="77777777" w:rsidR="00EE18FA" w:rsidRPr="00F36B7E" w:rsidRDefault="00EE18FA" w:rsidP="00D52DF8">
      <w:pPr>
        <w:spacing w:after="0" w:afterAutospacing="0" w:line="240" w:lineRule="auto"/>
        <w:rPr>
          <w:rFonts w:cs="Times New Roman"/>
          <w:iCs/>
          <w:sz w:val="16"/>
          <w:szCs w:val="16"/>
          <w:lang w:val="pt-BR"/>
        </w:rPr>
      </w:pPr>
    </w:p>
    <w:p w14:paraId="7925D059" w14:textId="1A5A89DA" w:rsidR="003859AF" w:rsidRPr="00BB4EC1" w:rsidRDefault="003859AF" w:rsidP="003859AF">
      <w:pPr>
        <w:pStyle w:val="ListParagraph"/>
        <w:numPr>
          <w:ilvl w:val="0"/>
          <w:numId w:val="28"/>
        </w:numPr>
        <w:spacing w:after="0" w:afterAutospacing="0" w:line="240" w:lineRule="auto"/>
        <w:rPr>
          <w:rFonts w:cs="Times New Roman"/>
          <w:iCs/>
          <w:szCs w:val="24"/>
          <w:lang w:val="pt-BR"/>
        </w:rPr>
      </w:pPr>
      <w:r>
        <w:rPr>
          <w:rFonts w:cs="Times New Roman"/>
          <w:szCs w:val="24"/>
          <w:lang w:val="cs"/>
        </w:rPr>
        <w:t>Perkutánní extrakce/manipulace s cizími předměty – podpořeno 100% technickou úspěšností v literatuře.</w:t>
      </w:r>
    </w:p>
    <w:p w14:paraId="3AB6E45D" w14:textId="783809AA" w:rsidR="003859AF" w:rsidRPr="00BB4EC1" w:rsidRDefault="003859AF" w:rsidP="003859AF">
      <w:pPr>
        <w:pStyle w:val="ListParagraph"/>
        <w:numPr>
          <w:ilvl w:val="0"/>
          <w:numId w:val="28"/>
        </w:numPr>
        <w:spacing w:after="0" w:afterAutospacing="0" w:line="240" w:lineRule="auto"/>
        <w:rPr>
          <w:rFonts w:cs="Times New Roman"/>
          <w:iCs/>
          <w:szCs w:val="24"/>
          <w:lang w:val="pt-BR"/>
        </w:rPr>
      </w:pPr>
      <w:r>
        <w:rPr>
          <w:rFonts w:cs="Times New Roman"/>
          <w:szCs w:val="24"/>
          <w:lang w:val="cs"/>
        </w:rPr>
        <w:t>Nižší míra komplikací než u chirurgického zákroku – podpořeno srovnávací literaturou a nejmodernější analýzou.</w:t>
      </w:r>
    </w:p>
    <w:p w14:paraId="15638B58" w14:textId="335CFE86" w:rsidR="003859AF" w:rsidRPr="00BB4EC1" w:rsidRDefault="003859AF" w:rsidP="003859AF">
      <w:pPr>
        <w:pStyle w:val="ListParagraph"/>
        <w:numPr>
          <w:ilvl w:val="0"/>
          <w:numId w:val="28"/>
        </w:numPr>
        <w:spacing w:after="0" w:afterAutospacing="0" w:line="240" w:lineRule="auto"/>
        <w:rPr>
          <w:rFonts w:cs="Times New Roman"/>
          <w:iCs/>
          <w:szCs w:val="24"/>
          <w:lang w:val="pt-BR"/>
        </w:rPr>
      </w:pPr>
      <w:r>
        <w:rPr>
          <w:rFonts w:cs="Times New Roman"/>
          <w:szCs w:val="24"/>
          <w:lang w:val="cs"/>
        </w:rPr>
        <w:t>Použití při doplňkových postupech (např. odstranění fibrinového obalu, změna polohy katétru) – Podloženo klinickými kazuistikami a procedurálními pokyny.</w:t>
      </w:r>
    </w:p>
    <w:p w14:paraId="351D383E" w14:textId="7EB46C62" w:rsidR="00C01A53" w:rsidRPr="00BB4EC1" w:rsidRDefault="003859AF" w:rsidP="003859AF">
      <w:pPr>
        <w:pStyle w:val="ListParagraph"/>
        <w:numPr>
          <w:ilvl w:val="0"/>
          <w:numId w:val="28"/>
        </w:numPr>
        <w:spacing w:after="0" w:afterAutospacing="0" w:line="240" w:lineRule="auto"/>
        <w:rPr>
          <w:rFonts w:cs="Times New Roman"/>
          <w:iCs/>
          <w:szCs w:val="24"/>
          <w:lang w:val="pt-BR"/>
        </w:rPr>
      </w:pPr>
      <w:r>
        <w:rPr>
          <w:rFonts w:cs="Times New Roman"/>
          <w:szCs w:val="24"/>
          <w:lang w:val="cs"/>
        </w:rPr>
        <w:t>Bezpečné pro použití u dospělé populace – podpořeno sledováním po uvedení na trh a údaji z literatury.</w:t>
      </w:r>
    </w:p>
    <w:p w14:paraId="68D32F33" w14:textId="77777777" w:rsidR="005D424F" w:rsidRPr="00BB4EC1" w:rsidRDefault="005D424F" w:rsidP="005D424F">
      <w:pPr>
        <w:spacing w:after="0" w:afterAutospacing="0" w:line="240" w:lineRule="auto"/>
        <w:rPr>
          <w:rFonts w:cs="Times New Roman"/>
          <w:iCs/>
          <w:szCs w:val="24"/>
          <w:lang w:val="pt-BR"/>
        </w:rPr>
      </w:pPr>
    </w:p>
    <w:p w14:paraId="76063689" w14:textId="38483175" w:rsidR="005D424F" w:rsidRPr="00BB4EC1" w:rsidRDefault="005D424F" w:rsidP="005D424F">
      <w:pPr>
        <w:spacing w:after="0" w:afterAutospacing="0" w:line="240" w:lineRule="auto"/>
        <w:rPr>
          <w:rFonts w:cs="Times New Roman"/>
          <w:iCs/>
          <w:szCs w:val="24"/>
          <w:lang w:val="pt-BR"/>
        </w:rPr>
      </w:pPr>
      <w:r>
        <w:rPr>
          <w:rFonts w:cs="Times New Roman"/>
          <w:szCs w:val="24"/>
          <w:lang w:val="cs"/>
        </w:rPr>
        <w:t xml:space="preserve">Cévní smyčkové katétry </w:t>
      </w:r>
      <w:r w:rsidR="004B64B4">
        <w:rPr>
          <w:rFonts w:cs="Times New Roman"/>
          <w:szCs w:val="24"/>
          <w:lang w:val="cs"/>
        </w:rPr>
        <w:t xml:space="preserve">Snare </w:t>
      </w:r>
      <w:r>
        <w:rPr>
          <w:rFonts w:cs="Times New Roman"/>
          <w:szCs w:val="24"/>
          <w:lang w:val="cs"/>
        </w:rPr>
        <w:t>Atrieve vykazují příznivý poměr přínosů a rizik, přičemž silný klinický výkon a bezpečnost jsou podpořeny literaturou, testováním a údaji po uvedení na trh. Jsou v souladu s regulačními normami a vhodné pro další klinické použití.</w:t>
      </w:r>
    </w:p>
    <w:p w14:paraId="653883C0" w14:textId="77777777" w:rsidR="003859AF" w:rsidRPr="00BB4EC1" w:rsidRDefault="003859AF" w:rsidP="003859AF">
      <w:pPr>
        <w:spacing w:after="0" w:afterAutospacing="0" w:line="240" w:lineRule="auto"/>
        <w:rPr>
          <w:rFonts w:cs="Times New Roman"/>
          <w:iCs/>
          <w:szCs w:val="24"/>
          <w:lang w:val="pt-BR"/>
        </w:rPr>
      </w:pPr>
    </w:p>
    <w:p w14:paraId="6DCFA27A" w14:textId="12CF0A2D" w:rsidR="00C91927" w:rsidRPr="00BB4EC1" w:rsidRDefault="008745ED" w:rsidP="00C91927">
      <w:pPr>
        <w:pStyle w:val="Heading1"/>
        <w:rPr>
          <w:rFonts w:cs="Times New Roman"/>
          <w:color w:val="auto"/>
          <w:lang w:val="pt-BR"/>
        </w:rPr>
      </w:pPr>
      <w:bookmarkStart w:id="76" w:name="_Toc222741239"/>
      <w:r>
        <w:rPr>
          <w:rFonts w:cs="Times New Roman"/>
          <w:bCs/>
          <w:color w:val="auto"/>
          <w:lang w:val="cs"/>
        </w:rPr>
        <w:t>Probíhající nebo plánované klinické sledování po uvedení na trh</w:t>
      </w:r>
      <w:bookmarkEnd w:id="76"/>
    </w:p>
    <w:p w14:paraId="494CEDC3" w14:textId="10523200" w:rsidR="0094476E" w:rsidRPr="00BB4EC1" w:rsidRDefault="003B4C77" w:rsidP="00C91927">
      <w:pPr>
        <w:spacing w:line="240" w:lineRule="auto"/>
        <w:rPr>
          <w:rFonts w:cs="Times New Roman"/>
          <w:highlight w:val="yellow"/>
          <w:lang w:val="cs"/>
        </w:rPr>
      </w:pPr>
      <w:r>
        <w:rPr>
          <w:rFonts w:cs="Times New Roman"/>
          <w:lang w:val="cs"/>
        </w:rPr>
        <w:t>Klinické sledování po uvedení na trh pro cévní smyčkový katétr Atrieve se provádí v souladu s normou PMCFP-029 Rev C a splňuje požadavky části B přílohy XIV nařízení MDR. Činnosti PMCF jsou navrženy tak, aby proaktivně potvrdily bezpečnost a funkci prostředku v běžné klinické praxi, identifikovaly veškerá nově vznikající rizika a ověřily, zda je profil přínosů a rizik i nadále přijatelný.</w:t>
      </w:r>
    </w:p>
    <w:p w14:paraId="58642C16" w14:textId="276C8BA1" w:rsidR="00E541DE" w:rsidRDefault="00E541DE" w:rsidP="00F36B7E">
      <w:pPr>
        <w:pStyle w:val="NormalWeb"/>
        <w:spacing w:before="0" w:beforeAutospacing="0" w:after="0" w:afterAutospacing="0"/>
        <w:rPr>
          <w:lang w:val="cs"/>
        </w:rPr>
      </w:pPr>
      <w:r>
        <w:rPr>
          <w:rStyle w:val="Strong"/>
          <w:lang w:val="cs"/>
        </w:rPr>
        <w:t>Probíhající aktivity PMCF</w:t>
      </w:r>
      <w:r>
        <w:rPr>
          <w:lang w:val="cs"/>
        </w:rPr>
        <w:br/>
        <w:t>Během celého životního cyklu prostředku se plánují následující průběžné činnosti:</w:t>
      </w:r>
    </w:p>
    <w:p w14:paraId="6EA49F9A" w14:textId="77777777" w:rsidR="00701715" w:rsidRPr="00F36B7E" w:rsidRDefault="00701715" w:rsidP="00F36B7E">
      <w:pPr>
        <w:pStyle w:val="NormalWeb"/>
        <w:spacing w:before="0" w:beforeAutospacing="0" w:after="0" w:afterAutospacing="0"/>
        <w:rPr>
          <w:sz w:val="12"/>
          <w:szCs w:val="12"/>
          <w:lang w:val="cs"/>
        </w:rPr>
      </w:pPr>
    </w:p>
    <w:p w14:paraId="15FC3A69" w14:textId="31C9D895" w:rsidR="00E541DE" w:rsidRPr="00BB4EC1" w:rsidRDefault="00DE3CC0" w:rsidP="00F36B7E">
      <w:pPr>
        <w:pStyle w:val="NormalWeb"/>
        <w:numPr>
          <w:ilvl w:val="0"/>
          <w:numId w:val="29"/>
        </w:numPr>
        <w:spacing w:before="0" w:beforeAutospacing="0"/>
        <w:rPr>
          <w:lang w:val="cs"/>
        </w:rPr>
      </w:pPr>
      <w:r>
        <w:rPr>
          <w:rStyle w:val="Strong"/>
          <w:b w:val="0"/>
          <w:bCs w:val="0"/>
          <w:lang w:val="cs"/>
        </w:rPr>
        <w:t>Roční systematický přehled literatury:</w:t>
      </w:r>
      <w:r>
        <w:rPr>
          <w:lang w:val="cs"/>
        </w:rPr>
        <w:t xml:space="preserve"> Je proveden strukturovaný přehled publikovaných klinických důkazů týkajících se cévních smyčkových katétrů a srovnatelných prostředků s cílem identifikovat nové informace o bezpečnosti, funkci, klinických technikách nebo nově vznikajících rizicích.</w:t>
      </w:r>
    </w:p>
    <w:p w14:paraId="08598FA3" w14:textId="6BDEE605" w:rsidR="00E541DE" w:rsidRPr="00BB4EC1" w:rsidRDefault="00DE3CC0" w:rsidP="00E541DE">
      <w:pPr>
        <w:pStyle w:val="NormalWeb"/>
        <w:numPr>
          <w:ilvl w:val="0"/>
          <w:numId w:val="29"/>
        </w:numPr>
        <w:rPr>
          <w:lang w:val="cs"/>
        </w:rPr>
      </w:pPr>
      <w:r>
        <w:rPr>
          <w:rStyle w:val="Strong"/>
          <w:b w:val="0"/>
          <w:bCs w:val="0"/>
          <w:lang w:val="cs"/>
        </w:rPr>
        <w:t>Roční přehled nejmodernějšího stavu techniky (SOA):</w:t>
      </w:r>
      <w:r>
        <w:rPr>
          <w:lang w:val="cs"/>
        </w:rPr>
        <w:t xml:space="preserve"> Provádí se posouzení klinických postupů, mezinárodních standardů a konkurenčních technologií, aby se zajistil trvalý soulad se současnou klinickou a technickou praxí.</w:t>
      </w:r>
    </w:p>
    <w:p w14:paraId="6EE80A3F" w14:textId="77777777" w:rsidR="00E541DE" w:rsidRPr="00BB4EC1" w:rsidRDefault="00E541DE" w:rsidP="00E541DE">
      <w:pPr>
        <w:pStyle w:val="NormalWeb"/>
        <w:numPr>
          <w:ilvl w:val="0"/>
          <w:numId w:val="29"/>
        </w:numPr>
        <w:rPr>
          <w:lang w:val="cs"/>
        </w:rPr>
      </w:pPr>
      <w:r>
        <w:rPr>
          <w:rStyle w:val="Strong"/>
          <w:b w:val="0"/>
          <w:bCs w:val="0"/>
          <w:lang w:val="cs"/>
        </w:rPr>
        <w:t>Průběžné přezkoumávání stížností a údajů o nežádoucích účincích:</w:t>
      </w:r>
      <w:r>
        <w:rPr>
          <w:lang w:val="cs"/>
        </w:rPr>
        <w:t xml:space="preserve"> Ačkoli se jedná spíše o aktivitu PMS než PMCF, klíčové nálezy jsou v rámci procesu PMCF vyhodnocovány, aby se určilo, zda je nutné další klinické sledování.</w:t>
      </w:r>
    </w:p>
    <w:p w14:paraId="39597E9A" w14:textId="1A4382D1" w:rsidR="009E1EBB" w:rsidRPr="00BB4EC1" w:rsidRDefault="009E1EBB" w:rsidP="009E1EBB">
      <w:pPr>
        <w:pStyle w:val="NormalWeb"/>
        <w:rPr>
          <w:lang w:val="cs"/>
        </w:rPr>
      </w:pPr>
      <w:r>
        <w:rPr>
          <w:rStyle w:val="Strong"/>
          <w:lang w:val="cs"/>
        </w:rPr>
        <w:t>Plánované aktivity PMCF</w:t>
      </w:r>
      <w:r>
        <w:rPr>
          <w:lang w:val="cs"/>
        </w:rPr>
        <w:br/>
        <w:t xml:space="preserve">Pro shromažďování cílených reálných důkazů o soupravě cévního smyčkového katétru </w:t>
      </w:r>
      <w:r w:rsidR="004B64B4">
        <w:rPr>
          <w:lang w:val="cs"/>
        </w:rPr>
        <w:t xml:space="preserve">Snare </w:t>
      </w:r>
      <w:r>
        <w:rPr>
          <w:lang w:val="cs"/>
        </w:rPr>
        <w:t>Atrieve je plánována následující aktivita:</w:t>
      </w:r>
    </w:p>
    <w:p w14:paraId="395AA027" w14:textId="77777777" w:rsidR="009E1EBB" w:rsidRPr="00BB4EC1" w:rsidRDefault="009E1EBB" w:rsidP="009E1EBB">
      <w:pPr>
        <w:pStyle w:val="NormalWeb"/>
        <w:numPr>
          <w:ilvl w:val="0"/>
          <w:numId w:val="32"/>
        </w:numPr>
        <w:rPr>
          <w:lang w:val="cs"/>
        </w:rPr>
      </w:pPr>
      <w:r>
        <w:rPr>
          <w:rStyle w:val="Strong"/>
          <w:lang w:val="cs"/>
        </w:rPr>
        <w:lastRenderedPageBreak/>
        <w:t>Průzkum pro lékaře PMCF:</w:t>
      </w:r>
      <w:r>
        <w:rPr>
          <w:lang w:val="cs"/>
        </w:rPr>
        <w:br/>
        <w:t>Mezi klinickými uživateli bude proveden strukturovaný průzkum, jehož cílem bude zaznamenat jejich zkušenosti s tímto prostředkem, posoudit jeho funkci v běžné praxi a identifikovat jakékoli pozorované komplikace nebo neočekávané události. Výsledky průzkumu budou analyzovány a začleněny do hodnotící zprávy PMCF. Zjištění budou informovat o potřebě dalších aktivit PMCF nebo aktualizací zprávy o klinickém hodnocení (CER) a zprávy o řízení rizik (RMR).</w:t>
      </w:r>
    </w:p>
    <w:p w14:paraId="1DED8B40" w14:textId="7C0EE29B" w:rsidR="00DE0007" w:rsidRPr="00BB4EC1" w:rsidRDefault="00DE0007" w:rsidP="00DE0007">
      <w:pPr>
        <w:pStyle w:val="NormalWeb"/>
        <w:rPr>
          <w:lang w:val="cs"/>
        </w:rPr>
      </w:pPr>
      <w:r>
        <w:rPr>
          <w:rStyle w:val="Strong"/>
          <w:lang w:val="cs"/>
        </w:rPr>
        <w:t>Zdůvodnění přístupu PMCF</w:t>
      </w:r>
      <w:r>
        <w:rPr>
          <w:lang w:val="cs"/>
        </w:rPr>
        <w:br/>
        <w:t xml:space="preserve">Na základě současného klinického hodnocení, důkazů z literatury a zkušeností po uvedení na trh nebyla identifikována žádná nová ani vznikající rizika, která by vyžadovala klinické hodnocení specifické pro daný prostředek. Stávající aktivity PMCF, roční literatura a hodnocení SOA podpořené cílenou zpětnou vazbou od lékařů jsou považovány za dostatečné k potvrzení trvalé bezpečnosti a funkce tohoto osvědčeného prostředku třídy III, který se nazývá souprava cévního smyčkového katétru </w:t>
      </w:r>
      <w:r w:rsidR="004B64B4">
        <w:rPr>
          <w:lang w:val="cs"/>
        </w:rPr>
        <w:t xml:space="preserve">Snare </w:t>
      </w:r>
      <w:r>
        <w:rPr>
          <w:lang w:val="cs"/>
        </w:rPr>
        <w:t>Atrieve.</w:t>
      </w:r>
    </w:p>
    <w:p w14:paraId="3DA3C9CA" w14:textId="77777777" w:rsidR="005B4422" w:rsidRPr="00BB4EC1" w:rsidRDefault="005B4422" w:rsidP="005B4422">
      <w:pPr>
        <w:pStyle w:val="NormalWeb"/>
        <w:spacing w:before="0" w:beforeAutospacing="0" w:after="0" w:afterAutospacing="0"/>
        <w:rPr>
          <w:lang w:val="cs"/>
        </w:rPr>
      </w:pPr>
      <w:r>
        <w:rPr>
          <w:rStyle w:val="Strong"/>
          <w:lang w:val="cs"/>
        </w:rPr>
        <w:t>Hlášení PMCF</w:t>
      </w:r>
    </w:p>
    <w:p w14:paraId="5C389055" w14:textId="14E4D114" w:rsidR="0094476E" w:rsidRPr="00BB4EC1" w:rsidRDefault="00B04139" w:rsidP="007002E4">
      <w:pPr>
        <w:pStyle w:val="NormalWeb"/>
        <w:spacing w:before="0" w:beforeAutospacing="0" w:after="0" w:afterAutospacing="0"/>
        <w:rPr>
          <w:lang w:val="cs"/>
        </w:rPr>
      </w:pPr>
      <w:r>
        <w:rPr>
          <w:lang w:val="cs"/>
        </w:rPr>
        <w:t>Zpráva PMCF se generuje v definovaných intervalech a vždy, když jsou k dispozici nové informace, které mohou ovlivnit profil přínosů a rizik. Všechny výstupy PMCF se dle potřeby promítají do zprávy o klinickém hodnocení (CER), zprávy o řízení rizik (RMR) a dalších procesů po uvedení na trh.</w:t>
      </w:r>
    </w:p>
    <w:p w14:paraId="09D946B7" w14:textId="77777777" w:rsidR="007002E4" w:rsidRPr="00BB4EC1" w:rsidRDefault="007002E4" w:rsidP="007002E4">
      <w:pPr>
        <w:pStyle w:val="NormalWeb"/>
        <w:spacing w:before="0" w:beforeAutospacing="0" w:after="0" w:afterAutospacing="0"/>
        <w:rPr>
          <w:lang w:val="cs"/>
        </w:rPr>
      </w:pPr>
    </w:p>
    <w:p w14:paraId="748C3FE5" w14:textId="1D19292C" w:rsidR="00760400" w:rsidRPr="009461CC" w:rsidRDefault="00760400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7" w:name="_Toc222741240"/>
      <w:r>
        <w:rPr>
          <w:rFonts w:cs="Times New Roman"/>
          <w:bCs/>
          <w:lang w:val="cs"/>
        </w:rPr>
        <w:t>Možné diagnostické nebo terapeutické alternativy</w:t>
      </w:r>
      <w:bookmarkEnd w:id="77"/>
      <w:r>
        <w:rPr>
          <w:rFonts w:cs="Times New Roman"/>
          <w:bCs/>
          <w:lang w:val="cs"/>
        </w:rPr>
        <w:t xml:space="preserve"> </w:t>
      </w:r>
    </w:p>
    <w:p w14:paraId="60C316BA" w14:textId="3922E468" w:rsidR="00042B91" w:rsidRPr="00BB4EC1" w:rsidRDefault="008373C6" w:rsidP="00AB04FB">
      <w:pPr>
        <w:rPr>
          <w:rFonts w:cs="Times New Roman"/>
          <w:lang w:val="cs"/>
        </w:rPr>
      </w:pPr>
      <w:r>
        <w:rPr>
          <w:rFonts w:cs="Times New Roman"/>
          <w:lang w:val="cs"/>
        </w:rPr>
        <w:t>Dle CER-029 Rev B jsou identifikovány tři hlavní alternativy pro extrakci cizích předmětů (</w:t>
      </w:r>
      <w:r w:rsidR="00521973">
        <w:rPr>
          <w:rFonts w:cs="Times New Roman"/>
          <w:lang w:val="cs"/>
        </w:rPr>
        <w:t>FB</w:t>
      </w:r>
      <w:r>
        <w:rPr>
          <w:rFonts w:cs="Times New Roman"/>
          <w:lang w:val="cs"/>
        </w:rPr>
        <w:t>) v kardiovaskulárním systému. Konzervativní léčba se doporučuje u asymptomatických nebo vysoce rizikových chirurgických pacientů, přičemž v případech, kdy zákrok může představovat větší riziko, se spoléhá na pečlivé sledování a zobrazovací metody. Minimálně invazivní techniky jsou preferovaným přístupem, přičemž smyčkové katétry, zejména katétry typu gooseneck, se široce používají pro standardní i komplexní extrakce. Kleště poskytují přesný úchop a jsou vhodné pro obtížné případy, jako jsou zlomené nebo vložené prostředky. Chirurgická extrakce, jako je torakotomie nebo sternotomie, je kvůli své invazivní povaze a vyššímu riziku pro pacienta až poslední možností. Celkově vzato zůstává endovaskulární extrakce standardem péče, přičemž léčba je přizpůsobena stavu pacienta a charakteristikám cizího předmětu.</w:t>
      </w:r>
    </w:p>
    <w:p w14:paraId="2CDE6FBF" w14:textId="77777777" w:rsidR="00042B91" w:rsidRPr="009461CC" w:rsidRDefault="00042B91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8" w:name="_Toc222741241"/>
      <w:r>
        <w:rPr>
          <w:rFonts w:cs="Times New Roman"/>
          <w:bCs/>
          <w:lang w:val="cs"/>
        </w:rPr>
        <w:t>Navrhovaný profil a školení pro uživatele</w:t>
      </w:r>
      <w:bookmarkEnd w:id="78"/>
    </w:p>
    <w:p w14:paraId="35173865" w14:textId="0C72FD3E" w:rsidR="00042B91" w:rsidRPr="009461CC" w:rsidRDefault="00A5239F" w:rsidP="00042B91">
      <w:pPr>
        <w:spacing w:after="0" w:afterAutospacing="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lang w:val="cs"/>
        </w:rPr>
        <w:t>Produkt je určen k použití lékařskými profesionály a musí být používán pouze kvalifikovaným personálem obeznámeným s příslušnou technikou.</w:t>
      </w:r>
    </w:p>
    <w:p w14:paraId="21A7D581" w14:textId="77777777" w:rsidR="00A5239F" w:rsidRPr="009461CC" w:rsidRDefault="00A5239F" w:rsidP="00042B91">
      <w:pPr>
        <w:spacing w:after="0" w:afterAutospacing="0" w:line="240" w:lineRule="auto"/>
        <w:rPr>
          <w:rFonts w:cs="Times New Roman"/>
          <w:i/>
          <w:color w:val="FF0000"/>
          <w:highlight w:val="yellow"/>
        </w:rPr>
      </w:pPr>
    </w:p>
    <w:p w14:paraId="7848B753" w14:textId="692785D6" w:rsidR="0037316E" w:rsidRPr="009461CC" w:rsidRDefault="00760400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79" w:name="_Toc222741242"/>
      <w:r>
        <w:rPr>
          <w:rFonts w:cs="Times New Roman"/>
          <w:bCs/>
          <w:lang w:val="cs"/>
        </w:rPr>
        <w:t>Harmonizované normy / společné specifikace</w:t>
      </w:r>
      <w:bookmarkEnd w:id="79"/>
    </w:p>
    <w:tbl>
      <w:tblPr>
        <w:tblStyle w:val="TableGrid"/>
        <w:tblW w:w="4959" w:type="pct"/>
        <w:tblLook w:val="04A0" w:firstRow="1" w:lastRow="0" w:firstColumn="1" w:lastColumn="0" w:noHBand="0" w:noVBand="1"/>
      </w:tblPr>
      <w:tblGrid>
        <w:gridCol w:w="2336"/>
        <w:gridCol w:w="8008"/>
      </w:tblGrid>
      <w:tr w:rsidR="0094168A" w:rsidRPr="009461CC" w14:paraId="04F3E487" w14:textId="77777777" w:rsidTr="00293453">
        <w:trPr>
          <w:tblHeader/>
        </w:trPr>
        <w:tc>
          <w:tcPr>
            <w:tcW w:w="1129" w:type="pct"/>
          </w:tcPr>
          <w:p w14:paraId="5EEB168D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cs"/>
              </w:rPr>
              <w:t>Datum/verze shody Argon</w:t>
            </w:r>
          </w:p>
        </w:tc>
        <w:tc>
          <w:tcPr>
            <w:tcW w:w="3871" w:type="pct"/>
          </w:tcPr>
          <w:p w14:paraId="7BCD1036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cs"/>
              </w:rPr>
              <w:t>Název normy</w:t>
            </w:r>
          </w:p>
        </w:tc>
      </w:tr>
      <w:tr w:rsidR="0094168A" w:rsidRPr="009461CC" w14:paraId="67124770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1B92BABB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cs"/>
              </w:rPr>
              <w:t>Označení</w:t>
            </w:r>
          </w:p>
        </w:tc>
      </w:tr>
      <w:tr w:rsidR="0094168A" w:rsidRPr="009461CC" w14:paraId="25DF072C" w14:textId="77777777" w:rsidTr="00293453">
        <w:tc>
          <w:tcPr>
            <w:tcW w:w="1129" w:type="pct"/>
          </w:tcPr>
          <w:p w14:paraId="434B73AC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cs"/>
              </w:rPr>
              <w:t>EN ISO 15223-1:2021</w:t>
            </w:r>
          </w:p>
        </w:tc>
        <w:tc>
          <w:tcPr>
            <w:tcW w:w="3871" w:type="pct"/>
          </w:tcPr>
          <w:p w14:paraId="40A15B1C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 xml:space="preserve">Zdravotnické prostředky - Symboly používané u zdravotnických prostředků. </w:t>
            </w:r>
          </w:p>
          <w:p w14:paraId="093121E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 xml:space="preserve">štítky, označování a informace, které mají být poskytnuty - Část 1: Obecné požadavky. </w:t>
            </w:r>
          </w:p>
          <w:p w14:paraId="3CEE87D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</w:p>
        </w:tc>
      </w:tr>
      <w:tr w:rsidR="0094168A" w:rsidRPr="009461CC" w14:paraId="13723641" w14:textId="77777777" w:rsidTr="00293453">
        <w:tc>
          <w:tcPr>
            <w:tcW w:w="1129" w:type="pct"/>
          </w:tcPr>
          <w:p w14:paraId="7822ED4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EN ISO 20417:2021</w:t>
            </w:r>
          </w:p>
        </w:tc>
        <w:tc>
          <w:tcPr>
            <w:tcW w:w="3871" w:type="pct"/>
          </w:tcPr>
          <w:p w14:paraId="6EF6F71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Terminologie, symboly a informace poskytované se zdravotnickými prostředky: Informace poskytované výrobcem se zdravotnickými prostředky</w:t>
            </w:r>
          </w:p>
        </w:tc>
      </w:tr>
      <w:tr w:rsidR="0094168A" w:rsidRPr="009461CC" w14:paraId="26B8C057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1F9809B2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cs"/>
              </w:rPr>
              <w:t>Obecné normy – Sterilizace</w:t>
            </w:r>
          </w:p>
        </w:tc>
      </w:tr>
      <w:tr w:rsidR="0094168A" w:rsidRPr="009461CC" w14:paraId="7C28E0D3" w14:textId="77777777" w:rsidTr="00293453">
        <w:tc>
          <w:tcPr>
            <w:tcW w:w="1129" w:type="pct"/>
          </w:tcPr>
          <w:p w14:paraId="0416000A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ISO 10555-1:2013</w:t>
            </w:r>
          </w:p>
        </w:tc>
        <w:tc>
          <w:tcPr>
            <w:tcW w:w="3871" w:type="pct"/>
          </w:tcPr>
          <w:p w14:paraId="5B0C265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Intravaskulární katétry – sterilní a jednorázové katétry – Část 1: Obecné požadavky</w:t>
            </w:r>
          </w:p>
        </w:tc>
      </w:tr>
      <w:tr w:rsidR="0094168A" w:rsidRPr="009461CC" w14:paraId="088E27B4" w14:textId="77777777" w:rsidTr="00293453">
        <w:tc>
          <w:tcPr>
            <w:tcW w:w="1129" w:type="pct"/>
          </w:tcPr>
          <w:p w14:paraId="47460872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lastRenderedPageBreak/>
              <w:t>EN 556-1:2024</w:t>
            </w:r>
          </w:p>
        </w:tc>
        <w:tc>
          <w:tcPr>
            <w:tcW w:w="3871" w:type="pct"/>
          </w:tcPr>
          <w:p w14:paraId="64BED8C0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Sterilizace zdravotnických prostředků. Požadavky na označení zdravotnických prostředků STERILNÍ. Požadavky na terminálně sterilizované zdravotnické prostředky</w:t>
            </w:r>
          </w:p>
        </w:tc>
      </w:tr>
      <w:tr w:rsidR="0094168A" w:rsidRPr="009461CC" w14:paraId="4DEE0525" w14:textId="77777777" w:rsidTr="00293453">
        <w:tc>
          <w:tcPr>
            <w:tcW w:w="1129" w:type="pct"/>
          </w:tcPr>
          <w:p w14:paraId="5095D1B9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EN ISO 11135:2019</w:t>
            </w:r>
          </w:p>
        </w:tc>
        <w:tc>
          <w:tcPr>
            <w:tcW w:w="3871" w:type="pct"/>
          </w:tcPr>
          <w:p w14:paraId="1E9B7BE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Sterilizace výrobků pro zdravotní péči – Sterilizace ethylenoxidem - Část 1: Požadavky na vývoj, validaci a průběžnou kontrolu sterilizačního postupu pro zdravotnické prostředky</w:t>
            </w:r>
          </w:p>
        </w:tc>
      </w:tr>
      <w:tr w:rsidR="0094168A" w:rsidRPr="004B64B4" w14:paraId="6B89F042" w14:textId="77777777" w:rsidTr="00293453">
        <w:tc>
          <w:tcPr>
            <w:tcW w:w="1129" w:type="pct"/>
          </w:tcPr>
          <w:p w14:paraId="3F48324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AAMI TIR28:2016</w:t>
            </w:r>
          </w:p>
          <w:p w14:paraId="4FBEE0AF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71" w:type="pct"/>
          </w:tcPr>
          <w:p w14:paraId="68BE6733" w14:textId="77777777" w:rsidR="0094168A" w:rsidRPr="004B64B4" w:rsidRDefault="0094168A" w:rsidP="00293453">
            <w:pPr>
              <w:spacing w:after="0" w:afterAutospacing="0"/>
              <w:rPr>
                <w:rFonts w:cs="Times New Roman"/>
                <w:sz w:val="22"/>
                <w:lang w:val="pl-PL"/>
              </w:rPr>
            </w:pPr>
            <w:r>
              <w:rPr>
                <w:rFonts w:cs="Times New Roman"/>
                <w:sz w:val="22"/>
                <w:lang w:val="cs"/>
              </w:rPr>
              <w:t>Přijetí produktu a ekvivalence procesu pro sterilizaci ethylenoxidem</w:t>
            </w:r>
          </w:p>
        </w:tc>
      </w:tr>
      <w:tr w:rsidR="0094168A" w:rsidRPr="009461CC" w14:paraId="1E1CCCD6" w14:textId="77777777" w:rsidTr="00293453">
        <w:tc>
          <w:tcPr>
            <w:tcW w:w="1129" w:type="pct"/>
          </w:tcPr>
          <w:p w14:paraId="25D300ED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EN ISO 14644-1:2015</w:t>
            </w:r>
          </w:p>
        </w:tc>
        <w:tc>
          <w:tcPr>
            <w:tcW w:w="3871" w:type="pct"/>
          </w:tcPr>
          <w:p w14:paraId="2AD73BC5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Klasifikace čistoty vzduchu, čisté prostory a příslušné řízené prostředí. Část 1: Klasifikace čistoty vzduchu</w:t>
            </w:r>
          </w:p>
        </w:tc>
      </w:tr>
      <w:tr w:rsidR="0094168A" w:rsidRPr="009461CC" w14:paraId="27E7EE41" w14:textId="77777777" w:rsidTr="00293453">
        <w:trPr>
          <w:trHeight w:val="1097"/>
        </w:trPr>
        <w:tc>
          <w:tcPr>
            <w:tcW w:w="1129" w:type="pct"/>
          </w:tcPr>
          <w:p w14:paraId="51EAE02B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EN ISO 14644-2:2015</w:t>
            </w:r>
          </w:p>
        </w:tc>
        <w:tc>
          <w:tcPr>
            <w:tcW w:w="3871" w:type="pct"/>
          </w:tcPr>
          <w:p w14:paraId="02B2FEDC" w14:textId="1C636288" w:rsidR="0094168A" w:rsidRPr="009461CC" w:rsidRDefault="0094168A" w:rsidP="004B64B4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Čisté prostory a příslušné řízené prostředí – Část 2: Monitorování za účelem poskytování důkazů</w:t>
            </w:r>
            <w:r w:rsidR="004B64B4">
              <w:rPr>
                <w:rFonts w:cs="Times New Roman"/>
                <w:sz w:val="22"/>
                <w:lang w:val="cs"/>
              </w:rPr>
              <w:t xml:space="preserve"> o </w:t>
            </w:r>
            <w:r>
              <w:rPr>
                <w:rFonts w:cs="Times New Roman"/>
                <w:sz w:val="22"/>
                <w:lang w:val="cs"/>
              </w:rPr>
              <w:t>čistot</w:t>
            </w:r>
            <w:r w:rsidR="004B64B4">
              <w:rPr>
                <w:rFonts w:cs="Times New Roman"/>
                <w:sz w:val="22"/>
                <w:lang w:val="cs"/>
              </w:rPr>
              <w:t>ě</w:t>
            </w:r>
            <w:r>
              <w:rPr>
                <w:rFonts w:cs="Times New Roman"/>
                <w:sz w:val="22"/>
                <w:lang w:val="cs"/>
              </w:rPr>
              <w:t xml:space="preserve"> prostoru související s čistotou vzduchu podle koncentrace částic</w:t>
            </w:r>
            <w:r w:rsidR="004B64B4">
              <w:rPr>
                <w:rFonts w:cs="Times New Roman"/>
                <w:sz w:val="22"/>
                <w:lang w:val="cs"/>
              </w:rPr>
              <w:t>.</w:t>
            </w:r>
          </w:p>
        </w:tc>
      </w:tr>
      <w:tr w:rsidR="0094168A" w:rsidRPr="009461CC" w14:paraId="0A4BF260" w14:textId="77777777" w:rsidTr="00293453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ED2A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cs"/>
              </w:rPr>
              <w:t>EN ISO 11737-1:2018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1B8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cs"/>
              </w:rPr>
              <w:t>Sterilizace zdravotnických prostředků – Mikrobiologické metody – Část 1: Stanovení populace mikroorganismů na výrobcích</w:t>
            </w:r>
          </w:p>
        </w:tc>
      </w:tr>
      <w:tr w:rsidR="0094168A" w:rsidRPr="004B64B4" w14:paraId="79153AFF" w14:textId="77777777" w:rsidTr="00293453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13E9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cs"/>
              </w:rPr>
              <w:t>EN ISO 10993-7:2022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8C9D" w14:textId="77777777" w:rsidR="0094168A" w:rsidRPr="004B64B4" w:rsidRDefault="0094168A" w:rsidP="00293453">
            <w:pPr>
              <w:spacing w:after="0" w:afterAutospacing="0"/>
              <w:rPr>
                <w:rFonts w:cs="Times New Roman"/>
                <w:sz w:val="22"/>
                <w:lang w:val="pl-PL"/>
              </w:rPr>
            </w:pPr>
            <w:r>
              <w:rPr>
                <w:rFonts w:eastAsia="Times New Roman" w:cs="Times New Roman"/>
                <w:sz w:val="22"/>
                <w:lang w:val="cs"/>
              </w:rPr>
              <w:t>Biologické hodnocení zdravotnických prostředků. Rezidua po sterilizaci ethylenoxidem</w:t>
            </w:r>
          </w:p>
        </w:tc>
      </w:tr>
      <w:tr w:rsidR="0094168A" w:rsidRPr="009461CC" w14:paraId="255576C7" w14:textId="77777777" w:rsidTr="00293453">
        <w:tc>
          <w:tcPr>
            <w:tcW w:w="1129" w:type="pct"/>
          </w:tcPr>
          <w:p w14:paraId="3E85524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NSI/AAMI ST72:2019</w:t>
            </w:r>
          </w:p>
        </w:tc>
        <w:tc>
          <w:tcPr>
            <w:tcW w:w="3871" w:type="pct"/>
          </w:tcPr>
          <w:p w14:paraId="1BB2618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Test bakteriálních endotoxinů</w:t>
            </w:r>
          </w:p>
        </w:tc>
      </w:tr>
      <w:tr w:rsidR="0094168A" w:rsidRPr="009461CC" w14:paraId="404997EC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5ABA833D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cs"/>
              </w:rPr>
              <w:t>Obecné normy – systémy kvality</w:t>
            </w:r>
          </w:p>
        </w:tc>
      </w:tr>
      <w:tr w:rsidR="0094168A" w:rsidRPr="009461CC" w14:paraId="63A55C82" w14:textId="77777777" w:rsidTr="00293453"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0DA0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cs"/>
              </w:rPr>
              <w:t>EN ISO 13485:2016</w:t>
            </w:r>
          </w:p>
        </w:tc>
        <w:tc>
          <w:tcPr>
            <w:tcW w:w="3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AB9D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Times New Roman" w:cs="Times New Roman"/>
                <w:sz w:val="22"/>
                <w:lang w:val="cs"/>
              </w:rPr>
              <w:t>Zdravotnické prostředky. Systémy řízení kvality. Požadavky pro účely regulace</w:t>
            </w:r>
          </w:p>
        </w:tc>
      </w:tr>
      <w:tr w:rsidR="0094168A" w:rsidRPr="009461CC" w14:paraId="387B175B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59DAC316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cs"/>
              </w:rPr>
              <w:t>Řízení rizik</w:t>
            </w:r>
          </w:p>
        </w:tc>
      </w:tr>
      <w:tr w:rsidR="0094168A" w:rsidRPr="009461CC" w14:paraId="75307B89" w14:textId="77777777" w:rsidTr="00293453">
        <w:tc>
          <w:tcPr>
            <w:tcW w:w="1129" w:type="pct"/>
          </w:tcPr>
          <w:p w14:paraId="653BDB44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EN ISO 14971:2019</w:t>
            </w:r>
          </w:p>
        </w:tc>
        <w:tc>
          <w:tcPr>
            <w:tcW w:w="3871" w:type="pct"/>
          </w:tcPr>
          <w:p w14:paraId="4457BE6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Zdravotnické prostředky - Aplikace řízení rizik na zdravotnické prostředky</w:t>
            </w:r>
          </w:p>
        </w:tc>
      </w:tr>
      <w:tr w:rsidR="0094168A" w:rsidRPr="009461CC" w14:paraId="0412F728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60003C37" w14:textId="77777777" w:rsidR="0094168A" w:rsidRPr="009461CC" w:rsidRDefault="0094168A" w:rsidP="00293453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b/>
                <w:bCs/>
                <w:sz w:val="22"/>
                <w:lang w:val="cs"/>
              </w:rPr>
              <w:t>Biologická bezpečnost</w:t>
            </w:r>
          </w:p>
        </w:tc>
      </w:tr>
      <w:tr w:rsidR="0094168A" w:rsidRPr="009461CC" w14:paraId="4EC2D858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5F9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>EN ISO 10993-1:2020 + LC:2021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802E8D" w14:textId="77777777" w:rsidR="0094168A" w:rsidRPr="009461CC" w:rsidRDefault="0094168A" w:rsidP="00293453">
            <w:pPr>
              <w:spacing w:after="14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 xml:space="preserve">Biologické hodnocení zdravotnických prostředků – Část 1: </w:t>
            </w:r>
          </w:p>
          <w:p w14:paraId="1D869305" w14:textId="77777777" w:rsidR="0094168A" w:rsidRPr="009461CC" w:rsidRDefault="0094168A" w:rsidP="00293453">
            <w:pPr>
              <w:tabs>
                <w:tab w:val="left" w:pos="1320"/>
              </w:tabs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 xml:space="preserve">Hodnocení a testování  </w:t>
            </w:r>
          </w:p>
        </w:tc>
      </w:tr>
      <w:tr w:rsidR="0094168A" w:rsidRPr="009461CC" w14:paraId="3496F1CB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844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>EN ISO 10993-3:2014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8F9B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 xml:space="preserve">Biologické hodnocení zdravotnických prostředků – Část 3: Testy genotoxicity, karcinogenity a reprodukční toxicity </w:t>
            </w:r>
          </w:p>
        </w:tc>
      </w:tr>
      <w:tr w:rsidR="0094168A" w:rsidRPr="009461CC" w14:paraId="5B12C58D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D356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>EN ISO 10993-4:2017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54DE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 xml:space="preserve">Biologické hodnocení zdravotnických prostředků – Část 4: Výběr zkoušek na interakci s krví </w:t>
            </w:r>
          </w:p>
        </w:tc>
      </w:tr>
      <w:tr w:rsidR="0094168A" w:rsidRPr="009461CC" w14:paraId="6B4C18F9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AAA1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>EN ISO 10993-5:2009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DEB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 xml:space="preserve">Biologické hodnocení zdravotnických prostředků – Část 5: Zkoušky cytotoxicity in vitro </w:t>
            </w:r>
          </w:p>
        </w:tc>
      </w:tr>
      <w:tr w:rsidR="0094168A" w:rsidRPr="009461CC" w14:paraId="0C8F61CC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0A62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>EN ISO 10993-10:2013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2A3E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 xml:space="preserve">Biologické hodnocení zdravotnických prostředků – Část 10: Zkoušky dráždivosti a senzibilizace kůže </w:t>
            </w:r>
          </w:p>
        </w:tc>
      </w:tr>
      <w:tr w:rsidR="0094168A" w:rsidRPr="009461CC" w14:paraId="0E6AC70D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7758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>EN ISO 10993-11:2018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598F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 xml:space="preserve">Biologické hodnocení zdravotnických prostředků – Část 11: Zkoušky systémové toxicity </w:t>
            </w:r>
          </w:p>
        </w:tc>
      </w:tr>
      <w:tr w:rsidR="0094168A" w:rsidRPr="009461CC" w14:paraId="4DA537CC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FA31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>EN ISO 10993-12:2021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F3AE" w14:textId="77777777" w:rsidR="0094168A" w:rsidRPr="009461CC" w:rsidRDefault="0094168A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 xml:space="preserve">Biologické hodnocení zdravotnických prostředků – Část 12: Příprava vzorků a referenční materiály </w:t>
            </w:r>
          </w:p>
        </w:tc>
      </w:tr>
      <w:tr w:rsidR="00586415" w:rsidRPr="009461CC" w14:paraId="5BDB3E61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4CB5" w14:textId="75B11B14" w:rsidR="00586415" w:rsidRPr="009461CC" w:rsidRDefault="00522664" w:rsidP="00586415">
            <w:pPr>
              <w:spacing w:after="0" w:afterAutospacing="0"/>
              <w:rPr>
                <w:rFonts w:eastAsia="Arial"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>EN ISO 10993-17:2023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5B5F" w14:textId="1691BD78" w:rsidR="00586415" w:rsidRPr="009461CC" w:rsidRDefault="00586415" w:rsidP="00586415">
            <w:pPr>
              <w:spacing w:after="0" w:afterAutospacing="0"/>
              <w:rPr>
                <w:rFonts w:eastAsia="Arial"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>Posouzení toxikologických rizik složek zdravotnických prostředků</w:t>
            </w:r>
          </w:p>
        </w:tc>
      </w:tr>
      <w:tr w:rsidR="00586415" w:rsidRPr="009461CC" w14:paraId="14855AA5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781D3BA0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b/>
                <w:bCs/>
                <w:sz w:val="22"/>
                <w:lang w:val="cs"/>
              </w:rPr>
              <w:t>Klinické hodnocení</w:t>
            </w:r>
          </w:p>
        </w:tc>
      </w:tr>
      <w:tr w:rsidR="00586415" w:rsidRPr="009461CC" w14:paraId="1F26EC64" w14:textId="77777777" w:rsidTr="00293453">
        <w:tc>
          <w:tcPr>
            <w:tcW w:w="1129" w:type="pct"/>
          </w:tcPr>
          <w:p w14:paraId="5AF3269C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>MEDDEV 2.7/1 Rev4</w:t>
            </w:r>
          </w:p>
        </w:tc>
        <w:tc>
          <w:tcPr>
            <w:tcW w:w="3871" w:type="pct"/>
          </w:tcPr>
          <w:p w14:paraId="3D1D1121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Klinické hodnocení: Příručka pro výrobce a oznámené subjekty</w:t>
            </w:r>
          </w:p>
        </w:tc>
      </w:tr>
      <w:tr w:rsidR="00586415" w:rsidRPr="009461CC" w14:paraId="59A5C57A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33478428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b/>
                <w:bCs/>
                <w:sz w:val="22"/>
                <w:lang w:val="cs"/>
              </w:rPr>
              <w:t>Kontrola návrhu</w:t>
            </w:r>
          </w:p>
        </w:tc>
      </w:tr>
      <w:tr w:rsidR="00586415" w:rsidRPr="009461CC" w14:paraId="54F49ECD" w14:textId="77777777" w:rsidTr="00293453">
        <w:tc>
          <w:tcPr>
            <w:tcW w:w="1129" w:type="pct"/>
          </w:tcPr>
          <w:p w14:paraId="4795B615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EN ISO 14971</w:t>
            </w:r>
          </w:p>
        </w:tc>
        <w:tc>
          <w:tcPr>
            <w:tcW w:w="3871" w:type="pct"/>
          </w:tcPr>
          <w:p w14:paraId="55771886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Zdravotnické prostředky - Aplikace řízení rizik na zdravotnické prostředky</w:t>
            </w:r>
          </w:p>
        </w:tc>
      </w:tr>
      <w:tr w:rsidR="00586415" w:rsidRPr="009461CC" w14:paraId="48F71F50" w14:textId="77777777" w:rsidTr="00293453">
        <w:tc>
          <w:tcPr>
            <w:tcW w:w="1129" w:type="pct"/>
          </w:tcPr>
          <w:p w14:paraId="477CFB4F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71" w:type="pct"/>
          </w:tcPr>
          <w:p w14:paraId="20C1E190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</w:p>
        </w:tc>
      </w:tr>
      <w:tr w:rsidR="00586415" w:rsidRPr="009461CC" w14:paraId="0064DEC6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4B791D46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cs"/>
              </w:rPr>
              <w:t>Použitelnost</w:t>
            </w:r>
          </w:p>
        </w:tc>
      </w:tr>
      <w:tr w:rsidR="00586415" w:rsidRPr="009461CC" w14:paraId="29A23DD2" w14:textId="77777777" w:rsidTr="00293453">
        <w:tc>
          <w:tcPr>
            <w:tcW w:w="1129" w:type="pct"/>
          </w:tcPr>
          <w:p w14:paraId="38C30B53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IEC 62366-1:2015 a</w:t>
            </w:r>
          </w:p>
          <w:p w14:paraId="2D964E3D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lastRenderedPageBreak/>
              <w:t>IEC 62366-1:2015/ COR1:2016</w:t>
            </w:r>
          </w:p>
        </w:tc>
        <w:tc>
          <w:tcPr>
            <w:tcW w:w="3871" w:type="pct"/>
          </w:tcPr>
          <w:p w14:paraId="7A444F47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lastRenderedPageBreak/>
              <w:t>Zdravotnické prostředky – Aplikace inženýrství použitelnosti na zdravotnické prostředky</w:t>
            </w:r>
          </w:p>
        </w:tc>
      </w:tr>
      <w:tr w:rsidR="00586415" w:rsidRPr="009461CC" w14:paraId="075E02B3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502A71D6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cs"/>
              </w:rPr>
              <w:t>Obal</w:t>
            </w:r>
          </w:p>
        </w:tc>
      </w:tr>
      <w:tr w:rsidR="00586415" w:rsidRPr="00123F3D" w14:paraId="0144C9E3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4C58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>EN ISO 11607-1:2020</w:t>
            </w: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F921B" w14:textId="77777777" w:rsidR="00586415" w:rsidRPr="00BB4EC1" w:rsidRDefault="00586415" w:rsidP="00586415">
            <w:pPr>
              <w:spacing w:after="0" w:afterAutospacing="0"/>
              <w:rPr>
                <w:rFonts w:cs="Times New Roman"/>
                <w:sz w:val="22"/>
                <w:lang w:val="cs"/>
              </w:rPr>
            </w:pPr>
            <w:r>
              <w:rPr>
                <w:rFonts w:eastAsia="Arial" w:cs="Times New Roman"/>
                <w:sz w:val="22"/>
                <w:lang w:val="cs"/>
              </w:rPr>
              <w:t xml:space="preserve">Obaly terminálně sterilizovaných zdravotnických prostředků. Část 1: Požadavky na materiály, sterilní bariérové systémy a obalové systémy. </w:t>
            </w:r>
          </w:p>
        </w:tc>
      </w:tr>
      <w:tr w:rsidR="00586415" w:rsidRPr="00123F3D" w14:paraId="32D78976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C628" w14:textId="77777777" w:rsidR="00586415" w:rsidRPr="009461CC" w:rsidRDefault="00586415" w:rsidP="00586415">
            <w:pPr>
              <w:spacing w:after="16" w:afterAutospacing="0"/>
              <w:ind w:left="1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>EN ISO 11607-2:2020</w:t>
            </w:r>
          </w:p>
          <w:p w14:paraId="2A1BCB52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BF1E" w14:textId="77777777" w:rsidR="00586415" w:rsidRPr="00BB4EC1" w:rsidRDefault="00586415" w:rsidP="00586415">
            <w:pPr>
              <w:spacing w:after="0" w:afterAutospacing="0"/>
              <w:rPr>
                <w:rFonts w:cs="Times New Roman"/>
                <w:sz w:val="22"/>
                <w:lang w:val="pt-BR"/>
              </w:rPr>
            </w:pPr>
            <w:r>
              <w:rPr>
                <w:rFonts w:eastAsia="Arial" w:cs="Times New Roman"/>
                <w:sz w:val="22"/>
                <w:lang w:val="cs"/>
              </w:rPr>
              <w:t xml:space="preserve">Obaly terminálně sterilizovaných zdravotnických prostředků. Část 2: Validační požadavky na proces tvarování, utěsnění a sestavení </w:t>
            </w:r>
          </w:p>
        </w:tc>
      </w:tr>
      <w:tr w:rsidR="00586415" w:rsidRPr="009461CC" w14:paraId="1D891E68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4A1D" w14:textId="77777777" w:rsidR="00586415" w:rsidRPr="009461CC" w:rsidRDefault="00586415" w:rsidP="00586415">
            <w:pPr>
              <w:spacing w:after="14" w:afterAutospacing="0"/>
              <w:ind w:left="1"/>
              <w:rPr>
                <w:rFonts w:cs="Times New Roman"/>
                <w:bCs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>EN ISO 2233:2001</w:t>
            </w:r>
          </w:p>
          <w:p w14:paraId="3F44F0A2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563C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 xml:space="preserve">Obaly -- Kompletní přepravní balení a manipulační jednotky -- Kondicionování pro zkoušení </w:t>
            </w:r>
          </w:p>
        </w:tc>
      </w:tr>
      <w:tr w:rsidR="00586415" w:rsidRPr="009461CC" w14:paraId="7DFBA781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30C2" w14:textId="2BC7B09B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14">
              <w:r>
                <w:rPr>
                  <w:rFonts w:eastAsia="Arial" w:cs="Times New Roman"/>
                  <w:sz w:val="22"/>
                  <w:lang w:val="cs"/>
                </w:rPr>
                <w:t xml:space="preserve">ASTM D4169 </w:t>
              </w:r>
            </w:hyperlink>
            <w:r>
              <w:rPr>
                <w:rFonts w:eastAsia="Arial" w:cs="Times New Roman"/>
                <w:sz w:val="22"/>
                <w:lang w:val="cs"/>
              </w:rPr>
              <w:t>:2022</w:t>
            </w:r>
            <w:hyperlink r:id="rId15">
              <w:r>
                <w:rPr>
                  <w:rFonts w:eastAsia="Arial" w:cs="Times New Roman"/>
                  <w:sz w:val="22"/>
                  <w:lang w:val="cs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460F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 xml:space="preserve">Standardní postup pro testování funkce přepravních kontejnerů a systémů - </w:t>
            </w:r>
          </w:p>
        </w:tc>
      </w:tr>
      <w:tr w:rsidR="00586415" w:rsidRPr="009461CC" w14:paraId="1A9015DB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FC05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16">
              <w:r>
                <w:rPr>
                  <w:rFonts w:eastAsia="Arial" w:cs="Times New Roman"/>
                  <w:sz w:val="22"/>
                  <w:lang w:val="cs"/>
                </w:rPr>
                <w:t xml:space="preserve">ASTM F2096 </w:t>
              </w:r>
            </w:hyperlink>
            <w:hyperlink r:id="rId17">
              <w:r>
                <w:rPr>
                  <w:rFonts w:eastAsia="Arial" w:cs="Times New Roman"/>
                  <w:sz w:val="22"/>
                  <w:lang w:val="cs"/>
                </w:rPr>
                <w:t xml:space="preserve">– </w:t>
              </w:r>
            </w:hyperlink>
            <w:r>
              <w:rPr>
                <w:rFonts w:eastAsia="Arial" w:cs="Times New Roman"/>
                <w:sz w:val="22"/>
                <w:lang w:val="cs"/>
              </w:rPr>
              <w:t>20</w:t>
            </w:r>
            <w:hyperlink r:id="rId18">
              <w:r>
                <w:rPr>
                  <w:rFonts w:eastAsia="Arial" w:cs="Times New Roman"/>
                  <w:sz w:val="22"/>
                  <w:lang w:val="cs"/>
                </w:rPr>
                <w:t xml:space="preserve">11 (R2019) </w:t>
              </w:r>
            </w:hyperlink>
            <w:hyperlink r:id="rId19">
              <w:r>
                <w:rPr>
                  <w:rFonts w:eastAsia="Arial" w:cs="Times New Roman"/>
                  <w:sz w:val="22"/>
                  <w:lang w:val="cs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24E9" w14:textId="77777777" w:rsidR="00586415" w:rsidRPr="009461CC" w:rsidRDefault="00586415" w:rsidP="00586415">
            <w:pPr>
              <w:spacing w:after="14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 xml:space="preserve">Standardní zkušební metoda pro detekci hrubých netěsností ve </w:t>
            </w:r>
          </w:p>
          <w:p w14:paraId="403EB0FF" w14:textId="77777777" w:rsidR="00586415" w:rsidRPr="009461CC" w:rsidRDefault="00586415" w:rsidP="00586415">
            <w:pPr>
              <w:spacing w:after="16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 xml:space="preserve">Zdravotnických obalech vnitřním tlakem (bublinový test) </w:t>
            </w:r>
          </w:p>
          <w:p w14:paraId="401902E0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 xml:space="preserve">- ASTM F 2096-11 (2019) </w:t>
            </w:r>
          </w:p>
        </w:tc>
      </w:tr>
      <w:tr w:rsidR="00586415" w:rsidRPr="00123F3D" w14:paraId="6A8F5AF4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3B2B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20">
              <w:r>
                <w:rPr>
                  <w:rFonts w:eastAsia="Arial" w:cs="Times New Roman"/>
                  <w:sz w:val="22"/>
                  <w:lang w:val="cs"/>
                </w:rPr>
                <w:t xml:space="preserve">ASTM F1929 </w:t>
              </w:r>
            </w:hyperlink>
            <w:hyperlink r:id="rId21">
              <w:r>
                <w:rPr>
                  <w:rFonts w:eastAsia="Arial" w:cs="Times New Roman"/>
                  <w:sz w:val="22"/>
                  <w:lang w:val="cs"/>
                </w:rPr>
                <w:t xml:space="preserve">- </w:t>
              </w:r>
            </w:hyperlink>
            <w:hyperlink r:id="rId22">
              <w:r>
                <w:rPr>
                  <w:rFonts w:eastAsia="Arial" w:cs="Times New Roman"/>
                  <w:sz w:val="22"/>
                  <w:lang w:val="cs"/>
                </w:rPr>
                <w:t xml:space="preserve">15 </w:t>
              </w:r>
            </w:hyperlink>
            <w:hyperlink r:id="rId23">
              <w:r>
                <w:rPr>
                  <w:rFonts w:eastAsia="Arial" w:cs="Times New Roman"/>
                  <w:sz w:val="22"/>
                  <w:lang w:val="cs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9479" w14:textId="77777777" w:rsidR="00586415" w:rsidRPr="009461CC" w:rsidRDefault="00586415" w:rsidP="00586415">
            <w:pPr>
              <w:spacing w:after="14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 xml:space="preserve">Standardní zkušební metoda pro detekci netěsností těsnění v porézních </w:t>
            </w:r>
          </w:p>
          <w:p w14:paraId="1449B41C" w14:textId="77777777" w:rsidR="00586415" w:rsidRPr="00BB4EC1" w:rsidRDefault="00586415" w:rsidP="00586415">
            <w:pPr>
              <w:spacing w:after="0" w:afterAutospacing="0"/>
              <w:rPr>
                <w:rFonts w:cs="Times New Roman"/>
                <w:sz w:val="22"/>
                <w:lang w:val="pt-BR"/>
              </w:rPr>
            </w:pPr>
            <w:r>
              <w:rPr>
                <w:rFonts w:eastAsia="Arial" w:cs="Times New Roman"/>
                <w:sz w:val="22"/>
                <w:lang w:val="cs"/>
              </w:rPr>
              <w:t xml:space="preserve">Zdravotnických obalech metodou penetrace barviva - ASTM F 1929 </w:t>
            </w:r>
          </w:p>
        </w:tc>
      </w:tr>
      <w:tr w:rsidR="00586415" w:rsidRPr="009461CC" w14:paraId="5231BAAE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391B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24">
              <w:r>
                <w:rPr>
                  <w:rFonts w:eastAsia="Arial" w:cs="Times New Roman"/>
                  <w:sz w:val="22"/>
                  <w:lang w:val="cs"/>
                </w:rPr>
                <w:t xml:space="preserve">ASTM F88 / F88M </w:t>
              </w:r>
            </w:hyperlink>
            <w:hyperlink r:id="rId25">
              <w:r>
                <w:rPr>
                  <w:rFonts w:eastAsia="Arial" w:cs="Times New Roman"/>
                  <w:sz w:val="22"/>
                  <w:lang w:val="cs"/>
                </w:rPr>
                <w:t xml:space="preserve">- </w:t>
              </w:r>
            </w:hyperlink>
            <w:r>
              <w:rPr>
                <w:rFonts w:eastAsia="Arial" w:cs="Times New Roman"/>
                <w:sz w:val="22"/>
                <w:lang w:val="cs"/>
              </w:rPr>
              <w:t>2021</w:t>
            </w:r>
            <w:hyperlink r:id="rId26">
              <w:r>
                <w:rPr>
                  <w:rFonts w:eastAsia="Arial" w:cs="Times New Roman"/>
                  <w:sz w:val="22"/>
                  <w:lang w:val="cs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7AF3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 xml:space="preserve">Standardní zkušební metoda pro sílu spoje flexibilních bariérových materiálů - ASTM F88 </w:t>
            </w:r>
          </w:p>
        </w:tc>
      </w:tr>
      <w:tr w:rsidR="00586415" w:rsidRPr="009461CC" w14:paraId="08E5E708" w14:textId="77777777" w:rsidTr="00293453"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8F88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bCs/>
                <w:sz w:val="22"/>
              </w:rPr>
            </w:pPr>
            <w:hyperlink r:id="rId27">
              <w:r>
                <w:rPr>
                  <w:rFonts w:eastAsia="Arial" w:cs="Times New Roman"/>
                  <w:sz w:val="22"/>
                  <w:lang w:val="cs"/>
                </w:rPr>
                <w:t xml:space="preserve">ASTM F1980 </w:t>
              </w:r>
            </w:hyperlink>
            <w:hyperlink r:id="rId28">
              <w:r>
                <w:rPr>
                  <w:rFonts w:eastAsia="Arial" w:cs="Times New Roman"/>
                  <w:sz w:val="22"/>
                  <w:lang w:val="cs"/>
                </w:rPr>
                <w:t xml:space="preserve">- </w:t>
              </w:r>
            </w:hyperlink>
            <w:r>
              <w:rPr>
                <w:rFonts w:eastAsia="Arial" w:cs="Times New Roman"/>
                <w:sz w:val="22"/>
                <w:lang w:val="cs"/>
              </w:rPr>
              <w:t>2021</w:t>
            </w:r>
            <w:hyperlink r:id="rId29">
              <w:r>
                <w:rPr>
                  <w:rFonts w:eastAsia="Arial" w:cs="Times New Roman"/>
                  <w:sz w:val="22"/>
                  <w:lang w:val="cs"/>
                </w:rPr>
                <w:t xml:space="preserve"> </w:t>
              </w:r>
            </w:hyperlink>
            <w:hyperlink r:id="rId30">
              <w:r>
                <w:rPr>
                  <w:rFonts w:eastAsia="Arial" w:cs="Times New Roman"/>
                  <w:sz w:val="22"/>
                  <w:lang w:val="cs"/>
                </w:rPr>
                <w:t xml:space="preserve"> </w:t>
              </w:r>
            </w:hyperlink>
          </w:p>
        </w:tc>
        <w:tc>
          <w:tcPr>
            <w:tcW w:w="3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64AF1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eastAsia="Arial" w:cs="Times New Roman"/>
                <w:sz w:val="22"/>
                <w:lang w:val="cs"/>
              </w:rPr>
              <w:t xml:space="preserve">Standardní příručka pro urychlené stárnutí sterilních bariérových systémů pro zdravotnické prostředky - ASTM F1980 </w:t>
            </w:r>
          </w:p>
        </w:tc>
      </w:tr>
      <w:tr w:rsidR="00586415" w:rsidRPr="00123F3D" w14:paraId="0F76587E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76DCCB76" w14:textId="77777777" w:rsidR="00586415" w:rsidRPr="00BB4EC1" w:rsidRDefault="00586415" w:rsidP="00586415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  <w:lang w:val="pt-BR"/>
              </w:rPr>
            </w:pPr>
            <w:r>
              <w:rPr>
                <w:rFonts w:cs="Times New Roman"/>
                <w:b/>
                <w:bCs/>
                <w:sz w:val="22"/>
                <w:lang w:val="cs"/>
              </w:rPr>
              <w:t>Klinické sledování po uvedení na trh</w:t>
            </w:r>
          </w:p>
        </w:tc>
      </w:tr>
      <w:tr w:rsidR="00586415" w:rsidRPr="004B64B4" w14:paraId="72BDA171" w14:textId="77777777" w:rsidTr="00293453">
        <w:tc>
          <w:tcPr>
            <w:tcW w:w="1129" w:type="pct"/>
          </w:tcPr>
          <w:p w14:paraId="4A2D9F88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MEDDEV 2.12/2 Rev2</w:t>
            </w:r>
          </w:p>
        </w:tc>
        <w:tc>
          <w:tcPr>
            <w:tcW w:w="3871" w:type="pct"/>
          </w:tcPr>
          <w:p w14:paraId="534E025E" w14:textId="77777777" w:rsidR="00586415" w:rsidRPr="004B64B4" w:rsidRDefault="00586415" w:rsidP="00586415">
            <w:pPr>
              <w:spacing w:after="0" w:afterAutospacing="0"/>
              <w:rPr>
                <w:rFonts w:cs="Times New Roman"/>
                <w:sz w:val="22"/>
                <w:lang w:val="pl-PL"/>
              </w:rPr>
            </w:pPr>
            <w:r>
              <w:rPr>
                <w:rFonts w:cs="Times New Roman"/>
                <w:sz w:val="22"/>
                <w:lang w:val="cs"/>
              </w:rPr>
              <w:t>Studie klinického sledování po uvedení na trh</w:t>
            </w:r>
          </w:p>
        </w:tc>
      </w:tr>
      <w:tr w:rsidR="00586415" w:rsidRPr="009461CC" w14:paraId="1CA6A5FC" w14:textId="77777777" w:rsidTr="00293453">
        <w:tc>
          <w:tcPr>
            <w:tcW w:w="5000" w:type="pct"/>
            <w:gridSpan w:val="2"/>
            <w:shd w:val="clear" w:color="auto" w:fill="E7E6E6" w:themeFill="background2"/>
          </w:tcPr>
          <w:p w14:paraId="6FE76F53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cs"/>
              </w:rPr>
              <w:t>Vigilance</w:t>
            </w:r>
          </w:p>
        </w:tc>
      </w:tr>
      <w:tr w:rsidR="00586415" w:rsidRPr="009461CC" w14:paraId="577ABEC8" w14:textId="77777777" w:rsidTr="00293453">
        <w:tc>
          <w:tcPr>
            <w:tcW w:w="1129" w:type="pct"/>
          </w:tcPr>
          <w:p w14:paraId="403A7E80" w14:textId="77777777" w:rsidR="00586415" w:rsidRPr="009461CC" w:rsidRDefault="00586415" w:rsidP="00586415">
            <w:pPr>
              <w:spacing w:after="0" w:afterAutospacing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MEDDEV 2.12/1 Rev8</w:t>
            </w:r>
          </w:p>
        </w:tc>
        <w:tc>
          <w:tcPr>
            <w:tcW w:w="3871" w:type="pct"/>
          </w:tcPr>
          <w:p w14:paraId="1F13D90E" w14:textId="77777777" w:rsidR="00586415" w:rsidRPr="009461CC" w:rsidRDefault="00586415" w:rsidP="00586415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Pokyny k systému vigilance zdravotnických prostředků</w:t>
            </w:r>
          </w:p>
        </w:tc>
      </w:tr>
    </w:tbl>
    <w:p w14:paraId="06B25AF7" w14:textId="77777777" w:rsidR="00582286" w:rsidRPr="009461CC" w:rsidRDefault="00582286" w:rsidP="000A23CB">
      <w:pPr>
        <w:spacing w:after="0" w:afterAutospacing="0" w:line="240" w:lineRule="auto"/>
        <w:rPr>
          <w:rFonts w:cs="Times New Roman"/>
        </w:rPr>
      </w:pPr>
    </w:p>
    <w:p w14:paraId="6F757B16" w14:textId="77777777" w:rsidR="00601F87" w:rsidRPr="009461CC" w:rsidRDefault="00601F87" w:rsidP="000A23CB">
      <w:pPr>
        <w:spacing w:after="0" w:afterAutospacing="0" w:line="240" w:lineRule="auto"/>
        <w:rPr>
          <w:rFonts w:cs="Times New Roman"/>
        </w:rPr>
      </w:pPr>
    </w:p>
    <w:p w14:paraId="438059D7" w14:textId="77777777" w:rsidR="00601F87" w:rsidRPr="009461CC" w:rsidRDefault="00601F87" w:rsidP="00F67A0E">
      <w:pPr>
        <w:pStyle w:val="Heading1"/>
        <w:numPr>
          <w:ilvl w:val="0"/>
          <w:numId w:val="2"/>
        </w:numPr>
        <w:rPr>
          <w:rFonts w:cs="Times New Roman"/>
        </w:rPr>
      </w:pPr>
      <w:bookmarkStart w:id="80" w:name="_Toc181362715"/>
      <w:bookmarkStart w:id="81" w:name="_Toc222741243"/>
      <w:r>
        <w:rPr>
          <w:rFonts w:cs="Times New Roman"/>
          <w:bCs/>
          <w:lang w:val="cs"/>
        </w:rPr>
        <w:t>Historie revizí</w:t>
      </w:r>
      <w:bookmarkEnd w:id="80"/>
      <w:bookmarkEnd w:id="8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9"/>
        <w:gridCol w:w="1506"/>
        <w:gridCol w:w="4819"/>
        <w:gridCol w:w="2906"/>
      </w:tblGrid>
      <w:tr w:rsidR="00601F87" w:rsidRPr="009461CC" w14:paraId="5B6BFC55" w14:textId="77777777" w:rsidTr="00293453">
        <w:tc>
          <w:tcPr>
            <w:tcW w:w="575" w:type="pct"/>
          </w:tcPr>
          <w:p w14:paraId="2E035377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cs"/>
              </w:rPr>
              <w:t>Revize</w:t>
            </w:r>
          </w:p>
        </w:tc>
        <w:tc>
          <w:tcPr>
            <w:tcW w:w="722" w:type="pct"/>
          </w:tcPr>
          <w:p w14:paraId="50A5C536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cs"/>
              </w:rPr>
              <w:t>Datum vydání</w:t>
            </w:r>
          </w:p>
        </w:tc>
        <w:tc>
          <w:tcPr>
            <w:tcW w:w="2310" w:type="pct"/>
          </w:tcPr>
          <w:p w14:paraId="028B7F50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cs"/>
              </w:rPr>
              <w:t>Popis změny</w:t>
            </w:r>
          </w:p>
        </w:tc>
        <w:tc>
          <w:tcPr>
            <w:tcW w:w="1393" w:type="pct"/>
          </w:tcPr>
          <w:p w14:paraId="3C9FD99C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bCs/>
                <w:sz w:val="22"/>
                <w:lang w:val="cs"/>
              </w:rPr>
              <w:t>Revize ověřená oznámeným subjektem?</w:t>
            </w:r>
          </w:p>
        </w:tc>
      </w:tr>
      <w:tr w:rsidR="00601F87" w:rsidRPr="009461CC" w14:paraId="16EC10C7" w14:textId="77777777" w:rsidTr="00293453">
        <w:tc>
          <w:tcPr>
            <w:tcW w:w="575" w:type="pct"/>
          </w:tcPr>
          <w:p w14:paraId="58BC1E5F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A</w:t>
            </w:r>
          </w:p>
        </w:tc>
        <w:tc>
          <w:tcPr>
            <w:tcW w:w="722" w:type="pct"/>
          </w:tcPr>
          <w:p w14:paraId="6A81A9AF" w14:textId="71A1E241" w:rsidR="00601F87" w:rsidRPr="009461CC" w:rsidRDefault="002069F1" w:rsidP="00293453">
            <w:pPr>
              <w:spacing w:after="0" w:afterAutospacing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22. května 2022</w:t>
            </w:r>
          </w:p>
        </w:tc>
        <w:tc>
          <w:tcPr>
            <w:tcW w:w="2310" w:type="pct"/>
          </w:tcPr>
          <w:p w14:paraId="0B577D70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Původní interní vydání – Neověřeno BSI</w:t>
            </w:r>
          </w:p>
        </w:tc>
        <w:tc>
          <w:tcPr>
            <w:tcW w:w="1393" w:type="pct"/>
          </w:tcPr>
          <w:p w14:paraId="3673E384" w14:textId="77777777" w:rsidR="00601F87" w:rsidRPr="009461CC" w:rsidRDefault="00000000" w:rsidP="00293453">
            <w:pPr>
              <w:spacing w:after="0" w:afterAutospacing="0"/>
              <w:rPr>
                <w:rFonts w:cs="Times New Roman"/>
                <w:sz w:val="22"/>
              </w:rPr>
            </w:pPr>
            <w:sdt>
              <w:sdtPr>
                <w:rPr>
                  <w:rFonts w:ascii="Segoe UI Symbol" w:eastAsia="MS Gothic" w:hAnsi="Segoe UI Symbol" w:cs="Times New Roman"/>
                  <w:sz w:val="22"/>
                </w:rPr>
                <w:id w:val="-2162127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36BCC">
                  <w:rPr>
                    <w:rFonts w:ascii="Segoe UI Symbol" w:eastAsia="MS Gothic" w:hAnsi="Segoe UI Symbol" w:cs="Segoe UI Symbol"/>
                    <w:sz w:val="22"/>
                    <w:lang w:val="cs"/>
                  </w:rPr>
                  <w:t>☒</w:t>
                </w:r>
              </w:sdtContent>
            </w:sdt>
            <w:r w:rsidR="00736BCC">
              <w:rPr>
                <w:rFonts w:eastAsia="MS Gothic"/>
                <w:sz w:val="22"/>
                <w:lang w:val="cs"/>
              </w:rPr>
              <w:t xml:space="preserve"> Pouze pro interní použití</w:t>
            </w:r>
          </w:p>
        </w:tc>
      </w:tr>
      <w:tr w:rsidR="00601F87" w:rsidRPr="009461CC" w14:paraId="253ED939" w14:textId="77777777" w:rsidTr="00293453">
        <w:tc>
          <w:tcPr>
            <w:tcW w:w="575" w:type="pct"/>
          </w:tcPr>
          <w:p w14:paraId="794C6341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 xml:space="preserve">B </w:t>
            </w:r>
          </w:p>
        </w:tc>
        <w:tc>
          <w:tcPr>
            <w:tcW w:w="722" w:type="pct"/>
          </w:tcPr>
          <w:p w14:paraId="4E93CA05" w14:textId="47A5412E" w:rsidR="00601F87" w:rsidRPr="009461CC" w:rsidRDefault="00624761" w:rsidP="00293453">
            <w:pPr>
              <w:spacing w:after="0" w:afterAutospacing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 xml:space="preserve">15. prosince 2025 </w:t>
            </w:r>
          </w:p>
          <w:p w14:paraId="76ECF0BB" w14:textId="21F4F941" w:rsidR="00601F87" w:rsidRPr="009461CC" w:rsidRDefault="00601F87" w:rsidP="00293453">
            <w:pPr>
              <w:spacing w:after="0" w:afterAutospacing="0"/>
              <w:rPr>
                <w:rFonts w:cs="Times New Roman"/>
                <w:iCs/>
                <w:sz w:val="22"/>
              </w:rPr>
            </w:pPr>
          </w:p>
        </w:tc>
        <w:tc>
          <w:tcPr>
            <w:tcW w:w="2310" w:type="pct"/>
          </w:tcPr>
          <w:p w14:paraId="7ADC2C3E" w14:textId="77777777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První podání BSI, k posouzení</w:t>
            </w:r>
          </w:p>
          <w:p w14:paraId="17842BBC" w14:textId="53FA9776" w:rsidR="00601F87" w:rsidRPr="009461CC" w:rsidRDefault="00601F87" w:rsidP="0029345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 xml:space="preserve"> </w:t>
            </w:r>
          </w:p>
        </w:tc>
        <w:tc>
          <w:tcPr>
            <w:tcW w:w="1393" w:type="pct"/>
          </w:tcPr>
          <w:p w14:paraId="0FC9FC92" w14:textId="465431A0" w:rsidR="006D6EA3" w:rsidRPr="009461CC" w:rsidRDefault="00000000" w:rsidP="006D6EA3">
            <w:pPr>
              <w:spacing w:after="0" w:afterAutospacing="0"/>
              <w:rPr>
                <w:rFonts w:cs="Times New Roman"/>
                <w:sz w:val="22"/>
              </w:rPr>
            </w:pPr>
            <w:sdt>
              <w:sdtPr>
                <w:rPr>
                  <w:rFonts w:ascii="Segoe UI Symbol" w:eastAsia="MS Gothic" w:hAnsi="Segoe UI Symbol" w:cs="Times New Roman"/>
                  <w:sz w:val="22"/>
                </w:rPr>
                <w:id w:val="1250311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36BCC">
                  <w:rPr>
                    <w:rFonts w:ascii="Segoe UI Symbol" w:eastAsia="MS Gothic" w:hAnsi="Segoe UI Symbol" w:cs="Segoe UI Symbol"/>
                    <w:sz w:val="22"/>
                    <w:lang w:val="cs"/>
                  </w:rPr>
                  <w:t>☒</w:t>
                </w:r>
              </w:sdtContent>
            </w:sdt>
            <w:r w:rsidR="00736BCC">
              <w:rPr>
                <w:rFonts w:eastAsia="MS Gothic"/>
                <w:sz w:val="22"/>
                <w:lang w:val="cs"/>
              </w:rPr>
              <w:t xml:space="preserve">Ano </w:t>
            </w:r>
          </w:p>
          <w:p w14:paraId="52EB2E13" w14:textId="77777777" w:rsidR="006D6EA3" w:rsidRPr="009461CC" w:rsidRDefault="006D6EA3" w:rsidP="006D6EA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 xml:space="preserve">Jazyk ověření: </w:t>
            </w:r>
          </w:p>
          <w:p w14:paraId="293F45BE" w14:textId="789551FE" w:rsidR="00CA46B0" w:rsidRPr="009461CC" w:rsidRDefault="006D6EA3" w:rsidP="006D6EA3">
            <w:pPr>
              <w:spacing w:after="0" w:afterAutospacing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lang w:val="cs"/>
              </w:rPr>
              <w:t>Česky</w:t>
            </w:r>
          </w:p>
          <w:p w14:paraId="2C6B2388" w14:textId="7223A996" w:rsidR="00601F87" w:rsidRPr="009461CC" w:rsidRDefault="006D6EA3" w:rsidP="006D6EA3">
            <w:pPr>
              <w:spacing w:after="0" w:afterAutospacing="0"/>
              <w:rPr>
                <w:rFonts w:cs="Times New Roman"/>
                <w:sz w:val="22"/>
                <w:highlight w:val="yellow"/>
              </w:rPr>
            </w:pPr>
            <w:r>
              <w:rPr>
                <w:rFonts w:ascii="Segoe UI Symbol" w:hAnsi="Segoe UI Symbol"/>
                <w:sz w:val="22"/>
                <w:lang w:val="cs"/>
              </w:rPr>
              <w:t>☐</w:t>
            </w:r>
            <w:r>
              <w:rPr>
                <w:sz w:val="22"/>
                <w:lang w:val="cs"/>
              </w:rPr>
              <w:t xml:space="preserve"> Ne (platí pouze pro prostředky třídy IIa nebo některé IIb, pro které dosud nebyl ověřen SSCP oznámeným subjektem</w:t>
            </w:r>
            <w:r w:rsidR="00E14E40">
              <w:rPr>
                <w:sz w:val="22"/>
                <w:lang w:val="cs"/>
              </w:rPr>
              <w:t xml:space="preserve"> (NB)</w:t>
            </w:r>
            <w:r>
              <w:rPr>
                <w:sz w:val="22"/>
                <w:lang w:val="cs"/>
              </w:rPr>
              <w:t>)</w:t>
            </w:r>
          </w:p>
        </w:tc>
      </w:tr>
    </w:tbl>
    <w:p w14:paraId="05B94FC3" w14:textId="73ABFCCD" w:rsidR="00601F87" w:rsidRPr="009461CC" w:rsidRDefault="00601F87" w:rsidP="00601F87">
      <w:pPr>
        <w:tabs>
          <w:tab w:val="left" w:pos="3633"/>
        </w:tabs>
        <w:rPr>
          <w:rFonts w:cs="Times New Roman"/>
        </w:rPr>
      </w:pPr>
    </w:p>
    <w:sectPr w:rsidR="00601F87" w:rsidRPr="009461CC" w:rsidSect="008018FA">
      <w:headerReference w:type="default" r:id="rId31"/>
      <w:footerReference w:type="default" r:id="rId32"/>
      <w:pgSz w:w="12240" w:h="15840"/>
      <w:pgMar w:top="1800" w:right="720" w:bottom="144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6BEC" w14:textId="77777777" w:rsidR="00E85B6E" w:rsidRDefault="00E85B6E" w:rsidP="009855C3">
      <w:r>
        <w:separator/>
      </w:r>
    </w:p>
  </w:endnote>
  <w:endnote w:type="continuationSeparator" w:id="0">
    <w:p w14:paraId="7064C39F" w14:textId="77777777" w:rsidR="00E85B6E" w:rsidRDefault="00E85B6E" w:rsidP="0098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G Times 12p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9D42" w14:textId="6BB303DF" w:rsidR="00BE3D15" w:rsidRPr="00F44E82" w:rsidRDefault="003036AD" w:rsidP="009855C3">
    <w:pPr>
      <w:pStyle w:val="Footer"/>
      <w:rPr>
        <w:szCs w:val="24"/>
      </w:rPr>
    </w:pPr>
    <w:r>
      <w:rPr>
        <w:b/>
        <w:bCs/>
        <w:sz w:val="18"/>
        <w:szCs w:val="18"/>
        <w:lang w:val="cs"/>
      </w:rPr>
      <w:t>CAQ-QA-025-F1 Rev G: Souhrn údajů o bezpečnosti a klinické funkci (SSCP)</w:t>
    </w:r>
    <w:r>
      <w:rPr>
        <w:lang w:val="cs"/>
      </w:rPr>
      <w:t xml:space="preserve"> </w:t>
    </w:r>
    <w:r>
      <w:rPr>
        <w:lang w:val="cs"/>
      </w:rPr>
      <w:tab/>
      <w:t xml:space="preserve">Strana </w:t>
    </w:r>
    <w:r>
      <w:rPr>
        <w:lang w:val="cs"/>
      </w:rPr>
      <w:fldChar w:fldCharType="begin"/>
    </w:r>
    <w:r>
      <w:rPr>
        <w:lang w:val="cs"/>
      </w:rPr>
      <w:instrText xml:space="preserve"> PAGE  \* Arabic </w:instrText>
    </w:r>
    <w:r>
      <w:rPr>
        <w:lang w:val="cs"/>
      </w:rPr>
      <w:fldChar w:fldCharType="separate"/>
    </w:r>
    <w:r>
      <w:rPr>
        <w:lang w:val="cs"/>
      </w:rPr>
      <w:t>0</w:t>
    </w:r>
    <w:r>
      <w:rPr>
        <w:lang w:val="cs"/>
      </w:rPr>
      <w:fldChar w:fldCharType="end"/>
    </w:r>
    <w:r>
      <w:rPr>
        <w:lang w:val="cs"/>
      </w:rPr>
      <w:t xml:space="preserve"> z </w:t>
    </w:r>
    <w:r>
      <w:fldChar w:fldCharType="begin"/>
    </w:r>
    <w:r>
      <w:instrText xml:space="preserve"> NUMPAGES  </w:instrText>
    </w:r>
    <w:r>
      <w:fldChar w:fldCharType="separate"/>
    </w:r>
    <w:r>
      <w:rPr>
        <w:lang w:val="cs"/>
      </w:rPr>
      <w:t>12</w:t>
    </w:r>
    <w:r>
      <w:rPr>
        <w:lang w:val="cs"/>
      </w:rPr>
      <w:fldChar w:fldCharType="end"/>
    </w:r>
    <w:r>
      <w:rPr>
        <w:lang w:val="cs"/>
      </w:rPr>
      <w:t xml:space="preserve">  </w:t>
    </w:r>
    <w:r>
      <w:rPr>
        <w:lang w:val="cs"/>
      </w:rPr>
      <w:tab/>
    </w:r>
    <w:r>
      <w:rPr>
        <w:lang w:val="c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48A2" w14:textId="77777777" w:rsidR="00E85B6E" w:rsidRDefault="00E85B6E" w:rsidP="009855C3">
      <w:r>
        <w:separator/>
      </w:r>
    </w:p>
  </w:footnote>
  <w:footnote w:type="continuationSeparator" w:id="0">
    <w:p w14:paraId="7EBFAD9B" w14:textId="77777777" w:rsidR="00E85B6E" w:rsidRDefault="00E85B6E" w:rsidP="0098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0"/>
      <w:gridCol w:w="7350"/>
    </w:tblGrid>
    <w:tr w:rsidR="00B62140" w:rsidRPr="00123F3D" w14:paraId="7E46E4C7" w14:textId="77777777" w:rsidTr="00B62140">
      <w:tc>
        <w:tcPr>
          <w:tcW w:w="3080" w:type="dxa"/>
        </w:tcPr>
        <w:p w14:paraId="184F2588" w14:textId="6EABB2E0" w:rsidR="00B62140" w:rsidRDefault="00B62140" w:rsidP="00B62140">
          <w:pPr>
            <w:pStyle w:val="Header"/>
            <w:jc w:val="left"/>
          </w:pPr>
          <w:r>
            <w:rPr>
              <w:noProof/>
              <w:lang w:val="cs"/>
            </w:rPr>
            <w:drawing>
              <wp:inline distT="0" distB="0" distL="0" distR="0" wp14:anchorId="4BFA3582" wp14:editId="165F9D90">
                <wp:extent cx="1016000" cy="635000"/>
                <wp:effectExtent l="0" t="0" r="0" b="0"/>
                <wp:docPr id="14" name="Picture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6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0" w:type="dxa"/>
        </w:tcPr>
        <w:p w14:paraId="6E8300D8" w14:textId="7A70FCBF" w:rsidR="005450DC" w:rsidRPr="004B64B4" w:rsidRDefault="005450DC" w:rsidP="005450DC">
          <w:pPr>
            <w:spacing w:after="0" w:afterAutospacing="0"/>
            <w:rPr>
              <w:rFonts w:ascii="Arial" w:hAnsi="Arial" w:cs="Arial"/>
              <w:b/>
              <w:bCs/>
              <w:sz w:val="28"/>
              <w:szCs w:val="28"/>
              <w:lang w:val="pl-PL"/>
            </w:rPr>
          </w:pPr>
          <w:r>
            <w:rPr>
              <w:rFonts w:ascii="Arial" w:hAnsi="Arial" w:cs="Arial"/>
              <w:b/>
              <w:bCs/>
              <w:sz w:val="28"/>
              <w:szCs w:val="28"/>
              <w:lang w:val="cs"/>
            </w:rPr>
            <w:t>Souhrn údajů o bezpečnosti a klinické funkci (SSCP)</w:t>
          </w:r>
        </w:p>
        <w:p w14:paraId="3BB3B2B1" w14:textId="0B7A306D" w:rsidR="009F5769" w:rsidRPr="004B64B4" w:rsidRDefault="009F5769" w:rsidP="009F5769">
          <w:pPr>
            <w:spacing w:after="0" w:afterAutospacing="0"/>
            <w:rPr>
              <w:rFonts w:ascii="Arial" w:hAnsi="Arial" w:cs="Arial"/>
              <w:sz w:val="18"/>
              <w:szCs w:val="18"/>
              <w:lang w:val="pl-PL"/>
            </w:rPr>
          </w:pPr>
          <w:r>
            <w:rPr>
              <w:rFonts w:ascii="Arial" w:hAnsi="Arial" w:cs="Arial"/>
              <w:b/>
              <w:bCs/>
              <w:sz w:val="18"/>
              <w:szCs w:val="18"/>
              <w:lang w:val="cs"/>
            </w:rPr>
            <w:t xml:space="preserve">SSCP-0006: </w:t>
          </w:r>
          <w:bookmarkStart w:id="82" w:name="_Hlk196721157"/>
          <w:r>
            <w:rPr>
              <w:rFonts w:ascii="Arial" w:hAnsi="Arial" w:cs="Arial"/>
              <w:sz w:val="18"/>
              <w:szCs w:val="18"/>
              <w:lang w:val="cs"/>
            </w:rPr>
            <w:t>Souprava cévního smyčkového katétru Atrieve</w:t>
          </w:r>
          <w:bookmarkEnd w:id="82"/>
        </w:p>
        <w:p w14:paraId="32066318" w14:textId="2D141AAA" w:rsidR="005450DC" w:rsidRPr="004B64B4" w:rsidRDefault="001375A1" w:rsidP="005450DC">
          <w:pPr>
            <w:spacing w:after="0" w:afterAutospacing="0"/>
            <w:rPr>
              <w:rFonts w:ascii="Arial" w:hAnsi="Arial" w:cs="Arial"/>
              <w:sz w:val="18"/>
              <w:szCs w:val="18"/>
              <w:lang w:val="pl-PL"/>
            </w:rPr>
          </w:pPr>
          <w:r w:rsidRPr="001375A1">
            <w:rPr>
              <w:rFonts w:ascii="Arial" w:hAnsi="Arial" w:cs="Arial"/>
              <w:sz w:val="18"/>
              <w:szCs w:val="18"/>
              <w:lang w:val="cs-CZ"/>
            </w:rPr>
            <w:t>Revize: </w:t>
          </w:r>
          <w:r w:rsidR="005450DC">
            <w:rPr>
              <w:rFonts w:ascii="Arial" w:hAnsi="Arial" w:cs="Arial"/>
              <w:sz w:val="18"/>
              <w:szCs w:val="18"/>
              <w:lang w:val="cs"/>
            </w:rPr>
            <w:t>B</w:t>
          </w:r>
        </w:p>
        <w:p w14:paraId="2F5F8390" w14:textId="0ABFBBD1" w:rsidR="005450DC" w:rsidRPr="004B64B4" w:rsidRDefault="005450DC" w:rsidP="005450DC">
          <w:pPr>
            <w:pStyle w:val="Header"/>
            <w:jc w:val="left"/>
            <w:rPr>
              <w:rFonts w:ascii="Arial" w:hAnsi="Arial" w:cs="Arial"/>
              <w:sz w:val="18"/>
              <w:lang w:val="pl-PL"/>
            </w:rPr>
          </w:pPr>
          <w:r>
            <w:rPr>
              <w:rFonts w:ascii="Calibri" w:eastAsiaTheme="minorHAnsi" w:hAnsi="Calibri" w:cs="Calibri"/>
              <w:sz w:val="18"/>
              <w:szCs w:val="18"/>
              <w:lang w:val="cs"/>
            </w:rPr>
            <w:t>Lokality společnosti Argon: Všechny závody</w:t>
          </w:r>
        </w:p>
      </w:tc>
    </w:tr>
  </w:tbl>
  <w:p w14:paraId="0BD58B4F" w14:textId="7DA38D57" w:rsidR="00B62140" w:rsidRPr="004B64B4" w:rsidRDefault="00B62140" w:rsidP="00B62140">
    <w:pPr>
      <w:pStyle w:val="Header"/>
      <w:jc w:val="lef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686"/>
    <w:multiLevelType w:val="hybridMultilevel"/>
    <w:tmpl w:val="DA0C7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77569"/>
    <w:multiLevelType w:val="hybridMultilevel"/>
    <w:tmpl w:val="15B4E1B2"/>
    <w:lvl w:ilvl="0" w:tplc="35E4F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3642F"/>
    <w:multiLevelType w:val="multilevel"/>
    <w:tmpl w:val="475A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ED7021"/>
    <w:multiLevelType w:val="multilevel"/>
    <w:tmpl w:val="244E48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37B14"/>
    <w:multiLevelType w:val="hybridMultilevel"/>
    <w:tmpl w:val="DD1A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72A27"/>
    <w:multiLevelType w:val="hybridMultilevel"/>
    <w:tmpl w:val="CA6E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54A05"/>
    <w:multiLevelType w:val="hybridMultilevel"/>
    <w:tmpl w:val="FEAE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C16D5"/>
    <w:multiLevelType w:val="multilevel"/>
    <w:tmpl w:val="3DB2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544DA"/>
    <w:multiLevelType w:val="hybridMultilevel"/>
    <w:tmpl w:val="4126C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5329F"/>
    <w:multiLevelType w:val="multilevel"/>
    <w:tmpl w:val="244E48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895574"/>
    <w:multiLevelType w:val="hybridMultilevel"/>
    <w:tmpl w:val="1DF48DB6"/>
    <w:lvl w:ilvl="0" w:tplc="35E4F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15951"/>
    <w:multiLevelType w:val="multilevel"/>
    <w:tmpl w:val="51F6CE6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6F32A0"/>
    <w:multiLevelType w:val="hybridMultilevel"/>
    <w:tmpl w:val="DD72E76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ADC3F5B"/>
    <w:multiLevelType w:val="multilevel"/>
    <w:tmpl w:val="244E48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EC1CC7"/>
    <w:multiLevelType w:val="multilevel"/>
    <w:tmpl w:val="19D2CB6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pStyle w:val="Heading1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F33BF6"/>
    <w:multiLevelType w:val="hybridMultilevel"/>
    <w:tmpl w:val="5A40E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4B7D64"/>
    <w:multiLevelType w:val="multilevel"/>
    <w:tmpl w:val="7B2C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7A37D2"/>
    <w:multiLevelType w:val="multilevel"/>
    <w:tmpl w:val="51F6CE6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CF27DD"/>
    <w:multiLevelType w:val="multilevel"/>
    <w:tmpl w:val="1CA0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0F5615"/>
    <w:multiLevelType w:val="hybridMultilevel"/>
    <w:tmpl w:val="39B8B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8342CC"/>
    <w:multiLevelType w:val="hybridMultilevel"/>
    <w:tmpl w:val="D3948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2B39D6"/>
    <w:multiLevelType w:val="hybridMultilevel"/>
    <w:tmpl w:val="726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43C02"/>
    <w:multiLevelType w:val="multilevel"/>
    <w:tmpl w:val="75F0F646"/>
    <w:lvl w:ilvl="0">
      <w:start w:val="1"/>
      <w:numFmt w:val="decimal"/>
      <w:pStyle w:val="Heading5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pStyle w:val="Heading2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62866B7F"/>
    <w:multiLevelType w:val="hybridMultilevel"/>
    <w:tmpl w:val="0D6C6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C0CD0"/>
    <w:multiLevelType w:val="hybridMultilevel"/>
    <w:tmpl w:val="57DCF6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AE87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C224B"/>
    <w:multiLevelType w:val="multilevel"/>
    <w:tmpl w:val="8E1C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AC4F74"/>
    <w:multiLevelType w:val="hybridMultilevel"/>
    <w:tmpl w:val="C85A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66B5D"/>
    <w:multiLevelType w:val="multilevel"/>
    <w:tmpl w:val="1C2A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F14B8E"/>
    <w:multiLevelType w:val="multilevel"/>
    <w:tmpl w:val="244E483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DF0477"/>
    <w:multiLevelType w:val="hybridMultilevel"/>
    <w:tmpl w:val="E6F8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87167"/>
    <w:multiLevelType w:val="hybridMultilevel"/>
    <w:tmpl w:val="980EE75C"/>
    <w:lvl w:ilvl="0" w:tplc="35E4F3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86F75"/>
    <w:multiLevelType w:val="multilevel"/>
    <w:tmpl w:val="30BC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176312">
    <w:abstractNumId w:val="22"/>
  </w:num>
  <w:num w:numId="2" w16cid:durableId="1360936298">
    <w:abstractNumId w:val="14"/>
  </w:num>
  <w:num w:numId="3" w16cid:durableId="300112310">
    <w:abstractNumId w:val="19"/>
  </w:num>
  <w:num w:numId="4" w16cid:durableId="1853834821">
    <w:abstractNumId w:val="6"/>
  </w:num>
  <w:num w:numId="5" w16cid:durableId="1034691173">
    <w:abstractNumId w:val="12"/>
  </w:num>
  <w:num w:numId="6" w16cid:durableId="1593513253">
    <w:abstractNumId w:val="21"/>
  </w:num>
  <w:num w:numId="7" w16cid:durableId="346831415">
    <w:abstractNumId w:val="23"/>
  </w:num>
  <w:num w:numId="8" w16cid:durableId="1853715173">
    <w:abstractNumId w:val="0"/>
  </w:num>
  <w:num w:numId="9" w16cid:durableId="1855343271">
    <w:abstractNumId w:val="15"/>
  </w:num>
  <w:num w:numId="10" w16cid:durableId="916865255">
    <w:abstractNumId w:val="24"/>
  </w:num>
  <w:num w:numId="11" w16cid:durableId="364184473">
    <w:abstractNumId w:val="25"/>
  </w:num>
  <w:num w:numId="12" w16cid:durableId="2108647119">
    <w:abstractNumId w:val="16"/>
  </w:num>
  <w:num w:numId="13" w16cid:durableId="1982877844">
    <w:abstractNumId w:val="3"/>
  </w:num>
  <w:num w:numId="14" w16cid:durableId="1684937638">
    <w:abstractNumId w:val="9"/>
  </w:num>
  <w:num w:numId="15" w16cid:durableId="586424511">
    <w:abstractNumId w:val="17"/>
  </w:num>
  <w:num w:numId="16" w16cid:durableId="1213268901">
    <w:abstractNumId w:val="28"/>
  </w:num>
  <w:num w:numId="17" w16cid:durableId="171838373">
    <w:abstractNumId w:val="13"/>
  </w:num>
  <w:num w:numId="18" w16cid:durableId="799612473">
    <w:abstractNumId w:val="11"/>
  </w:num>
  <w:num w:numId="19" w16cid:durableId="475414826">
    <w:abstractNumId w:val="31"/>
  </w:num>
  <w:num w:numId="20" w16cid:durableId="320740550">
    <w:abstractNumId w:val="27"/>
  </w:num>
  <w:num w:numId="21" w16cid:durableId="166943843">
    <w:abstractNumId w:val="4"/>
  </w:num>
  <w:num w:numId="22" w16cid:durableId="1888569262">
    <w:abstractNumId w:val="8"/>
  </w:num>
  <w:num w:numId="23" w16cid:durableId="1644770191">
    <w:abstractNumId w:val="20"/>
  </w:num>
  <w:num w:numId="24" w16cid:durableId="1439636620">
    <w:abstractNumId w:val="26"/>
  </w:num>
  <w:num w:numId="25" w16cid:durableId="882600577">
    <w:abstractNumId w:val="5"/>
  </w:num>
  <w:num w:numId="26" w16cid:durableId="1718622400">
    <w:abstractNumId w:val="10"/>
  </w:num>
  <w:num w:numId="27" w16cid:durableId="1475558162">
    <w:abstractNumId w:val="30"/>
  </w:num>
  <w:num w:numId="28" w16cid:durableId="1475566087">
    <w:abstractNumId w:val="1"/>
  </w:num>
  <w:num w:numId="29" w16cid:durableId="1286497301">
    <w:abstractNumId w:val="7"/>
  </w:num>
  <w:num w:numId="30" w16cid:durableId="3093058">
    <w:abstractNumId w:val="18"/>
  </w:num>
  <w:num w:numId="31" w16cid:durableId="972251898">
    <w:abstractNumId w:val="29"/>
  </w:num>
  <w:num w:numId="32" w16cid:durableId="705914316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AA"/>
    <w:rsid w:val="00006459"/>
    <w:rsid w:val="00011045"/>
    <w:rsid w:val="00012E12"/>
    <w:rsid w:val="000167B6"/>
    <w:rsid w:val="00017BF4"/>
    <w:rsid w:val="00021D6F"/>
    <w:rsid w:val="00021E83"/>
    <w:rsid w:val="0002755B"/>
    <w:rsid w:val="00034879"/>
    <w:rsid w:val="000379B4"/>
    <w:rsid w:val="00042B91"/>
    <w:rsid w:val="00047250"/>
    <w:rsid w:val="00050F24"/>
    <w:rsid w:val="0005411A"/>
    <w:rsid w:val="00057D5B"/>
    <w:rsid w:val="000628F7"/>
    <w:rsid w:val="00063367"/>
    <w:rsid w:val="00076AE4"/>
    <w:rsid w:val="00076F70"/>
    <w:rsid w:val="000774DD"/>
    <w:rsid w:val="000857E5"/>
    <w:rsid w:val="000920E7"/>
    <w:rsid w:val="000975C6"/>
    <w:rsid w:val="000A1236"/>
    <w:rsid w:val="000A23CB"/>
    <w:rsid w:val="000A25FA"/>
    <w:rsid w:val="000A5EBD"/>
    <w:rsid w:val="000A6E93"/>
    <w:rsid w:val="000B3E80"/>
    <w:rsid w:val="000B6CF0"/>
    <w:rsid w:val="000C41AC"/>
    <w:rsid w:val="000C5F93"/>
    <w:rsid w:val="000C633A"/>
    <w:rsid w:val="000C7AF6"/>
    <w:rsid w:val="000D2F57"/>
    <w:rsid w:val="000D5406"/>
    <w:rsid w:val="000D7B59"/>
    <w:rsid w:val="000E39A6"/>
    <w:rsid w:val="000F0AC2"/>
    <w:rsid w:val="000F0DCC"/>
    <w:rsid w:val="000F4DF1"/>
    <w:rsid w:val="001035F0"/>
    <w:rsid w:val="00103AF7"/>
    <w:rsid w:val="00113A33"/>
    <w:rsid w:val="001209D7"/>
    <w:rsid w:val="00120DD8"/>
    <w:rsid w:val="00122999"/>
    <w:rsid w:val="00123F3D"/>
    <w:rsid w:val="00125511"/>
    <w:rsid w:val="00125D9F"/>
    <w:rsid w:val="001375A1"/>
    <w:rsid w:val="00142B70"/>
    <w:rsid w:val="00142D15"/>
    <w:rsid w:val="001440E1"/>
    <w:rsid w:val="001475A8"/>
    <w:rsid w:val="00151F01"/>
    <w:rsid w:val="001533A4"/>
    <w:rsid w:val="00154AAA"/>
    <w:rsid w:val="00155220"/>
    <w:rsid w:val="0015690A"/>
    <w:rsid w:val="00156CF3"/>
    <w:rsid w:val="00162917"/>
    <w:rsid w:val="00162923"/>
    <w:rsid w:val="00165A00"/>
    <w:rsid w:val="001861C6"/>
    <w:rsid w:val="00187CF5"/>
    <w:rsid w:val="001919D6"/>
    <w:rsid w:val="00191ED2"/>
    <w:rsid w:val="001A0F58"/>
    <w:rsid w:val="001A3916"/>
    <w:rsid w:val="001A7EA5"/>
    <w:rsid w:val="001B4005"/>
    <w:rsid w:val="001B6D13"/>
    <w:rsid w:val="001C43C6"/>
    <w:rsid w:val="001D1887"/>
    <w:rsid w:val="001E5AFF"/>
    <w:rsid w:val="001E6921"/>
    <w:rsid w:val="001E7A0E"/>
    <w:rsid w:val="001F4798"/>
    <w:rsid w:val="001F48BA"/>
    <w:rsid w:val="001F4AA8"/>
    <w:rsid w:val="001F5B3B"/>
    <w:rsid w:val="00201156"/>
    <w:rsid w:val="002069F1"/>
    <w:rsid w:val="00207A7C"/>
    <w:rsid w:val="00210ACA"/>
    <w:rsid w:val="00210E41"/>
    <w:rsid w:val="00214E2F"/>
    <w:rsid w:val="0021589A"/>
    <w:rsid w:val="0022033C"/>
    <w:rsid w:val="00221CEF"/>
    <w:rsid w:val="00226C45"/>
    <w:rsid w:val="002277B9"/>
    <w:rsid w:val="00230011"/>
    <w:rsid w:val="002351E5"/>
    <w:rsid w:val="00235AAE"/>
    <w:rsid w:val="00237870"/>
    <w:rsid w:val="00242075"/>
    <w:rsid w:val="00243417"/>
    <w:rsid w:val="002538C9"/>
    <w:rsid w:val="00257EE2"/>
    <w:rsid w:val="00265787"/>
    <w:rsid w:val="002669BD"/>
    <w:rsid w:val="00272B97"/>
    <w:rsid w:val="00272DEA"/>
    <w:rsid w:val="00273413"/>
    <w:rsid w:val="0027423B"/>
    <w:rsid w:val="00275A67"/>
    <w:rsid w:val="00277426"/>
    <w:rsid w:val="00280A53"/>
    <w:rsid w:val="00290AFE"/>
    <w:rsid w:val="002914F4"/>
    <w:rsid w:val="00291A3E"/>
    <w:rsid w:val="00297A62"/>
    <w:rsid w:val="002A1AF1"/>
    <w:rsid w:val="002A24E8"/>
    <w:rsid w:val="002A75DC"/>
    <w:rsid w:val="002B2F38"/>
    <w:rsid w:val="002C2733"/>
    <w:rsid w:val="002D4833"/>
    <w:rsid w:val="002D4C43"/>
    <w:rsid w:val="002D6103"/>
    <w:rsid w:val="002D6725"/>
    <w:rsid w:val="002E59B4"/>
    <w:rsid w:val="002F199B"/>
    <w:rsid w:val="002F2571"/>
    <w:rsid w:val="002F344E"/>
    <w:rsid w:val="002F37BF"/>
    <w:rsid w:val="002F39DB"/>
    <w:rsid w:val="00300E25"/>
    <w:rsid w:val="00300FC0"/>
    <w:rsid w:val="003036AD"/>
    <w:rsid w:val="003074B3"/>
    <w:rsid w:val="00314ACD"/>
    <w:rsid w:val="0032368A"/>
    <w:rsid w:val="003326A4"/>
    <w:rsid w:val="00335020"/>
    <w:rsid w:val="00335181"/>
    <w:rsid w:val="0033663C"/>
    <w:rsid w:val="0034308B"/>
    <w:rsid w:val="003513E0"/>
    <w:rsid w:val="00354365"/>
    <w:rsid w:val="00356D42"/>
    <w:rsid w:val="003663A1"/>
    <w:rsid w:val="0037316E"/>
    <w:rsid w:val="00375370"/>
    <w:rsid w:val="0037599D"/>
    <w:rsid w:val="00375CFE"/>
    <w:rsid w:val="00376A92"/>
    <w:rsid w:val="00380316"/>
    <w:rsid w:val="00383678"/>
    <w:rsid w:val="00384B21"/>
    <w:rsid w:val="003859AF"/>
    <w:rsid w:val="003859DA"/>
    <w:rsid w:val="00386F47"/>
    <w:rsid w:val="003912E5"/>
    <w:rsid w:val="00394151"/>
    <w:rsid w:val="003951DC"/>
    <w:rsid w:val="00395788"/>
    <w:rsid w:val="00395FDB"/>
    <w:rsid w:val="003966BD"/>
    <w:rsid w:val="00397AE0"/>
    <w:rsid w:val="003A26B9"/>
    <w:rsid w:val="003A3A2E"/>
    <w:rsid w:val="003A3DB1"/>
    <w:rsid w:val="003B4C77"/>
    <w:rsid w:val="003B5B28"/>
    <w:rsid w:val="003B70D7"/>
    <w:rsid w:val="003D4104"/>
    <w:rsid w:val="003D63DA"/>
    <w:rsid w:val="003E5476"/>
    <w:rsid w:val="003F2EB4"/>
    <w:rsid w:val="003F3F3C"/>
    <w:rsid w:val="003F5F86"/>
    <w:rsid w:val="004065D7"/>
    <w:rsid w:val="004235A7"/>
    <w:rsid w:val="004263BF"/>
    <w:rsid w:val="0043056A"/>
    <w:rsid w:val="004329F3"/>
    <w:rsid w:val="00433305"/>
    <w:rsid w:val="00441215"/>
    <w:rsid w:val="0044138A"/>
    <w:rsid w:val="00442087"/>
    <w:rsid w:val="004430BE"/>
    <w:rsid w:val="00446152"/>
    <w:rsid w:val="004466ED"/>
    <w:rsid w:val="00453251"/>
    <w:rsid w:val="00453B44"/>
    <w:rsid w:val="00454296"/>
    <w:rsid w:val="004553D9"/>
    <w:rsid w:val="00465F4B"/>
    <w:rsid w:val="00466071"/>
    <w:rsid w:val="00466981"/>
    <w:rsid w:val="004673EB"/>
    <w:rsid w:val="004714F7"/>
    <w:rsid w:val="00472F06"/>
    <w:rsid w:val="00474E2A"/>
    <w:rsid w:val="00475E00"/>
    <w:rsid w:val="0047648B"/>
    <w:rsid w:val="00476A48"/>
    <w:rsid w:val="00481A9E"/>
    <w:rsid w:val="0048338B"/>
    <w:rsid w:val="00483CA4"/>
    <w:rsid w:val="004846A6"/>
    <w:rsid w:val="00490703"/>
    <w:rsid w:val="0049079D"/>
    <w:rsid w:val="00490B97"/>
    <w:rsid w:val="0049275B"/>
    <w:rsid w:val="00493B5B"/>
    <w:rsid w:val="00495F6C"/>
    <w:rsid w:val="004A0035"/>
    <w:rsid w:val="004A2596"/>
    <w:rsid w:val="004A4063"/>
    <w:rsid w:val="004A4D87"/>
    <w:rsid w:val="004B30A3"/>
    <w:rsid w:val="004B4929"/>
    <w:rsid w:val="004B64B4"/>
    <w:rsid w:val="004C0D7F"/>
    <w:rsid w:val="004C12F0"/>
    <w:rsid w:val="004C73EF"/>
    <w:rsid w:val="004D77A4"/>
    <w:rsid w:val="004D7A94"/>
    <w:rsid w:val="004E24F8"/>
    <w:rsid w:val="004E28F8"/>
    <w:rsid w:val="004E397F"/>
    <w:rsid w:val="004E3C57"/>
    <w:rsid w:val="004E6C1C"/>
    <w:rsid w:val="004F01A5"/>
    <w:rsid w:val="004F26D9"/>
    <w:rsid w:val="004F2CB7"/>
    <w:rsid w:val="004F3CA9"/>
    <w:rsid w:val="004F5057"/>
    <w:rsid w:val="004F7F77"/>
    <w:rsid w:val="005010E4"/>
    <w:rsid w:val="005063EA"/>
    <w:rsid w:val="005072B8"/>
    <w:rsid w:val="005104CC"/>
    <w:rsid w:val="0051131D"/>
    <w:rsid w:val="00511B41"/>
    <w:rsid w:val="0051305A"/>
    <w:rsid w:val="00516D79"/>
    <w:rsid w:val="00521973"/>
    <w:rsid w:val="00522664"/>
    <w:rsid w:val="00524D41"/>
    <w:rsid w:val="00525377"/>
    <w:rsid w:val="005257E7"/>
    <w:rsid w:val="0052695A"/>
    <w:rsid w:val="00533C0A"/>
    <w:rsid w:val="00536EDE"/>
    <w:rsid w:val="00540616"/>
    <w:rsid w:val="005439FC"/>
    <w:rsid w:val="005450DC"/>
    <w:rsid w:val="00547018"/>
    <w:rsid w:val="00547353"/>
    <w:rsid w:val="00550F97"/>
    <w:rsid w:val="0055697A"/>
    <w:rsid w:val="00560A40"/>
    <w:rsid w:val="00563107"/>
    <w:rsid w:val="005647F4"/>
    <w:rsid w:val="00567FF4"/>
    <w:rsid w:val="00570454"/>
    <w:rsid w:val="00575EE3"/>
    <w:rsid w:val="00577A16"/>
    <w:rsid w:val="00580274"/>
    <w:rsid w:val="0058041F"/>
    <w:rsid w:val="005808F2"/>
    <w:rsid w:val="00582286"/>
    <w:rsid w:val="005842F3"/>
    <w:rsid w:val="00586415"/>
    <w:rsid w:val="00595963"/>
    <w:rsid w:val="0059687B"/>
    <w:rsid w:val="005A1E4B"/>
    <w:rsid w:val="005A23F3"/>
    <w:rsid w:val="005A310B"/>
    <w:rsid w:val="005A3D4F"/>
    <w:rsid w:val="005A48D7"/>
    <w:rsid w:val="005A5584"/>
    <w:rsid w:val="005A6AE9"/>
    <w:rsid w:val="005B3E76"/>
    <w:rsid w:val="005B4422"/>
    <w:rsid w:val="005C642C"/>
    <w:rsid w:val="005C6A90"/>
    <w:rsid w:val="005D00E4"/>
    <w:rsid w:val="005D04DF"/>
    <w:rsid w:val="005D3210"/>
    <w:rsid w:val="005D41AF"/>
    <w:rsid w:val="005D424F"/>
    <w:rsid w:val="005D4A52"/>
    <w:rsid w:val="005D7627"/>
    <w:rsid w:val="005D7D43"/>
    <w:rsid w:val="005E76F6"/>
    <w:rsid w:val="005F1F10"/>
    <w:rsid w:val="00601F73"/>
    <w:rsid w:val="00601F87"/>
    <w:rsid w:val="00602115"/>
    <w:rsid w:val="006027B7"/>
    <w:rsid w:val="00607046"/>
    <w:rsid w:val="00612216"/>
    <w:rsid w:val="00612BE6"/>
    <w:rsid w:val="00614E9F"/>
    <w:rsid w:val="00616ADF"/>
    <w:rsid w:val="00620D8F"/>
    <w:rsid w:val="00622C5B"/>
    <w:rsid w:val="00623CC6"/>
    <w:rsid w:val="00624761"/>
    <w:rsid w:val="006266F5"/>
    <w:rsid w:val="0063016D"/>
    <w:rsid w:val="00634E28"/>
    <w:rsid w:val="00647A09"/>
    <w:rsid w:val="0065086A"/>
    <w:rsid w:val="006517A0"/>
    <w:rsid w:val="006524A2"/>
    <w:rsid w:val="00674185"/>
    <w:rsid w:val="00683D4A"/>
    <w:rsid w:val="00686D39"/>
    <w:rsid w:val="00692CDD"/>
    <w:rsid w:val="0069398D"/>
    <w:rsid w:val="006962F2"/>
    <w:rsid w:val="00696541"/>
    <w:rsid w:val="006A4B34"/>
    <w:rsid w:val="006A5C21"/>
    <w:rsid w:val="006B14EA"/>
    <w:rsid w:val="006B2504"/>
    <w:rsid w:val="006B3C71"/>
    <w:rsid w:val="006C1385"/>
    <w:rsid w:val="006C2B68"/>
    <w:rsid w:val="006C66D0"/>
    <w:rsid w:val="006D00F2"/>
    <w:rsid w:val="006D0CBE"/>
    <w:rsid w:val="006D29A6"/>
    <w:rsid w:val="006D6361"/>
    <w:rsid w:val="006D6EA3"/>
    <w:rsid w:val="006D7D1C"/>
    <w:rsid w:val="006E0847"/>
    <w:rsid w:val="006E4BCB"/>
    <w:rsid w:val="006E55CB"/>
    <w:rsid w:val="006F0810"/>
    <w:rsid w:val="006F0D7E"/>
    <w:rsid w:val="006F12B6"/>
    <w:rsid w:val="006F1D9B"/>
    <w:rsid w:val="006F2D64"/>
    <w:rsid w:val="006F76E2"/>
    <w:rsid w:val="006F7FE6"/>
    <w:rsid w:val="007002E4"/>
    <w:rsid w:val="00701715"/>
    <w:rsid w:val="00706757"/>
    <w:rsid w:val="007076C9"/>
    <w:rsid w:val="00710948"/>
    <w:rsid w:val="00710EE4"/>
    <w:rsid w:val="00713233"/>
    <w:rsid w:val="0071436C"/>
    <w:rsid w:val="00716E6B"/>
    <w:rsid w:val="00717248"/>
    <w:rsid w:val="00720869"/>
    <w:rsid w:val="00723AC2"/>
    <w:rsid w:val="00725BB8"/>
    <w:rsid w:val="007263BF"/>
    <w:rsid w:val="0073263C"/>
    <w:rsid w:val="007349B0"/>
    <w:rsid w:val="007354A2"/>
    <w:rsid w:val="00736211"/>
    <w:rsid w:val="0073680D"/>
    <w:rsid w:val="00736BCC"/>
    <w:rsid w:val="00737E50"/>
    <w:rsid w:val="00740900"/>
    <w:rsid w:val="0074262E"/>
    <w:rsid w:val="00744702"/>
    <w:rsid w:val="0075662C"/>
    <w:rsid w:val="00757131"/>
    <w:rsid w:val="00760400"/>
    <w:rsid w:val="00761873"/>
    <w:rsid w:val="007618AC"/>
    <w:rsid w:val="00762212"/>
    <w:rsid w:val="00763272"/>
    <w:rsid w:val="007646E7"/>
    <w:rsid w:val="00765B21"/>
    <w:rsid w:val="00770C94"/>
    <w:rsid w:val="00771CF6"/>
    <w:rsid w:val="0077387D"/>
    <w:rsid w:val="00773B3B"/>
    <w:rsid w:val="00775E6F"/>
    <w:rsid w:val="00780A59"/>
    <w:rsid w:val="007811AA"/>
    <w:rsid w:val="007867EE"/>
    <w:rsid w:val="00790BF0"/>
    <w:rsid w:val="00790C23"/>
    <w:rsid w:val="007A1221"/>
    <w:rsid w:val="007A2AD5"/>
    <w:rsid w:val="007A47F1"/>
    <w:rsid w:val="007A5226"/>
    <w:rsid w:val="007B0F04"/>
    <w:rsid w:val="007B2D5F"/>
    <w:rsid w:val="007B72EE"/>
    <w:rsid w:val="007C7E15"/>
    <w:rsid w:val="007D5088"/>
    <w:rsid w:val="007D708F"/>
    <w:rsid w:val="007F42BD"/>
    <w:rsid w:val="008002AB"/>
    <w:rsid w:val="008018FA"/>
    <w:rsid w:val="0080432B"/>
    <w:rsid w:val="00804949"/>
    <w:rsid w:val="00805DD8"/>
    <w:rsid w:val="008103FA"/>
    <w:rsid w:val="008170F8"/>
    <w:rsid w:val="0083288A"/>
    <w:rsid w:val="00832C94"/>
    <w:rsid w:val="00832EBC"/>
    <w:rsid w:val="008373C6"/>
    <w:rsid w:val="0084795E"/>
    <w:rsid w:val="00864E1E"/>
    <w:rsid w:val="00873051"/>
    <w:rsid w:val="008735FE"/>
    <w:rsid w:val="0087371C"/>
    <w:rsid w:val="008745ED"/>
    <w:rsid w:val="00874EDF"/>
    <w:rsid w:val="00882C64"/>
    <w:rsid w:val="0088793A"/>
    <w:rsid w:val="00887E5D"/>
    <w:rsid w:val="00894B7F"/>
    <w:rsid w:val="008A15B7"/>
    <w:rsid w:val="008A210D"/>
    <w:rsid w:val="008B0C3D"/>
    <w:rsid w:val="008B13A5"/>
    <w:rsid w:val="008B1BA9"/>
    <w:rsid w:val="008B3CB9"/>
    <w:rsid w:val="008B667F"/>
    <w:rsid w:val="008C2DA2"/>
    <w:rsid w:val="008C5C2C"/>
    <w:rsid w:val="008C7623"/>
    <w:rsid w:val="008C78ED"/>
    <w:rsid w:val="008D7F1C"/>
    <w:rsid w:val="008E0695"/>
    <w:rsid w:val="008F6E85"/>
    <w:rsid w:val="00900933"/>
    <w:rsid w:val="0090367B"/>
    <w:rsid w:val="00905F56"/>
    <w:rsid w:val="00914027"/>
    <w:rsid w:val="009140CD"/>
    <w:rsid w:val="009214EC"/>
    <w:rsid w:val="009224DD"/>
    <w:rsid w:val="00922F95"/>
    <w:rsid w:val="00923982"/>
    <w:rsid w:val="00923DA5"/>
    <w:rsid w:val="00924CA5"/>
    <w:rsid w:val="00930F2F"/>
    <w:rsid w:val="009337D8"/>
    <w:rsid w:val="00934A5D"/>
    <w:rsid w:val="00941292"/>
    <w:rsid w:val="0094168A"/>
    <w:rsid w:val="00941D63"/>
    <w:rsid w:val="00942C1E"/>
    <w:rsid w:val="0094476E"/>
    <w:rsid w:val="009456AE"/>
    <w:rsid w:val="009461CC"/>
    <w:rsid w:val="00953A7F"/>
    <w:rsid w:val="009645C9"/>
    <w:rsid w:val="00966ED8"/>
    <w:rsid w:val="009709B4"/>
    <w:rsid w:val="00970F10"/>
    <w:rsid w:val="00971960"/>
    <w:rsid w:val="00972802"/>
    <w:rsid w:val="00976460"/>
    <w:rsid w:val="00976960"/>
    <w:rsid w:val="00981AFC"/>
    <w:rsid w:val="00981CA4"/>
    <w:rsid w:val="00982459"/>
    <w:rsid w:val="00982823"/>
    <w:rsid w:val="00982903"/>
    <w:rsid w:val="009855C3"/>
    <w:rsid w:val="00987307"/>
    <w:rsid w:val="00994DB9"/>
    <w:rsid w:val="009964D2"/>
    <w:rsid w:val="009977D7"/>
    <w:rsid w:val="009A1AED"/>
    <w:rsid w:val="009A1FF8"/>
    <w:rsid w:val="009A5F24"/>
    <w:rsid w:val="009B4453"/>
    <w:rsid w:val="009B569A"/>
    <w:rsid w:val="009B7C1D"/>
    <w:rsid w:val="009C4FD5"/>
    <w:rsid w:val="009D19D6"/>
    <w:rsid w:val="009D3291"/>
    <w:rsid w:val="009D54C6"/>
    <w:rsid w:val="009D6FE2"/>
    <w:rsid w:val="009D7E33"/>
    <w:rsid w:val="009E10C6"/>
    <w:rsid w:val="009E1EBB"/>
    <w:rsid w:val="009E4BE1"/>
    <w:rsid w:val="009F1498"/>
    <w:rsid w:val="009F1998"/>
    <w:rsid w:val="009F1BD0"/>
    <w:rsid w:val="009F282F"/>
    <w:rsid w:val="009F2A57"/>
    <w:rsid w:val="009F319A"/>
    <w:rsid w:val="009F4223"/>
    <w:rsid w:val="009F51B0"/>
    <w:rsid w:val="009F5769"/>
    <w:rsid w:val="009F78EE"/>
    <w:rsid w:val="00A00853"/>
    <w:rsid w:val="00A0129F"/>
    <w:rsid w:val="00A02A54"/>
    <w:rsid w:val="00A030DC"/>
    <w:rsid w:val="00A03A91"/>
    <w:rsid w:val="00A05360"/>
    <w:rsid w:val="00A06EA0"/>
    <w:rsid w:val="00A12C5D"/>
    <w:rsid w:val="00A2055A"/>
    <w:rsid w:val="00A24C7B"/>
    <w:rsid w:val="00A25FCE"/>
    <w:rsid w:val="00A30F54"/>
    <w:rsid w:val="00A36237"/>
    <w:rsid w:val="00A3639B"/>
    <w:rsid w:val="00A44D21"/>
    <w:rsid w:val="00A4616A"/>
    <w:rsid w:val="00A5239F"/>
    <w:rsid w:val="00A538EF"/>
    <w:rsid w:val="00A56D87"/>
    <w:rsid w:val="00A570BF"/>
    <w:rsid w:val="00A57182"/>
    <w:rsid w:val="00A603C9"/>
    <w:rsid w:val="00A62721"/>
    <w:rsid w:val="00A62AA4"/>
    <w:rsid w:val="00A80721"/>
    <w:rsid w:val="00A8284F"/>
    <w:rsid w:val="00A8483B"/>
    <w:rsid w:val="00A8663C"/>
    <w:rsid w:val="00A86CBA"/>
    <w:rsid w:val="00A90A1C"/>
    <w:rsid w:val="00A95910"/>
    <w:rsid w:val="00AA2E04"/>
    <w:rsid w:val="00AA3502"/>
    <w:rsid w:val="00AA3694"/>
    <w:rsid w:val="00AA7F1D"/>
    <w:rsid w:val="00AB04FB"/>
    <w:rsid w:val="00AC1EE8"/>
    <w:rsid w:val="00AC53BA"/>
    <w:rsid w:val="00AC7864"/>
    <w:rsid w:val="00AD0542"/>
    <w:rsid w:val="00AD355F"/>
    <w:rsid w:val="00AD3C62"/>
    <w:rsid w:val="00AD4A16"/>
    <w:rsid w:val="00AE212B"/>
    <w:rsid w:val="00AE2B73"/>
    <w:rsid w:val="00AE5A46"/>
    <w:rsid w:val="00AF2584"/>
    <w:rsid w:val="00B0012D"/>
    <w:rsid w:val="00B01620"/>
    <w:rsid w:val="00B0256A"/>
    <w:rsid w:val="00B04139"/>
    <w:rsid w:val="00B06F88"/>
    <w:rsid w:val="00B07777"/>
    <w:rsid w:val="00B1087D"/>
    <w:rsid w:val="00B11A66"/>
    <w:rsid w:val="00B15E55"/>
    <w:rsid w:val="00B16AB3"/>
    <w:rsid w:val="00B17CC3"/>
    <w:rsid w:val="00B26297"/>
    <w:rsid w:val="00B343C2"/>
    <w:rsid w:val="00B37A72"/>
    <w:rsid w:val="00B407B6"/>
    <w:rsid w:val="00B459A4"/>
    <w:rsid w:val="00B62140"/>
    <w:rsid w:val="00B66253"/>
    <w:rsid w:val="00B67432"/>
    <w:rsid w:val="00B7112F"/>
    <w:rsid w:val="00B714A8"/>
    <w:rsid w:val="00B7247B"/>
    <w:rsid w:val="00B73BEA"/>
    <w:rsid w:val="00B763A0"/>
    <w:rsid w:val="00B82FB3"/>
    <w:rsid w:val="00B83A1B"/>
    <w:rsid w:val="00B8570A"/>
    <w:rsid w:val="00B8696D"/>
    <w:rsid w:val="00B9692A"/>
    <w:rsid w:val="00BA7D3E"/>
    <w:rsid w:val="00BB10A1"/>
    <w:rsid w:val="00BB36B1"/>
    <w:rsid w:val="00BB4EC1"/>
    <w:rsid w:val="00BB79B1"/>
    <w:rsid w:val="00BC0CE0"/>
    <w:rsid w:val="00BC3DD7"/>
    <w:rsid w:val="00BD1913"/>
    <w:rsid w:val="00BD5D4F"/>
    <w:rsid w:val="00BD7F46"/>
    <w:rsid w:val="00BE0727"/>
    <w:rsid w:val="00BE09C5"/>
    <w:rsid w:val="00BE3D15"/>
    <w:rsid w:val="00BE7E3B"/>
    <w:rsid w:val="00BF53FD"/>
    <w:rsid w:val="00BF7DE6"/>
    <w:rsid w:val="00C00243"/>
    <w:rsid w:val="00C01A53"/>
    <w:rsid w:val="00C0200E"/>
    <w:rsid w:val="00C02BC0"/>
    <w:rsid w:val="00C134BC"/>
    <w:rsid w:val="00C13612"/>
    <w:rsid w:val="00C1549E"/>
    <w:rsid w:val="00C16423"/>
    <w:rsid w:val="00C16D85"/>
    <w:rsid w:val="00C3050A"/>
    <w:rsid w:val="00C361CA"/>
    <w:rsid w:val="00C3745E"/>
    <w:rsid w:val="00C37511"/>
    <w:rsid w:val="00C46C3A"/>
    <w:rsid w:val="00C47B0F"/>
    <w:rsid w:val="00C543E4"/>
    <w:rsid w:val="00C56109"/>
    <w:rsid w:val="00C6261A"/>
    <w:rsid w:val="00C64987"/>
    <w:rsid w:val="00C64AB4"/>
    <w:rsid w:val="00C673A6"/>
    <w:rsid w:val="00C706D6"/>
    <w:rsid w:val="00C70884"/>
    <w:rsid w:val="00C76698"/>
    <w:rsid w:val="00C824D9"/>
    <w:rsid w:val="00C82528"/>
    <w:rsid w:val="00C83032"/>
    <w:rsid w:val="00C91927"/>
    <w:rsid w:val="00C94CB5"/>
    <w:rsid w:val="00C97841"/>
    <w:rsid w:val="00CA2472"/>
    <w:rsid w:val="00CA46B0"/>
    <w:rsid w:val="00CA7832"/>
    <w:rsid w:val="00CB0F1E"/>
    <w:rsid w:val="00CB7CB0"/>
    <w:rsid w:val="00CC0372"/>
    <w:rsid w:val="00CD129C"/>
    <w:rsid w:val="00CD6594"/>
    <w:rsid w:val="00CD6EF2"/>
    <w:rsid w:val="00CD76E0"/>
    <w:rsid w:val="00CE3EA4"/>
    <w:rsid w:val="00CE6144"/>
    <w:rsid w:val="00CE7154"/>
    <w:rsid w:val="00CF0AF4"/>
    <w:rsid w:val="00CF6BEB"/>
    <w:rsid w:val="00CF7C5F"/>
    <w:rsid w:val="00D0560B"/>
    <w:rsid w:val="00D0737A"/>
    <w:rsid w:val="00D104AC"/>
    <w:rsid w:val="00D114D5"/>
    <w:rsid w:val="00D14601"/>
    <w:rsid w:val="00D15BBE"/>
    <w:rsid w:val="00D16500"/>
    <w:rsid w:val="00D20FA4"/>
    <w:rsid w:val="00D23267"/>
    <w:rsid w:val="00D23846"/>
    <w:rsid w:val="00D24167"/>
    <w:rsid w:val="00D26121"/>
    <w:rsid w:val="00D26B0D"/>
    <w:rsid w:val="00D2743B"/>
    <w:rsid w:val="00D35E63"/>
    <w:rsid w:val="00D42481"/>
    <w:rsid w:val="00D4289F"/>
    <w:rsid w:val="00D47200"/>
    <w:rsid w:val="00D479C6"/>
    <w:rsid w:val="00D52DF8"/>
    <w:rsid w:val="00D558E5"/>
    <w:rsid w:val="00D56C82"/>
    <w:rsid w:val="00D600D7"/>
    <w:rsid w:val="00D62E8E"/>
    <w:rsid w:val="00D63EAA"/>
    <w:rsid w:val="00D649AC"/>
    <w:rsid w:val="00D64EA5"/>
    <w:rsid w:val="00D75384"/>
    <w:rsid w:val="00D75D87"/>
    <w:rsid w:val="00D760D8"/>
    <w:rsid w:val="00D82C89"/>
    <w:rsid w:val="00D91CDB"/>
    <w:rsid w:val="00D94089"/>
    <w:rsid w:val="00D96F6A"/>
    <w:rsid w:val="00D979CC"/>
    <w:rsid w:val="00DA4404"/>
    <w:rsid w:val="00DA5FD1"/>
    <w:rsid w:val="00DA6381"/>
    <w:rsid w:val="00DB020C"/>
    <w:rsid w:val="00DB582A"/>
    <w:rsid w:val="00DB74A8"/>
    <w:rsid w:val="00DD13F4"/>
    <w:rsid w:val="00DD54B4"/>
    <w:rsid w:val="00DE0007"/>
    <w:rsid w:val="00DE2118"/>
    <w:rsid w:val="00DE3CC0"/>
    <w:rsid w:val="00DE6313"/>
    <w:rsid w:val="00DE6327"/>
    <w:rsid w:val="00DE7FD7"/>
    <w:rsid w:val="00DF0617"/>
    <w:rsid w:val="00DF62DC"/>
    <w:rsid w:val="00E03D31"/>
    <w:rsid w:val="00E11D92"/>
    <w:rsid w:val="00E1442F"/>
    <w:rsid w:val="00E14C97"/>
    <w:rsid w:val="00E14E40"/>
    <w:rsid w:val="00E213E0"/>
    <w:rsid w:val="00E23984"/>
    <w:rsid w:val="00E269CF"/>
    <w:rsid w:val="00E3060B"/>
    <w:rsid w:val="00E3332E"/>
    <w:rsid w:val="00E352B4"/>
    <w:rsid w:val="00E407A5"/>
    <w:rsid w:val="00E409AE"/>
    <w:rsid w:val="00E41C44"/>
    <w:rsid w:val="00E46137"/>
    <w:rsid w:val="00E529DC"/>
    <w:rsid w:val="00E535E2"/>
    <w:rsid w:val="00E541DE"/>
    <w:rsid w:val="00E7114E"/>
    <w:rsid w:val="00E714ED"/>
    <w:rsid w:val="00E7440B"/>
    <w:rsid w:val="00E818B5"/>
    <w:rsid w:val="00E85B6E"/>
    <w:rsid w:val="00E87974"/>
    <w:rsid w:val="00E91403"/>
    <w:rsid w:val="00E950A1"/>
    <w:rsid w:val="00E9587C"/>
    <w:rsid w:val="00EA0589"/>
    <w:rsid w:val="00EA2539"/>
    <w:rsid w:val="00EA2A12"/>
    <w:rsid w:val="00EA34B1"/>
    <w:rsid w:val="00EA386A"/>
    <w:rsid w:val="00EA3F04"/>
    <w:rsid w:val="00EA6597"/>
    <w:rsid w:val="00EB3CE1"/>
    <w:rsid w:val="00EB4EEE"/>
    <w:rsid w:val="00EB5323"/>
    <w:rsid w:val="00EB55F4"/>
    <w:rsid w:val="00EC009B"/>
    <w:rsid w:val="00EC0A5C"/>
    <w:rsid w:val="00EC0F3C"/>
    <w:rsid w:val="00ED2006"/>
    <w:rsid w:val="00ED2C52"/>
    <w:rsid w:val="00ED57DD"/>
    <w:rsid w:val="00ED6077"/>
    <w:rsid w:val="00ED60E5"/>
    <w:rsid w:val="00EE18FA"/>
    <w:rsid w:val="00EE3541"/>
    <w:rsid w:val="00EF2775"/>
    <w:rsid w:val="00F0588E"/>
    <w:rsid w:val="00F07DD1"/>
    <w:rsid w:val="00F12464"/>
    <w:rsid w:val="00F12AB9"/>
    <w:rsid w:val="00F1562A"/>
    <w:rsid w:val="00F1569C"/>
    <w:rsid w:val="00F20DD6"/>
    <w:rsid w:val="00F24AE3"/>
    <w:rsid w:val="00F32C32"/>
    <w:rsid w:val="00F332F1"/>
    <w:rsid w:val="00F343C3"/>
    <w:rsid w:val="00F347FB"/>
    <w:rsid w:val="00F36B7E"/>
    <w:rsid w:val="00F3731D"/>
    <w:rsid w:val="00F37F87"/>
    <w:rsid w:val="00F44E82"/>
    <w:rsid w:val="00F501B1"/>
    <w:rsid w:val="00F56303"/>
    <w:rsid w:val="00F604C9"/>
    <w:rsid w:val="00F63689"/>
    <w:rsid w:val="00F66077"/>
    <w:rsid w:val="00F66E1F"/>
    <w:rsid w:val="00F67A0E"/>
    <w:rsid w:val="00F67D06"/>
    <w:rsid w:val="00F7558C"/>
    <w:rsid w:val="00F761EC"/>
    <w:rsid w:val="00F86E3F"/>
    <w:rsid w:val="00F9112F"/>
    <w:rsid w:val="00FA1D26"/>
    <w:rsid w:val="00FB05F7"/>
    <w:rsid w:val="00FB0A38"/>
    <w:rsid w:val="00FB14AD"/>
    <w:rsid w:val="00FB1FDD"/>
    <w:rsid w:val="00FB59FD"/>
    <w:rsid w:val="00FC52C8"/>
    <w:rsid w:val="00FC5667"/>
    <w:rsid w:val="00FC6DBB"/>
    <w:rsid w:val="00FD0ECB"/>
    <w:rsid w:val="00FE191E"/>
    <w:rsid w:val="00FE3112"/>
    <w:rsid w:val="00FE4230"/>
    <w:rsid w:val="00FE5B73"/>
    <w:rsid w:val="00FE6595"/>
    <w:rsid w:val="00F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914C6"/>
  <w15:chartTrackingRefBased/>
  <w15:docId w15:val="{EC7DA20C-9F38-4A81-966B-D50D5F52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5C3"/>
    <w:pPr>
      <w:spacing w:after="100" w:afterAutospacing="1"/>
    </w:pPr>
    <w:rPr>
      <w:rFonts w:ascii="Times New Roman" w:hAnsi="Times New Roman"/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B91"/>
    <w:pPr>
      <w:numPr>
        <w:ilvl w:val="1"/>
        <w:numId w:val="2"/>
      </w:numPr>
      <w:spacing w:after="0" w:afterAutospacing="0" w:line="240" w:lineRule="auto"/>
      <w:ind w:left="792"/>
      <w:outlineLvl w:val="0"/>
    </w:pPr>
    <w:rPr>
      <w:b/>
      <w:color w:val="000000" w:themeColor="text1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855C3"/>
    <w:pPr>
      <w:numPr>
        <w:numId w:val="1"/>
      </w:num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8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0810"/>
    <w:pPr>
      <w:keepNext/>
      <w:keepLines/>
      <w:numPr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05411A"/>
    <w:pPr>
      <w:keepNext/>
      <w:spacing w:after="120" w:line="240" w:lineRule="auto"/>
      <w:jc w:val="center"/>
      <w:outlineLvl w:val="6"/>
    </w:pPr>
    <w:rPr>
      <w:rFonts w:eastAsia="Times New Roman" w:cs="Times New Roman"/>
      <w:b/>
      <w:sz w:val="36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Bullet List Paragraph,Bullet 1,Bullet,Title 1,List Paragraph1,Trust List Numbering"/>
    <w:basedOn w:val="Normal"/>
    <w:link w:val="ListParagraphChar"/>
    <w:uiPriority w:val="34"/>
    <w:qFormat/>
    <w:rsid w:val="007811AA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05411A"/>
    <w:rPr>
      <w:rFonts w:ascii="Times New Roman" w:eastAsia="Times New Roman" w:hAnsi="Times New Roman" w:cs="Times New Roman"/>
      <w:b/>
      <w:sz w:val="36"/>
      <w:szCs w:val="24"/>
      <w:lang w:val="en-GB" w:eastAsia="en-GB"/>
    </w:rPr>
  </w:style>
  <w:style w:type="paragraph" w:styleId="Header">
    <w:name w:val="header"/>
    <w:basedOn w:val="Normal"/>
    <w:link w:val="HeaderChar"/>
    <w:rsid w:val="0005411A"/>
    <w:pPr>
      <w:widowControl w:val="0"/>
      <w:tabs>
        <w:tab w:val="center" w:pos="4153"/>
        <w:tab w:val="right" w:pos="8306"/>
      </w:tabs>
      <w:spacing w:after="120" w:line="240" w:lineRule="auto"/>
      <w:jc w:val="both"/>
    </w:pPr>
    <w:rPr>
      <w:rFonts w:ascii="CG Times 12pt" w:eastAsia="Times New Roman" w:hAnsi="CG Times 12pt" w:cs="Times New Roman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05411A"/>
    <w:rPr>
      <w:rFonts w:ascii="CG Times 12pt" w:eastAsia="Times New Roman" w:hAnsi="CG Times 12pt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05411A"/>
    <w:pPr>
      <w:spacing w:after="120" w:line="240" w:lineRule="auto"/>
      <w:jc w:val="center"/>
    </w:pPr>
    <w:rPr>
      <w:rFonts w:eastAsia="Times New Roman" w:cs="Times New Roman"/>
      <w:b/>
      <w:sz w:val="28"/>
      <w:szCs w:val="24"/>
      <w:lang w:val="en-GB"/>
    </w:rPr>
  </w:style>
  <w:style w:type="character" w:customStyle="1" w:styleId="BodyText3Char">
    <w:name w:val="Body Text 3 Char"/>
    <w:basedOn w:val="DefaultParagraphFont"/>
    <w:link w:val="BodyText3"/>
    <w:rsid w:val="0005411A"/>
    <w:rPr>
      <w:rFonts w:ascii="Times New Roman" w:eastAsia="Times New Roman" w:hAnsi="Times New Roman" w:cs="Times New Roman"/>
      <w:b/>
      <w:sz w:val="28"/>
      <w:szCs w:val="24"/>
      <w:lang w:val="en-GB" w:eastAsia="en-GB"/>
    </w:rPr>
  </w:style>
  <w:style w:type="character" w:styleId="Hyperlink">
    <w:name w:val="Hyperlink"/>
    <w:uiPriority w:val="99"/>
    <w:rsid w:val="006F0810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42B91"/>
    <w:rPr>
      <w:rFonts w:ascii="Times New Roman" w:hAnsi="Times New Roman"/>
      <w:b/>
      <w:color w:val="000000" w:themeColor="text1"/>
      <w:sz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F0810"/>
    <w:pPr>
      <w:spacing w:after="120"/>
      <w:outlineLvl w:val="9"/>
    </w:pPr>
    <w:rPr>
      <w:rFonts w:ascii="Calibri Light" w:eastAsia="MS Gothic" w:hAnsi="Calibri Light" w:cs="Times New Roman"/>
      <w:color w:val="2E74B5"/>
    </w:rPr>
  </w:style>
  <w:style w:type="paragraph" w:styleId="TOC3">
    <w:name w:val="toc 3"/>
    <w:basedOn w:val="Normal"/>
    <w:next w:val="Normal"/>
    <w:autoRedefine/>
    <w:uiPriority w:val="39"/>
    <w:rsid w:val="006F0810"/>
    <w:pPr>
      <w:tabs>
        <w:tab w:val="left" w:pos="1080"/>
        <w:tab w:val="right" w:leader="dot" w:pos="9629"/>
      </w:tabs>
      <w:spacing w:line="240" w:lineRule="auto"/>
      <w:ind w:left="400"/>
      <w:jc w:val="both"/>
    </w:pPr>
    <w:rPr>
      <w:rFonts w:eastAsia="Times New Roman" w:cs="Times New Roman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rsid w:val="00A2055A"/>
    <w:pPr>
      <w:tabs>
        <w:tab w:val="left" w:pos="660"/>
        <w:tab w:val="right" w:leader="dot" w:pos="9350"/>
      </w:tabs>
      <w:spacing w:after="0" w:afterAutospacing="0" w:line="240" w:lineRule="auto"/>
      <w:ind w:left="720" w:right="1710" w:hanging="720"/>
      <w:jc w:val="both"/>
    </w:pPr>
    <w:rPr>
      <w:rFonts w:eastAsia="Times New Roman" w:cs="Times New Roman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8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F08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0810"/>
  </w:style>
  <w:style w:type="table" w:styleId="TableGrid">
    <w:name w:val="Table Grid"/>
    <w:basedOn w:val="TableNormal"/>
    <w:uiPriority w:val="39"/>
    <w:qFormat/>
    <w:rsid w:val="006F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855C3"/>
    <w:rPr>
      <w:rFonts w:ascii="Times New Roman" w:hAnsi="Times New Roman"/>
      <w:b/>
      <w:color w:val="000000" w:themeColor="text1"/>
      <w:sz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F0810"/>
    <w:rPr>
      <w:rFonts w:asciiTheme="majorHAnsi" w:eastAsiaTheme="majorEastAsia" w:hAnsiTheme="majorHAnsi" w:cstheme="majorBidi"/>
      <w:color w:val="2F5496" w:themeColor="accent1" w:themeShade="BF"/>
      <w:sz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11A66"/>
    <w:pPr>
      <w:ind w:left="220"/>
    </w:pPr>
  </w:style>
  <w:style w:type="paragraph" w:styleId="Footer">
    <w:name w:val="footer"/>
    <w:basedOn w:val="Normal"/>
    <w:link w:val="FooterChar"/>
    <w:uiPriority w:val="99"/>
    <w:unhideWhenUsed/>
    <w:rsid w:val="00394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151"/>
  </w:style>
  <w:style w:type="paragraph" w:customStyle="1" w:styleId="paragraph">
    <w:name w:val="paragraph"/>
    <w:basedOn w:val="Normal"/>
    <w:rsid w:val="000D2F57"/>
    <w:pPr>
      <w:spacing w:before="100" w:beforeAutospacing="1" w:line="240" w:lineRule="auto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0D2F57"/>
  </w:style>
  <w:style w:type="character" w:customStyle="1" w:styleId="eop">
    <w:name w:val="eop"/>
    <w:basedOn w:val="DefaultParagraphFont"/>
    <w:rsid w:val="000D2F57"/>
  </w:style>
  <w:style w:type="character" w:customStyle="1" w:styleId="spellingerror">
    <w:name w:val="spellingerror"/>
    <w:basedOn w:val="DefaultParagraphFont"/>
    <w:rsid w:val="000D2F57"/>
  </w:style>
  <w:style w:type="paragraph" w:styleId="Revision">
    <w:name w:val="Revision"/>
    <w:hidden/>
    <w:uiPriority w:val="99"/>
    <w:semiHidden/>
    <w:rsid w:val="00A2055A"/>
    <w:pPr>
      <w:spacing w:after="0" w:line="240" w:lineRule="auto"/>
    </w:pPr>
    <w:rPr>
      <w:rFonts w:ascii="Times New Roman" w:hAnsi="Times New Roman"/>
      <w:sz w:val="24"/>
      <w:lang w:eastAsia="en-GB"/>
    </w:rPr>
  </w:style>
  <w:style w:type="paragraph" w:customStyle="1" w:styleId="TableHeading-Font10">
    <w:name w:val="Table Heading-Font 10"/>
    <w:next w:val="Normal"/>
    <w:link w:val="TableHeading-Font10Char"/>
    <w:qFormat/>
    <w:rsid w:val="00AC1EE8"/>
    <w:pPr>
      <w:keepNext/>
      <w:keepLines/>
      <w:tabs>
        <w:tab w:val="left" w:pos="1440"/>
      </w:tabs>
      <w:spacing w:before="80" w:after="80" w:line="200" w:lineRule="exact"/>
      <w:jc w:val="center"/>
    </w:pPr>
    <w:rPr>
      <w:rFonts w:ascii="Arial" w:hAnsi="Arial" w:cs="Arial"/>
      <w:b/>
      <w:bCs/>
      <w:kern w:val="32"/>
      <w:sz w:val="20"/>
      <w:szCs w:val="20"/>
    </w:rPr>
  </w:style>
  <w:style w:type="character" w:customStyle="1" w:styleId="TableHeading-Font10Char">
    <w:name w:val="Table Heading-Font 10 Char"/>
    <w:link w:val="TableHeading-Font10"/>
    <w:rsid w:val="00AC1EE8"/>
    <w:rPr>
      <w:rFonts w:ascii="Arial" w:hAnsi="Arial" w:cs="Arial"/>
      <w:b/>
      <w:bCs/>
      <w:kern w:val="32"/>
      <w:sz w:val="20"/>
      <w:szCs w:val="20"/>
    </w:rPr>
  </w:style>
  <w:style w:type="paragraph" w:customStyle="1" w:styleId="TableTextLeft">
    <w:name w:val="Table Text Left"/>
    <w:basedOn w:val="Normal"/>
    <w:link w:val="TableTextLeftChar"/>
    <w:qFormat/>
    <w:rsid w:val="00AC1EE8"/>
    <w:pPr>
      <w:spacing w:before="40" w:after="40" w:afterAutospacing="0" w:line="240" w:lineRule="auto"/>
    </w:pPr>
    <w:rPr>
      <w:rFonts w:ascii="Arial" w:eastAsia="Arial Unicode MS" w:hAnsi="Arial" w:cs="Arial"/>
      <w:iCs/>
      <w:sz w:val="20"/>
      <w:szCs w:val="20"/>
    </w:rPr>
  </w:style>
  <w:style w:type="character" w:customStyle="1" w:styleId="TableTextLeftChar">
    <w:name w:val="Table Text Left Char"/>
    <w:basedOn w:val="DefaultParagraphFont"/>
    <w:link w:val="TableTextLeft"/>
    <w:rsid w:val="00AC1EE8"/>
    <w:rPr>
      <w:rFonts w:ascii="Arial" w:eastAsia="Arial Unicode MS" w:hAnsi="Arial" w:cs="Arial"/>
      <w:iCs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D75D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75D87"/>
    <w:rPr>
      <w:rFonts w:ascii="Times New Roman" w:hAnsi="Times New Roman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F4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223"/>
    <w:pPr>
      <w:widowControl w:val="0"/>
      <w:autoSpaceDE w:val="0"/>
      <w:autoSpaceDN w:val="0"/>
      <w:spacing w:after="0" w:afterAutospacing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223"/>
    <w:rPr>
      <w:rFonts w:ascii="Arial" w:eastAsia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93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A2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1B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BT1BodyTextI1">
    <w:name w:val="BT1: Body Text I1"/>
    <w:basedOn w:val="BodyText"/>
    <w:link w:val="BT1BodyTextI1Char"/>
    <w:qFormat/>
    <w:rsid w:val="00476A48"/>
    <w:pPr>
      <w:spacing w:before="240" w:after="0" w:afterAutospacing="0" w:line="240" w:lineRule="auto"/>
      <w:jc w:val="both"/>
    </w:pPr>
    <w:rPr>
      <w:rFonts w:ascii="Arial" w:eastAsia="Calibri" w:hAnsi="Arial" w:cs="Arial"/>
      <w:iCs/>
      <w:sz w:val="22"/>
      <w:lang w:eastAsia="en-US"/>
    </w:rPr>
  </w:style>
  <w:style w:type="character" w:customStyle="1" w:styleId="BT1BodyTextI1Char">
    <w:name w:val="BT1: Body Text I1 Char"/>
    <w:basedOn w:val="DefaultParagraphFont"/>
    <w:link w:val="BT1BodyTextI1"/>
    <w:locked/>
    <w:rsid w:val="00476A48"/>
    <w:rPr>
      <w:rFonts w:ascii="Arial" w:eastAsia="Calibri" w:hAnsi="Arial" w:cs="Arial"/>
      <w:iCs/>
    </w:rPr>
  </w:style>
  <w:style w:type="character" w:customStyle="1" w:styleId="ListParagraphChar">
    <w:name w:val="List Paragraph Char"/>
    <w:aliases w:val="Bullet List Char,Bullet List Paragraph Char,Bullet 1 Char,Bullet Char,Title 1 Char,List Paragraph1 Char,Trust List Numbering Char"/>
    <w:link w:val="ListParagraph"/>
    <w:uiPriority w:val="34"/>
    <w:locked/>
    <w:rsid w:val="00EA2539"/>
    <w:rPr>
      <w:rFonts w:ascii="Times New Roman" w:hAnsi="Times New Roman"/>
      <w:sz w:val="24"/>
      <w:lang w:eastAsia="en-GB"/>
    </w:rPr>
  </w:style>
  <w:style w:type="paragraph" w:styleId="Caption">
    <w:name w:val="caption"/>
    <w:aliases w:val="Footnote,Times Roman 10 bold,Char2,Char Char Char Char,Top Caption,1 Tbl Titles,Table Caption,Figure Caption,cerCAPTION,Pg1Title,Char Char Char + Arial,Left,Before:  6 pt,Caption Char1 Char,Fig Tittle,Caption Table, Char Char Char Char,Caption_m"/>
    <w:next w:val="Normal"/>
    <w:link w:val="CaptionChar"/>
    <w:qFormat/>
    <w:rsid w:val="00ED6077"/>
    <w:pPr>
      <w:keepNext/>
      <w:spacing w:before="240" w:after="240" w:line="240" w:lineRule="auto"/>
      <w:ind w:left="1411" w:hanging="1411"/>
    </w:pPr>
    <w:rPr>
      <w:rFonts w:ascii="Arial" w:eastAsia="Times New Roman" w:hAnsi="Arial" w:cs="Arial"/>
      <w:b/>
      <w:bCs/>
      <w:lang w:val="en-AU"/>
    </w:rPr>
  </w:style>
  <w:style w:type="character" w:customStyle="1" w:styleId="CaptionChar">
    <w:name w:val="Caption Char"/>
    <w:aliases w:val="Footnote Char,Times Roman 10 bold Char,Char2 Char,Char Char Char Char Char,Top Caption Char,1 Tbl Titles Char,Table Caption Char,Figure Caption Char,cerCAPTION Char,Pg1Title Char,Char Char Char + Arial Char,Left Char,Before:  6 pt Char"/>
    <w:link w:val="Caption"/>
    <w:qFormat/>
    <w:rsid w:val="00ED6077"/>
    <w:rPr>
      <w:rFonts w:ascii="Arial" w:eastAsia="Times New Roman" w:hAnsi="Arial" w:cs="Arial"/>
      <w:b/>
      <w:bCs/>
      <w:lang w:val="en-AU"/>
    </w:rPr>
  </w:style>
  <w:style w:type="paragraph" w:customStyle="1" w:styleId="Tablefootnotetext">
    <w:name w:val="Table footnote text"/>
    <w:basedOn w:val="Normal"/>
    <w:qFormat/>
    <w:locked/>
    <w:rsid w:val="00ED6077"/>
    <w:pPr>
      <w:spacing w:before="40" w:after="0" w:afterAutospacing="0" w:line="240" w:lineRule="auto"/>
      <w:jc w:val="both"/>
    </w:pPr>
    <w:rPr>
      <w:rFonts w:ascii="Arial" w:eastAsia="Times New Roman" w:hAnsi="Arial" w:cs="Times New Roman"/>
      <w:sz w:val="18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11D92"/>
    <w:pPr>
      <w:spacing w:before="100" w:beforeAutospacing="1" w:line="240" w:lineRule="auto"/>
    </w:pPr>
    <w:rPr>
      <w:rFonts w:eastAsia="Times New Roman" w:cs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E11D92"/>
    <w:rPr>
      <w:b/>
      <w:bCs/>
    </w:rPr>
  </w:style>
  <w:style w:type="paragraph" w:customStyle="1" w:styleId="pf0">
    <w:name w:val="pf0"/>
    <w:basedOn w:val="Normal"/>
    <w:rsid w:val="003B70D7"/>
    <w:pPr>
      <w:spacing w:before="100" w:beforeAutospacing="1" w:line="240" w:lineRule="auto"/>
    </w:pPr>
    <w:rPr>
      <w:rFonts w:eastAsia="Times New Roman" w:cs="Times New Roman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CA4"/>
    <w:pPr>
      <w:widowControl/>
      <w:autoSpaceDE/>
      <w:autoSpaceDN/>
      <w:spacing w:after="100" w:afterAutospacing="1"/>
    </w:pPr>
    <w:rPr>
      <w:rFonts w:ascii="Times New Roman" w:eastAsiaTheme="minorHAnsi" w:hAnsi="Times New Roman" w:cstheme="minorBidi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CA4"/>
    <w:rPr>
      <w:rFonts w:ascii="Times New Roman" w:eastAsia="Arial" w:hAnsi="Times New Roman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55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5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4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580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1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2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3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77074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0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5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94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2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8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3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1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2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sigroup.com" TargetMode="External"/><Relationship Id="rId18" Type="http://schemas.openxmlformats.org/officeDocument/2006/relationships/hyperlink" Target="https://www.astm.org/Standards/F2096.htm" TargetMode="External"/><Relationship Id="rId26" Type="http://schemas.openxmlformats.org/officeDocument/2006/relationships/hyperlink" Target="https://www.astm.org/Standards/F88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stm.org/Standards/F1929.htm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mergoVigilance@ul.com" TargetMode="External"/><Relationship Id="rId17" Type="http://schemas.openxmlformats.org/officeDocument/2006/relationships/hyperlink" Target="https://www.astm.org/Standards/F2096.htm" TargetMode="External"/><Relationship Id="rId25" Type="http://schemas.openxmlformats.org/officeDocument/2006/relationships/hyperlink" Target="https://www.astm.org/Standards/F88.ht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stm.org/Standards/F2096.htm" TargetMode="External"/><Relationship Id="rId20" Type="http://schemas.openxmlformats.org/officeDocument/2006/relationships/hyperlink" Target="https://www.astm.org/Standards/F1929.htm" TargetMode="External"/><Relationship Id="rId29" Type="http://schemas.openxmlformats.org/officeDocument/2006/relationships/hyperlink" Target="https://www.astm.org/Standards/F1980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Compliance@argonmedical.com" TargetMode="External"/><Relationship Id="rId24" Type="http://schemas.openxmlformats.org/officeDocument/2006/relationships/hyperlink" Target="https://www.astm.org/Standards/F88.htm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astm.org/Standards/D4169.htm" TargetMode="External"/><Relationship Id="rId23" Type="http://schemas.openxmlformats.org/officeDocument/2006/relationships/hyperlink" Target="https://www.astm.org/Standards/F1929.htm" TargetMode="External"/><Relationship Id="rId28" Type="http://schemas.openxmlformats.org/officeDocument/2006/relationships/hyperlink" Target="https://www.astm.org/Standards/F1980.ht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stm.org/Standards/F2096.htm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stm.org/Standards/D4169.htm" TargetMode="External"/><Relationship Id="rId22" Type="http://schemas.openxmlformats.org/officeDocument/2006/relationships/hyperlink" Target="https://www.astm.org/Standards/F1929.htm" TargetMode="External"/><Relationship Id="rId27" Type="http://schemas.openxmlformats.org/officeDocument/2006/relationships/hyperlink" Target="https://www.astm.org/Standards/F1980.htm" TargetMode="External"/><Relationship Id="rId30" Type="http://schemas.openxmlformats.org/officeDocument/2006/relationships/hyperlink" Target="https://www.astm.org/Standards/F1980.htm" TargetMode="Externa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998320-5229-49fa-b545-1146fcc196c3">X6KQWXAJUN6C-1856867172-302</_dlc_DocId>
    <_dlc_DocIdUrl xmlns="98998320-5229-49fa-b545-1146fcc196c3">
      <Url>https://argonmedical.sharepoint.com/Quality/PME/_layouts/15/DocIdRedir.aspx?ID=X6KQWXAJUN6C-1856867172-302</Url>
      <Description>X6KQWXAJUN6C-1856867172-302</Description>
    </_dlc_DocIdUrl>
    <SharedWithUsers xmlns="533d7803-0b09-441b-8841-a7d5d61164fa">
      <UserInfo>
        <DisplayName>Nneoma Oparah</DisplayName>
        <AccountId>317</AccountId>
        <AccountType/>
      </UserInfo>
      <UserInfo>
        <DisplayName>Gedaa Hassan</DisplayName>
        <AccountId>752</AccountId>
        <AccountType/>
      </UserInfo>
      <UserInfo>
        <DisplayName>Nadira Lotus</DisplayName>
        <AccountId>672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5168FB229E64BB02D823972441852" ma:contentTypeVersion="8" ma:contentTypeDescription="Create a new document." ma:contentTypeScope="" ma:versionID="930cde1784db80892a686ca36e180a82">
  <xsd:schema xmlns:xsd="http://www.w3.org/2001/XMLSchema" xmlns:xs="http://www.w3.org/2001/XMLSchema" xmlns:p="http://schemas.microsoft.com/office/2006/metadata/properties" xmlns:ns1="http://schemas.microsoft.com/sharepoint/v3" xmlns:ns2="98998320-5229-49fa-b545-1146fcc196c3" xmlns:ns3="7df48557-8e40-41cc-b42f-0234d1441c26" xmlns:ns4="533d7803-0b09-441b-8841-a7d5d61164fa" targetNamespace="http://schemas.microsoft.com/office/2006/metadata/properties" ma:root="true" ma:fieldsID="a2decff7a4d88684e1e04d71338e4e58" ns1:_="" ns2:_="" ns3:_="" ns4:_="">
    <xsd:import namespace="http://schemas.microsoft.com/sharepoint/v3"/>
    <xsd:import namespace="98998320-5229-49fa-b545-1146fcc196c3"/>
    <xsd:import namespace="7df48557-8e40-41cc-b42f-0234d1441c26"/>
    <xsd:import namespace="533d7803-0b09-441b-8841-a7d5d61164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8320-5229-49fa-b545-1146fcc196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48557-8e40-41cc-b42f-0234d1441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d7803-0b09-441b-8841-a7d5d6116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B36AD9-7C49-4C9F-8758-EEFFA6AB49F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7BDF46-C2A2-49C5-B0CE-B782C57F7E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D0B19-D938-4802-9383-28F654A630FD}">
  <ds:schemaRefs>
    <ds:schemaRef ds:uri="http://schemas.microsoft.com/office/2006/metadata/properties"/>
    <ds:schemaRef ds:uri="http://schemas.microsoft.com/office/infopath/2007/PartnerControls"/>
    <ds:schemaRef ds:uri="98998320-5229-49fa-b545-1146fcc196c3"/>
    <ds:schemaRef ds:uri="533d7803-0b09-441b-8841-a7d5d61164f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31F52C6-68E5-4D12-B750-4728A8952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998320-5229-49fa-b545-1146fcc196c3"/>
    <ds:schemaRef ds:uri="7df48557-8e40-41cc-b42f-0234d1441c26"/>
    <ds:schemaRef ds:uri="533d7803-0b09-441b-8841-a7d5d6116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4446</Words>
  <Characters>25346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Gedaa Hassan</dc:creator>
  <cp:keywords/>
  <dc:description/>
  <cp:lastModifiedBy>Pablo Lopez</cp:lastModifiedBy>
  <cp:revision>7</cp:revision>
  <cp:lastPrinted>2026-02-23T12:13:00Z</cp:lastPrinted>
  <dcterms:created xsi:type="dcterms:W3CDTF">2026-02-25T16:26:00Z</dcterms:created>
  <dcterms:modified xsi:type="dcterms:W3CDTF">2026-02-25T22:22:00Z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0x010100A845168FB229E64BB02D823972441852</vt:lpwstr>
  </property>
  <property fmtid="{D5CDD505-2E9C-101B-9397-08002B2CF9AE}" pid="3" name="_dlc_DocIdItemGuid">
    <vt:lpwstr>449f7a72-25d5-43c5-bfd7-104e0d46ffec</vt:lpwstr>
  </property>
</Properties>
</file>