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de-DE"/>
        </w:rPr>
        <mc:AlternateContent>
          <mc:Choice Requires="wps">
            <w:drawing>
              <wp:anchor distT="0" distB="0" distL="114300" distR="114300" simplePos="0" relativeHeight="251659264" behindDoc="0" locked="0" layoutInCell="1" allowOverlap="1" wp14:anchorId="6FC0C8B7" wp14:editId="367E71A3">
                <wp:simplePos x="0" y="0"/>
                <wp:positionH relativeFrom="column">
                  <wp:posOffset>-191262</wp:posOffset>
                </wp:positionH>
                <wp:positionV relativeFrom="paragraph">
                  <wp:posOffset>68961</wp:posOffset>
                </wp:positionV>
                <wp:extent cx="6448425" cy="1285494"/>
                <wp:effectExtent l="25400" t="25400" r="4127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85494"/>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FD2F93" w:rsidRDefault="006F0810" w:rsidP="006D00F2">
                            <w:pPr>
                              <w:pStyle w:val="Heading7"/>
                              <w:spacing w:after="0" w:afterAutospacing="0"/>
                              <w:rPr>
                                <w:sz w:val="32"/>
                                <w:szCs w:val="32"/>
                                <w:lang w:val="de-DE"/>
                              </w:rPr>
                            </w:pPr>
                            <w:r>
                              <w:rPr>
                                <w:bCs/>
                                <w:sz w:val="32"/>
                                <w:szCs w:val="32"/>
                                <w:lang w:val="de-DE"/>
                              </w:rPr>
                              <w:t>ZUSAMMENFASSUNG DER SICHERHEIT UND KLINISCHEN LEISTUNG (SSCP)</w:t>
                            </w:r>
                          </w:p>
                          <w:p w14:paraId="0E1996B2" w14:textId="77777777" w:rsidR="005D4A52" w:rsidRDefault="005D4A52" w:rsidP="006D00F2">
                            <w:pPr>
                              <w:pStyle w:val="Heading7"/>
                              <w:spacing w:after="0" w:afterAutospacing="0"/>
                              <w:rPr>
                                <w:sz w:val="32"/>
                                <w:szCs w:val="32"/>
                              </w:rPr>
                            </w:pPr>
                            <w:r w:rsidRPr="00FD2F93">
                              <w:rPr>
                                <w:bCs/>
                                <w:sz w:val="32"/>
                                <w:szCs w:val="32"/>
                                <w:lang w:val="en-US"/>
                              </w:rPr>
                              <w:t>SSCP-0006</w:t>
                            </w:r>
                          </w:p>
                          <w:p w14:paraId="06B6F153" w14:textId="72F11D73" w:rsidR="005D4A52" w:rsidRDefault="00F1569C" w:rsidP="006D00F2">
                            <w:pPr>
                              <w:pStyle w:val="Heading7"/>
                              <w:spacing w:after="0" w:afterAutospacing="0"/>
                              <w:rPr>
                                <w:sz w:val="32"/>
                                <w:szCs w:val="32"/>
                              </w:rPr>
                            </w:pPr>
                            <w:proofErr w:type="spellStart"/>
                            <w:r w:rsidRPr="00FD2F93">
                              <w:rPr>
                                <w:bCs/>
                                <w:sz w:val="32"/>
                                <w:szCs w:val="32"/>
                                <w:lang w:val="en-US"/>
                              </w:rPr>
                              <w:t>Atrieve</w:t>
                            </w:r>
                            <w:r w:rsidRPr="00FD2F93">
                              <w:rPr>
                                <w:bCs/>
                                <w:sz w:val="32"/>
                                <w:szCs w:val="32"/>
                                <w:vertAlign w:val="superscript"/>
                                <w:lang w:val="en-US"/>
                              </w:rPr>
                              <w:t>TM</w:t>
                            </w:r>
                            <w:proofErr w:type="spellEnd"/>
                            <w:r w:rsidRPr="00FD2F93">
                              <w:rPr>
                                <w:bCs/>
                                <w:sz w:val="32"/>
                                <w:szCs w:val="32"/>
                                <w:lang w:val="en-US"/>
                              </w:rPr>
                              <w:t xml:space="preserve"> Vascular Snare Kit</w:t>
                            </w:r>
                          </w:p>
                          <w:p w14:paraId="3354BBA5" w14:textId="08AF297F" w:rsidR="005D4A52" w:rsidRPr="005B469C" w:rsidRDefault="005D4A52" w:rsidP="006D00F2">
                            <w:pPr>
                              <w:spacing w:after="0" w:afterAutospacing="0"/>
                              <w:jc w:val="center"/>
                              <w:rPr>
                                <w:b/>
                                <w:bCs/>
                                <w:sz w:val="32"/>
                                <w:szCs w:val="32"/>
                              </w:rPr>
                            </w:pPr>
                            <w:r w:rsidRPr="00FD2F93">
                              <w:rPr>
                                <w:b/>
                                <w:bCs/>
                                <w:sz w:val="32"/>
                                <w:szCs w:val="32"/>
                              </w:rPr>
                              <w:t>DHF-82248</w:t>
                            </w:r>
                          </w:p>
                          <w:p w14:paraId="3CF39942" w14:textId="77777777" w:rsidR="0005411A" w:rsidRPr="00267292" w:rsidRDefault="0005411A" w:rsidP="009855C3"/>
                          <w:p w14:paraId="684B57C2" w14:textId="77777777" w:rsidR="0005411A" w:rsidRPr="00267292" w:rsidRDefault="0005411A" w:rsidP="009855C3">
                            <w:r>
                              <w:rPr>
                                <w:lang w:val="de-DE"/>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" strokeweight="4.5pt">
                <v:stroke linestyle="thinThick"/>
                <v:textbox>
                  <w:txbxContent>
                    <w:p w14:paraId="488C1F47" w14:textId="77777777" w:rsidR="0005411A" w:rsidRPr="00FD2F93" w:rsidRDefault="006F0810" w:rsidP="006D00F2">
                      <w:pPr>
                        <w:pStyle w:val="Heading7"/>
                        <w:spacing w:after="0" w:afterAutospacing="0"/>
                        <w:rPr>
                          <w:sz w:val="32"/>
                          <w:szCs w:val="32"/>
                          <w:lang w:val="de-DE"/>
                        </w:rPr>
                      </w:pPr>
                      <w:r>
                        <w:rPr>
                          <w:bCs/>
                          <w:sz w:val="32"/>
                          <w:szCs w:val="32"/>
                          <w:lang w:val="de-DE"/>
                        </w:rPr>
                        <w:t>ZUSAMMENFASSUNG DER SICHERHEIT UND KLINISCHEN LEISTUNG (SSCP)</w:t>
                      </w:r>
                    </w:p>
                    <w:p w14:paraId="0E1996B2" w14:textId="77777777" w:rsidR="005D4A52" w:rsidRDefault="005D4A52" w:rsidP="006D00F2">
                      <w:pPr>
                        <w:pStyle w:val="Heading7"/>
                        <w:spacing w:after="0" w:afterAutospacing="0"/>
                        <w:rPr>
                          <w:sz w:val="32"/>
                          <w:szCs w:val="32"/>
                        </w:rPr>
                      </w:pPr>
                      <w:r w:rsidRPr="00FD2F93">
                        <w:rPr>
                          <w:bCs/>
                          <w:sz w:val="32"/>
                          <w:szCs w:val="32"/>
                          <w:lang w:val="en-US"/>
                        </w:rPr>
                        <w:t>SSCP-0006</w:t>
                      </w:r>
                    </w:p>
                    <w:p w14:paraId="06B6F153" w14:textId="72F11D73" w:rsidR="005D4A52" w:rsidRDefault="00F1569C" w:rsidP="006D00F2">
                      <w:pPr>
                        <w:pStyle w:val="Heading7"/>
                        <w:spacing w:after="0" w:afterAutospacing="0"/>
                        <w:rPr>
                          <w:sz w:val="32"/>
                          <w:szCs w:val="32"/>
                        </w:rPr>
                      </w:pPr>
                      <w:proofErr w:type="spellStart"/>
                      <w:r w:rsidRPr="00FD2F93">
                        <w:rPr>
                          <w:bCs/>
                          <w:sz w:val="32"/>
                          <w:szCs w:val="32"/>
                          <w:lang w:val="en-US"/>
                        </w:rPr>
                        <w:t>Atrieve</w:t>
                      </w:r>
                      <w:r w:rsidRPr="00FD2F93">
                        <w:rPr>
                          <w:bCs/>
                          <w:sz w:val="32"/>
                          <w:szCs w:val="32"/>
                          <w:vertAlign w:val="superscript"/>
                          <w:lang w:val="en-US"/>
                        </w:rPr>
                        <w:t>TM</w:t>
                      </w:r>
                      <w:proofErr w:type="spellEnd"/>
                      <w:r w:rsidRPr="00FD2F93">
                        <w:rPr>
                          <w:bCs/>
                          <w:sz w:val="32"/>
                          <w:szCs w:val="32"/>
                          <w:lang w:val="en-US"/>
                        </w:rPr>
                        <w:t xml:space="preserve"> Vascular Snare Kit</w:t>
                      </w:r>
                    </w:p>
                    <w:p w14:paraId="3354BBA5" w14:textId="08AF297F" w:rsidR="005D4A52" w:rsidRPr="005B469C" w:rsidRDefault="005D4A52" w:rsidP="006D00F2">
                      <w:pPr>
                        <w:spacing w:after="0" w:afterAutospacing="0"/>
                        <w:jc w:val="center"/>
                        <w:rPr>
                          <w:b/>
                          <w:bCs/>
                          <w:sz w:val="32"/>
                          <w:szCs w:val="32"/>
                        </w:rPr>
                      </w:pPr>
                      <w:r w:rsidRPr="00FD2F93">
                        <w:rPr>
                          <w:b/>
                          <w:bCs/>
                          <w:sz w:val="32"/>
                          <w:szCs w:val="32"/>
                        </w:rPr>
                        <w:t>DHF-82248</w:t>
                      </w:r>
                    </w:p>
                    <w:p w14:paraId="3CF39942" w14:textId="77777777" w:rsidR="0005411A" w:rsidRPr="00267292" w:rsidRDefault="0005411A" w:rsidP="009855C3"/>
                    <w:p w14:paraId="684B57C2" w14:textId="77777777" w:rsidR="0005411A" w:rsidRPr="00267292" w:rsidRDefault="0005411A" w:rsidP="009855C3">
                      <w:r>
                        <w:rPr>
                          <w:lang w:val="de-DE"/>
                        </w:rPr>
                        <w:t>[DATUM]</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de-DE"/>
        </w:rPr>
        <w:t>Zur Veröffentlichung in Eudamed</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02"/>
        <w:gridCol w:w="1657"/>
        <w:gridCol w:w="6890"/>
      </w:tblGrid>
      <w:tr w:rsidR="00E91403" w:rsidRPr="009461CC"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de-DE"/>
              </w:rPr>
              <w:t>ROLLE</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de-DE"/>
              </w:rPr>
              <w:t>ABTEILUNG</w:t>
            </w:r>
          </w:p>
        </w:tc>
        <w:tc>
          <w:tcPr>
            <w:tcW w:w="7519" w:type="dxa"/>
            <w:tcBorders>
              <w:top w:val="single" w:sz="18" w:space="0" w:color="auto"/>
              <w:bottom w:val="double" w:sz="4" w:space="0" w:color="auto"/>
            </w:tcBorders>
            <w:shd w:val="clear" w:color="auto" w:fill="E0E0E0"/>
          </w:tcPr>
          <w:p w14:paraId="4B6DA2F3" w14:textId="77777777" w:rsidR="00E91403" w:rsidRPr="009461CC" w:rsidRDefault="00E91403" w:rsidP="00842611">
            <w:pPr>
              <w:jc w:val="center"/>
              <w:rPr>
                <w:rFonts w:cs="Times New Roman"/>
                <w:b/>
                <w:szCs w:val="24"/>
              </w:rPr>
            </w:pPr>
            <w:r>
              <w:rPr>
                <w:rFonts w:cs="Times New Roman"/>
                <w:b/>
                <w:bCs/>
                <w:szCs w:val="24"/>
                <w:lang w:val="de-DE"/>
              </w:rPr>
              <w:t>NAME/TITEL</w:t>
            </w:r>
          </w:p>
        </w:tc>
      </w:tr>
      <w:tr w:rsidR="006E0847" w:rsidRPr="00E064BB"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de-DE"/>
              </w:rPr>
              <w:t>Vorbereitet von</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de-DE"/>
              </w:rPr>
              <w:t>Regulatory Affairs</w:t>
            </w:r>
          </w:p>
        </w:tc>
        <w:tc>
          <w:tcPr>
            <w:tcW w:w="7519" w:type="dxa"/>
            <w:tcBorders>
              <w:top w:val="double" w:sz="4" w:space="0" w:color="auto"/>
            </w:tcBorders>
          </w:tcPr>
          <w:p w14:paraId="360D10DB" w14:textId="77777777" w:rsidR="006E0847" w:rsidRPr="00BD0745" w:rsidRDefault="006E0847" w:rsidP="006E0847">
            <w:pPr>
              <w:spacing w:after="0" w:afterAutospacing="0"/>
              <w:jc w:val="center"/>
              <w:rPr>
                <w:rFonts w:cs="Times New Roman"/>
                <w:szCs w:val="24"/>
                <w:lang w:val="fr-FR"/>
              </w:rPr>
            </w:pPr>
            <w:r w:rsidRPr="00BD0745">
              <w:rPr>
                <w:rFonts w:cs="Times New Roman"/>
                <w:szCs w:val="24"/>
                <w:lang w:val="fr-FR"/>
              </w:rPr>
              <w:t>Nadira Lotus</w:t>
            </w:r>
          </w:p>
          <w:p w14:paraId="7BA00BEF" w14:textId="2E4C5FAD" w:rsidR="006E0847" w:rsidRPr="00BD0745" w:rsidRDefault="006E0847" w:rsidP="006E0847">
            <w:pPr>
              <w:jc w:val="center"/>
              <w:rPr>
                <w:rFonts w:cs="Times New Roman"/>
                <w:szCs w:val="24"/>
                <w:lang w:val="fr-FR"/>
              </w:rPr>
            </w:pPr>
            <w:r w:rsidRPr="00BD0745">
              <w:rPr>
                <w:rFonts w:cs="Times New Roman"/>
                <w:szCs w:val="24"/>
                <w:lang w:val="fr-FR"/>
              </w:rPr>
              <w:t>Manager, Post Market Surveillance</w:t>
            </w:r>
          </w:p>
        </w:tc>
      </w:tr>
    </w:tbl>
    <w:p w14:paraId="45EA3393" w14:textId="77777777" w:rsidR="00E91403" w:rsidRPr="00BD0745" w:rsidRDefault="00E91403" w:rsidP="00E91403">
      <w:pPr>
        <w:jc w:val="center"/>
        <w:rPr>
          <w:rFonts w:cs="Times New Roman"/>
          <w:b/>
          <w:lang w:val="fr-FR"/>
        </w:rPr>
      </w:pPr>
    </w:p>
    <w:p w14:paraId="3ADE6C89" w14:textId="0496458B" w:rsidR="00E91403" w:rsidRPr="00FD2F93" w:rsidRDefault="00E91403" w:rsidP="00E91403">
      <w:pPr>
        <w:tabs>
          <w:tab w:val="center" w:pos="5220"/>
          <w:tab w:val="right" w:pos="10440"/>
        </w:tabs>
        <w:rPr>
          <w:rFonts w:cs="Times New Roman"/>
          <w:b/>
          <w:lang w:val="de-DE"/>
        </w:rPr>
      </w:pPr>
      <w:r w:rsidRPr="00BD0745">
        <w:rPr>
          <w:rFonts w:cs="Times New Roman"/>
          <w:lang w:val="fr-FR"/>
        </w:rPr>
        <w:tab/>
      </w:r>
      <w:r>
        <w:rPr>
          <w:rFonts w:cs="Times New Roman"/>
          <w:b/>
          <w:bCs/>
          <w:lang w:val="de-DE"/>
        </w:rPr>
        <w:t>Unterschriften-Genehmigungsmatrix</w:t>
      </w:r>
      <w:r>
        <w:rPr>
          <w:rFonts w:cs="Times New Roman"/>
          <w:lang w:val="de-DE"/>
        </w:rPr>
        <w:tab/>
      </w:r>
    </w:p>
    <w:p w14:paraId="01F684E3" w14:textId="77777777" w:rsidR="00E91403" w:rsidRPr="00FD2F93" w:rsidRDefault="00E91403" w:rsidP="00E91403">
      <w:pPr>
        <w:spacing w:after="60"/>
        <w:ind w:right="274"/>
        <w:rPr>
          <w:rFonts w:cs="Times New Roman"/>
          <w:sz w:val="20"/>
          <w:szCs w:val="20"/>
          <w:lang w:val="de-DE"/>
        </w:rPr>
      </w:pPr>
      <w:r>
        <w:rPr>
          <w:rFonts w:cs="Times New Roman"/>
          <w:sz w:val="20"/>
          <w:szCs w:val="20"/>
          <w:lang w:val="de-DE"/>
        </w:rPr>
        <w:t>Dieses Dokument muss von allen unten aufgeführten Personen oder deren autorisierten Vertretern geprüft und genehmigt werden.</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25"/>
        <w:gridCol w:w="1657"/>
        <w:gridCol w:w="7167"/>
      </w:tblGrid>
      <w:tr w:rsidR="00E91403" w:rsidRPr="009461CC"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de-DE"/>
              </w:rPr>
              <w:t>ROLLE</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de-DE"/>
              </w:rPr>
              <w:t>ABTEILUNG</w:t>
            </w:r>
          </w:p>
        </w:tc>
        <w:tc>
          <w:tcPr>
            <w:tcW w:w="7519" w:type="dxa"/>
            <w:tcBorders>
              <w:top w:val="single" w:sz="18" w:space="0" w:color="auto"/>
              <w:bottom w:val="double" w:sz="4" w:space="0" w:color="auto"/>
            </w:tcBorders>
            <w:shd w:val="clear" w:color="auto" w:fill="E0E0E0"/>
          </w:tcPr>
          <w:p w14:paraId="0254E3BE" w14:textId="77777777" w:rsidR="00E91403" w:rsidRPr="009461CC" w:rsidRDefault="00E91403" w:rsidP="00842611">
            <w:pPr>
              <w:jc w:val="center"/>
              <w:rPr>
                <w:rFonts w:cs="Times New Roman"/>
                <w:b/>
                <w:szCs w:val="24"/>
              </w:rPr>
            </w:pPr>
            <w:r>
              <w:rPr>
                <w:rFonts w:cs="Times New Roman"/>
                <w:b/>
                <w:bCs/>
                <w:szCs w:val="24"/>
                <w:lang w:val="de-DE"/>
              </w:rPr>
              <w:t>NAME/TITEL</w:t>
            </w:r>
          </w:p>
        </w:tc>
      </w:tr>
      <w:tr w:rsidR="00386F47" w:rsidRPr="009461CC"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de-DE"/>
              </w:rPr>
              <w:t>Freigabe</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de-DE"/>
              </w:rPr>
              <w:t>Clinical Affairs</w:t>
            </w:r>
          </w:p>
        </w:tc>
        <w:tc>
          <w:tcPr>
            <w:tcW w:w="7519" w:type="dxa"/>
            <w:vAlign w:val="center"/>
          </w:tcPr>
          <w:p w14:paraId="613876EC" w14:textId="77777777" w:rsidR="00386F47" w:rsidRPr="009461CC" w:rsidRDefault="00386F47" w:rsidP="00386F47">
            <w:pPr>
              <w:spacing w:after="0" w:afterAutospacing="0"/>
              <w:jc w:val="center"/>
              <w:rPr>
                <w:rFonts w:cs="Times New Roman"/>
                <w:szCs w:val="24"/>
              </w:rPr>
            </w:pPr>
            <w:r w:rsidRPr="00FD2F93">
              <w:rPr>
                <w:rFonts w:cs="Times New Roman"/>
                <w:szCs w:val="24"/>
              </w:rPr>
              <w:t>Danyel Carr</w:t>
            </w:r>
          </w:p>
          <w:p w14:paraId="172E4813" w14:textId="2E4F9175" w:rsidR="00386F47" w:rsidRPr="009461CC" w:rsidRDefault="00E03D31" w:rsidP="00386F47">
            <w:pPr>
              <w:jc w:val="center"/>
              <w:rPr>
                <w:rFonts w:cs="Times New Roman"/>
                <w:szCs w:val="24"/>
              </w:rPr>
            </w:pPr>
            <w:r w:rsidRPr="00FD2F93">
              <w:rPr>
                <w:rFonts w:cs="Times New Roman"/>
                <w:szCs w:val="24"/>
              </w:rPr>
              <w:t>Sr. Director, Clinical Affairs</w:t>
            </w:r>
          </w:p>
        </w:tc>
      </w:tr>
      <w:tr w:rsidR="00386F47" w:rsidRPr="009461CC"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de-DE"/>
              </w:rPr>
              <w:t>Freigabe</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de-DE"/>
              </w:rPr>
              <w:t xml:space="preserve">Quality </w:t>
            </w:r>
          </w:p>
        </w:tc>
        <w:tc>
          <w:tcPr>
            <w:tcW w:w="7519" w:type="dxa"/>
            <w:vAlign w:val="center"/>
          </w:tcPr>
          <w:p w14:paraId="3D954801" w14:textId="77777777" w:rsidR="00F07DD1" w:rsidRDefault="00F07DD1" w:rsidP="004065D7">
            <w:pPr>
              <w:spacing w:after="0" w:afterAutospacing="0"/>
              <w:jc w:val="center"/>
              <w:rPr>
                <w:rFonts w:cs="Times New Roman"/>
                <w:szCs w:val="24"/>
              </w:rPr>
            </w:pPr>
            <w:r w:rsidRPr="00FD2F93">
              <w:rPr>
                <w:rFonts w:cs="Times New Roman"/>
                <w:szCs w:val="24"/>
              </w:rPr>
              <w:t xml:space="preserve">James Stephens </w:t>
            </w:r>
          </w:p>
          <w:p w14:paraId="1EA24645" w14:textId="5BC698A1" w:rsidR="00386F47" w:rsidRPr="009461CC" w:rsidRDefault="00547353" w:rsidP="004065D7">
            <w:pPr>
              <w:spacing w:after="0" w:afterAutospacing="0"/>
              <w:jc w:val="center"/>
              <w:rPr>
                <w:rFonts w:cs="Times New Roman"/>
                <w:szCs w:val="24"/>
              </w:rPr>
            </w:pPr>
            <w:r w:rsidRPr="00FD2F93">
              <w:rPr>
                <w:rFonts w:cs="Times New Roman"/>
                <w:szCs w:val="24"/>
              </w:rPr>
              <w:t>Sr. Director, Quality Operations</w:t>
            </w:r>
          </w:p>
        </w:tc>
      </w:tr>
      <w:tr w:rsidR="00386F47" w:rsidRPr="009461CC"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de-DE"/>
              </w:rPr>
              <w:t>Freigabe</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de-DE"/>
              </w:rPr>
              <w:t xml:space="preserve">Regulatory </w:t>
            </w:r>
          </w:p>
        </w:tc>
        <w:tc>
          <w:tcPr>
            <w:tcW w:w="7519" w:type="dxa"/>
            <w:vAlign w:val="center"/>
          </w:tcPr>
          <w:p w14:paraId="7676555E" w14:textId="77777777" w:rsidR="00386F47" w:rsidRPr="009461CC" w:rsidRDefault="00386F47" w:rsidP="00386F47">
            <w:pPr>
              <w:spacing w:after="0" w:afterAutospacing="0" w:line="240" w:lineRule="auto"/>
              <w:jc w:val="center"/>
              <w:rPr>
                <w:rFonts w:eastAsia="Times New Roman" w:cs="Times New Roman"/>
                <w:color w:val="000000" w:themeColor="text1"/>
                <w:szCs w:val="24"/>
              </w:rPr>
            </w:pPr>
            <w:r w:rsidRPr="00FD2F93">
              <w:rPr>
                <w:rFonts w:eastAsia="Times New Roman" w:cs="Times New Roman"/>
                <w:color w:val="000000" w:themeColor="text1"/>
                <w:szCs w:val="24"/>
              </w:rPr>
              <w:t>Scott Bishop</w:t>
            </w:r>
          </w:p>
          <w:p w14:paraId="39BF7685" w14:textId="4DD9DE97" w:rsidR="00386F47" w:rsidRPr="009461CC" w:rsidRDefault="00E950A1" w:rsidP="00386F47">
            <w:pPr>
              <w:jc w:val="center"/>
              <w:rPr>
                <w:rFonts w:cs="Times New Roman"/>
                <w:szCs w:val="24"/>
              </w:rPr>
            </w:pPr>
            <w:r w:rsidRPr="00FD2F93">
              <w:rPr>
                <w:rFonts w:eastAsia="Times New Roman" w:cs="Times New Roman"/>
                <w:color w:val="000000" w:themeColor="text1"/>
                <w:szCs w:val="24"/>
              </w:rPr>
              <w:t>VP, Global RA and QA</w:t>
            </w:r>
          </w:p>
        </w:tc>
      </w:tr>
    </w:tbl>
    <w:p w14:paraId="51DA0A01" w14:textId="5402C604" w:rsidR="00E91403" w:rsidRPr="009461CC" w:rsidRDefault="00E91403" w:rsidP="00E91403">
      <w:pPr>
        <w:jc w:val="center"/>
        <w:rPr>
          <w:rFonts w:cs="Times New Roman"/>
          <w:b/>
        </w:rPr>
      </w:pPr>
      <w:r>
        <w:rPr>
          <w:rFonts w:cs="Times New Roman"/>
          <w:b/>
          <w:bCs/>
          <w:lang w:val="de-DE"/>
        </w:rPr>
        <w:t>Änderungsverlauf</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89"/>
        <w:gridCol w:w="1296"/>
        <w:gridCol w:w="1323"/>
        <w:gridCol w:w="3869"/>
        <w:gridCol w:w="2110"/>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de-DE"/>
              </w:rPr>
              <w:t>Revision</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de-DE"/>
              </w:rPr>
              <w:t>Datum</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de-DE"/>
              </w:rPr>
              <w:t>Abschnitte</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de-DE"/>
              </w:rPr>
              <w:t>Beschreibung der Änderung</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de-DE"/>
              </w:rPr>
              <w:t>Änderungsantrag-Nr.</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de-DE"/>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de-DE"/>
              </w:rPr>
              <w:t>22.05.2022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de-DE"/>
              </w:rPr>
              <w:t>Alle</w:t>
            </w:r>
          </w:p>
        </w:tc>
        <w:tc>
          <w:tcPr>
            <w:tcW w:w="4496" w:type="dxa"/>
            <w:tcBorders>
              <w:top w:val="double" w:sz="4" w:space="0" w:color="auto"/>
              <w:bottom w:val="single" w:sz="4" w:space="0" w:color="auto"/>
            </w:tcBorders>
          </w:tcPr>
          <w:p w14:paraId="3973A2E3" w14:textId="3D8B33BA" w:rsidR="00740900" w:rsidRPr="00FD2F93" w:rsidRDefault="00740900" w:rsidP="00740900">
            <w:pPr>
              <w:rPr>
                <w:rFonts w:cs="Times New Roman"/>
                <w:szCs w:val="24"/>
                <w:lang w:val="de-DE"/>
              </w:rPr>
            </w:pPr>
            <w:r>
              <w:rPr>
                <w:rFonts w:cs="Times New Roman"/>
                <w:szCs w:val="24"/>
                <w:lang w:val="de-DE"/>
              </w:rPr>
              <w:t>Erster Bericht – nur für den internen Gebrauch</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de-DE"/>
              </w:rPr>
              <w:t>N/A</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de-DE"/>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de-DE"/>
              </w:rPr>
              <w:t>15.12.2025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de-DE"/>
              </w:rPr>
              <w:t>Alle</w:t>
            </w:r>
          </w:p>
        </w:tc>
        <w:tc>
          <w:tcPr>
            <w:tcW w:w="4496" w:type="dxa"/>
            <w:tcBorders>
              <w:top w:val="single" w:sz="4" w:space="0" w:color="auto"/>
              <w:bottom w:val="single" w:sz="12" w:space="0" w:color="auto"/>
            </w:tcBorders>
          </w:tcPr>
          <w:p w14:paraId="3D913A75" w14:textId="09B5D375" w:rsidR="00923982" w:rsidRPr="009461CC" w:rsidRDefault="0080432B" w:rsidP="00923982">
            <w:pPr>
              <w:rPr>
                <w:rFonts w:cs="Times New Roman"/>
                <w:szCs w:val="24"/>
              </w:rPr>
            </w:pPr>
            <w:r>
              <w:rPr>
                <w:rFonts w:cs="Times New Roman"/>
                <w:szCs w:val="24"/>
                <w:lang w:val="de-DE"/>
              </w:rPr>
              <w:t>Antrag laut EU-MDR</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de-DE"/>
              </w:rPr>
              <w:t>07919</w:t>
            </w:r>
          </w:p>
        </w:tc>
      </w:tr>
    </w:tbl>
    <w:p w14:paraId="5C951A98" w14:textId="6A651DC3" w:rsidR="0005411A" w:rsidRPr="00FD2F93" w:rsidRDefault="00E91403" w:rsidP="00E91403">
      <w:pPr>
        <w:jc w:val="center"/>
        <w:rPr>
          <w:rFonts w:cs="Times New Roman"/>
          <w:lang w:val="de-DE"/>
        </w:rPr>
      </w:pPr>
      <w:r>
        <w:rPr>
          <w:rFonts w:cs="Times New Roman"/>
          <w:i/>
          <w:iCs/>
          <w:lang w:val="de-DE"/>
        </w:rPr>
        <w:t>Hinweis: Genehmigungen werden über zugehörige Änderungsanträge erfasst.</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de-DE"/>
        </w:rPr>
        <w:br w:type="page"/>
      </w:r>
      <w:r>
        <w:rPr>
          <w:rFonts w:cs="Times New Roman"/>
          <w:lang w:val="de-DE"/>
        </w:rPr>
        <w:lastRenderedPageBreak/>
        <w:t>Inhaltsverzeichnis</w:t>
      </w:r>
    </w:p>
    <w:p w14:paraId="52F970B9" w14:textId="214C5346" w:rsidR="00FD2F93" w:rsidRDefault="006F0810">
      <w:pPr>
        <w:pStyle w:val="TOC1"/>
        <w:rPr>
          <w:rFonts w:asciiTheme="minorHAnsi" w:eastAsiaTheme="minorEastAsia" w:hAnsiTheme="minorHAnsi" w:cstheme="minorBidi"/>
          <w:noProof/>
          <w:kern w:val="2"/>
          <w:lang w:eastAsia="zh-CN"/>
          <w14:ligatures w14:val="standardContextual"/>
        </w:rPr>
      </w:pPr>
      <w:r>
        <w:rPr>
          <w:lang w:val="de-DE"/>
        </w:rPr>
        <w:fldChar w:fldCharType="begin"/>
      </w:r>
      <w:r>
        <w:instrText xml:space="preserve"> TOC \o "1-3" \h \z \u </w:instrText>
      </w:r>
      <w:r>
        <w:fldChar w:fldCharType="separate"/>
      </w:r>
      <w:hyperlink w:anchor="_Toc222741394" w:history="1">
        <w:r w:rsidR="00FD2F93" w:rsidRPr="00F1651F">
          <w:rPr>
            <w:rStyle w:val="Hyperlink"/>
            <w:noProof/>
          </w:rPr>
          <w:t>1.</w:t>
        </w:r>
        <w:r w:rsidR="00FD2F93">
          <w:rPr>
            <w:rFonts w:asciiTheme="minorHAnsi" w:eastAsiaTheme="minorEastAsia" w:hAnsiTheme="minorHAnsi" w:cstheme="minorBidi"/>
            <w:noProof/>
            <w:kern w:val="2"/>
            <w:lang w:eastAsia="zh-CN"/>
            <w14:ligatures w14:val="standardContextual"/>
          </w:rPr>
          <w:tab/>
        </w:r>
        <w:r w:rsidR="00FD2F93" w:rsidRPr="00F1651F">
          <w:rPr>
            <w:rStyle w:val="Hyperlink"/>
            <w:bCs/>
            <w:noProof/>
            <w:lang w:val="de-DE"/>
          </w:rPr>
          <w:t>Umfang dieser Zusammenfassung der Sicherheit und klinischen Leistung (SSCP):</w:t>
        </w:r>
        <w:r w:rsidR="00FD2F93">
          <w:rPr>
            <w:noProof/>
            <w:webHidden/>
          </w:rPr>
          <w:tab/>
        </w:r>
        <w:r w:rsidR="00FD2F93">
          <w:rPr>
            <w:noProof/>
            <w:webHidden/>
          </w:rPr>
          <w:fldChar w:fldCharType="begin"/>
        </w:r>
        <w:r w:rsidR="00FD2F93">
          <w:rPr>
            <w:noProof/>
            <w:webHidden/>
          </w:rPr>
          <w:instrText xml:space="preserve"> PAGEREF _Toc222741394 \h </w:instrText>
        </w:r>
        <w:r w:rsidR="00FD2F93">
          <w:rPr>
            <w:noProof/>
            <w:webHidden/>
          </w:rPr>
        </w:r>
        <w:r w:rsidR="00FD2F93">
          <w:rPr>
            <w:noProof/>
            <w:webHidden/>
          </w:rPr>
          <w:fldChar w:fldCharType="separate"/>
        </w:r>
        <w:r w:rsidR="006F1791">
          <w:rPr>
            <w:noProof/>
            <w:webHidden/>
          </w:rPr>
          <w:t>3</w:t>
        </w:r>
        <w:r w:rsidR="00FD2F93">
          <w:rPr>
            <w:noProof/>
            <w:webHidden/>
          </w:rPr>
          <w:fldChar w:fldCharType="end"/>
        </w:r>
      </w:hyperlink>
    </w:p>
    <w:p w14:paraId="46663D34" w14:textId="14C2F5E8"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395" w:history="1">
        <w:r w:rsidRPr="00F1651F">
          <w:rPr>
            <w:rStyle w:val="Hyperlink"/>
            <w:noProof/>
          </w:rPr>
          <w:t>1.1.</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Produkt-Handelsname:</w:t>
        </w:r>
        <w:r>
          <w:rPr>
            <w:noProof/>
            <w:webHidden/>
          </w:rPr>
          <w:tab/>
        </w:r>
        <w:r>
          <w:rPr>
            <w:noProof/>
            <w:webHidden/>
          </w:rPr>
          <w:fldChar w:fldCharType="begin"/>
        </w:r>
        <w:r>
          <w:rPr>
            <w:noProof/>
            <w:webHidden/>
          </w:rPr>
          <w:instrText xml:space="preserve"> PAGEREF _Toc222741395 \h </w:instrText>
        </w:r>
        <w:r>
          <w:rPr>
            <w:noProof/>
            <w:webHidden/>
          </w:rPr>
        </w:r>
        <w:r>
          <w:rPr>
            <w:noProof/>
            <w:webHidden/>
          </w:rPr>
          <w:fldChar w:fldCharType="separate"/>
        </w:r>
        <w:r w:rsidR="006F1791">
          <w:rPr>
            <w:noProof/>
            <w:webHidden/>
          </w:rPr>
          <w:t>3</w:t>
        </w:r>
        <w:r>
          <w:rPr>
            <w:noProof/>
            <w:webHidden/>
          </w:rPr>
          <w:fldChar w:fldCharType="end"/>
        </w:r>
      </w:hyperlink>
    </w:p>
    <w:p w14:paraId="5B46BF1E" w14:textId="0CD7A9BB"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396" w:history="1">
        <w:r w:rsidRPr="00F1651F">
          <w:rPr>
            <w:rStyle w:val="Hyperlink"/>
            <w:noProof/>
          </w:rPr>
          <w:t>1.2.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Produktbeschreibung, Basis-UDI-DI und EU-Klassifizierung:</w:t>
        </w:r>
        <w:r>
          <w:rPr>
            <w:noProof/>
            <w:webHidden/>
          </w:rPr>
          <w:tab/>
        </w:r>
        <w:r>
          <w:rPr>
            <w:noProof/>
            <w:webHidden/>
          </w:rPr>
          <w:fldChar w:fldCharType="begin"/>
        </w:r>
        <w:r>
          <w:rPr>
            <w:noProof/>
            <w:webHidden/>
          </w:rPr>
          <w:instrText xml:space="preserve"> PAGEREF _Toc222741396 \h </w:instrText>
        </w:r>
        <w:r>
          <w:rPr>
            <w:noProof/>
            <w:webHidden/>
          </w:rPr>
        </w:r>
        <w:r>
          <w:rPr>
            <w:noProof/>
            <w:webHidden/>
          </w:rPr>
          <w:fldChar w:fldCharType="separate"/>
        </w:r>
        <w:r w:rsidR="006F1791">
          <w:rPr>
            <w:noProof/>
            <w:webHidden/>
          </w:rPr>
          <w:t>3</w:t>
        </w:r>
        <w:r>
          <w:rPr>
            <w:noProof/>
            <w:webHidden/>
          </w:rPr>
          <w:fldChar w:fldCharType="end"/>
        </w:r>
      </w:hyperlink>
    </w:p>
    <w:p w14:paraId="441EC9D3" w14:textId="6A004219"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397" w:history="1">
        <w:r w:rsidRPr="00F1651F">
          <w:rPr>
            <w:rStyle w:val="Hyperlink"/>
            <w:noProof/>
          </w:rPr>
          <w:t>1.3.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Jahr, in dem das erste Zertifikat (CE) für das Produkt ausgestellt wurde:</w:t>
        </w:r>
        <w:r>
          <w:rPr>
            <w:noProof/>
            <w:webHidden/>
          </w:rPr>
          <w:tab/>
        </w:r>
        <w:r>
          <w:rPr>
            <w:noProof/>
            <w:webHidden/>
          </w:rPr>
          <w:fldChar w:fldCharType="begin"/>
        </w:r>
        <w:r>
          <w:rPr>
            <w:noProof/>
            <w:webHidden/>
          </w:rPr>
          <w:instrText xml:space="preserve"> PAGEREF _Toc222741397 \h </w:instrText>
        </w:r>
        <w:r>
          <w:rPr>
            <w:noProof/>
            <w:webHidden/>
          </w:rPr>
        </w:r>
        <w:r>
          <w:rPr>
            <w:noProof/>
            <w:webHidden/>
          </w:rPr>
          <w:fldChar w:fldCharType="separate"/>
        </w:r>
        <w:r w:rsidR="006F1791">
          <w:rPr>
            <w:noProof/>
            <w:webHidden/>
          </w:rPr>
          <w:t>3</w:t>
        </w:r>
        <w:r>
          <w:rPr>
            <w:noProof/>
            <w:webHidden/>
          </w:rPr>
          <w:fldChar w:fldCharType="end"/>
        </w:r>
      </w:hyperlink>
    </w:p>
    <w:p w14:paraId="6C317B04" w14:textId="1144C76F"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398" w:history="1">
        <w:r w:rsidRPr="00F1651F">
          <w:rPr>
            <w:rStyle w:val="Hyperlink"/>
            <w:noProof/>
          </w:rPr>
          <w:t>1.4.</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Herstellername, Anschrift und SRN:</w:t>
        </w:r>
        <w:r>
          <w:rPr>
            <w:noProof/>
            <w:webHidden/>
          </w:rPr>
          <w:tab/>
        </w:r>
        <w:r>
          <w:rPr>
            <w:noProof/>
            <w:webHidden/>
          </w:rPr>
          <w:fldChar w:fldCharType="begin"/>
        </w:r>
        <w:r>
          <w:rPr>
            <w:noProof/>
            <w:webHidden/>
          </w:rPr>
          <w:instrText xml:space="preserve"> PAGEREF _Toc222741398 \h </w:instrText>
        </w:r>
        <w:r>
          <w:rPr>
            <w:noProof/>
            <w:webHidden/>
          </w:rPr>
        </w:r>
        <w:r>
          <w:rPr>
            <w:noProof/>
            <w:webHidden/>
          </w:rPr>
          <w:fldChar w:fldCharType="separate"/>
        </w:r>
        <w:r w:rsidR="006F1791">
          <w:rPr>
            <w:noProof/>
            <w:webHidden/>
          </w:rPr>
          <w:t>4</w:t>
        </w:r>
        <w:r>
          <w:rPr>
            <w:noProof/>
            <w:webHidden/>
          </w:rPr>
          <w:fldChar w:fldCharType="end"/>
        </w:r>
      </w:hyperlink>
    </w:p>
    <w:p w14:paraId="414940B7" w14:textId="1EB00665"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399" w:history="1">
        <w:r w:rsidRPr="00F1651F">
          <w:rPr>
            <w:rStyle w:val="Hyperlink"/>
            <w:noProof/>
          </w:rPr>
          <w:t>1.5.</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Name und SRN des Bevollmächtigten:</w:t>
        </w:r>
        <w:r>
          <w:rPr>
            <w:noProof/>
            <w:webHidden/>
          </w:rPr>
          <w:tab/>
        </w:r>
        <w:r>
          <w:rPr>
            <w:noProof/>
            <w:webHidden/>
          </w:rPr>
          <w:fldChar w:fldCharType="begin"/>
        </w:r>
        <w:r>
          <w:rPr>
            <w:noProof/>
            <w:webHidden/>
          </w:rPr>
          <w:instrText xml:space="preserve"> PAGEREF _Toc222741399 \h </w:instrText>
        </w:r>
        <w:r>
          <w:rPr>
            <w:noProof/>
            <w:webHidden/>
          </w:rPr>
        </w:r>
        <w:r>
          <w:rPr>
            <w:noProof/>
            <w:webHidden/>
          </w:rPr>
          <w:fldChar w:fldCharType="separate"/>
        </w:r>
        <w:r w:rsidR="006F1791">
          <w:rPr>
            <w:noProof/>
            <w:webHidden/>
          </w:rPr>
          <w:t>4</w:t>
        </w:r>
        <w:r>
          <w:rPr>
            <w:noProof/>
            <w:webHidden/>
          </w:rPr>
          <w:fldChar w:fldCharType="end"/>
        </w:r>
      </w:hyperlink>
    </w:p>
    <w:p w14:paraId="3244747D" w14:textId="219B9D7D"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0" w:history="1">
        <w:r w:rsidRPr="00F1651F">
          <w:rPr>
            <w:rStyle w:val="Hyperlink"/>
            <w:noProof/>
          </w:rPr>
          <w:t>1.6.</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Name der BS und Einzelidentifikationsnummer:</w:t>
        </w:r>
        <w:r>
          <w:rPr>
            <w:noProof/>
            <w:webHidden/>
          </w:rPr>
          <w:tab/>
        </w:r>
        <w:r>
          <w:rPr>
            <w:noProof/>
            <w:webHidden/>
          </w:rPr>
          <w:fldChar w:fldCharType="begin"/>
        </w:r>
        <w:r>
          <w:rPr>
            <w:noProof/>
            <w:webHidden/>
          </w:rPr>
          <w:instrText xml:space="preserve"> PAGEREF _Toc222741400 \h </w:instrText>
        </w:r>
        <w:r>
          <w:rPr>
            <w:noProof/>
            <w:webHidden/>
          </w:rPr>
        </w:r>
        <w:r>
          <w:rPr>
            <w:noProof/>
            <w:webHidden/>
          </w:rPr>
          <w:fldChar w:fldCharType="separate"/>
        </w:r>
        <w:r w:rsidR="006F1791">
          <w:rPr>
            <w:noProof/>
            <w:webHidden/>
          </w:rPr>
          <w:t>4</w:t>
        </w:r>
        <w:r>
          <w:rPr>
            <w:noProof/>
            <w:webHidden/>
          </w:rPr>
          <w:fldChar w:fldCharType="end"/>
        </w:r>
      </w:hyperlink>
    </w:p>
    <w:p w14:paraId="0735A83F" w14:textId="08D9F315"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1" w:history="1">
        <w:r w:rsidRPr="00F1651F">
          <w:rPr>
            <w:rStyle w:val="Hyperlink"/>
            <w:noProof/>
          </w:rPr>
          <w:t>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Verwendungszweck/Bestimmungsgemäße Verwendung des Produkts</w:t>
        </w:r>
        <w:r>
          <w:rPr>
            <w:noProof/>
            <w:webHidden/>
          </w:rPr>
          <w:tab/>
        </w:r>
        <w:r>
          <w:rPr>
            <w:noProof/>
            <w:webHidden/>
          </w:rPr>
          <w:fldChar w:fldCharType="begin"/>
        </w:r>
        <w:r>
          <w:rPr>
            <w:noProof/>
            <w:webHidden/>
          </w:rPr>
          <w:instrText xml:space="preserve"> PAGEREF _Toc222741401 \h </w:instrText>
        </w:r>
        <w:r>
          <w:rPr>
            <w:noProof/>
            <w:webHidden/>
          </w:rPr>
        </w:r>
        <w:r>
          <w:rPr>
            <w:noProof/>
            <w:webHidden/>
          </w:rPr>
          <w:fldChar w:fldCharType="separate"/>
        </w:r>
        <w:r w:rsidR="006F1791">
          <w:rPr>
            <w:noProof/>
            <w:webHidden/>
          </w:rPr>
          <w:t>4</w:t>
        </w:r>
        <w:r>
          <w:rPr>
            <w:noProof/>
            <w:webHidden/>
          </w:rPr>
          <w:fldChar w:fldCharType="end"/>
        </w:r>
      </w:hyperlink>
    </w:p>
    <w:p w14:paraId="30841B48" w14:textId="704237FD"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2" w:history="1">
        <w:r w:rsidRPr="00F1651F">
          <w:rPr>
            <w:rStyle w:val="Hyperlink"/>
            <w:noProof/>
          </w:rPr>
          <w:t>2.1.</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Verwendungszweck/Bestimmungsgemäße Verwendung</w:t>
        </w:r>
        <w:r>
          <w:rPr>
            <w:noProof/>
            <w:webHidden/>
          </w:rPr>
          <w:tab/>
        </w:r>
        <w:r>
          <w:rPr>
            <w:noProof/>
            <w:webHidden/>
          </w:rPr>
          <w:fldChar w:fldCharType="begin"/>
        </w:r>
        <w:r>
          <w:rPr>
            <w:noProof/>
            <w:webHidden/>
          </w:rPr>
          <w:instrText xml:space="preserve"> PAGEREF _Toc222741402 \h </w:instrText>
        </w:r>
        <w:r>
          <w:rPr>
            <w:noProof/>
            <w:webHidden/>
          </w:rPr>
        </w:r>
        <w:r>
          <w:rPr>
            <w:noProof/>
            <w:webHidden/>
          </w:rPr>
          <w:fldChar w:fldCharType="separate"/>
        </w:r>
        <w:r w:rsidR="006F1791">
          <w:rPr>
            <w:noProof/>
            <w:webHidden/>
          </w:rPr>
          <w:t>5</w:t>
        </w:r>
        <w:r>
          <w:rPr>
            <w:noProof/>
            <w:webHidden/>
          </w:rPr>
          <w:fldChar w:fldCharType="end"/>
        </w:r>
      </w:hyperlink>
    </w:p>
    <w:p w14:paraId="57175AF1" w14:textId="1AF2BA90"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3" w:history="1">
        <w:r w:rsidRPr="00F1651F">
          <w:rPr>
            <w:rStyle w:val="Hyperlink"/>
            <w:noProof/>
          </w:rPr>
          <w:t>2.2.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Anwendungsgebiete</w:t>
        </w:r>
        <w:r>
          <w:rPr>
            <w:noProof/>
            <w:webHidden/>
          </w:rPr>
          <w:tab/>
        </w:r>
        <w:r>
          <w:rPr>
            <w:noProof/>
            <w:webHidden/>
          </w:rPr>
          <w:fldChar w:fldCharType="begin"/>
        </w:r>
        <w:r>
          <w:rPr>
            <w:noProof/>
            <w:webHidden/>
          </w:rPr>
          <w:instrText xml:space="preserve"> PAGEREF _Toc222741403 \h </w:instrText>
        </w:r>
        <w:r>
          <w:rPr>
            <w:noProof/>
            <w:webHidden/>
          </w:rPr>
        </w:r>
        <w:r>
          <w:rPr>
            <w:noProof/>
            <w:webHidden/>
          </w:rPr>
          <w:fldChar w:fldCharType="separate"/>
        </w:r>
        <w:r w:rsidR="006F1791">
          <w:rPr>
            <w:noProof/>
            <w:webHidden/>
          </w:rPr>
          <w:t>5</w:t>
        </w:r>
        <w:r>
          <w:rPr>
            <w:noProof/>
            <w:webHidden/>
          </w:rPr>
          <w:fldChar w:fldCharType="end"/>
        </w:r>
      </w:hyperlink>
    </w:p>
    <w:p w14:paraId="3608BBD3" w14:textId="31A6EE2E"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4" w:history="1">
        <w:r w:rsidRPr="00F1651F">
          <w:rPr>
            <w:rStyle w:val="Hyperlink"/>
            <w:noProof/>
          </w:rPr>
          <w:t>2.3.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Zielpopulation</w:t>
        </w:r>
        <w:r>
          <w:rPr>
            <w:noProof/>
            <w:webHidden/>
          </w:rPr>
          <w:tab/>
        </w:r>
        <w:r>
          <w:rPr>
            <w:noProof/>
            <w:webHidden/>
          </w:rPr>
          <w:fldChar w:fldCharType="begin"/>
        </w:r>
        <w:r>
          <w:rPr>
            <w:noProof/>
            <w:webHidden/>
          </w:rPr>
          <w:instrText xml:space="preserve"> PAGEREF _Toc222741404 \h </w:instrText>
        </w:r>
        <w:r>
          <w:rPr>
            <w:noProof/>
            <w:webHidden/>
          </w:rPr>
        </w:r>
        <w:r>
          <w:rPr>
            <w:noProof/>
            <w:webHidden/>
          </w:rPr>
          <w:fldChar w:fldCharType="separate"/>
        </w:r>
        <w:r w:rsidR="006F1791">
          <w:rPr>
            <w:noProof/>
            <w:webHidden/>
          </w:rPr>
          <w:t>5</w:t>
        </w:r>
        <w:r>
          <w:rPr>
            <w:noProof/>
            <w:webHidden/>
          </w:rPr>
          <w:fldChar w:fldCharType="end"/>
        </w:r>
      </w:hyperlink>
    </w:p>
    <w:p w14:paraId="081A5331" w14:textId="2C4B8B42"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5" w:history="1">
        <w:r w:rsidRPr="00F1651F">
          <w:rPr>
            <w:rStyle w:val="Hyperlink"/>
            <w:noProof/>
          </w:rPr>
          <w:t>2.4.</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Kontraindikationen</w:t>
        </w:r>
        <w:r>
          <w:rPr>
            <w:noProof/>
            <w:webHidden/>
          </w:rPr>
          <w:tab/>
        </w:r>
        <w:r>
          <w:rPr>
            <w:noProof/>
            <w:webHidden/>
          </w:rPr>
          <w:fldChar w:fldCharType="begin"/>
        </w:r>
        <w:r>
          <w:rPr>
            <w:noProof/>
            <w:webHidden/>
          </w:rPr>
          <w:instrText xml:space="preserve"> PAGEREF _Toc222741405 \h </w:instrText>
        </w:r>
        <w:r>
          <w:rPr>
            <w:noProof/>
            <w:webHidden/>
          </w:rPr>
        </w:r>
        <w:r>
          <w:rPr>
            <w:noProof/>
            <w:webHidden/>
          </w:rPr>
          <w:fldChar w:fldCharType="separate"/>
        </w:r>
        <w:r w:rsidR="006F1791">
          <w:rPr>
            <w:noProof/>
            <w:webHidden/>
          </w:rPr>
          <w:t>5</w:t>
        </w:r>
        <w:r>
          <w:rPr>
            <w:noProof/>
            <w:webHidden/>
          </w:rPr>
          <w:fldChar w:fldCharType="end"/>
        </w:r>
      </w:hyperlink>
    </w:p>
    <w:p w14:paraId="74F6217D" w14:textId="10839C9B"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6" w:history="1">
        <w:r w:rsidRPr="00F1651F">
          <w:rPr>
            <w:rStyle w:val="Hyperlink"/>
            <w:noProof/>
          </w:rPr>
          <w:t>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Produktbeschreibung</w:t>
        </w:r>
        <w:r>
          <w:rPr>
            <w:noProof/>
            <w:webHidden/>
          </w:rPr>
          <w:tab/>
        </w:r>
        <w:r>
          <w:rPr>
            <w:noProof/>
            <w:webHidden/>
          </w:rPr>
          <w:fldChar w:fldCharType="begin"/>
        </w:r>
        <w:r>
          <w:rPr>
            <w:noProof/>
            <w:webHidden/>
          </w:rPr>
          <w:instrText xml:space="preserve"> PAGEREF _Toc222741406 \h </w:instrText>
        </w:r>
        <w:r>
          <w:rPr>
            <w:noProof/>
            <w:webHidden/>
          </w:rPr>
        </w:r>
        <w:r>
          <w:rPr>
            <w:noProof/>
            <w:webHidden/>
          </w:rPr>
          <w:fldChar w:fldCharType="separate"/>
        </w:r>
        <w:r w:rsidR="006F1791">
          <w:rPr>
            <w:noProof/>
            <w:webHidden/>
          </w:rPr>
          <w:t>5</w:t>
        </w:r>
        <w:r>
          <w:rPr>
            <w:noProof/>
            <w:webHidden/>
          </w:rPr>
          <w:fldChar w:fldCharType="end"/>
        </w:r>
      </w:hyperlink>
    </w:p>
    <w:p w14:paraId="216FBC70" w14:textId="5409AD1E"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7" w:history="1">
        <w:r w:rsidRPr="00F1651F">
          <w:rPr>
            <w:rStyle w:val="Hyperlink"/>
            <w:noProof/>
          </w:rPr>
          <w:t>3.1.</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Beschreibung des Produkts</w:t>
        </w:r>
        <w:r>
          <w:rPr>
            <w:noProof/>
            <w:webHidden/>
          </w:rPr>
          <w:tab/>
        </w:r>
        <w:r>
          <w:rPr>
            <w:noProof/>
            <w:webHidden/>
          </w:rPr>
          <w:fldChar w:fldCharType="begin"/>
        </w:r>
        <w:r>
          <w:rPr>
            <w:noProof/>
            <w:webHidden/>
          </w:rPr>
          <w:instrText xml:space="preserve"> PAGEREF _Toc222741407 \h </w:instrText>
        </w:r>
        <w:r>
          <w:rPr>
            <w:noProof/>
            <w:webHidden/>
          </w:rPr>
        </w:r>
        <w:r>
          <w:rPr>
            <w:noProof/>
            <w:webHidden/>
          </w:rPr>
          <w:fldChar w:fldCharType="separate"/>
        </w:r>
        <w:r w:rsidR="006F1791">
          <w:rPr>
            <w:noProof/>
            <w:webHidden/>
          </w:rPr>
          <w:t>5</w:t>
        </w:r>
        <w:r>
          <w:rPr>
            <w:noProof/>
            <w:webHidden/>
          </w:rPr>
          <w:fldChar w:fldCharType="end"/>
        </w:r>
      </w:hyperlink>
    </w:p>
    <w:p w14:paraId="569CCA1C" w14:textId="3A2ACB0D"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8" w:history="1">
        <w:r w:rsidRPr="00F1651F">
          <w:rPr>
            <w:rStyle w:val="Hyperlink"/>
            <w:noProof/>
          </w:rPr>
          <w:t>3.2.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Bisherige Varianten und ihre Unterschiede</w:t>
        </w:r>
        <w:r>
          <w:rPr>
            <w:noProof/>
            <w:webHidden/>
          </w:rPr>
          <w:tab/>
        </w:r>
        <w:r>
          <w:rPr>
            <w:noProof/>
            <w:webHidden/>
          </w:rPr>
          <w:fldChar w:fldCharType="begin"/>
        </w:r>
        <w:r>
          <w:rPr>
            <w:noProof/>
            <w:webHidden/>
          </w:rPr>
          <w:instrText xml:space="preserve"> PAGEREF _Toc222741408 \h </w:instrText>
        </w:r>
        <w:r>
          <w:rPr>
            <w:noProof/>
            <w:webHidden/>
          </w:rPr>
        </w:r>
        <w:r>
          <w:rPr>
            <w:noProof/>
            <w:webHidden/>
          </w:rPr>
          <w:fldChar w:fldCharType="separate"/>
        </w:r>
        <w:r w:rsidR="006F1791">
          <w:rPr>
            <w:noProof/>
            <w:webHidden/>
          </w:rPr>
          <w:t>6</w:t>
        </w:r>
        <w:r>
          <w:rPr>
            <w:noProof/>
            <w:webHidden/>
          </w:rPr>
          <w:fldChar w:fldCharType="end"/>
        </w:r>
      </w:hyperlink>
    </w:p>
    <w:p w14:paraId="58028191" w14:textId="5B5C984F"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09" w:history="1">
        <w:r w:rsidRPr="00F1651F">
          <w:rPr>
            <w:rStyle w:val="Hyperlink"/>
            <w:noProof/>
          </w:rPr>
          <w:t>3.3.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Zubehör, kompatible Geräte und andere Produkte, die in Kombination verwendet werden</w:t>
        </w:r>
        <w:r>
          <w:rPr>
            <w:noProof/>
            <w:webHidden/>
          </w:rPr>
          <w:tab/>
        </w:r>
        <w:r>
          <w:rPr>
            <w:noProof/>
            <w:webHidden/>
          </w:rPr>
          <w:fldChar w:fldCharType="begin"/>
        </w:r>
        <w:r>
          <w:rPr>
            <w:noProof/>
            <w:webHidden/>
          </w:rPr>
          <w:instrText xml:space="preserve"> PAGEREF _Toc222741409 \h </w:instrText>
        </w:r>
        <w:r>
          <w:rPr>
            <w:noProof/>
            <w:webHidden/>
          </w:rPr>
        </w:r>
        <w:r>
          <w:rPr>
            <w:noProof/>
            <w:webHidden/>
          </w:rPr>
          <w:fldChar w:fldCharType="separate"/>
        </w:r>
        <w:r w:rsidR="006F1791">
          <w:rPr>
            <w:noProof/>
            <w:webHidden/>
          </w:rPr>
          <w:t>6</w:t>
        </w:r>
        <w:r>
          <w:rPr>
            <w:noProof/>
            <w:webHidden/>
          </w:rPr>
          <w:fldChar w:fldCharType="end"/>
        </w:r>
      </w:hyperlink>
    </w:p>
    <w:p w14:paraId="73317901" w14:textId="1FCB2949"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0" w:history="1">
        <w:r w:rsidRPr="00F1651F">
          <w:rPr>
            <w:rStyle w:val="Hyperlink"/>
            <w:noProof/>
          </w:rPr>
          <w:t>4.</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Risiken und Warnungen</w:t>
        </w:r>
        <w:r>
          <w:rPr>
            <w:noProof/>
            <w:webHidden/>
          </w:rPr>
          <w:tab/>
        </w:r>
        <w:r>
          <w:rPr>
            <w:noProof/>
            <w:webHidden/>
          </w:rPr>
          <w:fldChar w:fldCharType="begin"/>
        </w:r>
        <w:r>
          <w:rPr>
            <w:noProof/>
            <w:webHidden/>
          </w:rPr>
          <w:instrText xml:space="preserve"> PAGEREF _Toc222741410 \h </w:instrText>
        </w:r>
        <w:r>
          <w:rPr>
            <w:noProof/>
            <w:webHidden/>
          </w:rPr>
        </w:r>
        <w:r>
          <w:rPr>
            <w:noProof/>
            <w:webHidden/>
          </w:rPr>
          <w:fldChar w:fldCharType="separate"/>
        </w:r>
        <w:r w:rsidR="006F1791">
          <w:rPr>
            <w:noProof/>
            <w:webHidden/>
          </w:rPr>
          <w:t>6</w:t>
        </w:r>
        <w:r>
          <w:rPr>
            <w:noProof/>
            <w:webHidden/>
          </w:rPr>
          <w:fldChar w:fldCharType="end"/>
        </w:r>
      </w:hyperlink>
    </w:p>
    <w:p w14:paraId="4BFC19B1" w14:textId="036C8627"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1" w:history="1">
        <w:r w:rsidRPr="00F1651F">
          <w:rPr>
            <w:rStyle w:val="Hyperlink"/>
            <w:noProof/>
          </w:rPr>
          <w:t>4.1.</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Restrisiken und unerwünschte Nebeneffekte</w:t>
        </w:r>
        <w:r>
          <w:rPr>
            <w:noProof/>
            <w:webHidden/>
          </w:rPr>
          <w:tab/>
        </w:r>
        <w:r>
          <w:rPr>
            <w:noProof/>
            <w:webHidden/>
          </w:rPr>
          <w:fldChar w:fldCharType="begin"/>
        </w:r>
        <w:r>
          <w:rPr>
            <w:noProof/>
            <w:webHidden/>
          </w:rPr>
          <w:instrText xml:space="preserve"> PAGEREF _Toc222741411 \h </w:instrText>
        </w:r>
        <w:r>
          <w:rPr>
            <w:noProof/>
            <w:webHidden/>
          </w:rPr>
        </w:r>
        <w:r>
          <w:rPr>
            <w:noProof/>
            <w:webHidden/>
          </w:rPr>
          <w:fldChar w:fldCharType="separate"/>
        </w:r>
        <w:r w:rsidR="006F1791">
          <w:rPr>
            <w:noProof/>
            <w:webHidden/>
          </w:rPr>
          <w:t>6</w:t>
        </w:r>
        <w:r>
          <w:rPr>
            <w:noProof/>
            <w:webHidden/>
          </w:rPr>
          <w:fldChar w:fldCharType="end"/>
        </w:r>
      </w:hyperlink>
    </w:p>
    <w:p w14:paraId="21727E95" w14:textId="7A7942AE"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2" w:history="1">
        <w:r w:rsidRPr="00F1651F">
          <w:rPr>
            <w:rStyle w:val="Hyperlink"/>
            <w:noProof/>
          </w:rPr>
          <w:t>4.2.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Warnhinweise und Vorsichtsmaßnahmen</w:t>
        </w:r>
        <w:r>
          <w:rPr>
            <w:noProof/>
            <w:webHidden/>
          </w:rPr>
          <w:tab/>
        </w:r>
        <w:r>
          <w:rPr>
            <w:noProof/>
            <w:webHidden/>
          </w:rPr>
          <w:fldChar w:fldCharType="begin"/>
        </w:r>
        <w:r>
          <w:rPr>
            <w:noProof/>
            <w:webHidden/>
          </w:rPr>
          <w:instrText xml:space="preserve"> PAGEREF _Toc222741412 \h </w:instrText>
        </w:r>
        <w:r>
          <w:rPr>
            <w:noProof/>
            <w:webHidden/>
          </w:rPr>
        </w:r>
        <w:r>
          <w:rPr>
            <w:noProof/>
            <w:webHidden/>
          </w:rPr>
          <w:fldChar w:fldCharType="separate"/>
        </w:r>
        <w:r w:rsidR="006F1791">
          <w:rPr>
            <w:noProof/>
            <w:webHidden/>
          </w:rPr>
          <w:t>7</w:t>
        </w:r>
        <w:r>
          <w:rPr>
            <w:noProof/>
            <w:webHidden/>
          </w:rPr>
          <w:fldChar w:fldCharType="end"/>
        </w:r>
      </w:hyperlink>
    </w:p>
    <w:p w14:paraId="406EE775" w14:textId="306040A8"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3" w:history="1">
        <w:r w:rsidRPr="00F1651F">
          <w:rPr>
            <w:rStyle w:val="Hyperlink"/>
            <w:noProof/>
          </w:rPr>
          <w:t>4.3.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Andere relevante Sicherheitsaspekte, einschließlich einer Zusammenfassung aller Sicherheitskorrekturmaßnahmen im Feld (FSCA einschließlich FSN), sofern zutreffend</w:t>
        </w:r>
        <w:r>
          <w:rPr>
            <w:noProof/>
            <w:webHidden/>
          </w:rPr>
          <w:tab/>
        </w:r>
        <w:r>
          <w:rPr>
            <w:noProof/>
            <w:webHidden/>
          </w:rPr>
          <w:fldChar w:fldCharType="begin"/>
        </w:r>
        <w:r>
          <w:rPr>
            <w:noProof/>
            <w:webHidden/>
          </w:rPr>
          <w:instrText xml:space="preserve"> PAGEREF _Toc222741413 \h </w:instrText>
        </w:r>
        <w:r>
          <w:rPr>
            <w:noProof/>
            <w:webHidden/>
          </w:rPr>
        </w:r>
        <w:r>
          <w:rPr>
            <w:noProof/>
            <w:webHidden/>
          </w:rPr>
          <w:fldChar w:fldCharType="separate"/>
        </w:r>
        <w:r w:rsidR="006F1791">
          <w:rPr>
            <w:noProof/>
            <w:webHidden/>
          </w:rPr>
          <w:t>8</w:t>
        </w:r>
        <w:r>
          <w:rPr>
            <w:noProof/>
            <w:webHidden/>
          </w:rPr>
          <w:fldChar w:fldCharType="end"/>
        </w:r>
      </w:hyperlink>
    </w:p>
    <w:p w14:paraId="79B2385C" w14:textId="6395BA25"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4" w:history="1">
        <w:r w:rsidRPr="00F1651F">
          <w:rPr>
            <w:rStyle w:val="Hyperlink"/>
            <w:noProof/>
          </w:rPr>
          <w:t>5.</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Zusammenfassung der klinischen Bewertung und der klinischen Nachbeobachtung nach dem Inverkehrbringen (PMCF)</w:t>
        </w:r>
        <w:r>
          <w:rPr>
            <w:noProof/>
            <w:webHidden/>
          </w:rPr>
          <w:tab/>
        </w:r>
        <w:r>
          <w:rPr>
            <w:noProof/>
            <w:webHidden/>
          </w:rPr>
          <w:fldChar w:fldCharType="begin"/>
        </w:r>
        <w:r>
          <w:rPr>
            <w:noProof/>
            <w:webHidden/>
          </w:rPr>
          <w:instrText xml:space="preserve"> PAGEREF _Toc222741414 \h </w:instrText>
        </w:r>
        <w:r>
          <w:rPr>
            <w:noProof/>
            <w:webHidden/>
          </w:rPr>
        </w:r>
        <w:r>
          <w:rPr>
            <w:noProof/>
            <w:webHidden/>
          </w:rPr>
          <w:fldChar w:fldCharType="separate"/>
        </w:r>
        <w:r w:rsidR="006F1791">
          <w:rPr>
            <w:noProof/>
            <w:webHidden/>
          </w:rPr>
          <w:t>8</w:t>
        </w:r>
        <w:r>
          <w:rPr>
            <w:noProof/>
            <w:webHidden/>
          </w:rPr>
          <w:fldChar w:fldCharType="end"/>
        </w:r>
      </w:hyperlink>
    </w:p>
    <w:p w14:paraId="45291EDA" w14:textId="2F06BB6A"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5" w:history="1">
        <w:r w:rsidRPr="00F1651F">
          <w:rPr>
            <w:rStyle w:val="Hyperlink"/>
            <w:noProof/>
          </w:rPr>
          <w:t>5.1.</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Zusammenfassung der klinischen Daten zu einem gleichwertigen Produkt, falls zutreffend</w:t>
        </w:r>
        <w:r>
          <w:rPr>
            <w:noProof/>
            <w:webHidden/>
          </w:rPr>
          <w:tab/>
        </w:r>
        <w:r>
          <w:rPr>
            <w:noProof/>
            <w:webHidden/>
          </w:rPr>
          <w:fldChar w:fldCharType="begin"/>
        </w:r>
        <w:r>
          <w:rPr>
            <w:noProof/>
            <w:webHidden/>
          </w:rPr>
          <w:instrText xml:space="preserve"> PAGEREF _Toc222741415 \h </w:instrText>
        </w:r>
        <w:r>
          <w:rPr>
            <w:noProof/>
            <w:webHidden/>
          </w:rPr>
        </w:r>
        <w:r>
          <w:rPr>
            <w:noProof/>
            <w:webHidden/>
          </w:rPr>
          <w:fldChar w:fldCharType="separate"/>
        </w:r>
        <w:r w:rsidR="006F1791">
          <w:rPr>
            <w:noProof/>
            <w:webHidden/>
          </w:rPr>
          <w:t>9</w:t>
        </w:r>
        <w:r>
          <w:rPr>
            <w:noProof/>
            <w:webHidden/>
          </w:rPr>
          <w:fldChar w:fldCharType="end"/>
        </w:r>
      </w:hyperlink>
    </w:p>
    <w:p w14:paraId="55916D95" w14:textId="1D46D200"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6" w:history="1">
        <w:r w:rsidRPr="00F1651F">
          <w:rPr>
            <w:rStyle w:val="Hyperlink"/>
            <w:noProof/>
          </w:rPr>
          <w:t>5.2.</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Zusammenfassung der klinischen Daten aus durchgeführten Prüfungen des Produkts vor der CE-Kennzeichnung, falls zutreffend</w:t>
        </w:r>
        <w:r>
          <w:rPr>
            <w:noProof/>
            <w:webHidden/>
          </w:rPr>
          <w:tab/>
        </w:r>
        <w:r>
          <w:rPr>
            <w:noProof/>
            <w:webHidden/>
          </w:rPr>
          <w:fldChar w:fldCharType="begin"/>
        </w:r>
        <w:r>
          <w:rPr>
            <w:noProof/>
            <w:webHidden/>
          </w:rPr>
          <w:instrText xml:space="preserve"> PAGEREF _Toc222741416 \h </w:instrText>
        </w:r>
        <w:r>
          <w:rPr>
            <w:noProof/>
            <w:webHidden/>
          </w:rPr>
        </w:r>
        <w:r>
          <w:rPr>
            <w:noProof/>
            <w:webHidden/>
          </w:rPr>
          <w:fldChar w:fldCharType="separate"/>
        </w:r>
        <w:r w:rsidR="006F1791">
          <w:rPr>
            <w:noProof/>
            <w:webHidden/>
          </w:rPr>
          <w:t>9</w:t>
        </w:r>
        <w:r>
          <w:rPr>
            <w:noProof/>
            <w:webHidden/>
          </w:rPr>
          <w:fldChar w:fldCharType="end"/>
        </w:r>
      </w:hyperlink>
    </w:p>
    <w:p w14:paraId="4725C58B" w14:textId="44942743"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7" w:history="1">
        <w:r w:rsidRPr="00F1651F">
          <w:rPr>
            <w:rStyle w:val="Hyperlink"/>
            <w:noProof/>
          </w:rPr>
          <w:t>5.3.</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Zusammenfassung der klinischen Daten aus anderen Quellen, falls zutreffend</w:t>
        </w:r>
        <w:r>
          <w:rPr>
            <w:noProof/>
            <w:webHidden/>
          </w:rPr>
          <w:tab/>
        </w:r>
        <w:r>
          <w:rPr>
            <w:noProof/>
            <w:webHidden/>
          </w:rPr>
          <w:fldChar w:fldCharType="begin"/>
        </w:r>
        <w:r>
          <w:rPr>
            <w:noProof/>
            <w:webHidden/>
          </w:rPr>
          <w:instrText xml:space="preserve"> PAGEREF _Toc222741417 \h </w:instrText>
        </w:r>
        <w:r>
          <w:rPr>
            <w:noProof/>
            <w:webHidden/>
          </w:rPr>
        </w:r>
        <w:r>
          <w:rPr>
            <w:noProof/>
            <w:webHidden/>
          </w:rPr>
          <w:fldChar w:fldCharType="separate"/>
        </w:r>
        <w:r w:rsidR="006F1791">
          <w:rPr>
            <w:noProof/>
            <w:webHidden/>
          </w:rPr>
          <w:t>9</w:t>
        </w:r>
        <w:r>
          <w:rPr>
            <w:noProof/>
            <w:webHidden/>
          </w:rPr>
          <w:fldChar w:fldCharType="end"/>
        </w:r>
      </w:hyperlink>
    </w:p>
    <w:p w14:paraId="0F184C3A" w14:textId="27AB284B"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8" w:history="1">
        <w:r w:rsidRPr="00F1651F">
          <w:rPr>
            <w:rStyle w:val="Hyperlink"/>
            <w:noProof/>
          </w:rPr>
          <w:t>5.4.</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Übergreifende Zusammenfassung der klinischen Leistung und Sicherheit</w:t>
        </w:r>
        <w:r>
          <w:rPr>
            <w:noProof/>
            <w:webHidden/>
          </w:rPr>
          <w:tab/>
        </w:r>
        <w:r>
          <w:rPr>
            <w:noProof/>
            <w:webHidden/>
          </w:rPr>
          <w:fldChar w:fldCharType="begin"/>
        </w:r>
        <w:r>
          <w:rPr>
            <w:noProof/>
            <w:webHidden/>
          </w:rPr>
          <w:instrText xml:space="preserve"> PAGEREF _Toc222741418 \h </w:instrText>
        </w:r>
        <w:r>
          <w:rPr>
            <w:noProof/>
            <w:webHidden/>
          </w:rPr>
        </w:r>
        <w:r>
          <w:rPr>
            <w:noProof/>
            <w:webHidden/>
          </w:rPr>
          <w:fldChar w:fldCharType="separate"/>
        </w:r>
        <w:r w:rsidR="006F1791">
          <w:rPr>
            <w:noProof/>
            <w:webHidden/>
          </w:rPr>
          <w:t>10</w:t>
        </w:r>
        <w:r>
          <w:rPr>
            <w:noProof/>
            <w:webHidden/>
          </w:rPr>
          <w:fldChar w:fldCharType="end"/>
        </w:r>
      </w:hyperlink>
    </w:p>
    <w:p w14:paraId="323101AC" w14:textId="5E33AE0A"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19" w:history="1">
        <w:r w:rsidRPr="00F1651F">
          <w:rPr>
            <w:rStyle w:val="Hyperlink"/>
            <w:noProof/>
          </w:rPr>
          <w:t>5.5.</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Laufende oder geplante klinische Nachbeobachtung nach dem Inverkehrbringen</w:t>
        </w:r>
        <w:r>
          <w:rPr>
            <w:noProof/>
            <w:webHidden/>
          </w:rPr>
          <w:tab/>
        </w:r>
        <w:r>
          <w:rPr>
            <w:noProof/>
            <w:webHidden/>
          </w:rPr>
          <w:fldChar w:fldCharType="begin"/>
        </w:r>
        <w:r>
          <w:rPr>
            <w:noProof/>
            <w:webHidden/>
          </w:rPr>
          <w:instrText xml:space="preserve"> PAGEREF _Toc222741419 \h </w:instrText>
        </w:r>
        <w:r>
          <w:rPr>
            <w:noProof/>
            <w:webHidden/>
          </w:rPr>
        </w:r>
        <w:r>
          <w:rPr>
            <w:noProof/>
            <w:webHidden/>
          </w:rPr>
          <w:fldChar w:fldCharType="separate"/>
        </w:r>
        <w:r w:rsidR="006F1791">
          <w:rPr>
            <w:noProof/>
            <w:webHidden/>
          </w:rPr>
          <w:t>11</w:t>
        </w:r>
        <w:r>
          <w:rPr>
            <w:noProof/>
            <w:webHidden/>
          </w:rPr>
          <w:fldChar w:fldCharType="end"/>
        </w:r>
      </w:hyperlink>
    </w:p>
    <w:p w14:paraId="1D19EA98" w14:textId="02835064"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20" w:history="1">
        <w:r w:rsidRPr="00F1651F">
          <w:rPr>
            <w:rStyle w:val="Hyperlink"/>
            <w:noProof/>
          </w:rPr>
          <w:t>6.</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Mögliche diagnostische oder therapeutische Alternativen</w:t>
        </w:r>
        <w:r>
          <w:rPr>
            <w:noProof/>
            <w:webHidden/>
          </w:rPr>
          <w:tab/>
        </w:r>
        <w:r>
          <w:rPr>
            <w:noProof/>
            <w:webHidden/>
          </w:rPr>
          <w:fldChar w:fldCharType="begin"/>
        </w:r>
        <w:r>
          <w:rPr>
            <w:noProof/>
            <w:webHidden/>
          </w:rPr>
          <w:instrText xml:space="preserve"> PAGEREF _Toc222741420 \h </w:instrText>
        </w:r>
        <w:r>
          <w:rPr>
            <w:noProof/>
            <w:webHidden/>
          </w:rPr>
        </w:r>
        <w:r>
          <w:rPr>
            <w:noProof/>
            <w:webHidden/>
          </w:rPr>
          <w:fldChar w:fldCharType="separate"/>
        </w:r>
        <w:r w:rsidR="006F1791">
          <w:rPr>
            <w:noProof/>
            <w:webHidden/>
          </w:rPr>
          <w:t>12</w:t>
        </w:r>
        <w:r>
          <w:rPr>
            <w:noProof/>
            <w:webHidden/>
          </w:rPr>
          <w:fldChar w:fldCharType="end"/>
        </w:r>
      </w:hyperlink>
    </w:p>
    <w:p w14:paraId="06498B29" w14:textId="288F73D8"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21" w:history="1">
        <w:r w:rsidRPr="00F1651F">
          <w:rPr>
            <w:rStyle w:val="Hyperlink"/>
            <w:noProof/>
          </w:rPr>
          <w:t>7.</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Vorgeschlagenes Profil und Schulung für Benutzer</w:t>
        </w:r>
        <w:r>
          <w:rPr>
            <w:noProof/>
            <w:webHidden/>
          </w:rPr>
          <w:tab/>
        </w:r>
        <w:r>
          <w:rPr>
            <w:noProof/>
            <w:webHidden/>
          </w:rPr>
          <w:fldChar w:fldCharType="begin"/>
        </w:r>
        <w:r>
          <w:rPr>
            <w:noProof/>
            <w:webHidden/>
          </w:rPr>
          <w:instrText xml:space="preserve"> PAGEREF _Toc222741421 \h </w:instrText>
        </w:r>
        <w:r>
          <w:rPr>
            <w:noProof/>
            <w:webHidden/>
          </w:rPr>
        </w:r>
        <w:r>
          <w:rPr>
            <w:noProof/>
            <w:webHidden/>
          </w:rPr>
          <w:fldChar w:fldCharType="separate"/>
        </w:r>
        <w:r w:rsidR="006F1791">
          <w:rPr>
            <w:noProof/>
            <w:webHidden/>
          </w:rPr>
          <w:t>12</w:t>
        </w:r>
        <w:r>
          <w:rPr>
            <w:noProof/>
            <w:webHidden/>
          </w:rPr>
          <w:fldChar w:fldCharType="end"/>
        </w:r>
      </w:hyperlink>
    </w:p>
    <w:p w14:paraId="4E6C5160" w14:textId="3B2AE239"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22" w:history="1">
        <w:r w:rsidRPr="00F1651F">
          <w:rPr>
            <w:rStyle w:val="Hyperlink"/>
            <w:noProof/>
          </w:rPr>
          <w:t>8.</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Harmonisierte Normen/Gemeinsame Spezifikationen</w:t>
        </w:r>
        <w:r>
          <w:rPr>
            <w:noProof/>
            <w:webHidden/>
          </w:rPr>
          <w:tab/>
        </w:r>
        <w:r>
          <w:rPr>
            <w:noProof/>
            <w:webHidden/>
          </w:rPr>
          <w:fldChar w:fldCharType="begin"/>
        </w:r>
        <w:r>
          <w:rPr>
            <w:noProof/>
            <w:webHidden/>
          </w:rPr>
          <w:instrText xml:space="preserve"> PAGEREF _Toc222741422 \h </w:instrText>
        </w:r>
        <w:r>
          <w:rPr>
            <w:noProof/>
            <w:webHidden/>
          </w:rPr>
        </w:r>
        <w:r>
          <w:rPr>
            <w:noProof/>
            <w:webHidden/>
          </w:rPr>
          <w:fldChar w:fldCharType="separate"/>
        </w:r>
        <w:r w:rsidR="006F1791">
          <w:rPr>
            <w:noProof/>
            <w:webHidden/>
          </w:rPr>
          <w:t>12</w:t>
        </w:r>
        <w:r>
          <w:rPr>
            <w:noProof/>
            <w:webHidden/>
          </w:rPr>
          <w:fldChar w:fldCharType="end"/>
        </w:r>
      </w:hyperlink>
    </w:p>
    <w:p w14:paraId="2C7AB388" w14:textId="5AB4AD7C" w:rsidR="00FD2F93" w:rsidRDefault="00FD2F93">
      <w:pPr>
        <w:pStyle w:val="TOC1"/>
        <w:rPr>
          <w:rFonts w:asciiTheme="minorHAnsi" w:eastAsiaTheme="minorEastAsia" w:hAnsiTheme="minorHAnsi" w:cstheme="minorBidi"/>
          <w:noProof/>
          <w:kern w:val="2"/>
          <w:lang w:eastAsia="zh-CN"/>
          <w14:ligatures w14:val="standardContextual"/>
        </w:rPr>
      </w:pPr>
      <w:hyperlink w:anchor="_Toc222741423" w:history="1">
        <w:r w:rsidRPr="00F1651F">
          <w:rPr>
            <w:rStyle w:val="Hyperlink"/>
            <w:noProof/>
          </w:rPr>
          <w:t>9.</w:t>
        </w:r>
        <w:r>
          <w:rPr>
            <w:rFonts w:asciiTheme="minorHAnsi" w:eastAsiaTheme="minorEastAsia" w:hAnsiTheme="minorHAnsi" w:cstheme="minorBidi"/>
            <w:noProof/>
            <w:kern w:val="2"/>
            <w:lang w:eastAsia="zh-CN"/>
            <w14:ligatures w14:val="standardContextual"/>
          </w:rPr>
          <w:tab/>
        </w:r>
        <w:r w:rsidRPr="00F1651F">
          <w:rPr>
            <w:rStyle w:val="Hyperlink"/>
            <w:bCs/>
            <w:noProof/>
            <w:lang w:val="de-DE"/>
          </w:rPr>
          <w:t>Änderungsverlauf</w:t>
        </w:r>
        <w:r>
          <w:rPr>
            <w:noProof/>
            <w:webHidden/>
          </w:rPr>
          <w:tab/>
        </w:r>
        <w:r>
          <w:rPr>
            <w:noProof/>
            <w:webHidden/>
          </w:rPr>
          <w:fldChar w:fldCharType="begin"/>
        </w:r>
        <w:r>
          <w:rPr>
            <w:noProof/>
            <w:webHidden/>
          </w:rPr>
          <w:instrText xml:space="preserve"> PAGEREF _Toc222741423 \h </w:instrText>
        </w:r>
        <w:r>
          <w:rPr>
            <w:noProof/>
            <w:webHidden/>
          </w:rPr>
        </w:r>
        <w:r>
          <w:rPr>
            <w:noProof/>
            <w:webHidden/>
          </w:rPr>
          <w:fldChar w:fldCharType="separate"/>
        </w:r>
        <w:r w:rsidR="006F1791">
          <w:rPr>
            <w:noProof/>
            <w:webHidden/>
          </w:rPr>
          <w:t>14</w:t>
        </w:r>
        <w:r>
          <w:rPr>
            <w:noProof/>
            <w:webHidden/>
          </w:rPr>
          <w:fldChar w:fldCharType="end"/>
        </w:r>
      </w:hyperlink>
    </w:p>
    <w:p w14:paraId="29D6E5E3" w14:textId="7A463235"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de-DE"/>
        </w:rPr>
        <w:br w:type="page"/>
      </w:r>
    </w:p>
    <w:p w14:paraId="453DC774" w14:textId="77777777" w:rsidR="00221CEF" w:rsidRPr="00FD2F93" w:rsidRDefault="00221CEF" w:rsidP="00042B91">
      <w:pPr>
        <w:pStyle w:val="Heading7"/>
        <w:spacing w:after="0" w:afterAutospacing="0"/>
        <w:rPr>
          <w:lang w:val="de-DE"/>
        </w:rPr>
      </w:pPr>
      <w:r>
        <w:rPr>
          <w:bCs/>
          <w:lang w:val="de-DE"/>
        </w:rPr>
        <w:lastRenderedPageBreak/>
        <w:t>Zusammenfassung der Sicherheit und klinischen Leistung</w:t>
      </w:r>
    </w:p>
    <w:p w14:paraId="2D567C3A" w14:textId="4D6B7954" w:rsidR="00221CEF" w:rsidRPr="00FD2F93" w:rsidRDefault="00221CEF" w:rsidP="00042B91">
      <w:pPr>
        <w:spacing w:after="0" w:afterAutospacing="0" w:line="240" w:lineRule="auto"/>
        <w:rPr>
          <w:rFonts w:cs="Times New Roman"/>
          <w:lang w:val="de-DE"/>
        </w:rPr>
      </w:pPr>
      <w:r>
        <w:rPr>
          <w:rFonts w:cs="Times New Roman"/>
          <w:lang w:val="de-DE"/>
        </w:rPr>
        <w:t>Diese Zusammenfassung der Sicherheit und der klinischen Leistung (SSCP) soll der Öffentlichkeit eine aktualisierte Zusammenfassung der wichtigsten Aspekte der Sicherheit und der klinischen Leistung des Produkts zugänglich machen.</w:t>
      </w:r>
    </w:p>
    <w:p w14:paraId="549AF428" w14:textId="35F6904C" w:rsidR="00221CEF" w:rsidRPr="00FD2F93" w:rsidRDefault="00221CEF" w:rsidP="00042B91">
      <w:pPr>
        <w:spacing w:after="0" w:afterAutospacing="0" w:line="240" w:lineRule="auto"/>
        <w:rPr>
          <w:rFonts w:cs="Times New Roman"/>
          <w:lang w:val="de-DE"/>
        </w:rPr>
      </w:pPr>
      <w:r>
        <w:rPr>
          <w:rFonts w:cs="Times New Roman"/>
          <w:lang w:val="de-DE"/>
        </w:rPr>
        <w:t>Das SSCP ist nicht dazu bestimmt, die Gebrauchsanweisung als Hauptdokument für den sicheren Gebrauch des Geräts zu ersetzen, noch ist es dazu bestimmt, diagnostische oder therapeutische Vorschläge für die vorgesehenen Anwender oder Patienten zu machen.</w:t>
      </w:r>
    </w:p>
    <w:p w14:paraId="6E1D4297" w14:textId="77777777" w:rsidR="00042B91" w:rsidRPr="00FD2F93" w:rsidRDefault="00042B91" w:rsidP="00042B91">
      <w:pPr>
        <w:spacing w:after="0" w:afterAutospacing="0" w:line="240" w:lineRule="auto"/>
        <w:rPr>
          <w:rFonts w:cs="Times New Roman"/>
          <w:lang w:val="de-DE"/>
        </w:rPr>
      </w:pPr>
    </w:p>
    <w:p w14:paraId="57958E5A" w14:textId="739089BF" w:rsidR="00221CEF" w:rsidRPr="00FD2F93" w:rsidRDefault="00221CEF" w:rsidP="00042B91">
      <w:pPr>
        <w:spacing w:after="0" w:afterAutospacing="0" w:line="240" w:lineRule="auto"/>
        <w:rPr>
          <w:rFonts w:cs="Times New Roman"/>
          <w:lang w:val="de-DE"/>
        </w:rPr>
      </w:pPr>
      <w:r>
        <w:rPr>
          <w:rFonts w:cs="Times New Roman"/>
          <w:lang w:val="de-DE"/>
        </w:rPr>
        <w:t>Die folgenden Informationen sind für Benutzer/medizinisches Fachpersonal bestimmt.</w:t>
      </w:r>
    </w:p>
    <w:p w14:paraId="18A77BED" w14:textId="77777777" w:rsidR="00042B91" w:rsidRPr="00FD2F93" w:rsidRDefault="00042B91" w:rsidP="00042B91">
      <w:pPr>
        <w:spacing w:after="0" w:afterAutospacing="0" w:line="240" w:lineRule="auto"/>
        <w:rPr>
          <w:rFonts w:cs="Times New Roman"/>
          <w:lang w:val="de-DE"/>
        </w:rPr>
      </w:pPr>
    </w:p>
    <w:p w14:paraId="6E5276B4" w14:textId="2AFD9220" w:rsidR="00042B91" w:rsidRPr="00FD2F93" w:rsidRDefault="006F0810" w:rsidP="00F67A0E">
      <w:pPr>
        <w:pStyle w:val="Heading1"/>
        <w:numPr>
          <w:ilvl w:val="0"/>
          <w:numId w:val="2"/>
        </w:numPr>
        <w:rPr>
          <w:rFonts w:cs="Times New Roman"/>
          <w:lang w:val="de-DE"/>
        </w:rPr>
      </w:pPr>
      <w:bookmarkStart w:id="0" w:name="_Toc222741394"/>
      <w:r>
        <w:rPr>
          <w:rFonts w:cs="Times New Roman"/>
          <w:bCs/>
          <w:lang w:val="de-DE"/>
        </w:rPr>
        <w:t>Umfang dieser Zusammenfassung der Sicherheit und klinischen Leistung (SSCP):</w:t>
      </w:r>
      <w:bookmarkEnd w:id="0"/>
    </w:p>
    <w:p w14:paraId="5CDBAEA3" w14:textId="77777777" w:rsidR="00042B91" w:rsidRPr="00FD2F93" w:rsidRDefault="00042B91" w:rsidP="00042B91">
      <w:pPr>
        <w:spacing w:after="0" w:afterAutospacing="0" w:line="240" w:lineRule="auto"/>
        <w:rPr>
          <w:rFonts w:cs="Times New Roman"/>
          <w:lang w:val="de-DE"/>
        </w:rPr>
      </w:pPr>
    </w:p>
    <w:p w14:paraId="45E5BCB2" w14:textId="6E901CD2" w:rsidR="00AA2E04" w:rsidRPr="009461CC" w:rsidRDefault="00221CEF" w:rsidP="00042B91">
      <w:pPr>
        <w:pStyle w:val="Heading1"/>
        <w:rPr>
          <w:rFonts w:cs="Times New Roman"/>
        </w:rPr>
      </w:pPr>
      <w:bookmarkStart w:id="1" w:name="_Toc222741395"/>
      <w:r>
        <w:rPr>
          <w:rFonts w:cs="Times New Roman"/>
          <w:bCs/>
          <w:lang w:val="de-DE"/>
        </w:rPr>
        <w:t>Produkt-Handelsname:</w:t>
      </w:r>
      <w:bookmarkEnd w:id="1"/>
      <w:r>
        <w:rPr>
          <w:rFonts w:cs="Times New Roman"/>
          <w:bCs/>
          <w:lang w:val="de-DE"/>
        </w:rPr>
        <w:t xml:space="preserve"> </w:t>
      </w:r>
    </w:p>
    <w:p w14:paraId="29AE9E59" w14:textId="19794AE9" w:rsidR="00042B91" w:rsidRPr="009461CC" w:rsidRDefault="00982459" w:rsidP="001E6921">
      <w:pPr>
        <w:spacing w:after="0" w:afterAutospacing="0" w:line="240" w:lineRule="auto"/>
        <w:ind w:left="792"/>
        <w:rPr>
          <w:rFonts w:cs="Times New Roman"/>
        </w:rPr>
      </w:pPr>
      <w:r>
        <w:rPr>
          <w:rFonts w:cs="Times New Roman"/>
          <w:lang w:val="de-DE"/>
        </w:rPr>
        <w:t>Atrieve Vascular Snare Kit</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FD2F93" w:rsidRDefault="00221CEF" w:rsidP="00042B91">
      <w:pPr>
        <w:pStyle w:val="Heading1"/>
        <w:rPr>
          <w:rFonts w:cs="Times New Roman"/>
          <w:lang w:val="de-DE"/>
        </w:rPr>
      </w:pPr>
      <w:bookmarkStart w:id="2" w:name="_Toc222741396"/>
      <w:r>
        <w:rPr>
          <w:rFonts w:cs="Times New Roman"/>
          <w:bCs/>
          <w:lang w:val="de-DE"/>
        </w:rPr>
        <w:t>Produktbeschreibung, Basis-UDI-DI und EU-Klassifizierung:</w:t>
      </w:r>
      <w:bookmarkEnd w:id="2"/>
    </w:p>
    <w:tbl>
      <w:tblPr>
        <w:tblStyle w:val="TableGrid"/>
        <w:tblW w:w="0" w:type="auto"/>
        <w:tblLook w:val="04A0" w:firstRow="1" w:lastRow="0" w:firstColumn="1" w:lastColumn="0" w:noHBand="0" w:noVBand="1"/>
      </w:tblPr>
      <w:tblGrid>
        <w:gridCol w:w="3697"/>
        <w:gridCol w:w="1763"/>
        <w:gridCol w:w="1329"/>
        <w:gridCol w:w="1254"/>
        <w:gridCol w:w="2387"/>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de-DE"/>
              </w:rPr>
              <w:t>Produktname und Produktbeschreibung</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de-DE"/>
              </w:rPr>
              <w:t>Klassifizierung</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de-DE"/>
              </w:rPr>
              <w:t>GMDN-Code</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de-DE"/>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de-DE"/>
              </w:rPr>
              <w:t>Basis-UDI-DI</w:t>
            </w:r>
          </w:p>
        </w:tc>
      </w:tr>
      <w:tr w:rsidR="006266F5" w:rsidRPr="009461CC" w14:paraId="72288A12" w14:textId="77777777" w:rsidTr="006266F5">
        <w:tc>
          <w:tcPr>
            <w:tcW w:w="3795" w:type="dxa"/>
          </w:tcPr>
          <w:p w14:paraId="04AE147E" w14:textId="07005FC5" w:rsidR="006266F5" w:rsidRPr="00FD2F93" w:rsidRDefault="006266F5" w:rsidP="005B3E76">
            <w:pPr>
              <w:rPr>
                <w:rFonts w:cs="Times New Roman"/>
                <w:lang w:val="de-DE"/>
              </w:rPr>
            </w:pPr>
            <w:r>
              <w:rPr>
                <w:rFonts w:cs="Times New Roman"/>
                <w:lang w:val="de-DE"/>
              </w:rPr>
              <w:t>Atrieve Vascular Snare™ Kit, 6–10 mm Durchmesser x 120 cm Schlinge, 6F x 100 cm Katheter</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de-DE"/>
              </w:rPr>
              <w:t>Klasse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de-DE"/>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de-DE"/>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de-DE"/>
              </w:rPr>
              <w:t>088633329000132</w:t>
            </w:r>
          </w:p>
        </w:tc>
      </w:tr>
      <w:tr w:rsidR="006266F5" w:rsidRPr="00E064BB" w14:paraId="674985B4" w14:textId="77777777" w:rsidTr="006266F5">
        <w:tc>
          <w:tcPr>
            <w:tcW w:w="3795" w:type="dxa"/>
          </w:tcPr>
          <w:p w14:paraId="1845B978" w14:textId="3466CA48" w:rsidR="006266F5" w:rsidRPr="00FD2F93" w:rsidRDefault="006266F5" w:rsidP="005B3E76">
            <w:pPr>
              <w:rPr>
                <w:rFonts w:cs="Times New Roman"/>
                <w:lang w:val="de-DE"/>
              </w:rPr>
            </w:pPr>
            <w:r>
              <w:rPr>
                <w:rFonts w:cs="Times New Roman"/>
                <w:lang w:val="de-DE"/>
              </w:rPr>
              <w:t xml:space="preserve">Atrieve Vascular Snare™ Kit, 9–15 mm Durchmesser x 120 cm Schlinge, Katheter 6F x 100 cm </w:t>
            </w:r>
          </w:p>
        </w:tc>
        <w:tc>
          <w:tcPr>
            <w:tcW w:w="1603" w:type="dxa"/>
            <w:vMerge/>
          </w:tcPr>
          <w:p w14:paraId="0F2DCD20" w14:textId="77777777" w:rsidR="006266F5" w:rsidRPr="00FD2F93" w:rsidRDefault="006266F5" w:rsidP="005B3E76">
            <w:pPr>
              <w:rPr>
                <w:rFonts w:cs="Times New Roman"/>
                <w:lang w:val="de-DE"/>
              </w:rPr>
            </w:pPr>
          </w:p>
        </w:tc>
        <w:tc>
          <w:tcPr>
            <w:tcW w:w="1350" w:type="dxa"/>
            <w:vMerge/>
          </w:tcPr>
          <w:p w14:paraId="45E8FDD8" w14:textId="4AADF8C7" w:rsidR="006266F5" w:rsidRPr="00FD2F93" w:rsidRDefault="006266F5" w:rsidP="005B3E76">
            <w:pPr>
              <w:rPr>
                <w:rFonts w:cs="Times New Roman"/>
                <w:lang w:val="de-DE"/>
              </w:rPr>
            </w:pPr>
          </w:p>
        </w:tc>
        <w:tc>
          <w:tcPr>
            <w:tcW w:w="1266" w:type="dxa"/>
            <w:vMerge/>
          </w:tcPr>
          <w:p w14:paraId="165F2BBA" w14:textId="77777777" w:rsidR="006266F5" w:rsidRPr="00FD2F93" w:rsidRDefault="006266F5" w:rsidP="005B3E76">
            <w:pPr>
              <w:rPr>
                <w:rFonts w:cs="Times New Roman"/>
                <w:lang w:val="de-DE"/>
              </w:rPr>
            </w:pPr>
          </w:p>
        </w:tc>
        <w:tc>
          <w:tcPr>
            <w:tcW w:w="2416" w:type="dxa"/>
            <w:vMerge/>
          </w:tcPr>
          <w:p w14:paraId="5C1D3365" w14:textId="77777777" w:rsidR="006266F5" w:rsidRPr="00FD2F93" w:rsidRDefault="006266F5" w:rsidP="005B3E76">
            <w:pPr>
              <w:rPr>
                <w:rFonts w:cs="Times New Roman"/>
                <w:lang w:val="de-DE"/>
              </w:rPr>
            </w:pPr>
          </w:p>
        </w:tc>
      </w:tr>
      <w:tr w:rsidR="006266F5" w:rsidRPr="00E064BB" w14:paraId="1B0B0E25" w14:textId="77777777" w:rsidTr="006266F5">
        <w:tc>
          <w:tcPr>
            <w:tcW w:w="3795" w:type="dxa"/>
          </w:tcPr>
          <w:p w14:paraId="0A9B2655" w14:textId="666AEB18" w:rsidR="006266F5" w:rsidRPr="00FD2F93" w:rsidRDefault="006266F5" w:rsidP="005B3E76">
            <w:pPr>
              <w:rPr>
                <w:rFonts w:cs="Times New Roman"/>
                <w:lang w:val="de-DE"/>
              </w:rPr>
            </w:pPr>
            <w:r>
              <w:rPr>
                <w:rFonts w:cs="Times New Roman"/>
                <w:lang w:val="de-DE"/>
              </w:rPr>
              <w:t xml:space="preserve">Atrieve Vascular Snare™ Kit, Schlinge 12–20 mm Durchmesser x 120 cm, Katheter 6F x 100 cm </w:t>
            </w:r>
          </w:p>
        </w:tc>
        <w:tc>
          <w:tcPr>
            <w:tcW w:w="1603" w:type="dxa"/>
            <w:vMerge/>
          </w:tcPr>
          <w:p w14:paraId="4F42F09B" w14:textId="77777777" w:rsidR="006266F5" w:rsidRPr="00FD2F93" w:rsidRDefault="006266F5" w:rsidP="005B3E76">
            <w:pPr>
              <w:rPr>
                <w:rFonts w:cs="Times New Roman"/>
                <w:lang w:val="de-DE"/>
              </w:rPr>
            </w:pPr>
          </w:p>
        </w:tc>
        <w:tc>
          <w:tcPr>
            <w:tcW w:w="1350" w:type="dxa"/>
            <w:vMerge/>
          </w:tcPr>
          <w:p w14:paraId="7D1A397B" w14:textId="2F1838AC" w:rsidR="006266F5" w:rsidRPr="00FD2F93" w:rsidRDefault="006266F5" w:rsidP="005B3E76">
            <w:pPr>
              <w:rPr>
                <w:rFonts w:cs="Times New Roman"/>
                <w:lang w:val="de-DE"/>
              </w:rPr>
            </w:pPr>
          </w:p>
        </w:tc>
        <w:tc>
          <w:tcPr>
            <w:tcW w:w="1266" w:type="dxa"/>
            <w:vMerge/>
          </w:tcPr>
          <w:p w14:paraId="721C2322" w14:textId="77777777" w:rsidR="006266F5" w:rsidRPr="00FD2F93" w:rsidRDefault="006266F5" w:rsidP="005B3E76">
            <w:pPr>
              <w:rPr>
                <w:rFonts w:cs="Times New Roman"/>
                <w:lang w:val="de-DE"/>
              </w:rPr>
            </w:pPr>
          </w:p>
        </w:tc>
        <w:tc>
          <w:tcPr>
            <w:tcW w:w="2416" w:type="dxa"/>
            <w:vMerge/>
          </w:tcPr>
          <w:p w14:paraId="3C7CCE81" w14:textId="77777777" w:rsidR="006266F5" w:rsidRPr="00FD2F93" w:rsidRDefault="006266F5" w:rsidP="005B3E76">
            <w:pPr>
              <w:rPr>
                <w:rFonts w:cs="Times New Roman"/>
                <w:lang w:val="de-DE"/>
              </w:rPr>
            </w:pPr>
          </w:p>
        </w:tc>
      </w:tr>
      <w:tr w:rsidR="006266F5" w:rsidRPr="00E064BB" w14:paraId="06B07953" w14:textId="77777777" w:rsidTr="006266F5">
        <w:tc>
          <w:tcPr>
            <w:tcW w:w="3795" w:type="dxa"/>
          </w:tcPr>
          <w:p w14:paraId="122A6EC5" w14:textId="2EC9E7BD" w:rsidR="006266F5" w:rsidRPr="00FD2F93" w:rsidRDefault="006266F5" w:rsidP="005B3E76">
            <w:pPr>
              <w:rPr>
                <w:rFonts w:cs="Times New Roman"/>
                <w:lang w:val="de-DE"/>
              </w:rPr>
            </w:pPr>
            <w:r>
              <w:rPr>
                <w:rFonts w:cs="Times New Roman"/>
                <w:lang w:val="de-DE"/>
              </w:rPr>
              <w:t xml:space="preserve">Atrieve Vascular Snare™ Kit, Schlinge 18–30 mm Durchmesser x 120 cm, Katheter 7F x 100 cm </w:t>
            </w:r>
          </w:p>
        </w:tc>
        <w:tc>
          <w:tcPr>
            <w:tcW w:w="1603" w:type="dxa"/>
            <w:vMerge/>
          </w:tcPr>
          <w:p w14:paraId="1913C875" w14:textId="77777777" w:rsidR="006266F5" w:rsidRPr="00FD2F93" w:rsidRDefault="006266F5" w:rsidP="005B3E76">
            <w:pPr>
              <w:rPr>
                <w:rFonts w:cs="Times New Roman"/>
                <w:lang w:val="de-DE"/>
              </w:rPr>
            </w:pPr>
          </w:p>
        </w:tc>
        <w:tc>
          <w:tcPr>
            <w:tcW w:w="1350" w:type="dxa"/>
            <w:vMerge/>
          </w:tcPr>
          <w:p w14:paraId="00E8406E" w14:textId="7131A855" w:rsidR="006266F5" w:rsidRPr="00FD2F93" w:rsidRDefault="006266F5" w:rsidP="005B3E76">
            <w:pPr>
              <w:rPr>
                <w:rFonts w:cs="Times New Roman"/>
                <w:lang w:val="de-DE"/>
              </w:rPr>
            </w:pPr>
          </w:p>
        </w:tc>
        <w:tc>
          <w:tcPr>
            <w:tcW w:w="1266" w:type="dxa"/>
            <w:vMerge/>
          </w:tcPr>
          <w:p w14:paraId="68FC6CAA" w14:textId="77777777" w:rsidR="006266F5" w:rsidRPr="00FD2F93" w:rsidRDefault="006266F5" w:rsidP="005B3E76">
            <w:pPr>
              <w:rPr>
                <w:rFonts w:cs="Times New Roman"/>
                <w:lang w:val="de-DE"/>
              </w:rPr>
            </w:pPr>
          </w:p>
        </w:tc>
        <w:tc>
          <w:tcPr>
            <w:tcW w:w="2416" w:type="dxa"/>
            <w:vMerge/>
          </w:tcPr>
          <w:p w14:paraId="36E19225" w14:textId="77777777" w:rsidR="006266F5" w:rsidRPr="00FD2F93" w:rsidRDefault="006266F5" w:rsidP="005B3E76">
            <w:pPr>
              <w:rPr>
                <w:rFonts w:cs="Times New Roman"/>
                <w:lang w:val="de-DE"/>
              </w:rPr>
            </w:pPr>
          </w:p>
        </w:tc>
      </w:tr>
      <w:tr w:rsidR="006266F5" w:rsidRPr="00E064BB" w14:paraId="70E2EDC2" w14:textId="77777777" w:rsidTr="006266F5">
        <w:tc>
          <w:tcPr>
            <w:tcW w:w="3795" w:type="dxa"/>
          </w:tcPr>
          <w:p w14:paraId="3B2B1D80" w14:textId="12CC0658" w:rsidR="006266F5" w:rsidRPr="00FD2F93" w:rsidRDefault="006266F5" w:rsidP="005B3E76">
            <w:pPr>
              <w:rPr>
                <w:rFonts w:cs="Times New Roman"/>
                <w:lang w:val="de-DE"/>
              </w:rPr>
            </w:pPr>
            <w:r>
              <w:rPr>
                <w:rFonts w:cs="Times New Roman"/>
                <w:lang w:val="de-DE"/>
              </w:rPr>
              <w:t>Atrieve Vascular Snare™ Kit, Schlinge 27–45 mm Durchmesser x 120 cm, Katheter 7F x 100 cm</w:t>
            </w:r>
          </w:p>
        </w:tc>
        <w:tc>
          <w:tcPr>
            <w:tcW w:w="1603" w:type="dxa"/>
            <w:vMerge/>
          </w:tcPr>
          <w:p w14:paraId="5D298385" w14:textId="77777777" w:rsidR="006266F5" w:rsidRPr="00FD2F93" w:rsidRDefault="006266F5" w:rsidP="005B3E76">
            <w:pPr>
              <w:rPr>
                <w:rFonts w:cs="Times New Roman"/>
                <w:lang w:val="de-DE"/>
              </w:rPr>
            </w:pPr>
          </w:p>
        </w:tc>
        <w:tc>
          <w:tcPr>
            <w:tcW w:w="1350" w:type="dxa"/>
            <w:vMerge/>
          </w:tcPr>
          <w:p w14:paraId="001781C2" w14:textId="46419622" w:rsidR="006266F5" w:rsidRPr="00FD2F93" w:rsidRDefault="006266F5" w:rsidP="005B3E76">
            <w:pPr>
              <w:rPr>
                <w:rFonts w:cs="Times New Roman"/>
                <w:lang w:val="de-DE"/>
              </w:rPr>
            </w:pPr>
          </w:p>
        </w:tc>
        <w:tc>
          <w:tcPr>
            <w:tcW w:w="1266" w:type="dxa"/>
            <w:vMerge/>
          </w:tcPr>
          <w:p w14:paraId="20D9A32E" w14:textId="77777777" w:rsidR="006266F5" w:rsidRPr="00FD2F93" w:rsidRDefault="006266F5" w:rsidP="005B3E76">
            <w:pPr>
              <w:rPr>
                <w:rFonts w:cs="Times New Roman"/>
                <w:lang w:val="de-DE"/>
              </w:rPr>
            </w:pPr>
          </w:p>
        </w:tc>
        <w:tc>
          <w:tcPr>
            <w:tcW w:w="2416" w:type="dxa"/>
            <w:vMerge/>
          </w:tcPr>
          <w:p w14:paraId="5855DBED" w14:textId="77777777" w:rsidR="006266F5" w:rsidRPr="00FD2F93" w:rsidRDefault="006266F5" w:rsidP="005B3E76">
            <w:pPr>
              <w:rPr>
                <w:rFonts w:cs="Times New Roman"/>
                <w:lang w:val="de-DE"/>
              </w:rPr>
            </w:pPr>
          </w:p>
        </w:tc>
      </w:tr>
      <w:tr w:rsidR="006266F5" w:rsidRPr="00E064BB" w14:paraId="7E3403A6" w14:textId="77777777" w:rsidTr="006266F5">
        <w:tc>
          <w:tcPr>
            <w:tcW w:w="3795" w:type="dxa"/>
          </w:tcPr>
          <w:p w14:paraId="675708BF" w14:textId="381C18CA" w:rsidR="006266F5" w:rsidRPr="00FD2F93" w:rsidRDefault="006266F5" w:rsidP="005B3E76">
            <w:pPr>
              <w:rPr>
                <w:rFonts w:cs="Times New Roman"/>
                <w:lang w:val="de-DE"/>
              </w:rPr>
            </w:pPr>
            <w:r>
              <w:rPr>
                <w:rFonts w:cs="Times New Roman"/>
                <w:lang w:val="de-DE"/>
              </w:rPr>
              <w:t xml:space="preserve">Atrieve Vascular Snare™ Kit, 2–4 mm Durchmesser x 175 cm Schlinge, Katheter 3,2F x 150 cm </w:t>
            </w:r>
          </w:p>
        </w:tc>
        <w:tc>
          <w:tcPr>
            <w:tcW w:w="1603" w:type="dxa"/>
            <w:vMerge/>
          </w:tcPr>
          <w:p w14:paraId="4005AAE7" w14:textId="77777777" w:rsidR="006266F5" w:rsidRPr="00FD2F93" w:rsidRDefault="006266F5" w:rsidP="005B3E76">
            <w:pPr>
              <w:rPr>
                <w:rFonts w:cs="Times New Roman"/>
                <w:lang w:val="de-DE"/>
              </w:rPr>
            </w:pPr>
          </w:p>
        </w:tc>
        <w:tc>
          <w:tcPr>
            <w:tcW w:w="1350" w:type="dxa"/>
            <w:vMerge/>
          </w:tcPr>
          <w:p w14:paraId="10F77F80" w14:textId="1EEE88E0" w:rsidR="006266F5" w:rsidRPr="00FD2F93" w:rsidRDefault="006266F5" w:rsidP="005B3E76">
            <w:pPr>
              <w:rPr>
                <w:rFonts w:cs="Times New Roman"/>
                <w:lang w:val="de-DE"/>
              </w:rPr>
            </w:pPr>
          </w:p>
        </w:tc>
        <w:tc>
          <w:tcPr>
            <w:tcW w:w="1266" w:type="dxa"/>
            <w:vMerge/>
          </w:tcPr>
          <w:p w14:paraId="01E30B80" w14:textId="77777777" w:rsidR="006266F5" w:rsidRPr="00FD2F93" w:rsidRDefault="006266F5" w:rsidP="005B3E76">
            <w:pPr>
              <w:rPr>
                <w:rFonts w:cs="Times New Roman"/>
                <w:lang w:val="de-DE"/>
              </w:rPr>
            </w:pPr>
          </w:p>
        </w:tc>
        <w:tc>
          <w:tcPr>
            <w:tcW w:w="2416" w:type="dxa"/>
            <w:vMerge/>
          </w:tcPr>
          <w:p w14:paraId="7E3CD13D" w14:textId="77777777" w:rsidR="006266F5" w:rsidRPr="00FD2F93" w:rsidRDefault="006266F5" w:rsidP="005B3E76">
            <w:pPr>
              <w:rPr>
                <w:rFonts w:cs="Times New Roman"/>
                <w:lang w:val="de-DE"/>
              </w:rPr>
            </w:pPr>
          </w:p>
        </w:tc>
      </w:tr>
      <w:tr w:rsidR="006266F5" w:rsidRPr="00E064BB" w14:paraId="163BEE28" w14:textId="77777777" w:rsidTr="006266F5">
        <w:tc>
          <w:tcPr>
            <w:tcW w:w="3795" w:type="dxa"/>
          </w:tcPr>
          <w:p w14:paraId="2C7CFD34" w14:textId="28EFC76A" w:rsidR="006266F5" w:rsidRPr="00FD2F93" w:rsidRDefault="006266F5" w:rsidP="005B3E76">
            <w:pPr>
              <w:rPr>
                <w:rFonts w:cs="Times New Roman"/>
                <w:lang w:val="de-DE"/>
              </w:rPr>
            </w:pPr>
            <w:r>
              <w:rPr>
                <w:rFonts w:cs="Times New Roman"/>
                <w:lang w:val="de-DE"/>
              </w:rPr>
              <w:t>Atrieve Vascular Snare™ Kit, 4–8 mm Durchmesser x 175 cm Schlinge, Katheter 3,2F x 150 cm</w:t>
            </w:r>
          </w:p>
        </w:tc>
        <w:tc>
          <w:tcPr>
            <w:tcW w:w="1603" w:type="dxa"/>
            <w:vMerge/>
          </w:tcPr>
          <w:p w14:paraId="796C4314" w14:textId="77777777" w:rsidR="006266F5" w:rsidRPr="00FD2F93" w:rsidRDefault="006266F5" w:rsidP="005B3E76">
            <w:pPr>
              <w:rPr>
                <w:rFonts w:cs="Times New Roman"/>
                <w:lang w:val="de-DE"/>
              </w:rPr>
            </w:pPr>
          </w:p>
        </w:tc>
        <w:tc>
          <w:tcPr>
            <w:tcW w:w="1350" w:type="dxa"/>
            <w:vMerge/>
          </w:tcPr>
          <w:p w14:paraId="520A7E25" w14:textId="5F41C696" w:rsidR="006266F5" w:rsidRPr="00FD2F93" w:rsidRDefault="006266F5" w:rsidP="005B3E76">
            <w:pPr>
              <w:rPr>
                <w:rFonts w:cs="Times New Roman"/>
                <w:lang w:val="de-DE"/>
              </w:rPr>
            </w:pPr>
          </w:p>
        </w:tc>
        <w:tc>
          <w:tcPr>
            <w:tcW w:w="1266" w:type="dxa"/>
            <w:vMerge/>
          </w:tcPr>
          <w:p w14:paraId="77962B81" w14:textId="77777777" w:rsidR="006266F5" w:rsidRPr="00FD2F93" w:rsidRDefault="006266F5" w:rsidP="005B3E76">
            <w:pPr>
              <w:rPr>
                <w:rFonts w:cs="Times New Roman"/>
                <w:lang w:val="de-DE"/>
              </w:rPr>
            </w:pPr>
          </w:p>
        </w:tc>
        <w:tc>
          <w:tcPr>
            <w:tcW w:w="2416" w:type="dxa"/>
            <w:vMerge/>
          </w:tcPr>
          <w:p w14:paraId="570FDA70" w14:textId="77777777" w:rsidR="006266F5" w:rsidRPr="00FD2F93" w:rsidRDefault="006266F5" w:rsidP="005B3E76">
            <w:pPr>
              <w:rPr>
                <w:rFonts w:cs="Times New Roman"/>
                <w:lang w:val="de-DE"/>
              </w:rPr>
            </w:pPr>
          </w:p>
        </w:tc>
      </w:tr>
    </w:tbl>
    <w:p w14:paraId="2DAE4D4B" w14:textId="77777777" w:rsidR="00AA2E04" w:rsidRPr="00FD2F93" w:rsidRDefault="00AA2E04" w:rsidP="00AA3694">
      <w:pPr>
        <w:pStyle w:val="Heading1"/>
        <w:numPr>
          <w:ilvl w:val="0"/>
          <w:numId w:val="0"/>
        </w:numPr>
        <w:rPr>
          <w:rFonts w:cs="Times New Roman"/>
          <w:lang w:val="de-DE"/>
        </w:rPr>
      </w:pPr>
    </w:p>
    <w:p w14:paraId="4B18C73D" w14:textId="72C79B52" w:rsidR="009855C3" w:rsidRPr="00FD2F93" w:rsidRDefault="009855C3" w:rsidP="00042B91">
      <w:pPr>
        <w:pStyle w:val="Heading1"/>
        <w:rPr>
          <w:rFonts w:cs="Times New Roman"/>
          <w:lang w:val="de-DE"/>
        </w:rPr>
      </w:pPr>
      <w:bookmarkStart w:id="3" w:name="_Toc222741397"/>
      <w:r>
        <w:rPr>
          <w:rFonts w:cs="Times New Roman"/>
          <w:bCs/>
          <w:lang w:val="de-DE"/>
        </w:rPr>
        <w:t>Jahr, in dem das erste Zertifikat (CE) für das Produkt ausgestellt wurde:</w:t>
      </w:r>
      <w:bookmarkEnd w:id="3"/>
      <w:r>
        <w:rPr>
          <w:rFonts w:cs="Times New Roman"/>
          <w:bCs/>
          <w:lang w:val="de-DE"/>
        </w:rPr>
        <w:t xml:space="preserve"> </w:t>
      </w:r>
    </w:p>
    <w:p w14:paraId="76BA3EF9" w14:textId="540D85A6" w:rsidR="00713233" w:rsidRPr="00FD2F93" w:rsidRDefault="00780A59" w:rsidP="00E714ED">
      <w:pPr>
        <w:spacing w:after="0" w:afterAutospacing="0" w:line="240" w:lineRule="auto"/>
        <w:ind w:left="792"/>
        <w:rPr>
          <w:rFonts w:cs="Times New Roman"/>
          <w:lang w:val="de-DE"/>
        </w:rPr>
      </w:pPr>
      <w:r>
        <w:rPr>
          <w:rFonts w:cs="Times New Roman"/>
          <w:lang w:val="de-DE"/>
        </w:rPr>
        <w:t xml:space="preserve">Das Atrieve Vascular Snare Kit erhielt 2010 die CE-Kennzeichnung (CE 608298) gemäß MDD. </w:t>
      </w:r>
    </w:p>
    <w:p w14:paraId="6B157940" w14:textId="77777777" w:rsidR="00FE78AD" w:rsidRPr="00FD2F93" w:rsidRDefault="00FE78AD" w:rsidP="00E714ED">
      <w:pPr>
        <w:spacing w:after="0" w:afterAutospacing="0" w:line="240" w:lineRule="auto"/>
        <w:ind w:left="792"/>
        <w:rPr>
          <w:rFonts w:cs="Times New Roman"/>
          <w:lang w:val="de-DE"/>
        </w:rPr>
      </w:pPr>
    </w:p>
    <w:p w14:paraId="10A04209" w14:textId="75FC9DEC" w:rsidR="009855C3" w:rsidRPr="009461CC" w:rsidRDefault="009855C3" w:rsidP="00042B91">
      <w:pPr>
        <w:pStyle w:val="Heading1"/>
        <w:rPr>
          <w:rFonts w:cs="Times New Roman"/>
        </w:rPr>
      </w:pPr>
      <w:r>
        <w:rPr>
          <w:rFonts w:cs="Times New Roman"/>
          <w:bCs/>
          <w:lang w:val="de-DE"/>
        </w:rPr>
        <w:lastRenderedPageBreak/>
        <w:t xml:space="preserve"> </w:t>
      </w:r>
      <w:bookmarkStart w:id="4" w:name="_Toc222741398"/>
      <w:r>
        <w:rPr>
          <w:rFonts w:cs="Times New Roman"/>
          <w:bCs/>
          <w:lang w:val="de-DE"/>
        </w:rPr>
        <w:t>Herstellername, Anschrift und SRN:</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de-DE"/>
              </w:rPr>
              <w:t>Herstellerinformationen</w:t>
            </w:r>
          </w:p>
        </w:tc>
      </w:tr>
      <w:tr w:rsidR="00493B5B" w:rsidRPr="009461CC" w14:paraId="49F686BA" w14:textId="77777777" w:rsidTr="00906FBD">
        <w:trPr>
          <w:trHeight w:val="377"/>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de-DE"/>
              </w:rPr>
              <w:t>Hersteller-SRN: US-MF-000002324</w:t>
            </w:r>
          </w:p>
        </w:tc>
        <w:tc>
          <w:tcPr>
            <w:tcW w:w="2759" w:type="pct"/>
          </w:tcPr>
          <w:p w14:paraId="61E93080" w14:textId="77777777" w:rsidR="00493B5B" w:rsidRPr="009461CC" w:rsidRDefault="00493B5B" w:rsidP="00AA3694">
            <w:pPr>
              <w:spacing w:after="0" w:afterAutospacing="0"/>
              <w:rPr>
                <w:szCs w:val="24"/>
              </w:rPr>
            </w:pPr>
            <w:proofErr w:type="spellStart"/>
            <w:r w:rsidRPr="00FD2F93">
              <w:rPr>
                <w:szCs w:val="24"/>
              </w:rPr>
              <w:t>Herstellername</w:t>
            </w:r>
            <w:proofErr w:type="spellEnd"/>
            <w:r w:rsidRPr="00FD2F93">
              <w:rPr>
                <w:szCs w:val="24"/>
              </w:rPr>
              <w:t>: Argon Medical Devices, Inc.</w:t>
            </w:r>
          </w:p>
        </w:tc>
      </w:tr>
      <w:tr w:rsidR="00493B5B" w:rsidRPr="009461CC" w14:paraId="03F91594" w14:textId="77777777" w:rsidTr="00272DEA">
        <w:trPr>
          <w:trHeight w:val="525"/>
        </w:trPr>
        <w:tc>
          <w:tcPr>
            <w:tcW w:w="2241" w:type="pct"/>
          </w:tcPr>
          <w:p w14:paraId="119B5A73" w14:textId="77777777" w:rsidR="00493B5B" w:rsidRPr="00FD2F93" w:rsidRDefault="00493B5B" w:rsidP="00906FBD">
            <w:pPr>
              <w:spacing w:after="0" w:afterAutospacing="0"/>
              <w:rPr>
                <w:spacing w:val="-2"/>
                <w:szCs w:val="24"/>
                <w:lang w:val="de-DE"/>
              </w:rPr>
            </w:pPr>
            <w:r>
              <w:rPr>
                <w:szCs w:val="24"/>
                <w:lang w:val="de-DE"/>
              </w:rPr>
              <w:t>Vor- und Nachname des Ansprechpartners: Scott Bishop</w:t>
            </w:r>
          </w:p>
        </w:tc>
        <w:tc>
          <w:tcPr>
            <w:tcW w:w="2759" w:type="pct"/>
          </w:tcPr>
          <w:p w14:paraId="0FE9AF31" w14:textId="77777777" w:rsidR="00493B5B" w:rsidRPr="009461CC" w:rsidRDefault="00493B5B" w:rsidP="00AA3694">
            <w:pPr>
              <w:widowControl w:val="0"/>
              <w:autoSpaceDE w:val="0"/>
              <w:autoSpaceDN w:val="0"/>
              <w:spacing w:before="42" w:after="0" w:afterAutospacing="0"/>
              <w:rPr>
                <w:spacing w:val="-2"/>
                <w:szCs w:val="24"/>
              </w:rPr>
            </w:pPr>
            <w:r>
              <w:rPr>
                <w:szCs w:val="24"/>
                <w:lang w:val="de-DE"/>
              </w:rPr>
              <w:t>E-Mail:</w:t>
            </w:r>
            <w:r>
              <w:rPr>
                <w:sz w:val="22"/>
                <w:lang w:val="de-DE"/>
              </w:rPr>
              <w:t xml:space="preserve"> </w:t>
            </w:r>
            <w:hyperlink r:id="rId11" w:history="1">
              <w:r>
                <w:rPr>
                  <w:color w:val="0563C1"/>
                  <w:szCs w:val="24"/>
                  <w:u w:val="single"/>
                  <w:lang w:val="de-DE"/>
                </w:rPr>
                <w:t>RegCompliance@argonmedical.com</w:t>
              </w:r>
            </w:hyperlink>
          </w:p>
          <w:p w14:paraId="12F2B43C" w14:textId="77777777" w:rsidR="00493B5B" w:rsidRPr="009461CC" w:rsidRDefault="00493B5B" w:rsidP="00AA3694">
            <w:pPr>
              <w:spacing w:after="0" w:afterAutospacing="0"/>
              <w:rPr>
                <w:szCs w:val="24"/>
              </w:rPr>
            </w:pPr>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de-DE"/>
              </w:rPr>
              <w:t>Telefonnummer: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proofErr w:type="spellStart"/>
            <w:r w:rsidRPr="00FD2F93">
              <w:rPr>
                <w:szCs w:val="24"/>
              </w:rPr>
              <w:t>Adresse</w:t>
            </w:r>
            <w:proofErr w:type="spellEnd"/>
            <w:r w:rsidRPr="00FD2F93">
              <w:rPr>
                <w:szCs w:val="24"/>
              </w:rPr>
              <w:t>:</w:t>
            </w:r>
          </w:p>
          <w:p w14:paraId="041EA64B" w14:textId="77777777" w:rsidR="001533A4" w:rsidRPr="009461CC" w:rsidRDefault="001533A4" w:rsidP="009709B4">
            <w:pPr>
              <w:widowControl w:val="0"/>
              <w:autoSpaceDE w:val="0"/>
              <w:autoSpaceDN w:val="0"/>
              <w:spacing w:after="0" w:afterAutospacing="0"/>
              <w:rPr>
                <w:spacing w:val="-2"/>
                <w:szCs w:val="24"/>
              </w:rPr>
            </w:pPr>
            <w:r w:rsidRPr="00FD2F93">
              <w:rPr>
                <w:szCs w:val="24"/>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sidRPr="00FD2F93">
              <w:rPr>
                <w:szCs w:val="24"/>
              </w:rPr>
              <w:t>Athens, Texas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de-DE"/>
              </w:rPr>
              <w:t>USA</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FD2F93" w:rsidRDefault="00887E5D" w:rsidP="00AA3694">
      <w:pPr>
        <w:pStyle w:val="Heading1"/>
        <w:rPr>
          <w:rFonts w:cs="Times New Roman"/>
          <w:lang w:val="de-DE"/>
        </w:rPr>
      </w:pPr>
      <w:bookmarkStart w:id="5" w:name="_Toc222741399"/>
      <w:r>
        <w:rPr>
          <w:rFonts w:cs="Times New Roman"/>
          <w:bCs/>
          <w:lang w:val="de-DE"/>
        </w:rPr>
        <w:t>Name und SRN des Bevollmächtigten:</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de-DE"/>
              </w:rPr>
              <w:t>Informationen zum Bevollmächtigten</w:t>
            </w:r>
          </w:p>
        </w:tc>
      </w:tr>
      <w:tr w:rsidR="008A210D" w:rsidRPr="009461CC"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de-DE"/>
              </w:rPr>
              <w:t>SRN: NL-AR-000000116</w:t>
            </w:r>
          </w:p>
        </w:tc>
        <w:tc>
          <w:tcPr>
            <w:tcW w:w="2759" w:type="pct"/>
          </w:tcPr>
          <w:p w14:paraId="25BF63FC" w14:textId="77777777" w:rsidR="008A210D" w:rsidRPr="006F1791" w:rsidRDefault="008A210D" w:rsidP="008A210D">
            <w:pPr>
              <w:widowControl w:val="0"/>
              <w:autoSpaceDE w:val="0"/>
              <w:autoSpaceDN w:val="0"/>
              <w:spacing w:before="119" w:after="0" w:afterAutospacing="0"/>
              <w:rPr>
                <w:bCs/>
                <w:szCs w:val="24"/>
                <w:lang w:val="de-DE"/>
              </w:rPr>
            </w:pPr>
            <w:r>
              <w:rPr>
                <w:szCs w:val="24"/>
                <w:lang w:val="de-DE"/>
              </w:rPr>
              <w:t>Name der Organisation des Bevollmächtigten:</w:t>
            </w:r>
          </w:p>
          <w:p w14:paraId="3A6B7B5C" w14:textId="77777777" w:rsidR="008A210D" w:rsidRPr="009461CC" w:rsidRDefault="008A210D" w:rsidP="008A210D">
            <w:pPr>
              <w:spacing w:after="0" w:afterAutospacing="0"/>
              <w:rPr>
                <w:szCs w:val="24"/>
              </w:rPr>
            </w:pPr>
            <w:r>
              <w:rPr>
                <w:szCs w:val="24"/>
                <w:lang w:val="de-DE"/>
              </w:rPr>
              <w:t>Emergo Europe</w:t>
            </w:r>
          </w:p>
        </w:tc>
      </w:tr>
      <w:tr w:rsidR="008A210D" w:rsidRPr="00E064BB" w14:paraId="7AE34B46" w14:textId="77777777" w:rsidTr="00906FBD">
        <w:trPr>
          <w:trHeight w:val="404"/>
        </w:trPr>
        <w:tc>
          <w:tcPr>
            <w:tcW w:w="2241" w:type="pct"/>
          </w:tcPr>
          <w:p w14:paraId="65D7FE1F" w14:textId="77777777" w:rsidR="008A210D" w:rsidRPr="009461CC" w:rsidRDefault="008A210D" w:rsidP="008A210D">
            <w:pPr>
              <w:spacing w:after="0" w:afterAutospacing="0"/>
              <w:jc w:val="both"/>
              <w:rPr>
                <w:spacing w:val="-2"/>
                <w:szCs w:val="24"/>
              </w:rPr>
            </w:pPr>
            <w:r>
              <w:rPr>
                <w:szCs w:val="24"/>
                <w:lang w:val="de-DE"/>
              </w:rPr>
              <w:t>Ansprechpartner: Vigilance Team</w:t>
            </w:r>
          </w:p>
        </w:tc>
        <w:tc>
          <w:tcPr>
            <w:tcW w:w="2759" w:type="pct"/>
          </w:tcPr>
          <w:p w14:paraId="2A3CD5D0" w14:textId="77777777" w:rsidR="008A210D" w:rsidRPr="006F1791" w:rsidRDefault="008A210D" w:rsidP="008A210D">
            <w:pPr>
              <w:widowControl w:val="0"/>
              <w:autoSpaceDE w:val="0"/>
              <w:autoSpaceDN w:val="0"/>
              <w:spacing w:before="39" w:after="0" w:afterAutospacing="0"/>
              <w:rPr>
                <w:spacing w:val="-2"/>
                <w:szCs w:val="24"/>
                <w:lang w:val="it-IT"/>
              </w:rPr>
            </w:pPr>
            <w:r w:rsidRPr="006F1791">
              <w:rPr>
                <w:szCs w:val="24"/>
                <w:lang w:val="it-IT"/>
              </w:rPr>
              <w:t xml:space="preserve">E-Mail: </w:t>
            </w:r>
            <w:hyperlink r:id="rId12" w:history="1">
              <w:r w:rsidRPr="006F1791">
                <w:rPr>
                  <w:color w:val="0563C1"/>
                  <w:szCs w:val="24"/>
                  <w:u w:val="single"/>
                  <w:lang w:val="it-IT"/>
                </w:rPr>
                <w:t>EmergoVigilance@ul.com</w:t>
              </w:r>
            </w:hyperlink>
          </w:p>
        </w:tc>
      </w:tr>
      <w:tr w:rsidR="008A210D" w:rsidRPr="009461CC"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de-DE"/>
              </w:rPr>
              <w:t>Telefonnummer: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de-DE"/>
              </w:rPr>
              <w:t>Fax:+31 (0)70 346 7299</w:t>
            </w:r>
          </w:p>
        </w:tc>
        <w:tc>
          <w:tcPr>
            <w:tcW w:w="2759" w:type="pct"/>
          </w:tcPr>
          <w:p w14:paraId="2F414254" w14:textId="77777777" w:rsidR="008A210D" w:rsidRPr="006F1791" w:rsidRDefault="008A210D" w:rsidP="009709B4">
            <w:pPr>
              <w:widowControl w:val="0"/>
              <w:autoSpaceDE w:val="0"/>
              <w:autoSpaceDN w:val="0"/>
              <w:spacing w:after="0" w:afterAutospacing="0"/>
              <w:rPr>
                <w:spacing w:val="-2"/>
                <w:szCs w:val="24"/>
                <w:lang w:val="de-DE"/>
              </w:rPr>
            </w:pPr>
            <w:r>
              <w:rPr>
                <w:szCs w:val="24"/>
                <w:lang w:val="de-DE"/>
              </w:rPr>
              <w:t>Adresse:</w:t>
            </w:r>
          </w:p>
          <w:p w14:paraId="759A4A48" w14:textId="77777777" w:rsidR="008A210D" w:rsidRPr="006F1791" w:rsidRDefault="008A210D" w:rsidP="009709B4">
            <w:pPr>
              <w:widowControl w:val="0"/>
              <w:autoSpaceDE w:val="0"/>
              <w:autoSpaceDN w:val="0"/>
              <w:spacing w:after="0" w:afterAutospacing="0"/>
              <w:rPr>
                <w:spacing w:val="-2"/>
                <w:szCs w:val="24"/>
                <w:lang w:val="de-DE"/>
              </w:rPr>
            </w:pPr>
            <w:r>
              <w:rPr>
                <w:szCs w:val="24"/>
                <w:lang w:val="de-DE"/>
              </w:rPr>
              <w:t>Hausnummer und Name:</w:t>
            </w:r>
            <w:r>
              <w:rPr>
                <w:sz w:val="22"/>
                <w:lang w:val="de-DE"/>
              </w:rPr>
              <w:t xml:space="preserve"> 60 </w:t>
            </w:r>
            <w:r>
              <w:rPr>
                <w:szCs w:val="24"/>
                <w:lang w:val="de-DE"/>
              </w:rPr>
              <w:t>Westervoortsedijk</w:t>
            </w:r>
          </w:p>
          <w:p w14:paraId="3B20AE15" w14:textId="77777777" w:rsidR="008A210D" w:rsidRPr="006F1791" w:rsidRDefault="008A210D" w:rsidP="009709B4">
            <w:pPr>
              <w:widowControl w:val="0"/>
              <w:autoSpaceDE w:val="0"/>
              <w:autoSpaceDN w:val="0"/>
              <w:spacing w:after="0" w:afterAutospacing="0"/>
              <w:rPr>
                <w:spacing w:val="-2"/>
                <w:szCs w:val="24"/>
                <w:lang w:val="de-DE"/>
              </w:rPr>
            </w:pPr>
            <w:r>
              <w:rPr>
                <w:szCs w:val="24"/>
                <w:lang w:val="de-DE"/>
              </w:rPr>
              <w:t>Stadt: Arnheim</w:t>
            </w:r>
          </w:p>
          <w:p w14:paraId="6FC33444" w14:textId="77777777" w:rsidR="008A210D" w:rsidRPr="009461CC" w:rsidRDefault="008A210D" w:rsidP="009709B4">
            <w:pPr>
              <w:widowControl w:val="0"/>
              <w:autoSpaceDE w:val="0"/>
              <w:autoSpaceDN w:val="0"/>
              <w:spacing w:after="0" w:afterAutospacing="0"/>
              <w:rPr>
                <w:spacing w:val="-2"/>
                <w:szCs w:val="24"/>
              </w:rPr>
            </w:pPr>
            <w:r>
              <w:rPr>
                <w:szCs w:val="24"/>
                <w:lang w:val="de-DE"/>
              </w:rPr>
              <w:t>Postleitzahl: 6827 AT</w:t>
            </w:r>
          </w:p>
          <w:p w14:paraId="2EB91056" w14:textId="77777777" w:rsidR="008A210D" w:rsidRPr="009461CC" w:rsidRDefault="008A210D" w:rsidP="009709B4">
            <w:pPr>
              <w:widowControl w:val="0"/>
              <w:autoSpaceDE w:val="0"/>
              <w:autoSpaceDN w:val="0"/>
              <w:spacing w:after="0" w:afterAutospacing="0"/>
              <w:rPr>
                <w:spacing w:val="-2"/>
                <w:szCs w:val="24"/>
              </w:rPr>
            </w:pPr>
            <w:r>
              <w:rPr>
                <w:szCs w:val="24"/>
                <w:lang w:val="de-DE"/>
              </w:rPr>
              <w:t>Land: Niederlande</w:t>
            </w:r>
          </w:p>
        </w:tc>
      </w:tr>
    </w:tbl>
    <w:p w14:paraId="1624A296" w14:textId="77777777" w:rsidR="009855C3" w:rsidRPr="009461CC" w:rsidRDefault="009855C3" w:rsidP="00042B91">
      <w:pPr>
        <w:spacing w:after="0" w:afterAutospacing="0" w:line="240" w:lineRule="auto"/>
        <w:ind w:left="1440"/>
        <w:rPr>
          <w:rFonts w:cs="Times New Roman"/>
        </w:rPr>
      </w:pPr>
    </w:p>
    <w:p w14:paraId="6CE36BA3" w14:textId="123826B9" w:rsidR="006517A0" w:rsidRPr="006F1791" w:rsidRDefault="009855C3" w:rsidP="003074B3">
      <w:pPr>
        <w:pStyle w:val="Heading1"/>
        <w:rPr>
          <w:rFonts w:cs="Times New Roman"/>
          <w:lang w:val="de-DE"/>
        </w:rPr>
      </w:pPr>
      <w:bookmarkStart w:id="6" w:name="_Toc222741400"/>
      <w:r>
        <w:rPr>
          <w:rFonts w:cs="Times New Roman"/>
          <w:bCs/>
          <w:lang w:val="de-DE"/>
        </w:rPr>
        <w:t>Name der BS</w:t>
      </w:r>
      <w:r w:rsidR="00E064BB">
        <w:rPr>
          <w:rFonts w:cs="Times New Roman"/>
          <w:bCs/>
          <w:lang w:val="de-DE"/>
        </w:rPr>
        <w:t xml:space="preserve"> (NB)</w:t>
      </w:r>
      <w:r>
        <w:rPr>
          <w:rFonts w:cs="Times New Roman"/>
          <w:bCs/>
          <w:lang w:val="de-DE"/>
        </w:rPr>
        <w:t xml:space="preserve"> und Einzelidentifikationsnummer:</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6926"/>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de-DE"/>
              </w:rPr>
              <w:t>Benannte Stelle</w:t>
            </w:r>
          </w:p>
        </w:tc>
      </w:tr>
      <w:tr w:rsidR="00272DEA" w:rsidRPr="009461CC" w14:paraId="0B814508" w14:textId="77777777" w:rsidTr="00906FBD">
        <w:trPr>
          <w:trHeight w:val="350"/>
          <w:jc w:val="center"/>
        </w:trPr>
        <w:tc>
          <w:tcPr>
            <w:tcW w:w="168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Name:</w:t>
            </w:r>
          </w:p>
        </w:tc>
        <w:tc>
          <w:tcPr>
            <w:tcW w:w="332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sidRPr="006F1791">
              <w:rPr>
                <w:rFonts w:cs="Times New Roman"/>
                <w:szCs w:val="24"/>
              </w:rPr>
              <w:t>The British Standards Institution (BSI) Group the Netherlands B.V.</w:t>
            </w:r>
          </w:p>
        </w:tc>
      </w:tr>
      <w:tr w:rsidR="003074B3" w:rsidRPr="00E064BB" w14:paraId="65281175" w14:textId="77777777" w:rsidTr="00906FBD">
        <w:trPr>
          <w:trHeight w:val="728"/>
          <w:jc w:val="center"/>
        </w:trPr>
        <w:tc>
          <w:tcPr>
            <w:tcW w:w="168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e-DE"/>
              </w:rPr>
              <w:t>Adresse:</w:t>
            </w:r>
          </w:p>
        </w:tc>
        <w:tc>
          <w:tcPr>
            <w:tcW w:w="3320" w:type="pct"/>
          </w:tcPr>
          <w:p w14:paraId="727CFF1E" w14:textId="77777777" w:rsidR="003074B3" w:rsidRPr="00BD0745"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John M. Keynesplein 9</w:t>
            </w:r>
          </w:p>
          <w:p w14:paraId="4054093A" w14:textId="77777777" w:rsidR="003074B3" w:rsidRPr="00BD0745"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1066 EP Amsterdam</w:t>
            </w:r>
          </w:p>
          <w:p w14:paraId="72F2BC20" w14:textId="77777777" w:rsidR="003074B3" w:rsidRPr="00BD0745" w:rsidRDefault="003074B3" w:rsidP="00B066F7">
            <w:pPr>
              <w:suppressAutoHyphens/>
              <w:spacing w:after="0" w:afterAutospacing="0" w:line="240" w:lineRule="exact"/>
              <w:contextualSpacing/>
              <w:rPr>
                <w:rFonts w:eastAsia="Times New Roman" w:cs="Times New Roman"/>
                <w:bCs/>
                <w:szCs w:val="24"/>
                <w:lang w:val="de-DE"/>
              </w:rPr>
            </w:pPr>
            <w:r>
              <w:rPr>
                <w:rFonts w:eastAsia="Times New Roman" w:cs="Times New Roman"/>
                <w:szCs w:val="24"/>
                <w:lang w:val="de-DE"/>
              </w:rPr>
              <w:t xml:space="preserve"> Die Niederlande</w:t>
            </w:r>
          </w:p>
        </w:tc>
      </w:tr>
      <w:tr w:rsidR="003074B3" w:rsidRPr="009461CC" w14:paraId="7A858549" w14:textId="77777777" w:rsidTr="00906FBD">
        <w:trPr>
          <w:trHeight w:val="351"/>
          <w:jc w:val="center"/>
        </w:trPr>
        <w:tc>
          <w:tcPr>
            <w:tcW w:w="168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e-DE"/>
              </w:rPr>
              <w:t>Website:</w:t>
            </w:r>
          </w:p>
        </w:tc>
        <w:tc>
          <w:tcPr>
            <w:tcW w:w="332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de-DE"/>
                </w:rPr>
                <w:t>www.bsigroup.com</w:t>
              </w:r>
            </w:hyperlink>
            <w:r>
              <w:rPr>
                <w:rFonts w:eastAsia="Times New Roman" w:cs="Times New Roman"/>
                <w:szCs w:val="24"/>
                <w:lang w:val="de-DE"/>
              </w:rPr>
              <w:t xml:space="preserve"> </w:t>
            </w:r>
          </w:p>
        </w:tc>
      </w:tr>
      <w:tr w:rsidR="003074B3" w:rsidRPr="009461CC" w14:paraId="242654B6" w14:textId="77777777" w:rsidTr="00906FBD">
        <w:trPr>
          <w:trHeight w:val="355"/>
          <w:jc w:val="center"/>
        </w:trPr>
        <w:tc>
          <w:tcPr>
            <w:tcW w:w="168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Telefon:</w:t>
            </w:r>
          </w:p>
        </w:tc>
        <w:tc>
          <w:tcPr>
            <w:tcW w:w="332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de-DE"/>
              </w:rPr>
              <w:t>+31 (0)20 346 07 80</w:t>
            </w:r>
          </w:p>
        </w:tc>
      </w:tr>
      <w:tr w:rsidR="003074B3" w:rsidRPr="009461CC" w14:paraId="3445789F" w14:textId="77777777" w:rsidTr="00906FBD">
        <w:trPr>
          <w:trHeight w:val="355"/>
          <w:jc w:val="center"/>
        </w:trPr>
        <w:tc>
          <w:tcPr>
            <w:tcW w:w="168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de-DE"/>
              </w:rPr>
              <w:t>Fax:</w:t>
            </w:r>
          </w:p>
        </w:tc>
        <w:tc>
          <w:tcPr>
            <w:tcW w:w="332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de-DE"/>
              </w:rPr>
              <w:t>+31 (0)20 346 07 81</w:t>
            </w:r>
          </w:p>
        </w:tc>
      </w:tr>
      <w:tr w:rsidR="003074B3" w:rsidRPr="009461CC" w14:paraId="108563A6" w14:textId="77777777" w:rsidTr="00906FBD">
        <w:trPr>
          <w:trHeight w:val="323"/>
          <w:jc w:val="center"/>
        </w:trPr>
        <w:tc>
          <w:tcPr>
            <w:tcW w:w="168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de-DE"/>
              </w:rPr>
              <w:t>Nummer der benannten Stelle:</w:t>
            </w:r>
            <w:r>
              <w:rPr>
                <w:rFonts w:eastAsia="Times New Roman" w:cs="Times New Roman"/>
                <w:szCs w:val="24"/>
                <w:lang w:val="de-DE"/>
              </w:rPr>
              <w:tab/>
            </w:r>
          </w:p>
        </w:tc>
        <w:tc>
          <w:tcPr>
            <w:tcW w:w="332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de-DE"/>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401"/>
      <w:r>
        <w:rPr>
          <w:rFonts w:cs="Times New Roman"/>
          <w:bCs/>
          <w:lang w:val="de-DE"/>
        </w:rPr>
        <w:t>Verwendungszweck/Bestimmungsgemäße Verwendung des Produkts</w:t>
      </w:r>
      <w:bookmarkEnd w:id="7"/>
      <w:r>
        <w:rPr>
          <w:rFonts w:cs="Times New Roman"/>
          <w:bCs/>
          <w:lang w:val="de-DE"/>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de-DE"/>
        </w:rPr>
        <w:t>Literaturhinweise:</w:t>
      </w:r>
    </w:p>
    <w:p w14:paraId="5CC3EE9B" w14:textId="1A780D49" w:rsidR="00042B91" w:rsidRPr="009461CC" w:rsidRDefault="00FE5B73" w:rsidP="00042B91">
      <w:pPr>
        <w:spacing w:after="0" w:afterAutospacing="0" w:line="240" w:lineRule="auto"/>
        <w:rPr>
          <w:rFonts w:cs="Times New Roman"/>
        </w:rPr>
      </w:pPr>
      <w:r>
        <w:rPr>
          <w:rFonts w:cs="Times New Roman"/>
          <w:lang w:val="de-DE"/>
        </w:rPr>
        <w:t>Referenznummern: X9585730-0321-EU Rev A</w:t>
      </w:r>
    </w:p>
    <w:p w14:paraId="1254EE9F" w14:textId="77777777" w:rsidR="00FE5B73" w:rsidRPr="009461CC" w:rsidRDefault="00FE5B73" w:rsidP="00042B91">
      <w:pPr>
        <w:spacing w:after="0" w:afterAutospacing="0" w:line="240" w:lineRule="auto"/>
        <w:rPr>
          <w:rFonts w:cs="Times New Roman"/>
        </w:rPr>
      </w:pPr>
    </w:p>
    <w:p w14:paraId="39A6DB15" w14:textId="58ED6DAB" w:rsidR="006F0810" w:rsidRPr="009461CC" w:rsidRDefault="00B7112F" w:rsidP="00042B91">
      <w:pPr>
        <w:pStyle w:val="Heading1"/>
        <w:rPr>
          <w:rFonts w:cs="Times New Roman"/>
        </w:rPr>
      </w:pPr>
      <w:r>
        <w:rPr>
          <w:rFonts w:cs="Times New Roman"/>
          <w:bCs/>
          <w:lang w:val="de-DE"/>
        </w:rPr>
        <w:t xml:space="preserve"> </w:t>
      </w:r>
      <w:bookmarkStart w:id="8" w:name="_Toc222741402"/>
      <w:r>
        <w:rPr>
          <w:rFonts w:cs="Times New Roman"/>
          <w:bCs/>
          <w:lang w:val="de-DE"/>
        </w:rPr>
        <w:t>Verwendungszweck/Bestimmungsgemäße Verwendung</w:t>
      </w:r>
      <w:bookmarkEnd w:id="8"/>
    </w:p>
    <w:p w14:paraId="5F55F24F" w14:textId="20556298" w:rsidR="009B569A" w:rsidRPr="00BD0745" w:rsidRDefault="00B82FB3" w:rsidP="00B82FB3">
      <w:pPr>
        <w:rPr>
          <w:rFonts w:cs="Times New Roman"/>
          <w:shd w:val="clear" w:color="auto" w:fill="FFFFFF"/>
          <w:lang w:val="de-DE"/>
        </w:rPr>
      </w:pPr>
      <w:r>
        <w:rPr>
          <w:rFonts w:cs="Times New Roman"/>
          <w:shd w:val="clear" w:color="auto" w:fill="FFFFFF"/>
          <w:lang w:val="de-DE"/>
        </w:rPr>
        <w:t>Das Atrieve</w:t>
      </w:r>
      <w:r>
        <w:rPr>
          <w:rFonts w:cs="Times New Roman"/>
          <w:shd w:val="clear" w:color="auto" w:fill="FFFFFF"/>
          <w:vertAlign w:val="superscript"/>
          <w:lang w:val="de-DE"/>
        </w:rPr>
        <w:t>TM</w:t>
      </w:r>
      <w:r>
        <w:rPr>
          <w:rFonts w:cs="Times New Roman"/>
          <w:shd w:val="clear" w:color="auto" w:fill="FFFFFF"/>
          <w:lang w:val="de-DE"/>
        </w:rPr>
        <w:t xml:space="preserve"> Vascular Snare Kit ist für die Verwendung im kardiovaskulären System oder in Hohlorganen vorgesehen, um Fremdkörper zu entfernen und zu manipulieren.</w:t>
      </w:r>
    </w:p>
    <w:p w14:paraId="0540FB4C" w14:textId="6BE36C7A" w:rsidR="006F0810" w:rsidRPr="009461CC" w:rsidRDefault="006F0810" w:rsidP="00042B91">
      <w:pPr>
        <w:pStyle w:val="Heading1"/>
        <w:rPr>
          <w:rFonts w:cs="Times New Roman"/>
        </w:rPr>
      </w:pPr>
      <w:bookmarkStart w:id="9" w:name="_Toc222741403"/>
      <w:r>
        <w:rPr>
          <w:rFonts w:cs="Times New Roman"/>
          <w:bCs/>
          <w:lang w:val="de-DE"/>
        </w:rPr>
        <w:t>Anwendungsgebiete</w:t>
      </w:r>
      <w:bookmarkEnd w:id="9"/>
    </w:p>
    <w:p w14:paraId="24ADD508" w14:textId="77777777" w:rsidR="00235AAE" w:rsidRPr="00BD0745" w:rsidRDefault="00235AAE" w:rsidP="00906FBD">
      <w:pPr>
        <w:widowControl w:val="0"/>
        <w:spacing w:line="228" w:lineRule="auto"/>
        <w:rPr>
          <w:rFonts w:cs="Times New Roman"/>
          <w:lang w:val="de-DE"/>
        </w:rPr>
      </w:pPr>
      <w:r>
        <w:rPr>
          <w:rFonts w:cs="Times New Roman"/>
          <w:lang w:val="de-DE"/>
        </w:rPr>
        <w:lastRenderedPageBreak/>
        <w:t>Das Atrieve</w:t>
      </w:r>
      <w:r>
        <w:rPr>
          <w:rFonts w:cs="Times New Roman"/>
          <w:vertAlign w:val="superscript"/>
          <w:lang w:val="de-DE"/>
        </w:rPr>
        <w:t>TM</w:t>
      </w:r>
      <w:r>
        <w:rPr>
          <w:rFonts w:cs="Times New Roman"/>
          <w:lang w:val="de-DE"/>
        </w:rPr>
        <w:t xml:space="preserve"> Vascular Snare Kit ist für die Verwendung im kardiovaskulären System oder in Hohlorganen vorgesehen, um Fremdkörper zu entfernen und zu manipulieren. Zu den Manipulationsverfahren gehören die Neupositionierung von Venenverweilkathetern, das Abstreifen der Fibrinhülle von Venenverweilkathetern und die Unterstützung bei Venenpunktionsverfahren mit zentralem Venenzugang.</w:t>
      </w:r>
    </w:p>
    <w:p w14:paraId="498EAE44" w14:textId="77777777" w:rsidR="00D20FA4" w:rsidRPr="009461CC" w:rsidRDefault="00D20FA4" w:rsidP="00906FBD">
      <w:pPr>
        <w:pStyle w:val="Heading1"/>
        <w:spacing w:line="228" w:lineRule="auto"/>
        <w:rPr>
          <w:rFonts w:cs="Times New Roman"/>
        </w:rPr>
      </w:pPr>
      <w:bookmarkStart w:id="10" w:name="_Toc222741404"/>
      <w:r>
        <w:rPr>
          <w:rFonts w:cs="Times New Roman"/>
          <w:bCs/>
          <w:lang w:val="de-DE"/>
        </w:rPr>
        <w:t>Zielpopulation</w:t>
      </w:r>
      <w:bookmarkEnd w:id="10"/>
    </w:p>
    <w:p w14:paraId="099A3585" w14:textId="77777777" w:rsidR="003B70D7" w:rsidRPr="00BD0745" w:rsidRDefault="003B70D7" w:rsidP="00906FBD">
      <w:pPr>
        <w:pStyle w:val="pf0"/>
        <w:widowControl w:val="0"/>
        <w:spacing w:before="0" w:beforeAutospacing="0" w:after="0" w:afterAutospacing="0" w:line="228" w:lineRule="auto"/>
        <w:rPr>
          <w:lang w:val="de-DE"/>
        </w:rPr>
      </w:pPr>
      <w:r>
        <w:rPr>
          <w:lang w:val="de-DE"/>
        </w:rPr>
        <w:t>Erwachsene Patienten einschließlich ältere Erwachsene, unabhängig von Geschlecht oder ethnischer Zugehörigkeit und Herkunft.</w:t>
      </w:r>
    </w:p>
    <w:p w14:paraId="3621B4F1" w14:textId="77777777" w:rsidR="003B70D7" w:rsidRPr="00906FBD" w:rsidRDefault="003B70D7" w:rsidP="003B70D7">
      <w:pPr>
        <w:pStyle w:val="pf0"/>
        <w:widowControl w:val="0"/>
        <w:spacing w:before="0" w:beforeAutospacing="0" w:after="0" w:afterAutospacing="0"/>
        <w:rPr>
          <w:sz w:val="16"/>
          <w:szCs w:val="16"/>
          <w:lang w:val="de-DE"/>
        </w:rPr>
      </w:pPr>
    </w:p>
    <w:p w14:paraId="28F544BD" w14:textId="4F93A450" w:rsidR="006F0810" w:rsidRPr="009461CC" w:rsidRDefault="006F0810" w:rsidP="00042B91">
      <w:pPr>
        <w:pStyle w:val="Heading1"/>
        <w:rPr>
          <w:rFonts w:cs="Times New Roman"/>
        </w:rPr>
      </w:pPr>
      <w:bookmarkStart w:id="11" w:name="_Toc222741405"/>
      <w:r>
        <w:rPr>
          <w:rFonts w:cs="Times New Roman"/>
          <w:bCs/>
          <w:lang w:val="de-DE"/>
        </w:rPr>
        <w:t>Kontraindikationen</w:t>
      </w:r>
      <w:bookmarkEnd w:id="11"/>
    </w:p>
    <w:p w14:paraId="169E24EB" w14:textId="77777777" w:rsidR="00AA3502" w:rsidRPr="00BD0745" w:rsidRDefault="00AA3502" w:rsidP="00906FBD">
      <w:pPr>
        <w:pStyle w:val="ListParagraph"/>
        <w:numPr>
          <w:ilvl w:val="0"/>
          <w:numId w:val="31"/>
        </w:numPr>
        <w:spacing w:after="0" w:afterAutospacing="0" w:line="216" w:lineRule="auto"/>
        <w:jc w:val="both"/>
        <w:rPr>
          <w:rFonts w:eastAsia="Times New Roman" w:cs="Times New Roman"/>
          <w:lang w:val="de-DE"/>
        </w:rPr>
      </w:pPr>
      <w:r>
        <w:rPr>
          <w:rFonts w:cs="Times New Roman"/>
          <w:color w:val="000000"/>
          <w:lang w:val="de-DE"/>
        </w:rPr>
        <w:t>Dieses Produkt ist nicht zur Entfernung von Fremdkörpern vorgesehen, die durch Gewebewucherungen eingeschlossen wurden.</w:t>
      </w:r>
    </w:p>
    <w:p w14:paraId="4BFB00B8" w14:textId="77777777" w:rsidR="00AA3502" w:rsidRPr="00BD0745" w:rsidRDefault="00AA3502" w:rsidP="00906FBD">
      <w:pPr>
        <w:pStyle w:val="ListParagraph"/>
        <w:numPr>
          <w:ilvl w:val="0"/>
          <w:numId w:val="31"/>
        </w:numPr>
        <w:spacing w:after="0" w:afterAutospacing="0" w:line="216" w:lineRule="auto"/>
        <w:jc w:val="both"/>
        <w:rPr>
          <w:rFonts w:eastAsia="Times New Roman" w:cs="Times New Roman"/>
          <w:lang w:val="de-DE"/>
        </w:rPr>
      </w:pPr>
      <w:r>
        <w:rPr>
          <w:rFonts w:eastAsia="Times New Roman" w:cs="Times New Roman"/>
          <w:lang w:val="de-DE"/>
        </w:rPr>
        <w:t>Das Produkt sollte nicht zum Abstreifen der Fibrinhülle bei Vorliegen von Septumdefekten oder eines offenen Foramen ovale verwendet werden.</w:t>
      </w:r>
    </w:p>
    <w:p w14:paraId="77577945" w14:textId="77777777" w:rsidR="00AA3502" w:rsidRPr="00BD0745" w:rsidRDefault="00AA3502" w:rsidP="00906FBD">
      <w:pPr>
        <w:pStyle w:val="ListParagraph"/>
        <w:numPr>
          <w:ilvl w:val="0"/>
          <w:numId w:val="31"/>
        </w:numPr>
        <w:spacing w:after="0" w:afterAutospacing="0" w:line="216" w:lineRule="auto"/>
        <w:jc w:val="both"/>
        <w:rPr>
          <w:rFonts w:eastAsia="Times New Roman" w:cs="Times New Roman"/>
          <w:lang w:val="de-DE"/>
        </w:rPr>
      </w:pPr>
      <w:r>
        <w:rPr>
          <w:rFonts w:eastAsia="Times New Roman" w:cs="Times New Roman"/>
          <w:lang w:val="de-DE"/>
        </w:rPr>
        <w:t>Dieses Produkt ist nicht zur Entfernung implantierter Schrittmacherelektroden bestimmt.</w:t>
      </w:r>
    </w:p>
    <w:p w14:paraId="764D1032" w14:textId="77777777" w:rsidR="00761873" w:rsidRPr="00BD0745" w:rsidRDefault="00761873" w:rsidP="00761873">
      <w:pPr>
        <w:pStyle w:val="ListParagraph"/>
        <w:spacing w:after="0" w:afterAutospacing="0"/>
        <w:ind w:left="1440"/>
        <w:rPr>
          <w:rFonts w:cs="Times New Roman"/>
          <w:lang w:val="de-DE"/>
        </w:rPr>
      </w:pPr>
    </w:p>
    <w:p w14:paraId="0A9D601E" w14:textId="53FB771D" w:rsidR="00760400" w:rsidRPr="009461CC" w:rsidRDefault="00D20FA4" w:rsidP="00F67A0E">
      <w:pPr>
        <w:pStyle w:val="Heading1"/>
        <w:numPr>
          <w:ilvl w:val="0"/>
          <w:numId w:val="2"/>
        </w:numPr>
        <w:rPr>
          <w:rFonts w:cs="Times New Roman"/>
        </w:rPr>
      </w:pPr>
      <w:bookmarkStart w:id="12" w:name="_Toc222741406"/>
      <w:r>
        <w:rPr>
          <w:rFonts w:cs="Times New Roman"/>
          <w:bCs/>
          <w:lang w:val="de-DE"/>
        </w:rPr>
        <w:t>Produktbeschreibung</w:t>
      </w:r>
      <w:bookmarkEnd w:id="12"/>
    </w:p>
    <w:p w14:paraId="7115673A" w14:textId="77777777" w:rsidR="00042B91" w:rsidRPr="00906FBD" w:rsidRDefault="00042B91" w:rsidP="00042B91">
      <w:pPr>
        <w:spacing w:after="0" w:afterAutospacing="0" w:line="240" w:lineRule="auto"/>
        <w:rPr>
          <w:rFonts w:cs="Times New Roman"/>
          <w:sz w:val="16"/>
          <w:szCs w:val="14"/>
        </w:rPr>
      </w:pPr>
    </w:p>
    <w:p w14:paraId="33649869" w14:textId="52085753" w:rsidR="00D20FA4" w:rsidRPr="009461CC" w:rsidRDefault="00D20FA4" w:rsidP="00042B91">
      <w:pPr>
        <w:pStyle w:val="Heading1"/>
        <w:rPr>
          <w:rFonts w:cs="Times New Roman"/>
        </w:rPr>
      </w:pPr>
      <w:bookmarkStart w:id="13" w:name="_Toc222741407"/>
      <w:r>
        <w:rPr>
          <w:rFonts w:cs="Times New Roman"/>
          <w:bCs/>
          <w:lang w:val="de-DE"/>
        </w:rPr>
        <w:t>Beschreibung des Produkts</w:t>
      </w:r>
      <w:bookmarkEnd w:id="13"/>
      <w:r>
        <w:rPr>
          <w:rFonts w:cs="Times New Roman"/>
          <w:bCs/>
          <w:lang w:val="de-DE"/>
        </w:rPr>
        <w:t xml:space="preserve"> </w:t>
      </w:r>
    </w:p>
    <w:p w14:paraId="3DAFEC6E" w14:textId="5053E6C6" w:rsidR="00994DB9" w:rsidRPr="00BD0745" w:rsidRDefault="00994DB9" w:rsidP="00906FBD">
      <w:pPr>
        <w:spacing w:line="228" w:lineRule="auto"/>
        <w:rPr>
          <w:rFonts w:cs="Times New Roman"/>
          <w:lang w:val="de-DE"/>
        </w:rPr>
      </w:pPr>
      <w:bookmarkStart w:id="14" w:name="_Hlk169187630"/>
      <w:r>
        <w:rPr>
          <w:rFonts w:cs="Times New Roman"/>
          <w:lang w:val="de-DE"/>
        </w:rPr>
        <w:t>Das Atrieve™ Vascular Snare Kit besteht aus einer Schlinge mit drei vorgeformten Schlaufen aus superelastischem Nitinol und Platin. Die Schlaufen sind nicht miteinander verwoben und können relativ zueinander gleiten. Die Schlaufen der Schlinge können in den Einführkatheter eingeführt werden, ohne dass ein Risiko einer dauerhaften Deformation des Geräts besteht. Das Atrieve</w:t>
      </w:r>
      <w:r>
        <w:rPr>
          <w:rFonts w:cs="Times New Roman"/>
          <w:vertAlign w:val="superscript"/>
          <w:lang w:val="de-DE"/>
        </w:rPr>
        <w:t>TM</w:t>
      </w:r>
      <w:r>
        <w:rPr>
          <w:rFonts w:cs="Times New Roman"/>
          <w:lang w:val="de-DE"/>
        </w:rPr>
        <w:t xml:space="preserve"> Vascular Snare Kit beinhaltet auch einen Einführkatheter, einen Drehmomentgriff und ein Einführbesteck. Der Einführkatheter ist an der distalen Spitze mit einem röntgendichten Markierungsband versehen. Das Produkt ist bei Lieferung in einer Schutzhalterung verpackt. Das Gerät ist zur einmaligen Verwendung bestimmt und wird steril (Ethylenoxid) und gebrauchsfertig geliefert.</w:t>
      </w:r>
    </w:p>
    <w:p w14:paraId="210E0750" w14:textId="77777777" w:rsidR="00994DB9" w:rsidRPr="00BD0745" w:rsidRDefault="00994DB9" w:rsidP="00994DB9">
      <w:pPr>
        <w:rPr>
          <w:rFonts w:cs="Times New Roman"/>
          <w:lang w:val="de-DE"/>
        </w:rPr>
      </w:pPr>
      <w:r>
        <w:rPr>
          <w:rFonts w:cs="Times New Roman"/>
          <w:lang w:val="de-DE"/>
        </w:rPr>
        <w:t>Das Atrieve™ Vascular Snare Kit ist in folgenden Größen erhältlich:</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906FBD">
            <w:pPr>
              <w:widowControl w:val="0"/>
              <w:spacing w:line="216" w:lineRule="auto"/>
              <w:rPr>
                <w:rFonts w:cs="Times New Roman"/>
              </w:rPr>
            </w:pPr>
            <w:r>
              <w:rPr>
                <w:rFonts w:cs="Times New Roman"/>
                <w:lang w:val="de-DE"/>
              </w:rPr>
              <w:t>Spanne Schlingendurchmesser</w:t>
            </w:r>
          </w:p>
        </w:tc>
        <w:tc>
          <w:tcPr>
            <w:tcW w:w="1274" w:type="pct"/>
          </w:tcPr>
          <w:p w14:paraId="2775F724" w14:textId="77777777" w:rsidR="00994DB9" w:rsidRPr="009461CC" w:rsidRDefault="00994DB9" w:rsidP="00906FBD">
            <w:pPr>
              <w:widowControl w:val="0"/>
              <w:spacing w:line="216" w:lineRule="auto"/>
              <w:rPr>
                <w:rFonts w:cs="Times New Roman"/>
              </w:rPr>
            </w:pPr>
            <w:r>
              <w:rPr>
                <w:rFonts w:cs="Times New Roman"/>
                <w:lang w:val="de-DE"/>
              </w:rPr>
              <w:t>Schlingenlänge</w:t>
            </w:r>
          </w:p>
        </w:tc>
        <w:tc>
          <w:tcPr>
            <w:tcW w:w="1123" w:type="pct"/>
          </w:tcPr>
          <w:p w14:paraId="7396E037" w14:textId="77777777" w:rsidR="00994DB9" w:rsidRPr="009461CC" w:rsidRDefault="00994DB9" w:rsidP="00906FBD">
            <w:pPr>
              <w:widowControl w:val="0"/>
              <w:spacing w:line="216" w:lineRule="auto"/>
              <w:rPr>
                <w:rFonts w:cs="Times New Roman"/>
              </w:rPr>
            </w:pPr>
            <w:r>
              <w:rPr>
                <w:rFonts w:cs="Times New Roman"/>
                <w:lang w:val="de-DE"/>
              </w:rPr>
              <w:t>Liefergröße</w:t>
            </w:r>
          </w:p>
        </w:tc>
        <w:tc>
          <w:tcPr>
            <w:tcW w:w="1250" w:type="pct"/>
          </w:tcPr>
          <w:p w14:paraId="7E248A66" w14:textId="77777777" w:rsidR="00994DB9" w:rsidRPr="009461CC" w:rsidRDefault="00994DB9" w:rsidP="00906FBD">
            <w:pPr>
              <w:widowControl w:val="0"/>
              <w:spacing w:line="216" w:lineRule="auto"/>
              <w:rPr>
                <w:rFonts w:cs="Times New Roman"/>
              </w:rPr>
            </w:pPr>
            <w:r>
              <w:rPr>
                <w:rFonts w:cs="Times New Roman"/>
                <w:lang w:val="de-DE"/>
              </w:rPr>
              <w:t>Katheterlänge</w:t>
            </w:r>
          </w:p>
        </w:tc>
      </w:tr>
      <w:tr w:rsidR="00994DB9" w:rsidRPr="009461CC" w14:paraId="41F89C56" w14:textId="77777777" w:rsidTr="0022766F">
        <w:tc>
          <w:tcPr>
            <w:tcW w:w="1354" w:type="pct"/>
          </w:tcPr>
          <w:p w14:paraId="20D41F97" w14:textId="77777777" w:rsidR="00994DB9" w:rsidRPr="009461CC" w:rsidRDefault="00994DB9" w:rsidP="00906FBD">
            <w:pPr>
              <w:widowControl w:val="0"/>
              <w:spacing w:line="216" w:lineRule="auto"/>
              <w:rPr>
                <w:rFonts w:cs="Times New Roman"/>
              </w:rPr>
            </w:pPr>
            <w:r>
              <w:rPr>
                <w:rFonts w:cs="Times New Roman"/>
                <w:lang w:val="de-DE"/>
              </w:rPr>
              <w:t>2–4 mm</w:t>
            </w:r>
          </w:p>
        </w:tc>
        <w:tc>
          <w:tcPr>
            <w:tcW w:w="1274" w:type="pct"/>
          </w:tcPr>
          <w:p w14:paraId="04CC9EC1" w14:textId="77777777" w:rsidR="00994DB9" w:rsidRPr="009461CC" w:rsidRDefault="00994DB9" w:rsidP="00906FBD">
            <w:pPr>
              <w:widowControl w:val="0"/>
              <w:spacing w:line="216" w:lineRule="auto"/>
              <w:rPr>
                <w:rFonts w:cs="Times New Roman"/>
              </w:rPr>
            </w:pPr>
            <w:r>
              <w:rPr>
                <w:rFonts w:cs="Times New Roman"/>
                <w:lang w:val="de-DE"/>
              </w:rPr>
              <w:t>175 cm</w:t>
            </w:r>
          </w:p>
        </w:tc>
        <w:tc>
          <w:tcPr>
            <w:tcW w:w="1123" w:type="pct"/>
          </w:tcPr>
          <w:p w14:paraId="38F2FCC0" w14:textId="77777777" w:rsidR="00994DB9" w:rsidRPr="009461CC" w:rsidRDefault="00994DB9" w:rsidP="00906FBD">
            <w:pPr>
              <w:widowControl w:val="0"/>
              <w:spacing w:line="216" w:lineRule="auto"/>
              <w:rPr>
                <w:rFonts w:cs="Times New Roman"/>
              </w:rPr>
            </w:pPr>
            <w:r>
              <w:rPr>
                <w:rFonts w:cs="Times New Roman"/>
                <w:lang w:val="de-DE"/>
              </w:rPr>
              <w:t>3,2 F</w:t>
            </w:r>
          </w:p>
        </w:tc>
        <w:tc>
          <w:tcPr>
            <w:tcW w:w="1250" w:type="pct"/>
          </w:tcPr>
          <w:p w14:paraId="5CD712C9" w14:textId="77777777" w:rsidR="00994DB9" w:rsidRPr="009461CC" w:rsidRDefault="00994DB9" w:rsidP="00906FBD">
            <w:pPr>
              <w:widowControl w:val="0"/>
              <w:spacing w:line="216" w:lineRule="auto"/>
              <w:rPr>
                <w:rFonts w:cs="Times New Roman"/>
              </w:rPr>
            </w:pPr>
            <w:r>
              <w:rPr>
                <w:rFonts w:cs="Times New Roman"/>
                <w:lang w:val="de-DE"/>
              </w:rPr>
              <w:t>150 cm</w:t>
            </w:r>
          </w:p>
        </w:tc>
      </w:tr>
      <w:tr w:rsidR="00994DB9" w:rsidRPr="009461CC" w14:paraId="5428D0A0" w14:textId="77777777" w:rsidTr="0022766F">
        <w:tc>
          <w:tcPr>
            <w:tcW w:w="1354" w:type="pct"/>
          </w:tcPr>
          <w:p w14:paraId="7992579F" w14:textId="77777777" w:rsidR="00994DB9" w:rsidRPr="009461CC" w:rsidRDefault="00994DB9" w:rsidP="00906FBD">
            <w:pPr>
              <w:widowControl w:val="0"/>
              <w:spacing w:line="216" w:lineRule="auto"/>
              <w:rPr>
                <w:rFonts w:cs="Times New Roman"/>
              </w:rPr>
            </w:pPr>
            <w:r>
              <w:rPr>
                <w:rFonts w:cs="Times New Roman"/>
                <w:lang w:val="de-DE"/>
              </w:rPr>
              <w:t>4–8 mm</w:t>
            </w:r>
          </w:p>
        </w:tc>
        <w:tc>
          <w:tcPr>
            <w:tcW w:w="1274" w:type="pct"/>
          </w:tcPr>
          <w:p w14:paraId="7E385A6E" w14:textId="77777777" w:rsidR="00994DB9" w:rsidRPr="009461CC" w:rsidRDefault="00994DB9" w:rsidP="00906FBD">
            <w:pPr>
              <w:widowControl w:val="0"/>
              <w:spacing w:line="216" w:lineRule="auto"/>
              <w:rPr>
                <w:rFonts w:cs="Times New Roman"/>
              </w:rPr>
            </w:pPr>
            <w:r>
              <w:rPr>
                <w:rFonts w:cs="Times New Roman"/>
                <w:lang w:val="de-DE"/>
              </w:rPr>
              <w:t>175 cm</w:t>
            </w:r>
          </w:p>
        </w:tc>
        <w:tc>
          <w:tcPr>
            <w:tcW w:w="1123" w:type="pct"/>
          </w:tcPr>
          <w:p w14:paraId="52F22EE9" w14:textId="77777777" w:rsidR="00994DB9" w:rsidRPr="009461CC" w:rsidRDefault="00994DB9" w:rsidP="00906FBD">
            <w:pPr>
              <w:widowControl w:val="0"/>
              <w:spacing w:line="216" w:lineRule="auto"/>
              <w:rPr>
                <w:rFonts w:cs="Times New Roman"/>
              </w:rPr>
            </w:pPr>
            <w:r>
              <w:rPr>
                <w:rFonts w:cs="Times New Roman"/>
                <w:lang w:val="de-DE"/>
              </w:rPr>
              <w:t>3,2 F</w:t>
            </w:r>
          </w:p>
        </w:tc>
        <w:tc>
          <w:tcPr>
            <w:tcW w:w="1250" w:type="pct"/>
          </w:tcPr>
          <w:p w14:paraId="2FFE91B6" w14:textId="77777777" w:rsidR="00994DB9" w:rsidRPr="009461CC" w:rsidRDefault="00994DB9" w:rsidP="00906FBD">
            <w:pPr>
              <w:widowControl w:val="0"/>
              <w:spacing w:line="216" w:lineRule="auto"/>
              <w:rPr>
                <w:rFonts w:cs="Times New Roman"/>
              </w:rPr>
            </w:pPr>
            <w:r>
              <w:rPr>
                <w:rFonts w:cs="Times New Roman"/>
                <w:lang w:val="de-DE"/>
              </w:rPr>
              <w:t>150 cm</w:t>
            </w:r>
          </w:p>
        </w:tc>
      </w:tr>
      <w:tr w:rsidR="00994DB9" w:rsidRPr="009461CC" w14:paraId="1CBE6E3D" w14:textId="77777777" w:rsidTr="0022766F">
        <w:tc>
          <w:tcPr>
            <w:tcW w:w="1354" w:type="pct"/>
          </w:tcPr>
          <w:p w14:paraId="3CD87E57" w14:textId="77777777" w:rsidR="00994DB9" w:rsidRPr="009461CC" w:rsidRDefault="00994DB9" w:rsidP="00906FBD">
            <w:pPr>
              <w:widowControl w:val="0"/>
              <w:spacing w:line="216" w:lineRule="auto"/>
              <w:rPr>
                <w:rFonts w:cs="Times New Roman"/>
              </w:rPr>
            </w:pPr>
            <w:r>
              <w:rPr>
                <w:rFonts w:cs="Times New Roman"/>
                <w:lang w:val="de-DE"/>
              </w:rPr>
              <w:t>6–10 mm</w:t>
            </w:r>
          </w:p>
        </w:tc>
        <w:tc>
          <w:tcPr>
            <w:tcW w:w="1274" w:type="pct"/>
          </w:tcPr>
          <w:p w14:paraId="58739EE1" w14:textId="77777777" w:rsidR="00994DB9" w:rsidRPr="009461CC" w:rsidRDefault="00994DB9" w:rsidP="00906FBD">
            <w:pPr>
              <w:widowControl w:val="0"/>
              <w:spacing w:line="216" w:lineRule="auto"/>
              <w:rPr>
                <w:rFonts w:cs="Times New Roman"/>
              </w:rPr>
            </w:pPr>
            <w:r>
              <w:rPr>
                <w:rFonts w:cs="Times New Roman"/>
                <w:lang w:val="de-DE"/>
              </w:rPr>
              <w:t>120 cm</w:t>
            </w:r>
          </w:p>
        </w:tc>
        <w:tc>
          <w:tcPr>
            <w:tcW w:w="1123" w:type="pct"/>
          </w:tcPr>
          <w:p w14:paraId="66A2FE52" w14:textId="77777777" w:rsidR="00994DB9" w:rsidRPr="009461CC" w:rsidRDefault="00994DB9" w:rsidP="00906FBD">
            <w:pPr>
              <w:widowControl w:val="0"/>
              <w:spacing w:line="216" w:lineRule="auto"/>
              <w:rPr>
                <w:rFonts w:cs="Times New Roman"/>
              </w:rPr>
            </w:pPr>
            <w:r>
              <w:rPr>
                <w:rFonts w:cs="Times New Roman"/>
                <w:lang w:val="de-DE"/>
              </w:rPr>
              <w:t>6 F</w:t>
            </w:r>
          </w:p>
        </w:tc>
        <w:tc>
          <w:tcPr>
            <w:tcW w:w="1250" w:type="pct"/>
          </w:tcPr>
          <w:p w14:paraId="16036ECD" w14:textId="77777777" w:rsidR="00994DB9" w:rsidRPr="009461CC" w:rsidRDefault="00994DB9" w:rsidP="00906FBD">
            <w:pPr>
              <w:widowControl w:val="0"/>
              <w:spacing w:line="216" w:lineRule="auto"/>
              <w:rPr>
                <w:rFonts w:cs="Times New Roman"/>
              </w:rPr>
            </w:pPr>
            <w:r>
              <w:rPr>
                <w:rFonts w:cs="Times New Roman"/>
                <w:lang w:val="de-DE"/>
              </w:rPr>
              <w:t>100 cm</w:t>
            </w:r>
          </w:p>
        </w:tc>
      </w:tr>
      <w:tr w:rsidR="00994DB9" w:rsidRPr="009461CC" w14:paraId="7137F3A0" w14:textId="77777777" w:rsidTr="0022766F">
        <w:tc>
          <w:tcPr>
            <w:tcW w:w="1354" w:type="pct"/>
          </w:tcPr>
          <w:p w14:paraId="5097E3BD" w14:textId="77777777" w:rsidR="00994DB9" w:rsidRPr="009461CC" w:rsidRDefault="00994DB9" w:rsidP="00906FBD">
            <w:pPr>
              <w:widowControl w:val="0"/>
              <w:spacing w:line="216" w:lineRule="auto"/>
              <w:rPr>
                <w:rFonts w:cs="Times New Roman"/>
              </w:rPr>
            </w:pPr>
            <w:r>
              <w:rPr>
                <w:rFonts w:cs="Times New Roman"/>
                <w:lang w:val="de-DE"/>
              </w:rPr>
              <w:t>9–15 mm</w:t>
            </w:r>
          </w:p>
        </w:tc>
        <w:tc>
          <w:tcPr>
            <w:tcW w:w="1274" w:type="pct"/>
          </w:tcPr>
          <w:p w14:paraId="6E08B1BC" w14:textId="77777777" w:rsidR="00994DB9" w:rsidRPr="009461CC" w:rsidRDefault="00994DB9" w:rsidP="00906FBD">
            <w:pPr>
              <w:widowControl w:val="0"/>
              <w:spacing w:line="216" w:lineRule="auto"/>
              <w:rPr>
                <w:rFonts w:cs="Times New Roman"/>
              </w:rPr>
            </w:pPr>
            <w:r>
              <w:rPr>
                <w:rFonts w:cs="Times New Roman"/>
                <w:lang w:val="de-DE"/>
              </w:rPr>
              <w:t>120 cm</w:t>
            </w:r>
          </w:p>
        </w:tc>
        <w:tc>
          <w:tcPr>
            <w:tcW w:w="1123" w:type="pct"/>
          </w:tcPr>
          <w:p w14:paraId="5E975E99" w14:textId="77777777" w:rsidR="00994DB9" w:rsidRPr="009461CC" w:rsidRDefault="00994DB9" w:rsidP="00906FBD">
            <w:pPr>
              <w:widowControl w:val="0"/>
              <w:spacing w:line="216" w:lineRule="auto"/>
              <w:rPr>
                <w:rFonts w:cs="Times New Roman"/>
              </w:rPr>
            </w:pPr>
            <w:r>
              <w:rPr>
                <w:rFonts w:cs="Times New Roman"/>
                <w:lang w:val="de-DE"/>
              </w:rPr>
              <w:t>6 F</w:t>
            </w:r>
          </w:p>
        </w:tc>
        <w:tc>
          <w:tcPr>
            <w:tcW w:w="1250" w:type="pct"/>
          </w:tcPr>
          <w:p w14:paraId="70150399" w14:textId="77777777" w:rsidR="00994DB9" w:rsidRPr="009461CC" w:rsidRDefault="00994DB9" w:rsidP="00906FBD">
            <w:pPr>
              <w:widowControl w:val="0"/>
              <w:spacing w:line="216" w:lineRule="auto"/>
              <w:rPr>
                <w:rFonts w:cs="Times New Roman"/>
              </w:rPr>
            </w:pPr>
            <w:r>
              <w:rPr>
                <w:rFonts w:cs="Times New Roman"/>
                <w:lang w:val="de-DE"/>
              </w:rPr>
              <w:t>100 cm</w:t>
            </w:r>
          </w:p>
        </w:tc>
      </w:tr>
      <w:tr w:rsidR="00994DB9" w:rsidRPr="009461CC" w14:paraId="6873E431" w14:textId="77777777" w:rsidTr="0022766F">
        <w:tc>
          <w:tcPr>
            <w:tcW w:w="1354" w:type="pct"/>
          </w:tcPr>
          <w:p w14:paraId="0A8A2276" w14:textId="77777777" w:rsidR="00994DB9" w:rsidRPr="009461CC" w:rsidRDefault="00994DB9" w:rsidP="00906FBD">
            <w:pPr>
              <w:widowControl w:val="0"/>
              <w:spacing w:line="216" w:lineRule="auto"/>
              <w:rPr>
                <w:rFonts w:cs="Times New Roman"/>
              </w:rPr>
            </w:pPr>
            <w:r>
              <w:rPr>
                <w:rFonts w:cs="Times New Roman"/>
                <w:lang w:val="de-DE"/>
              </w:rPr>
              <w:t>12–20 mm</w:t>
            </w:r>
          </w:p>
        </w:tc>
        <w:tc>
          <w:tcPr>
            <w:tcW w:w="1274" w:type="pct"/>
          </w:tcPr>
          <w:p w14:paraId="7058BA8B" w14:textId="77777777" w:rsidR="00994DB9" w:rsidRPr="009461CC" w:rsidRDefault="00994DB9" w:rsidP="00906FBD">
            <w:pPr>
              <w:widowControl w:val="0"/>
              <w:spacing w:line="216" w:lineRule="auto"/>
              <w:rPr>
                <w:rFonts w:cs="Times New Roman"/>
              </w:rPr>
            </w:pPr>
            <w:r>
              <w:rPr>
                <w:rFonts w:cs="Times New Roman"/>
                <w:lang w:val="de-DE"/>
              </w:rPr>
              <w:t>120 cm</w:t>
            </w:r>
          </w:p>
        </w:tc>
        <w:tc>
          <w:tcPr>
            <w:tcW w:w="1123" w:type="pct"/>
          </w:tcPr>
          <w:p w14:paraId="16F950BF" w14:textId="77777777" w:rsidR="00994DB9" w:rsidRPr="009461CC" w:rsidRDefault="00994DB9" w:rsidP="00906FBD">
            <w:pPr>
              <w:widowControl w:val="0"/>
              <w:spacing w:line="216" w:lineRule="auto"/>
              <w:rPr>
                <w:rFonts w:cs="Times New Roman"/>
              </w:rPr>
            </w:pPr>
            <w:r>
              <w:rPr>
                <w:rFonts w:cs="Times New Roman"/>
                <w:lang w:val="de-DE"/>
              </w:rPr>
              <w:t>6 F</w:t>
            </w:r>
          </w:p>
        </w:tc>
        <w:tc>
          <w:tcPr>
            <w:tcW w:w="1250" w:type="pct"/>
          </w:tcPr>
          <w:p w14:paraId="759B78BD" w14:textId="77777777" w:rsidR="00994DB9" w:rsidRPr="009461CC" w:rsidRDefault="00994DB9" w:rsidP="00906FBD">
            <w:pPr>
              <w:widowControl w:val="0"/>
              <w:spacing w:line="216" w:lineRule="auto"/>
              <w:rPr>
                <w:rFonts w:cs="Times New Roman"/>
              </w:rPr>
            </w:pPr>
            <w:r>
              <w:rPr>
                <w:rFonts w:cs="Times New Roman"/>
                <w:lang w:val="de-DE"/>
              </w:rPr>
              <w:t>100 cm</w:t>
            </w:r>
          </w:p>
        </w:tc>
      </w:tr>
      <w:tr w:rsidR="00994DB9" w:rsidRPr="009461CC" w14:paraId="52111BAB" w14:textId="77777777" w:rsidTr="0022766F">
        <w:tc>
          <w:tcPr>
            <w:tcW w:w="1354" w:type="pct"/>
          </w:tcPr>
          <w:p w14:paraId="41061D9E" w14:textId="77777777" w:rsidR="00994DB9" w:rsidRPr="009461CC" w:rsidRDefault="00994DB9" w:rsidP="00906FBD">
            <w:pPr>
              <w:widowControl w:val="0"/>
              <w:spacing w:line="216" w:lineRule="auto"/>
              <w:rPr>
                <w:rFonts w:cs="Times New Roman"/>
              </w:rPr>
            </w:pPr>
            <w:r>
              <w:rPr>
                <w:rFonts w:cs="Times New Roman"/>
                <w:lang w:val="de-DE"/>
              </w:rPr>
              <w:t>18–30 mm</w:t>
            </w:r>
          </w:p>
        </w:tc>
        <w:tc>
          <w:tcPr>
            <w:tcW w:w="1274" w:type="pct"/>
          </w:tcPr>
          <w:p w14:paraId="22AB0CDE" w14:textId="77777777" w:rsidR="00994DB9" w:rsidRPr="009461CC" w:rsidRDefault="00994DB9" w:rsidP="00906FBD">
            <w:pPr>
              <w:widowControl w:val="0"/>
              <w:spacing w:line="216" w:lineRule="auto"/>
              <w:rPr>
                <w:rFonts w:cs="Times New Roman"/>
              </w:rPr>
            </w:pPr>
            <w:r>
              <w:rPr>
                <w:rFonts w:cs="Times New Roman"/>
                <w:lang w:val="de-DE"/>
              </w:rPr>
              <w:t>120 cm</w:t>
            </w:r>
          </w:p>
        </w:tc>
        <w:tc>
          <w:tcPr>
            <w:tcW w:w="1123" w:type="pct"/>
          </w:tcPr>
          <w:p w14:paraId="17196BA8" w14:textId="77777777" w:rsidR="00994DB9" w:rsidRPr="009461CC" w:rsidRDefault="00994DB9" w:rsidP="00906FBD">
            <w:pPr>
              <w:widowControl w:val="0"/>
              <w:spacing w:line="216" w:lineRule="auto"/>
              <w:rPr>
                <w:rFonts w:cs="Times New Roman"/>
              </w:rPr>
            </w:pPr>
            <w:r>
              <w:rPr>
                <w:rFonts w:cs="Times New Roman"/>
                <w:lang w:val="de-DE"/>
              </w:rPr>
              <w:t>7 F</w:t>
            </w:r>
          </w:p>
        </w:tc>
        <w:tc>
          <w:tcPr>
            <w:tcW w:w="1250" w:type="pct"/>
          </w:tcPr>
          <w:p w14:paraId="4543B8B0" w14:textId="77777777" w:rsidR="00994DB9" w:rsidRPr="009461CC" w:rsidRDefault="00994DB9" w:rsidP="00906FBD">
            <w:pPr>
              <w:widowControl w:val="0"/>
              <w:spacing w:line="216" w:lineRule="auto"/>
              <w:rPr>
                <w:rFonts w:cs="Times New Roman"/>
              </w:rPr>
            </w:pPr>
            <w:r>
              <w:rPr>
                <w:rFonts w:cs="Times New Roman"/>
                <w:lang w:val="de-DE"/>
              </w:rPr>
              <w:t>100 cm</w:t>
            </w:r>
          </w:p>
        </w:tc>
      </w:tr>
      <w:tr w:rsidR="00994DB9" w:rsidRPr="009461CC" w14:paraId="3F7A77C7" w14:textId="77777777" w:rsidTr="0022766F">
        <w:tc>
          <w:tcPr>
            <w:tcW w:w="1354" w:type="pct"/>
          </w:tcPr>
          <w:p w14:paraId="755F3FE4" w14:textId="77777777" w:rsidR="00994DB9" w:rsidRPr="009461CC" w:rsidRDefault="00994DB9" w:rsidP="00906FBD">
            <w:pPr>
              <w:widowControl w:val="0"/>
              <w:spacing w:line="216" w:lineRule="auto"/>
              <w:rPr>
                <w:rFonts w:cs="Times New Roman"/>
              </w:rPr>
            </w:pPr>
            <w:r>
              <w:rPr>
                <w:rFonts w:cs="Times New Roman"/>
                <w:lang w:val="de-DE"/>
              </w:rPr>
              <w:t>27–45 mm</w:t>
            </w:r>
          </w:p>
        </w:tc>
        <w:tc>
          <w:tcPr>
            <w:tcW w:w="1274" w:type="pct"/>
          </w:tcPr>
          <w:p w14:paraId="622306B0" w14:textId="77777777" w:rsidR="00994DB9" w:rsidRPr="009461CC" w:rsidRDefault="00994DB9" w:rsidP="00906FBD">
            <w:pPr>
              <w:widowControl w:val="0"/>
              <w:spacing w:line="216" w:lineRule="auto"/>
              <w:rPr>
                <w:rFonts w:cs="Times New Roman"/>
              </w:rPr>
            </w:pPr>
            <w:r>
              <w:rPr>
                <w:rFonts w:cs="Times New Roman"/>
                <w:lang w:val="de-DE"/>
              </w:rPr>
              <w:t>120 cm</w:t>
            </w:r>
          </w:p>
        </w:tc>
        <w:tc>
          <w:tcPr>
            <w:tcW w:w="1123" w:type="pct"/>
          </w:tcPr>
          <w:p w14:paraId="74C46753" w14:textId="77777777" w:rsidR="00994DB9" w:rsidRPr="009461CC" w:rsidRDefault="00994DB9" w:rsidP="00906FBD">
            <w:pPr>
              <w:widowControl w:val="0"/>
              <w:spacing w:line="216" w:lineRule="auto"/>
              <w:rPr>
                <w:rFonts w:cs="Times New Roman"/>
              </w:rPr>
            </w:pPr>
            <w:r>
              <w:rPr>
                <w:rFonts w:cs="Times New Roman"/>
                <w:lang w:val="de-DE"/>
              </w:rPr>
              <w:t>7 F</w:t>
            </w:r>
          </w:p>
        </w:tc>
        <w:tc>
          <w:tcPr>
            <w:tcW w:w="1250" w:type="pct"/>
          </w:tcPr>
          <w:p w14:paraId="2DBCCFBE" w14:textId="77777777" w:rsidR="00994DB9" w:rsidRPr="009461CC" w:rsidRDefault="00994DB9" w:rsidP="00906FBD">
            <w:pPr>
              <w:widowControl w:val="0"/>
              <w:spacing w:line="216" w:lineRule="auto"/>
              <w:rPr>
                <w:rFonts w:cs="Times New Roman"/>
              </w:rPr>
            </w:pPr>
            <w:r>
              <w:rPr>
                <w:rFonts w:cs="Times New Roman"/>
                <w:lang w:val="de-DE"/>
              </w:rPr>
              <w:t>100 cm</w:t>
            </w:r>
          </w:p>
        </w:tc>
      </w:tr>
    </w:tbl>
    <w:p w14:paraId="5D27461E" w14:textId="77777777" w:rsidR="000F4DF1" w:rsidRPr="009461CC" w:rsidRDefault="000F4DF1" w:rsidP="00906FBD">
      <w:pPr>
        <w:spacing w:after="0" w:afterAutospacing="0" w:line="228" w:lineRule="auto"/>
        <w:rPr>
          <w:rFonts w:cs="Times New Roman"/>
        </w:rPr>
      </w:pPr>
    </w:p>
    <w:p w14:paraId="4C7769AE" w14:textId="77777777" w:rsidR="00D20FA4" w:rsidRPr="009461CC" w:rsidRDefault="00D20FA4" w:rsidP="00906FBD">
      <w:pPr>
        <w:pStyle w:val="Heading1"/>
        <w:spacing w:line="228" w:lineRule="auto"/>
        <w:rPr>
          <w:rFonts w:cs="Times New Roman"/>
        </w:rPr>
      </w:pPr>
      <w:bookmarkStart w:id="15" w:name="_Toc222741408"/>
      <w:bookmarkEnd w:id="14"/>
      <w:r>
        <w:rPr>
          <w:rFonts w:cs="Times New Roman"/>
          <w:bCs/>
          <w:lang w:val="de-DE"/>
        </w:rPr>
        <w:t>Bisherige Varianten und ihre Unterschiede</w:t>
      </w:r>
      <w:bookmarkEnd w:id="15"/>
    </w:p>
    <w:p w14:paraId="060329F5" w14:textId="3AA8BB73" w:rsidR="00042B91" w:rsidRPr="00BD0745" w:rsidRDefault="009D7E33" w:rsidP="00906FBD">
      <w:pPr>
        <w:spacing w:line="228" w:lineRule="auto"/>
        <w:ind w:left="792"/>
        <w:rPr>
          <w:rFonts w:cs="Times New Roman"/>
          <w:lang w:val="de-DE"/>
        </w:rPr>
      </w:pPr>
      <w:r>
        <w:rPr>
          <w:rFonts w:cs="Times New Roman"/>
          <w:lang w:val="de-DE"/>
        </w:rPr>
        <w:t>Dieser Abschnitt ist nicht anwendbar (N/A).</w:t>
      </w:r>
    </w:p>
    <w:p w14:paraId="26363C05" w14:textId="77777777" w:rsidR="00760400" w:rsidRPr="00BD0745" w:rsidRDefault="00760400" w:rsidP="00906FBD">
      <w:pPr>
        <w:pStyle w:val="Heading1"/>
        <w:spacing w:line="228" w:lineRule="auto"/>
        <w:rPr>
          <w:rFonts w:cs="Times New Roman"/>
          <w:lang w:val="de-DE"/>
        </w:rPr>
      </w:pPr>
      <w:bookmarkStart w:id="16" w:name="_Toc222741409"/>
      <w:r>
        <w:rPr>
          <w:rFonts w:cs="Times New Roman"/>
          <w:bCs/>
          <w:lang w:val="de-DE"/>
        </w:rPr>
        <w:t>Zubehör, kompatible Geräte und andere Produkte, die in Kombination verwendet werden</w:t>
      </w:r>
      <w:bookmarkEnd w:id="16"/>
    </w:p>
    <w:p w14:paraId="21F32064" w14:textId="1C156DEB" w:rsidR="00C02BC0" w:rsidRPr="00BD0745" w:rsidRDefault="00C02BC0" w:rsidP="00906FBD">
      <w:pPr>
        <w:spacing w:after="0" w:afterAutospacing="0" w:line="228" w:lineRule="auto"/>
        <w:ind w:left="792"/>
        <w:rPr>
          <w:rFonts w:cs="Times New Roman"/>
          <w:lang w:val="de-DE"/>
        </w:rPr>
      </w:pPr>
      <w:r>
        <w:rPr>
          <w:rFonts w:cs="Times New Roman"/>
          <w:lang w:val="de-DE"/>
        </w:rPr>
        <w:t>Das Zubehör des Atrieve Vascular Snare Kits umfasst den Einführkatheter, ein Einführbesteck und einen Drehmomentgriff (Stiftschraubstock).</w:t>
      </w:r>
    </w:p>
    <w:p w14:paraId="45C0A245" w14:textId="61A622A4" w:rsidR="008745ED" w:rsidRPr="009461CC" w:rsidRDefault="008745ED" w:rsidP="00906FBD">
      <w:pPr>
        <w:pStyle w:val="Heading1"/>
        <w:numPr>
          <w:ilvl w:val="0"/>
          <w:numId w:val="2"/>
        </w:numPr>
        <w:spacing w:line="228" w:lineRule="auto"/>
        <w:rPr>
          <w:rFonts w:cs="Times New Roman"/>
        </w:rPr>
      </w:pPr>
      <w:bookmarkStart w:id="17" w:name="_Toc222741410"/>
      <w:r>
        <w:rPr>
          <w:rFonts w:cs="Times New Roman"/>
          <w:bCs/>
          <w:lang w:val="de-DE"/>
        </w:rPr>
        <w:lastRenderedPageBreak/>
        <w:t>Risiken und Warnungen</w:t>
      </w:r>
      <w:bookmarkEnd w:id="17"/>
    </w:p>
    <w:p w14:paraId="3D8BE6E3" w14:textId="77777777" w:rsidR="00042B91" w:rsidRPr="009461CC" w:rsidRDefault="00042B91" w:rsidP="00906FBD">
      <w:pPr>
        <w:spacing w:after="0" w:afterAutospacing="0" w:line="228" w:lineRule="auto"/>
        <w:rPr>
          <w:rFonts w:cs="Times New Roman"/>
        </w:rPr>
      </w:pPr>
    </w:p>
    <w:p w14:paraId="04F70349" w14:textId="6FD2DA8D" w:rsidR="008745ED" w:rsidRPr="009461CC" w:rsidRDefault="008745ED" w:rsidP="00906FBD">
      <w:pPr>
        <w:pStyle w:val="Heading1"/>
        <w:spacing w:line="228" w:lineRule="auto"/>
        <w:rPr>
          <w:rFonts w:cs="Times New Roman"/>
        </w:rPr>
      </w:pPr>
      <w:bookmarkStart w:id="18" w:name="_Toc222741411"/>
      <w:r>
        <w:rPr>
          <w:rFonts w:cs="Times New Roman"/>
          <w:bCs/>
          <w:lang w:val="de-DE"/>
        </w:rPr>
        <w:t>Restrisiken und unerwünschte Nebeneffekte</w:t>
      </w:r>
      <w:bookmarkEnd w:id="18"/>
    </w:p>
    <w:p w14:paraId="2F64097C" w14:textId="607FF4A5" w:rsidR="00D15BBE" w:rsidRPr="00BD0745" w:rsidRDefault="00C64987" w:rsidP="008D7F1C">
      <w:pPr>
        <w:ind w:left="792"/>
        <w:rPr>
          <w:rFonts w:cs="Times New Roman"/>
          <w:lang w:val="de-DE"/>
        </w:rPr>
      </w:pPr>
      <w:r>
        <w:rPr>
          <w:rFonts w:cs="Times New Roman"/>
          <w:lang w:val="de-DE"/>
        </w:rPr>
        <w:t xml:space="preserve">Gemäß RMR-0011 Rev H wurde für das Produkt folgendes Risiko-Nutzen-Profil dargelegt: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846"/>
        <w:gridCol w:w="2159"/>
        <w:gridCol w:w="3686"/>
      </w:tblGrid>
      <w:tr w:rsidR="00453251" w:rsidRPr="009461CC" w14:paraId="15FC12E9" w14:textId="77777777" w:rsidTr="00906FBD">
        <w:trPr>
          <w:trHeight w:val="620"/>
        </w:trPr>
        <w:tc>
          <w:tcPr>
            <w:tcW w:w="1313" w:type="pct"/>
            <w:shd w:val="clear" w:color="auto" w:fill="BFBFBF"/>
            <w:vAlign w:val="center"/>
          </w:tcPr>
          <w:p w14:paraId="024816D8" w14:textId="77777777" w:rsidR="00453251" w:rsidRPr="009461CC" w:rsidRDefault="00453251" w:rsidP="00906FBD">
            <w:pPr>
              <w:pStyle w:val="TableHeading-Font10"/>
              <w:spacing w:line="216" w:lineRule="auto"/>
              <w:rPr>
                <w:rFonts w:ascii="Times New Roman" w:hAnsi="Times New Roman" w:cs="Times New Roman"/>
              </w:rPr>
            </w:pPr>
            <w:r>
              <w:rPr>
                <w:rFonts w:ascii="Times New Roman" w:hAnsi="Times New Roman" w:cs="Times New Roman"/>
                <w:lang w:val="de-DE"/>
              </w:rPr>
              <w:t>Ergebnis</w:t>
            </w:r>
            <w:bookmarkStart w:id="19" w:name="_Toc86391902"/>
            <w:bookmarkEnd w:id="19"/>
          </w:p>
        </w:tc>
        <w:tc>
          <w:tcPr>
            <w:tcW w:w="885" w:type="pct"/>
            <w:shd w:val="clear" w:color="auto" w:fill="BFBFBF"/>
          </w:tcPr>
          <w:p w14:paraId="22A108AE" w14:textId="77777777" w:rsidR="00453251" w:rsidRPr="009461CC" w:rsidRDefault="00453251" w:rsidP="00906FBD">
            <w:pPr>
              <w:pStyle w:val="TableHeading-Font10"/>
              <w:spacing w:line="216" w:lineRule="auto"/>
              <w:rPr>
                <w:rFonts w:ascii="Times New Roman" w:hAnsi="Times New Roman" w:cs="Times New Roman"/>
              </w:rPr>
            </w:pPr>
            <w:r>
              <w:rPr>
                <w:rFonts w:ascii="Times New Roman" w:hAnsi="Times New Roman" w:cs="Times New Roman"/>
                <w:lang w:val="de-DE"/>
              </w:rPr>
              <w:t>Stand der Technik</w:t>
            </w:r>
            <w:r>
              <w:rPr>
                <w:rFonts w:ascii="Times New Roman" w:hAnsi="Times New Roman" w:cs="Times New Roman"/>
                <w:lang w:val="de-DE"/>
              </w:rPr>
              <w:br/>
              <w:t>Gesamtbereich</w:t>
            </w:r>
          </w:p>
        </w:tc>
        <w:tc>
          <w:tcPr>
            <w:tcW w:w="1035" w:type="pct"/>
            <w:shd w:val="clear" w:color="auto" w:fill="BFBFBF"/>
            <w:vAlign w:val="center"/>
          </w:tcPr>
          <w:p w14:paraId="16D6B523" w14:textId="77777777" w:rsidR="00453251" w:rsidRPr="009461CC" w:rsidRDefault="00453251" w:rsidP="00906FBD">
            <w:pPr>
              <w:pStyle w:val="TableHeading-Font10"/>
              <w:spacing w:line="216" w:lineRule="auto"/>
              <w:rPr>
                <w:rFonts w:ascii="Times New Roman" w:hAnsi="Times New Roman" w:cs="Times New Roman"/>
              </w:rPr>
            </w:pPr>
            <w:r>
              <w:rPr>
                <w:rFonts w:ascii="Times New Roman" w:hAnsi="Times New Roman" w:cs="Times New Roman"/>
                <w:lang w:val="de-DE"/>
              </w:rPr>
              <w:t>Wettbewerberprodukt</w:t>
            </w:r>
          </w:p>
          <w:p w14:paraId="45EFB37E" w14:textId="77777777" w:rsidR="00453251" w:rsidRPr="009461CC" w:rsidRDefault="00453251" w:rsidP="00906FBD">
            <w:pPr>
              <w:pStyle w:val="TableHeading-Font10"/>
              <w:spacing w:line="216" w:lineRule="auto"/>
              <w:rPr>
                <w:rFonts w:ascii="Times New Roman" w:hAnsi="Times New Roman" w:cs="Times New Roman"/>
              </w:rPr>
            </w:pPr>
            <w:r>
              <w:rPr>
                <w:rFonts w:ascii="Times New Roman" w:hAnsi="Times New Roman" w:cs="Times New Roman"/>
                <w:lang w:val="de-DE"/>
              </w:rPr>
              <w:t>Gesamtbereich</w:t>
            </w:r>
            <w:bookmarkStart w:id="20" w:name="_Toc86391905"/>
            <w:bookmarkEnd w:id="20"/>
          </w:p>
        </w:tc>
        <w:tc>
          <w:tcPr>
            <w:tcW w:w="1767" w:type="pct"/>
            <w:shd w:val="clear" w:color="auto" w:fill="BFBFBF"/>
            <w:vAlign w:val="center"/>
          </w:tcPr>
          <w:p w14:paraId="17C5AFF5" w14:textId="77777777" w:rsidR="00453251" w:rsidRPr="009461CC" w:rsidRDefault="00453251" w:rsidP="00906FBD">
            <w:pPr>
              <w:pStyle w:val="TableHeading-Font10"/>
              <w:spacing w:line="216" w:lineRule="auto"/>
              <w:rPr>
                <w:rFonts w:ascii="Times New Roman" w:hAnsi="Times New Roman" w:cs="Times New Roman"/>
              </w:rPr>
            </w:pPr>
            <w:r>
              <w:rPr>
                <w:rFonts w:ascii="Times New Roman" w:hAnsi="Times New Roman" w:cs="Times New Roman"/>
                <w:lang w:val="de-DE"/>
              </w:rPr>
              <w:t>Akzeptanzkriterien</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906FBD">
            <w:pPr>
              <w:pStyle w:val="TableTextLeft"/>
              <w:spacing w:line="216" w:lineRule="auto"/>
              <w:rPr>
                <w:rFonts w:ascii="Times New Roman" w:hAnsi="Times New Roman" w:cs="Times New Roman"/>
                <w:b/>
                <w:bCs/>
              </w:rPr>
            </w:pPr>
            <w:r>
              <w:rPr>
                <w:rFonts w:ascii="Times New Roman" w:hAnsi="Times New Roman" w:cs="Times New Roman"/>
                <w:b/>
                <w:bCs/>
                <w:iCs w:val="0"/>
                <w:lang w:val="de-DE"/>
              </w:rPr>
              <w:t>Sicherheit</w:t>
            </w:r>
          </w:p>
        </w:tc>
      </w:tr>
      <w:tr w:rsidR="00453251" w:rsidRPr="009461CC" w14:paraId="2ECEC40D" w14:textId="77777777" w:rsidTr="00906FBD">
        <w:tc>
          <w:tcPr>
            <w:tcW w:w="1313" w:type="pct"/>
          </w:tcPr>
          <w:p w14:paraId="01C3E100"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Blutung</w:t>
            </w:r>
            <w:bookmarkStart w:id="23" w:name="_Toc86391910"/>
            <w:bookmarkEnd w:id="23"/>
          </w:p>
        </w:tc>
        <w:tc>
          <w:tcPr>
            <w:tcW w:w="885" w:type="pct"/>
            <w:vAlign w:val="center"/>
          </w:tcPr>
          <w:p w14:paraId="529B6FA7"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0–3 %</w:t>
            </w:r>
          </w:p>
        </w:tc>
        <w:tc>
          <w:tcPr>
            <w:tcW w:w="1035" w:type="pct"/>
            <w:vAlign w:val="center"/>
          </w:tcPr>
          <w:p w14:paraId="30172B6B"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de-DE"/>
              </w:rPr>
              <w:t>0–0,6 %</w:t>
            </w:r>
          </w:p>
        </w:tc>
        <w:tc>
          <w:tcPr>
            <w:tcW w:w="1767" w:type="pct"/>
            <w:vAlign w:val="center"/>
          </w:tcPr>
          <w:p w14:paraId="03E978DF" w14:textId="77777777" w:rsidR="00453251" w:rsidRPr="009461CC" w:rsidRDefault="00453251" w:rsidP="00906FBD">
            <w:pPr>
              <w:pStyle w:val="TableTextLeft"/>
              <w:spacing w:line="216" w:lineRule="auto"/>
              <w:rPr>
                <w:rFonts w:ascii="Times New Roman" w:hAnsi="Times New Roman" w:cs="Times New Roman"/>
              </w:rPr>
            </w:pPr>
            <w:bookmarkStart w:id="26" w:name="_Toc86391914"/>
            <w:bookmarkEnd w:id="26"/>
            <w:r>
              <w:rPr>
                <w:rFonts w:ascii="Times New Roman" w:hAnsi="Times New Roman" w:cs="Times New Roman"/>
                <w:iCs w:val="0"/>
                <w:lang w:val="de-DE"/>
              </w:rPr>
              <w:t xml:space="preserve">Blutungsrate </w:t>
            </w:r>
            <w:r>
              <w:rPr>
                <w:rFonts w:ascii="Times New Roman" w:hAnsi="Times New Roman" w:cs="Times New Roman"/>
                <w:b/>
                <w:bCs/>
                <w:iCs w:val="0"/>
                <w:lang w:val="de-DE"/>
              </w:rPr>
              <w:t>unter 3 %</w:t>
            </w:r>
          </w:p>
        </w:tc>
        <w:bookmarkStart w:id="27" w:name="_Toc86391915"/>
        <w:bookmarkEnd w:id="27"/>
      </w:tr>
      <w:tr w:rsidR="00453251" w:rsidRPr="00E064BB" w14:paraId="770200CA" w14:textId="77777777" w:rsidTr="00906FBD">
        <w:tc>
          <w:tcPr>
            <w:tcW w:w="1313" w:type="pct"/>
          </w:tcPr>
          <w:p w14:paraId="4D43F3AC" w14:textId="77777777" w:rsidR="00453251" w:rsidRPr="009461CC" w:rsidRDefault="00453251" w:rsidP="00906FBD">
            <w:pPr>
              <w:pStyle w:val="TableTextLeft"/>
              <w:spacing w:line="216" w:lineRule="auto"/>
              <w:rPr>
                <w:rFonts w:ascii="Times New Roman" w:eastAsia="MS Mincho" w:hAnsi="Times New Roman" w:cs="Times New Roman"/>
              </w:rPr>
            </w:pPr>
            <w:r>
              <w:rPr>
                <w:rFonts w:ascii="Times New Roman" w:hAnsi="Times New Roman" w:cs="Times New Roman"/>
                <w:iCs w:val="0"/>
                <w:lang w:val="de-DE"/>
              </w:rPr>
              <w:t>Perforation/Gewebeschädigung</w:t>
            </w:r>
            <w:bookmarkStart w:id="28" w:name="_Toc86391916"/>
            <w:bookmarkEnd w:id="28"/>
          </w:p>
        </w:tc>
        <w:tc>
          <w:tcPr>
            <w:tcW w:w="885" w:type="pct"/>
            <w:vAlign w:val="center"/>
          </w:tcPr>
          <w:p w14:paraId="42E7FC3B"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0–1,7 %</w:t>
            </w:r>
          </w:p>
        </w:tc>
        <w:tc>
          <w:tcPr>
            <w:tcW w:w="1035" w:type="pct"/>
            <w:vAlign w:val="center"/>
          </w:tcPr>
          <w:p w14:paraId="58C428BE"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de-DE"/>
              </w:rPr>
              <w:t>0–4,0 %</w:t>
            </w:r>
          </w:p>
        </w:tc>
        <w:tc>
          <w:tcPr>
            <w:tcW w:w="1767" w:type="pct"/>
            <w:vAlign w:val="center"/>
          </w:tcPr>
          <w:p w14:paraId="785BDB89" w14:textId="77777777" w:rsidR="00453251" w:rsidRPr="00BD0745" w:rsidRDefault="00453251" w:rsidP="00906FBD">
            <w:pPr>
              <w:pStyle w:val="TableTextLeft"/>
              <w:spacing w:line="216" w:lineRule="auto"/>
              <w:rPr>
                <w:rFonts w:ascii="Times New Roman" w:hAnsi="Times New Roman" w:cs="Times New Roman"/>
                <w:b/>
                <w:bCs/>
                <w:lang w:val="de-DE"/>
              </w:rPr>
            </w:pPr>
            <w:bookmarkStart w:id="31" w:name="_Toc86391920"/>
            <w:bookmarkEnd w:id="31"/>
            <w:r>
              <w:rPr>
                <w:rFonts w:ascii="Times New Roman" w:hAnsi="Times New Roman" w:cs="Times New Roman"/>
                <w:iCs w:val="0"/>
                <w:lang w:val="de-DE"/>
              </w:rPr>
              <w:t xml:space="preserve">Rate für Perforations/Gewebeschädigung </w:t>
            </w:r>
            <w:r>
              <w:rPr>
                <w:rFonts w:ascii="Times New Roman" w:hAnsi="Times New Roman" w:cs="Times New Roman"/>
                <w:b/>
                <w:bCs/>
                <w:iCs w:val="0"/>
                <w:lang w:val="de-DE"/>
              </w:rPr>
              <w:t>unter 4 %</w:t>
            </w:r>
          </w:p>
        </w:tc>
        <w:bookmarkStart w:id="32" w:name="_Toc86391921"/>
        <w:bookmarkEnd w:id="32"/>
      </w:tr>
      <w:tr w:rsidR="00453251" w:rsidRPr="009461CC" w14:paraId="3D17E0CA" w14:textId="77777777" w:rsidTr="00906FBD">
        <w:tc>
          <w:tcPr>
            <w:tcW w:w="1313" w:type="pct"/>
          </w:tcPr>
          <w:p w14:paraId="22E5467D"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Luftembolie</w:t>
            </w:r>
            <w:bookmarkStart w:id="33" w:name="_Toc86391922"/>
            <w:bookmarkEnd w:id="33"/>
          </w:p>
        </w:tc>
        <w:tc>
          <w:tcPr>
            <w:tcW w:w="885" w:type="pct"/>
            <w:vAlign w:val="center"/>
          </w:tcPr>
          <w:p w14:paraId="50CDDBB0"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0–2,1 %</w:t>
            </w:r>
          </w:p>
        </w:tc>
        <w:tc>
          <w:tcPr>
            <w:tcW w:w="1035" w:type="pct"/>
            <w:vAlign w:val="center"/>
          </w:tcPr>
          <w:p w14:paraId="0471C436"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de-DE"/>
              </w:rPr>
              <w:t>0–0,6 %</w:t>
            </w:r>
          </w:p>
        </w:tc>
        <w:tc>
          <w:tcPr>
            <w:tcW w:w="1767" w:type="pct"/>
            <w:vAlign w:val="center"/>
          </w:tcPr>
          <w:p w14:paraId="1B80F3DB" w14:textId="77777777" w:rsidR="00453251" w:rsidRPr="009461CC" w:rsidRDefault="00453251" w:rsidP="00906FBD">
            <w:pPr>
              <w:pStyle w:val="TableTextLeft"/>
              <w:spacing w:line="216" w:lineRule="auto"/>
              <w:rPr>
                <w:rFonts w:ascii="Times New Roman" w:hAnsi="Times New Roman" w:cs="Times New Roman"/>
                <w:b/>
                <w:bCs/>
              </w:rPr>
            </w:pPr>
            <w:bookmarkStart w:id="36" w:name="_Toc86391926"/>
            <w:bookmarkEnd w:id="36"/>
            <w:r>
              <w:rPr>
                <w:rFonts w:ascii="Times New Roman" w:hAnsi="Times New Roman" w:cs="Times New Roman"/>
                <w:iCs w:val="0"/>
                <w:lang w:val="de-DE"/>
              </w:rPr>
              <w:t xml:space="preserve">Embolie </w:t>
            </w:r>
            <w:r>
              <w:rPr>
                <w:rFonts w:ascii="Times New Roman" w:hAnsi="Times New Roman" w:cs="Times New Roman"/>
                <w:b/>
                <w:bCs/>
                <w:iCs w:val="0"/>
                <w:lang w:val="de-DE"/>
              </w:rPr>
              <w:t>unter 2,1 %</w:t>
            </w:r>
          </w:p>
        </w:tc>
        <w:bookmarkStart w:id="37" w:name="_Toc86391927"/>
        <w:bookmarkEnd w:id="37"/>
      </w:tr>
      <w:tr w:rsidR="00453251" w:rsidRPr="009461CC" w14:paraId="33FEDA6C" w14:textId="77777777" w:rsidTr="00906FBD">
        <w:tc>
          <w:tcPr>
            <w:tcW w:w="1313" w:type="pct"/>
          </w:tcPr>
          <w:p w14:paraId="5817831E"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Infektion</w:t>
            </w:r>
            <w:bookmarkStart w:id="38" w:name="_Toc86391928"/>
            <w:bookmarkEnd w:id="38"/>
          </w:p>
        </w:tc>
        <w:tc>
          <w:tcPr>
            <w:tcW w:w="885" w:type="pct"/>
            <w:vAlign w:val="center"/>
          </w:tcPr>
          <w:p w14:paraId="190DF8A8"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0 %</w:t>
            </w:r>
          </w:p>
        </w:tc>
        <w:tc>
          <w:tcPr>
            <w:tcW w:w="1035" w:type="pct"/>
            <w:vAlign w:val="center"/>
          </w:tcPr>
          <w:p w14:paraId="480907F1"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de-DE"/>
              </w:rPr>
              <w:t>0 %</w:t>
            </w:r>
          </w:p>
        </w:tc>
        <w:tc>
          <w:tcPr>
            <w:tcW w:w="1767" w:type="pct"/>
            <w:vAlign w:val="center"/>
          </w:tcPr>
          <w:p w14:paraId="1D828A42" w14:textId="77777777" w:rsidR="00453251" w:rsidRPr="009461CC" w:rsidRDefault="00453251" w:rsidP="00906FBD">
            <w:pPr>
              <w:pStyle w:val="TableTextLeft"/>
              <w:spacing w:line="216" w:lineRule="auto"/>
              <w:rPr>
                <w:rFonts w:ascii="Times New Roman" w:hAnsi="Times New Roman" w:cs="Times New Roman"/>
                <w:b/>
                <w:bCs/>
              </w:rPr>
            </w:pPr>
            <w:bookmarkStart w:id="41" w:name="_Toc86391932"/>
            <w:bookmarkEnd w:id="41"/>
            <w:r>
              <w:rPr>
                <w:rFonts w:ascii="Times New Roman" w:hAnsi="Times New Roman" w:cs="Times New Roman"/>
                <w:iCs w:val="0"/>
                <w:lang w:val="de-DE"/>
              </w:rPr>
              <w:t xml:space="preserve">Infektion </w:t>
            </w:r>
            <w:r>
              <w:rPr>
                <w:rFonts w:ascii="Times New Roman" w:hAnsi="Times New Roman" w:cs="Times New Roman"/>
                <w:b/>
                <w:bCs/>
                <w:iCs w:val="0"/>
                <w:lang w:val="de-DE"/>
              </w:rPr>
              <w:t>unter 0 %</w:t>
            </w:r>
          </w:p>
        </w:tc>
        <w:bookmarkStart w:id="42" w:name="_Toc86391933"/>
        <w:bookmarkEnd w:id="42"/>
      </w:tr>
      <w:tr w:rsidR="00453251" w:rsidRPr="009461CC" w14:paraId="00F9D43C" w14:textId="77777777" w:rsidTr="00906FBD">
        <w:tc>
          <w:tcPr>
            <w:tcW w:w="1313" w:type="pct"/>
          </w:tcPr>
          <w:p w14:paraId="530E2FE9"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Allergische Reaktion</w:t>
            </w:r>
            <w:bookmarkStart w:id="43" w:name="_Toc86391934"/>
            <w:bookmarkEnd w:id="43"/>
          </w:p>
        </w:tc>
        <w:tc>
          <w:tcPr>
            <w:tcW w:w="885" w:type="pct"/>
            <w:vAlign w:val="center"/>
          </w:tcPr>
          <w:p w14:paraId="6250CCD8"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0 %</w:t>
            </w:r>
          </w:p>
        </w:tc>
        <w:tc>
          <w:tcPr>
            <w:tcW w:w="1035" w:type="pct"/>
            <w:vAlign w:val="center"/>
          </w:tcPr>
          <w:p w14:paraId="50CF5415"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de-DE"/>
              </w:rPr>
              <w:t>0 %</w:t>
            </w:r>
          </w:p>
        </w:tc>
        <w:tc>
          <w:tcPr>
            <w:tcW w:w="1767" w:type="pct"/>
            <w:vAlign w:val="center"/>
          </w:tcPr>
          <w:p w14:paraId="3CD98CC2" w14:textId="77777777" w:rsidR="00453251" w:rsidRPr="009461CC" w:rsidRDefault="00453251" w:rsidP="00906FBD">
            <w:pPr>
              <w:pStyle w:val="TableTextLeft"/>
              <w:spacing w:line="216" w:lineRule="auto"/>
              <w:rPr>
                <w:rFonts w:ascii="Times New Roman" w:hAnsi="Times New Roman" w:cs="Times New Roman"/>
                <w:b/>
                <w:bCs/>
              </w:rPr>
            </w:pPr>
            <w:bookmarkStart w:id="46" w:name="_Toc86391938"/>
            <w:bookmarkEnd w:id="46"/>
            <w:r>
              <w:rPr>
                <w:rFonts w:ascii="Times New Roman" w:hAnsi="Times New Roman" w:cs="Times New Roman"/>
                <w:iCs w:val="0"/>
                <w:lang w:val="de-DE"/>
              </w:rPr>
              <w:t xml:space="preserve">Allergische Reaktion </w:t>
            </w:r>
            <w:r>
              <w:rPr>
                <w:rFonts w:ascii="Times New Roman" w:hAnsi="Times New Roman" w:cs="Times New Roman"/>
                <w:b/>
                <w:bCs/>
                <w:iCs w:val="0"/>
                <w:lang w:val="de-DE"/>
              </w:rPr>
              <w:t>unter 0 %</w:t>
            </w:r>
          </w:p>
        </w:tc>
        <w:bookmarkStart w:id="47" w:name="_Toc86391939"/>
        <w:bookmarkEnd w:id="47"/>
      </w:tr>
      <w:tr w:rsidR="00453251" w:rsidRPr="009461CC" w14:paraId="027FF060" w14:textId="77777777" w:rsidTr="00906FBD">
        <w:trPr>
          <w:trHeight w:val="197"/>
        </w:trPr>
        <w:tc>
          <w:tcPr>
            <w:tcW w:w="1313" w:type="pct"/>
          </w:tcPr>
          <w:p w14:paraId="0B4FA88A"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Schmerzen</w:t>
            </w:r>
            <w:bookmarkStart w:id="48" w:name="_Toc86391940"/>
            <w:bookmarkEnd w:id="48"/>
          </w:p>
        </w:tc>
        <w:tc>
          <w:tcPr>
            <w:tcW w:w="885" w:type="pct"/>
            <w:vAlign w:val="center"/>
          </w:tcPr>
          <w:p w14:paraId="0A016617"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0 %</w:t>
            </w:r>
          </w:p>
        </w:tc>
        <w:tc>
          <w:tcPr>
            <w:tcW w:w="1035" w:type="pct"/>
            <w:vAlign w:val="center"/>
          </w:tcPr>
          <w:p w14:paraId="72B648EC"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de-DE"/>
              </w:rPr>
              <w:t>0 %</w:t>
            </w:r>
          </w:p>
        </w:tc>
        <w:tc>
          <w:tcPr>
            <w:tcW w:w="1767" w:type="pct"/>
            <w:vAlign w:val="center"/>
          </w:tcPr>
          <w:p w14:paraId="56186FA5" w14:textId="77777777" w:rsidR="00453251" w:rsidRPr="009461CC" w:rsidRDefault="00453251" w:rsidP="00906FBD">
            <w:pPr>
              <w:pStyle w:val="TableTextLeft"/>
              <w:spacing w:line="216" w:lineRule="auto"/>
              <w:rPr>
                <w:rFonts w:ascii="Times New Roman" w:hAnsi="Times New Roman" w:cs="Times New Roman"/>
                <w:b/>
                <w:bCs/>
              </w:rPr>
            </w:pPr>
            <w:bookmarkStart w:id="51" w:name="_Toc86391944"/>
            <w:bookmarkEnd w:id="51"/>
            <w:r>
              <w:rPr>
                <w:rFonts w:ascii="Times New Roman" w:hAnsi="Times New Roman" w:cs="Times New Roman"/>
                <w:iCs w:val="0"/>
                <w:lang w:val="de-DE"/>
              </w:rPr>
              <w:t xml:space="preserve">Schmerzen </w:t>
            </w:r>
            <w:r>
              <w:rPr>
                <w:rFonts w:ascii="Times New Roman" w:hAnsi="Times New Roman" w:cs="Times New Roman"/>
                <w:b/>
                <w:bCs/>
                <w:iCs w:val="0"/>
                <w:lang w:val="de-DE"/>
              </w:rPr>
              <w:t>unter 0 %</w:t>
            </w:r>
          </w:p>
        </w:tc>
        <w:bookmarkStart w:id="52" w:name="_Toc86391945"/>
        <w:bookmarkEnd w:id="52"/>
      </w:tr>
      <w:tr w:rsidR="00453251" w:rsidRPr="009461CC" w14:paraId="28252FD0" w14:textId="77777777" w:rsidTr="00906FBD">
        <w:tc>
          <w:tcPr>
            <w:tcW w:w="1313" w:type="pct"/>
          </w:tcPr>
          <w:p w14:paraId="013547C7"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Gesamt-Komplikationsrate</w:t>
            </w:r>
            <w:bookmarkStart w:id="53" w:name="_Toc86391946"/>
            <w:bookmarkEnd w:id="53"/>
          </w:p>
        </w:tc>
        <w:tc>
          <w:tcPr>
            <w:tcW w:w="885" w:type="pct"/>
            <w:vAlign w:val="center"/>
          </w:tcPr>
          <w:p w14:paraId="740F59E9"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0–5,2 %</w:t>
            </w:r>
          </w:p>
        </w:tc>
        <w:tc>
          <w:tcPr>
            <w:tcW w:w="1035" w:type="pct"/>
            <w:vAlign w:val="center"/>
          </w:tcPr>
          <w:p w14:paraId="0BF92E76"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de-DE"/>
              </w:rPr>
              <w:t>0–4 %</w:t>
            </w:r>
          </w:p>
        </w:tc>
        <w:tc>
          <w:tcPr>
            <w:tcW w:w="1767" w:type="pct"/>
            <w:vAlign w:val="center"/>
          </w:tcPr>
          <w:p w14:paraId="71781E09" w14:textId="77777777" w:rsidR="00453251" w:rsidRPr="009461CC" w:rsidRDefault="00453251" w:rsidP="00906FBD">
            <w:pPr>
              <w:pStyle w:val="TableTextLeft"/>
              <w:spacing w:line="216" w:lineRule="auto"/>
              <w:rPr>
                <w:rFonts w:ascii="Times New Roman" w:hAnsi="Times New Roman" w:cs="Times New Roman"/>
              </w:rPr>
            </w:pPr>
            <w:bookmarkStart w:id="56" w:name="_Toc86391950"/>
            <w:bookmarkEnd w:id="56"/>
            <w:r>
              <w:rPr>
                <w:rFonts w:ascii="Times New Roman" w:hAnsi="Times New Roman" w:cs="Times New Roman"/>
                <w:iCs w:val="0"/>
                <w:lang w:val="de-DE"/>
              </w:rPr>
              <w:t xml:space="preserve">Die Gesamtkomplikationsrate </w:t>
            </w:r>
            <w:r>
              <w:rPr>
                <w:rFonts w:ascii="Times New Roman" w:hAnsi="Times New Roman" w:cs="Times New Roman"/>
                <w:b/>
                <w:bCs/>
                <w:iCs w:val="0"/>
                <w:lang w:val="de-DE"/>
              </w:rPr>
              <w:t>liegt unter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b/>
                <w:bCs/>
                <w:iCs w:val="0"/>
                <w:lang w:val="de-DE"/>
              </w:rPr>
              <w:t>Leistung</w:t>
            </w:r>
          </w:p>
        </w:tc>
      </w:tr>
      <w:tr w:rsidR="00453251" w:rsidRPr="009461CC" w14:paraId="6F720CB6" w14:textId="77777777" w:rsidTr="00906FBD">
        <w:tc>
          <w:tcPr>
            <w:tcW w:w="1313" w:type="pct"/>
            <w:vAlign w:val="center"/>
          </w:tcPr>
          <w:p w14:paraId="60785A5D" w14:textId="77777777" w:rsidR="00453251" w:rsidRPr="009461CC" w:rsidRDefault="00453251" w:rsidP="00906FBD">
            <w:pPr>
              <w:pStyle w:val="TableTextLeft"/>
              <w:spacing w:line="216" w:lineRule="auto"/>
              <w:rPr>
                <w:rFonts w:ascii="Times New Roman" w:hAnsi="Times New Roman" w:cs="Times New Roman"/>
              </w:rPr>
            </w:pPr>
            <w:r>
              <w:rPr>
                <w:rFonts w:ascii="Times New Roman" w:hAnsi="Times New Roman" w:cs="Times New Roman"/>
                <w:iCs w:val="0"/>
                <w:lang w:val="de-DE"/>
              </w:rPr>
              <w:t xml:space="preserve">Technische Erfolgsrate </w:t>
            </w:r>
            <w:bookmarkStart w:id="58" w:name="_Toc86391954"/>
            <w:bookmarkEnd w:id="58"/>
          </w:p>
        </w:tc>
        <w:tc>
          <w:tcPr>
            <w:tcW w:w="885" w:type="pct"/>
            <w:vAlign w:val="center"/>
          </w:tcPr>
          <w:p w14:paraId="042F9BC6" w14:textId="77777777" w:rsidR="00453251" w:rsidRPr="009461CC" w:rsidDel="002D4462"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82,8–100 %</w:t>
            </w:r>
          </w:p>
        </w:tc>
        <w:tc>
          <w:tcPr>
            <w:tcW w:w="1035" w:type="pct"/>
            <w:vAlign w:val="center"/>
          </w:tcPr>
          <w:p w14:paraId="3177A351"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de-DE"/>
              </w:rPr>
              <w:t>82,0–100 %</w:t>
            </w:r>
          </w:p>
        </w:tc>
        <w:tc>
          <w:tcPr>
            <w:tcW w:w="1767" w:type="pct"/>
            <w:vAlign w:val="center"/>
          </w:tcPr>
          <w:p w14:paraId="55C13098" w14:textId="77777777" w:rsidR="00453251" w:rsidRPr="009461CC" w:rsidRDefault="00453251" w:rsidP="00906FBD">
            <w:pPr>
              <w:pStyle w:val="TableTextLeft"/>
              <w:spacing w:line="216" w:lineRule="auto"/>
              <w:rPr>
                <w:rFonts w:ascii="Times New Roman" w:hAnsi="Times New Roman" w:cs="Times New Roman"/>
              </w:rPr>
            </w:pPr>
            <w:bookmarkStart w:id="61" w:name="_Toc86391958"/>
            <w:bookmarkEnd w:id="61"/>
            <w:r>
              <w:rPr>
                <w:rFonts w:ascii="Times New Roman" w:hAnsi="Times New Roman" w:cs="Times New Roman"/>
                <w:iCs w:val="0"/>
                <w:lang w:val="de-DE"/>
              </w:rPr>
              <w:t xml:space="preserve">Technischer Erfolg </w:t>
            </w:r>
            <w:r>
              <w:rPr>
                <w:rFonts w:ascii="Times New Roman" w:hAnsi="Times New Roman" w:cs="Times New Roman"/>
                <w:b/>
                <w:bCs/>
                <w:iCs w:val="0"/>
                <w:lang w:val="de-DE"/>
              </w:rPr>
              <w:t>über 82,0 %</w:t>
            </w:r>
          </w:p>
        </w:tc>
        <w:bookmarkStart w:id="62" w:name="_Toc86391959"/>
        <w:bookmarkEnd w:id="62"/>
      </w:tr>
      <w:tr w:rsidR="00453251" w:rsidRPr="009461CC" w14:paraId="4E839B51" w14:textId="77777777" w:rsidTr="00906FBD">
        <w:tc>
          <w:tcPr>
            <w:tcW w:w="1313" w:type="pct"/>
            <w:vAlign w:val="center"/>
          </w:tcPr>
          <w:p w14:paraId="055E85A0" w14:textId="77777777" w:rsidR="00453251" w:rsidRPr="009461CC" w:rsidRDefault="00453251" w:rsidP="00906FBD">
            <w:pPr>
              <w:pStyle w:val="TableTextLeft"/>
              <w:spacing w:line="216" w:lineRule="auto"/>
              <w:rPr>
                <w:rFonts w:ascii="Times New Roman" w:eastAsia="MS Mincho" w:hAnsi="Times New Roman" w:cs="Times New Roman"/>
              </w:rPr>
            </w:pPr>
            <w:r>
              <w:rPr>
                <w:rFonts w:ascii="Times New Roman" w:hAnsi="Times New Roman" w:cs="Times New Roman"/>
                <w:iCs w:val="0"/>
                <w:lang w:val="de-DE"/>
              </w:rPr>
              <w:t xml:space="preserve">Klinische Erfolgsrate </w:t>
            </w:r>
            <w:bookmarkStart w:id="63" w:name="_Toc86391960"/>
            <w:bookmarkEnd w:id="63"/>
          </w:p>
        </w:tc>
        <w:tc>
          <w:tcPr>
            <w:tcW w:w="885" w:type="pct"/>
            <w:vAlign w:val="center"/>
          </w:tcPr>
          <w:p w14:paraId="163906FF" w14:textId="77777777" w:rsidR="00453251" w:rsidRPr="009461CC" w:rsidRDefault="00453251" w:rsidP="00906FBD">
            <w:pPr>
              <w:pStyle w:val="TableTextLeft"/>
              <w:spacing w:line="216" w:lineRule="auto"/>
              <w:jc w:val="center"/>
              <w:rPr>
                <w:rFonts w:ascii="Times New Roman" w:hAnsi="Times New Roman" w:cs="Times New Roman"/>
                <w:iCs w:val="0"/>
              </w:rPr>
            </w:pPr>
            <w:r>
              <w:rPr>
                <w:rFonts w:ascii="Times New Roman" w:hAnsi="Times New Roman" w:cs="Times New Roman"/>
                <w:iCs w:val="0"/>
                <w:lang w:val="de-DE"/>
              </w:rPr>
              <w:t>95,2–100 %</w:t>
            </w:r>
          </w:p>
        </w:tc>
        <w:tc>
          <w:tcPr>
            <w:tcW w:w="1035" w:type="pct"/>
            <w:vAlign w:val="center"/>
          </w:tcPr>
          <w:p w14:paraId="24CE1D22" w14:textId="77777777" w:rsidR="00453251" w:rsidRPr="009461CC" w:rsidRDefault="00453251" w:rsidP="00906FBD">
            <w:pPr>
              <w:pStyle w:val="TableTextLeft"/>
              <w:spacing w:line="216" w:lineRule="auto"/>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de-DE"/>
              </w:rPr>
              <w:t>92,3–100 %</w:t>
            </w:r>
          </w:p>
        </w:tc>
        <w:tc>
          <w:tcPr>
            <w:tcW w:w="1767" w:type="pct"/>
            <w:vAlign w:val="center"/>
          </w:tcPr>
          <w:p w14:paraId="1240798C" w14:textId="77777777" w:rsidR="00453251" w:rsidRPr="009461CC" w:rsidRDefault="00453251" w:rsidP="00906FBD">
            <w:pPr>
              <w:pStyle w:val="TableTextLeft"/>
              <w:spacing w:line="216" w:lineRule="auto"/>
              <w:rPr>
                <w:rFonts w:ascii="Times New Roman" w:hAnsi="Times New Roman" w:cs="Times New Roman"/>
              </w:rPr>
            </w:pPr>
            <w:bookmarkStart w:id="66" w:name="_Toc86391964"/>
            <w:bookmarkEnd w:id="66"/>
            <w:r>
              <w:rPr>
                <w:rFonts w:ascii="Times New Roman" w:hAnsi="Times New Roman" w:cs="Times New Roman"/>
                <w:iCs w:val="0"/>
                <w:lang w:val="de-DE"/>
              </w:rPr>
              <w:t>Klinischer Erfolg</w:t>
            </w:r>
            <w:r>
              <w:rPr>
                <w:rFonts w:ascii="Times New Roman" w:hAnsi="Times New Roman" w:cs="Times New Roman"/>
                <w:b/>
                <w:bCs/>
                <w:iCs w:val="0"/>
                <w:lang w:val="de-DE"/>
              </w:rPr>
              <w:t xml:space="preserve"> über 92,3 %</w:t>
            </w:r>
          </w:p>
        </w:tc>
        <w:bookmarkStart w:id="67" w:name="_Toc86391965"/>
        <w:bookmarkEnd w:id="67"/>
      </w:tr>
    </w:tbl>
    <w:p w14:paraId="47F3BE56" w14:textId="14358A29" w:rsidR="00941D63" w:rsidRPr="00BD0745" w:rsidRDefault="00941D63" w:rsidP="00941D63">
      <w:pPr>
        <w:spacing w:before="100" w:beforeAutospacing="1" w:line="240" w:lineRule="auto"/>
        <w:rPr>
          <w:rFonts w:eastAsia="Times New Roman" w:cs="Times New Roman"/>
          <w:szCs w:val="24"/>
          <w:lang w:val="de-DE"/>
        </w:rPr>
      </w:pPr>
      <w:r>
        <w:rPr>
          <w:rFonts w:eastAsia="Times New Roman" w:cs="Times New Roman"/>
          <w:szCs w:val="24"/>
          <w:lang w:val="de-DE"/>
        </w:rPr>
        <w:t>Das Atrieve Vascular Snare Kit weist ein akzeptables Risikoprofil auf, ohne dass Restrisiken als inakzeptabel eingestuft werden. Potenzielle Schäden für den Patienten wie Blutungen, Embolien, Infektionen und Gewebeschäden sind selten und liegen innerhalb der branchenüblichen akzeptablen Raten. Gängige Ausfallmodi wie Bauteilablösung oder Produktwiderstand sind selten und gut kontrolliert.</w:t>
      </w:r>
    </w:p>
    <w:p w14:paraId="6CD9B2F8" w14:textId="27B9DB44" w:rsidR="00941D63" w:rsidRPr="00BD0745" w:rsidRDefault="00941D63" w:rsidP="00941D63">
      <w:pPr>
        <w:spacing w:before="100" w:beforeAutospacing="1" w:line="240" w:lineRule="auto"/>
        <w:rPr>
          <w:rFonts w:eastAsia="Times New Roman" w:cs="Times New Roman"/>
          <w:szCs w:val="24"/>
          <w:lang w:val="de-DE"/>
        </w:rPr>
      </w:pPr>
      <w:r>
        <w:rPr>
          <w:rFonts w:eastAsia="Times New Roman" w:cs="Times New Roman"/>
          <w:szCs w:val="24"/>
          <w:lang w:val="de-DE"/>
        </w:rPr>
        <w:t>Auf identifizierte Risiken wird durch Kennzeichnung, Warnhinweise und in der Gebrauchsanweisung aufmerksam gemacht. Das Gesamtrisiko ist vergleichbar mit alternativen Behandlungsmethoden, und der Nutzen des Produkts – eine sichere, minimalinvasive Fremdkörperentfernung – überwiegt die Risiken. Während der Überwachung nach Markteinführung wurden keine neuen Risiken identifiziert.</w:t>
      </w:r>
    </w:p>
    <w:p w14:paraId="503092B6" w14:textId="15AAF628" w:rsidR="000F0AC2" w:rsidRPr="009461CC" w:rsidRDefault="008745ED" w:rsidP="001035F0">
      <w:pPr>
        <w:pStyle w:val="Heading1"/>
        <w:rPr>
          <w:rFonts w:cs="Times New Roman"/>
        </w:rPr>
      </w:pPr>
      <w:bookmarkStart w:id="68" w:name="_Toc222741412"/>
      <w:r>
        <w:rPr>
          <w:rFonts w:cs="Times New Roman"/>
          <w:bCs/>
          <w:lang w:val="de-DE"/>
        </w:rPr>
        <w:t>Warnhinweise und Vorsichtsmaßnahmen</w:t>
      </w:r>
      <w:bookmarkEnd w:id="68"/>
    </w:p>
    <w:p w14:paraId="3AFFFB2C" w14:textId="56B6C6C3" w:rsidR="00A030DC" w:rsidRPr="00BD0745" w:rsidRDefault="00C64987" w:rsidP="006F12B6">
      <w:pPr>
        <w:spacing w:after="0" w:afterAutospacing="0" w:line="240" w:lineRule="auto"/>
        <w:ind w:left="792"/>
        <w:rPr>
          <w:rFonts w:cs="Times New Roman"/>
          <w:iCs/>
          <w:lang w:val="pt-BR"/>
        </w:rPr>
      </w:pPr>
      <w:r w:rsidRPr="00BD0745">
        <w:rPr>
          <w:rFonts w:cs="Times New Roman"/>
          <w:lang w:val="pt-BR"/>
        </w:rPr>
        <w:t>Referenz IFU X9585730-0321-EU Rev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de-DE"/>
        </w:rPr>
        <w:t>Warnungen:</w:t>
      </w:r>
    </w:p>
    <w:p w14:paraId="6D12BCC6"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t>Dieses Produkt wurde nur für die Einmalanwendung bei einem einzelnen Patienten entwickelt, getestet und hergestellt. Die Wiederverwendung oder Wiederaufbereitung dieses Produkts kann zu dessen Versagen und in der Folge zu einer Schädigung des Patienten führen. Die Wiederaufbereitung und/oder erneute Sterilisation dieses Produkts kann das Risiko einer Kontamination und einer Infektion des Patienten bergen. Dieses Produkt darf nicht wiederverwendet, wiederaufbereitet oder erneut sterilisiert werden.</w:t>
      </w:r>
    </w:p>
    <w:p w14:paraId="02E0F1FE"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t>Überprüfen Sie vor dem Gebrauch die Unversehrtheit der Verpackung.</w:t>
      </w:r>
    </w:p>
    <w:p w14:paraId="0AB04CB5"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t>Nicht verwenden, wenn die Verpackung offen oder beschädigt ist oder wenn das Verfallsdatum überschritten wurde.</w:t>
      </w:r>
    </w:p>
    <w:p w14:paraId="287B6E69"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lastRenderedPageBreak/>
        <w:t>Sollten während des Einsatzes Schäden an den Komponenten auftreten, muss die Anwendung sofort abgebrochen werden.</w:t>
      </w:r>
    </w:p>
    <w:p w14:paraId="22477486"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t>Nitinol ist eine Nickel-Titan-Legierung. Bei Patienten mit Überempfindlichkeit gegenüber Nickel kann es zu einer Reaktion kommen.</w:t>
      </w:r>
    </w:p>
    <w:p w14:paraId="2A4E00BA" w14:textId="77777777" w:rsidR="00C13612" w:rsidRPr="00BD0745" w:rsidRDefault="00C13612" w:rsidP="00C13612">
      <w:pPr>
        <w:numPr>
          <w:ilvl w:val="0"/>
          <w:numId w:val="22"/>
        </w:numPr>
        <w:spacing w:after="0" w:afterAutospacing="0" w:line="240" w:lineRule="auto"/>
        <w:ind w:left="360"/>
        <w:contextualSpacing/>
        <w:jc w:val="both"/>
        <w:rPr>
          <w:rFonts w:eastAsia="Times New Roman" w:cs="Times New Roman"/>
          <w:szCs w:val="24"/>
          <w:lang w:val="de-DE"/>
        </w:rPr>
      </w:pPr>
      <w:r>
        <w:rPr>
          <w:rFonts w:eastAsia="Times New Roman" w:cs="Times New Roman"/>
          <w:szCs w:val="24"/>
          <w:lang w:val="de-DE"/>
        </w:rPr>
        <w:t>Bei Patienten mit Überempfindlichkeit gegenüber Platin kann es zu einer Reaktion kommen.</w:t>
      </w:r>
    </w:p>
    <w:p w14:paraId="0D7E98B5" w14:textId="77777777" w:rsidR="00C13612" w:rsidRPr="00BD0745"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de-DE"/>
        </w:rPr>
      </w:pPr>
      <w:r>
        <w:rPr>
          <w:rFonts w:eastAsia="Times New Roman" w:cs="Times New Roman"/>
          <w:szCs w:val="24"/>
          <w:lang w:val="de-DE"/>
        </w:rPr>
        <w:t>Bei der Verwendung dieses Produkts zum Abstreifen einer großen Fibrinhülle ist Vorsicht geboten, um das Risiko einer Lungenembolie zu minimieren.</w:t>
      </w:r>
    </w:p>
    <w:p w14:paraId="4CB50B44" w14:textId="77777777" w:rsidR="00C13612" w:rsidRPr="00BD0745"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de-DE"/>
        </w:rPr>
      </w:pPr>
      <w:r>
        <w:rPr>
          <w:rFonts w:eastAsia="Times New Roman" w:cs="Times New Roman"/>
          <w:szCs w:val="24"/>
          <w:lang w:val="de-DE"/>
        </w:rPr>
        <w:t>Bei manchen Eingriffen kann es zu Blutungen durch den Einführkatheter-Hub kommen. Ein Hämostaseventil (nicht im Lieferumfang enthalten) kann am Einführkatheter angebracht werden, um die Blutung nach Bedarf oder nach ärztlichem Ermessen zu reduzieren.</w:t>
      </w:r>
    </w:p>
    <w:p w14:paraId="7C5DC59D" w14:textId="77777777" w:rsidR="0084795E" w:rsidRPr="00BD0745" w:rsidRDefault="0084795E" w:rsidP="00FE6595">
      <w:pPr>
        <w:spacing w:after="0" w:afterAutospacing="0" w:line="240" w:lineRule="auto"/>
        <w:ind w:left="792"/>
        <w:rPr>
          <w:rFonts w:cs="Times New Roman"/>
          <w:iCs/>
          <w:lang w:val="de-DE"/>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de-DE"/>
        </w:rPr>
        <w:t>Vorsichtsmaßnahmen:</w:t>
      </w:r>
    </w:p>
    <w:p w14:paraId="043EE8E1" w14:textId="77777777" w:rsidR="00533C0A" w:rsidRPr="00BD0745"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de-DE"/>
        </w:rPr>
        <w:t>Die beim Abstreifen der Fibrinhülle von einem Katheter wirkenden Zugkräfte können zu Beschädigung, Überdehnung oder Bruch von Venenverweilkathetern mit einem Durchmesser von 6 French oder kleiner führen. Wenden Sie beim Versuch, die Fibrinhülle von Kathetern mit einem Durchmesser von 6 French oder kleiner abzustreifen, keine übermäßige Zugkraft an.</w:t>
      </w:r>
    </w:p>
    <w:p w14:paraId="7C78A400" w14:textId="77777777" w:rsidR="00533C0A" w:rsidRPr="00BD0745" w:rsidRDefault="00533C0A" w:rsidP="00533C0A">
      <w:pPr>
        <w:numPr>
          <w:ilvl w:val="0"/>
          <w:numId w:val="23"/>
        </w:numPr>
        <w:spacing w:after="0" w:afterAutospacing="0" w:line="240" w:lineRule="auto"/>
        <w:contextualSpacing/>
        <w:jc w:val="both"/>
        <w:rPr>
          <w:rFonts w:eastAsia="Times New Roman" w:cs="Times New Roman"/>
          <w:szCs w:val="24"/>
          <w:lang w:val="de-DE"/>
        </w:rPr>
      </w:pPr>
      <w:r>
        <w:rPr>
          <w:rFonts w:eastAsia="Times New Roman" w:cs="Times New Roman"/>
          <w:szCs w:val="24"/>
          <w:lang w:val="de-DE"/>
        </w:rPr>
        <w:t>Wenden Sie beim Einführen des Katheters in die Einführkanüle keine übermäßige Kraft an.</w:t>
      </w:r>
    </w:p>
    <w:p w14:paraId="68E7CD6A" w14:textId="77777777" w:rsidR="009E4BE1" w:rsidRPr="00BD0745" w:rsidRDefault="009E4BE1" w:rsidP="00DB582A">
      <w:pPr>
        <w:spacing w:after="0" w:afterAutospacing="0" w:line="240" w:lineRule="auto"/>
        <w:rPr>
          <w:rFonts w:cs="Times New Roman"/>
          <w:b/>
          <w:bCs/>
          <w:iCs/>
          <w:lang w:val="de-DE"/>
        </w:rPr>
      </w:pPr>
    </w:p>
    <w:p w14:paraId="1F2A8F23" w14:textId="7550D298" w:rsidR="00481A9E" w:rsidRPr="00BD0745" w:rsidRDefault="00481A9E" w:rsidP="00481A9E">
      <w:pPr>
        <w:spacing w:after="120" w:afterAutospacing="0" w:line="240" w:lineRule="auto"/>
        <w:ind w:firstLine="720"/>
        <w:jc w:val="both"/>
        <w:rPr>
          <w:rFonts w:eastAsia="Times New Roman" w:cs="Times New Roman"/>
          <w:b/>
          <w:szCs w:val="24"/>
          <w:lang w:val="de-DE"/>
        </w:rPr>
      </w:pPr>
      <w:r>
        <w:rPr>
          <w:rFonts w:eastAsia="Times New Roman" w:cs="Times New Roman"/>
          <w:b/>
          <w:bCs/>
          <w:szCs w:val="24"/>
          <w:lang w:val="de-DE"/>
        </w:rPr>
        <w:t xml:space="preserve">Risiken und Nebenwirkungen </w:t>
      </w:r>
    </w:p>
    <w:p w14:paraId="3EC1F3BA" w14:textId="77777777" w:rsidR="00481A9E" w:rsidRPr="00BD0745" w:rsidRDefault="00481A9E" w:rsidP="00481A9E">
      <w:pPr>
        <w:spacing w:after="120" w:afterAutospacing="0" w:line="240" w:lineRule="auto"/>
        <w:jc w:val="both"/>
        <w:rPr>
          <w:rFonts w:eastAsia="Times New Roman" w:cs="Times New Roman"/>
          <w:szCs w:val="24"/>
          <w:lang w:val="de-DE"/>
        </w:rPr>
      </w:pPr>
      <w:r>
        <w:rPr>
          <w:rFonts w:eastAsia="Times New Roman" w:cs="Times New Roman"/>
          <w:szCs w:val="24"/>
          <w:lang w:val="de-DE"/>
        </w:rPr>
        <w:t>Mögliche Komplikationen beinhalten unter anderem Folgendes:</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Embolie</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Schlaganfall</w:t>
      </w:r>
    </w:p>
    <w:p w14:paraId="3E3CC4E5" w14:textId="77777777" w:rsidR="00481A9E" w:rsidRPr="00BD0745" w:rsidRDefault="00481A9E" w:rsidP="00481A9E">
      <w:pPr>
        <w:widowControl w:val="0"/>
        <w:numPr>
          <w:ilvl w:val="0"/>
          <w:numId w:val="24"/>
        </w:numPr>
        <w:spacing w:after="0" w:afterAutospacing="0" w:line="240" w:lineRule="auto"/>
        <w:contextualSpacing/>
        <w:jc w:val="both"/>
        <w:rPr>
          <w:rFonts w:eastAsia="Times New Roman" w:cs="Times New Roman"/>
          <w:szCs w:val="24"/>
          <w:lang w:val="de-DE"/>
        </w:rPr>
      </w:pPr>
      <w:r>
        <w:rPr>
          <w:rFonts w:eastAsia="Times New Roman" w:cs="Times New Roman"/>
          <w:szCs w:val="24"/>
          <w:lang w:val="de-DE"/>
        </w:rPr>
        <w:t>Myokardinfarkt (abhängig von der Platzierung)</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Lungenembolie</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Gefäßperforationen</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Produkteinschluss</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de-DE"/>
        </w:rPr>
        <w:t>Blutungen/Hämorrhagie</w:t>
      </w:r>
    </w:p>
    <w:p w14:paraId="0A9BFD81" w14:textId="77777777" w:rsidR="00D558E5" w:rsidRPr="009461CC" w:rsidRDefault="00D558E5" w:rsidP="00D558E5">
      <w:pPr>
        <w:widowControl w:val="0"/>
        <w:spacing w:after="0" w:afterAutospacing="0" w:line="240" w:lineRule="auto"/>
        <w:contextualSpacing/>
        <w:jc w:val="both"/>
        <w:rPr>
          <w:rFonts w:eastAsia="Times New Roman" w:cs="Times New Roman"/>
          <w:szCs w:val="2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de-DE"/>
        </w:rPr>
        <w:t>Klinischer Nutzen.</w:t>
      </w:r>
    </w:p>
    <w:p w14:paraId="12CF44E5" w14:textId="357D7E57" w:rsidR="00481A9E" w:rsidRPr="00BD0745" w:rsidRDefault="00A80721" w:rsidP="00A80721">
      <w:pPr>
        <w:spacing w:after="120" w:afterAutospacing="0" w:line="240" w:lineRule="auto"/>
        <w:jc w:val="both"/>
        <w:rPr>
          <w:rFonts w:eastAsia="Times New Roman" w:cs="Times New Roman"/>
          <w:szCs w:val="24"/>
          <w:lang w:val="de-DE"/>
        </w:rPr>
      </w:pPr>
      <w:r>
        <w:rPr>
          <w:rFonts w:eastAsia="Times New Roman" w:cs="Times New Roman"/>
          <w:szCs w:val="24"/>
          <w:lang w:val="de-DE"/>
        </w:rPr>
        <w:t>Der direkte Nutzen der Atrieve Vascular Snare für Patienten besteht in der Reduzierung von Komplikationen und Risiken im Vergleich zu einem chirurgischen Eingriff, da Fremdkörper perkutan entfernt und manipuliert werden können.</w:t>
      </w:r>
    </w:p>
    <w:p w14:paraId="5240AF40" w14:textId="3E5A2DE2" w:rsidR="00042B91" w:rsidRPr="00BD0745" w:rsidRDefault="00BB36B1" w:rsidP="00A4616A">
      <w:pPr>
        <w:spacing w:after="0" w:afterAutospacing="0" w:line="240" w:lineRule="auto"/>
        <w:rPr>
          <w:rFonts w:cs="Times New Roman"/>
          <w:iCs/>
          <w:lang w:val="de-DE"/>
        </w:rPr>
      </w:pPr>
      <w:r>
        <w:rPr>
          <w:rFonts w:cs="Times New Roman"/>
          <w:lang w:val="de-DE"/>
        </w:rPr>
        <w:t>Dauer/Lebensdauer: kurzzeitig, weniger als 60 Minuten</w:t>
      </w:r>
    </w:p>
    <w:p w14:paraId="393C5ED9" w14:textId="77777777" w:rsidR="00E14C97" w:rsidRPr="00BD0745" w:rsidRDefault="00E14C97" w:rsidP="00042B91">
      <w:pPr>
        <w:spacing w:after="0" w:afterAutospacing="0" w:line="240" w:lineRule="auto"/>
        <w:rPr>
          <w:rFonts w:cs="Times New Roman"/>
          <w:i/>
          <w:color w:val="FF0000"/>
          <w:lang w:val="de-DE"/>
        </w:rPr>
      </w:pPr>
    </w:p>
    <w:p w14:paraId="09A94B0F" w14:textId="4E664EE0" w:rsidR="00760400" w:rsidRPr="00BD0745" w:rsidRDefault="008745ED" w:rsidP="00042B91">
      <w:pPr>
        <w:pStyle w:val="Heading1"/>
        <w:rPr>
          <w:rFonts w:cs="Times New Roman"/>
          <w:lang w:val="de-DE"/>
        </w:rPr>
      </w:pPr>
      <w:bookmarkStart w:id="69" w:name="_Toc222741413"/>
      <w:r>
        <w:rPr>
          <w:rFonts w:cs="Times New Roman"/>
          <w:bCs/>
          <w:lang w:val="de-DE"/>
        </w:rPr>
        <w:t>Andere relevante Sicherheitsaspekte, einschließlich einer Zusammenfassung aller Sicherheitskorrekturmaßnahmen im Feld (FSCA einschließlich FSN), sofern zutreffend</w:t>
      </w:r>
      <w:bookmarkEnd w:id="69"/>
    </w:p>
    <w:p w14:paraId="65E21D1D" w14:textId="58A43005" w:rsidR="004F5057" w:rsidRPr="00BD0745" w:rsidRDefault="00FC52C8" w:rsidP="001F48BA">
      <w:pPr>
        <w:rPr>
          <w:rFonts w:cs="Times New Roman"/>
          <w:lang w:val="de-DE"/>
        </w:rPr>
      </w:pPr>
      <w:r>
        <w:rPr>
          <w:rFonts w:cs="Times New Roman"/>
          <w:lang w:val="de-DE"/>
        </w:rPr>
        <w:t>Im Berichtszeitraum gab es keine Sicherheitskorrekturmaßnahmen im Feld (FSCA) oder Rückrufe.</w:t>
      </w:r>
    </w:p>
    <w:p w14:paraId="21FC0F42" w14:textId="6F4CDE71" w:rsidR="008745ED" w:rsidRPr="00BD0745" w:rsidRDefault="008745ED" w:rsidP="00F67A0E">
      <w:pPr>
        <w:pStyle w:val="Heading1"/>
        <w:numPr>
          <w:ilvl w:val="0"/>
          <w:numId w:val="2"/>
        </w:numPr>
        <w:rPr>
          <w:rFonts w:cs="Times New Roman"/>
          <w:lang w:val="de-DE"/>
        </w:rPr>
      </w:pPr>
      <w:bookmarkStart w:id="70" w:name="_Toc222741414"/>
      <w:r>
        <w:rPr>
          <w:rFonts w:cs="Times New Roman"/>
          <w:bCs/>
          <w:lang w:val="de-DE"/>
        </w:rPr>
        <w:t>Zusammenfassung der klinischen Bewertung und der klinischen Nachbeobachtung nach dem Inverkehrbringen (PMCF)</w:t>
      </w:r>
      <w:bookmarkEnd w:id="70"/>
    </w:p>
    <w:p w14:paraId="7CA310DE" w14:textId="0ED9D76A" w:rsidR="00DA4404" w:rsidRPr="00BD0745" w:rsidRDefault="00DA4404" w:rsidP="00DA4404">
      <w:pPr>
        <w:rPr>
          <w:rFonts w:cs="Times New Roman"/>
          <w:lang w:val="de-DE"/>
        </w:rPr>
      </w:pPr>
      <w:r>
        <w:rPr>
          <w:rFonts w:cs="Times New Roman"/>
          <w:lang w:val="de-DE"/>
        </w:rPr>
        <w:lastRenderedPageBreak/>
        <w:t>Der klinische Bewertungsbericht (CER-029 Rev B) bestätigt, dass das Atrieve Vascular Snare Kit klinisch sicher und wirksam für die Entfernung und Manipulation von Fremdkörpern im kardiovaskulären System ist. Es wird vorwiegend von geschulten medizinischen Fachkräften im Rahmen von minimalinvasiven Eingriffen eingesetzt.</w:t>
      </w:r>
    </w:p>
    <w:p w14:paraId="065C32D9" w14:textId="36044E92" w:rsidR="00DA4404" w:rsidRPr="00BD0745" w:rsidRDefault="00DA4404" w:rsidP="00DA4404">
      <w:pPr>
        <w:rPr>
          <w:rFonts w:cs="Times New Roman"/>
          <w:lang w:val="de-DE"/>
        </w:rPr>
      </w:pPr>
      <w:r>
        <w:rPr>
          <w:rFonts w:cs="Times New Roman"/>
          <w:lang w:val="de-DE"/>
        </w:rPr>
        <w:t>Die auf einer Literaturrecherche, der klinischen Erfahrung und nach der Markteinführung gewonnenen Daten basierende Bewertung, zeigt eine hohe technische und klinische Erfolgsrate. Komplikationen wie Blutungen, Embolien, Infektionen oder allergische Reaktionen sind selten und liegen innerhalb akzeptabler klinischer Toleranzwerte.</w:t>
      </w:r>
    </w:p>
    <w:p w14:paraId="0DAD67AD" w14:textId="4FF5EA89" w:rsidR="00DA4404" w:rsidRPr="00BD0745" w:rsidRDefault="00DA4404" w:rsidP="00DA4404">
      <w:pPr>
        <w:rPr>
          <w:rFonts w:cs="Times New Roman"/>
          <w:lang w:val="de-DE"/>
        </w:rPr>
      </w:pPr>
      <w:r>
        <w:rPr>
          <w:rFonts w:cs="Times New Roman"/>
          <w:lang w:val="de-DE"/>
        </w:rPr>
        <w:t>Es wurden keine neuen Sicherheitsbedenken oder unerwarteten Risiken festgestellt. Das Produkt schneidet gegenüber ähnlichen auf dem Markt erhältlichen Produkten vergleichbar ab und weist ein gleichbleibendes Nutzen-Risiko-Verhältnis auf.</w:t>
      </w:r>
    </w:p>
    <w:p w14:paraId="745B2F11" w14:textId="506F1A62" w:rsidR="00257EE2" w:rsidRPr="00BD0745" w:rsidRDefault="00DA4404" w:rsidP="00DA4404">
      <w:pPr>
        <w:rPr>
          <w:rFonts w:cs="Times New Roman"/>
          <w:highlight w:val="yellow"/>
          <w:lang w:val="de-DE"/>
        </w:rPr>
      </w:pPr>
      <w:r>
        <w:rPr>
          <w:rFonts w:cs="Times New Roman"/>
          <w:lang w:val="de-DE"/>
        </w:rPr>
        <w:t>Zusammenfassend lässt sich sagen, dass die Atrieve Snare eine zuverlässige Leistung und eine hohe Sicherheit aufweist, was ihren fortgesetzten Einsatz im klinischen Bereich rechtfertigt.</w:t>
      </w:r>
    </w:p>
    <w:p w14:paraId="491E112E" w14:textId="43F380B5" w:rsidR="005A5584" w:rsidRPr="00BD0745" w:rsidRDefault="005A5584" w:rsidP="00300E25">
      <w:pPr>
        <w:rPr>
          <w:rFonts w:cs="Times New Roman"/>
          <w:lang w:val="de-DE"/>
        </w:rPr>
      </w:pPr>
      <w:r>
        <w:rPr>
          <w:rFonts w:cs="Times New Roman"/>
          <w:lang w:val="de-DE"/>
        </w:rPr>
        <w:t>Der Plan für die Nachbeobachtung nach dem Inverkehrbringen (Post-Market Clinical Follow-Up Plan, PMCFP) für Atrieve beschreibt ein strukturiertes Vorgehen zur Überwachung der Sicherheit und Leistung nach der Markteinführung. Diese Produkte der Klasse III dienen der Entfernung oder Manipulation von Fremdkörpern im kardiovaskulären System und sind für den kurzzeitigen Einsatz bestimmt.</w:t>
      </w:r>
    </w:p>
    <w:p w14:paraId="72FE8271" w14:textId="5FE4B52E" w:rsidR="00042B91" w:rsidRPr="00BD0745" w:rsidRDefault="005A5584" w:rsidP="00A8663C">
      <w:pPr>
        <w:rPr>
          <w:rFonts w:cs="Times New Roman"/>
          <w:lang w:val="de-DE"/>
        </w:rPr>
      </w:pPr>
      <w:r>
        <w:rPr>
          <w:rFonts w:cs="Times New Roman"/>
          <w:lang w:val="de-DE"/>
        </w:rPr>
        <w:t>Die Aktivitäten des PMCF basieren auf allgemeinen Methoden, darunter jährliche Literaturrecherchen, die Durchsicht von Datenbanken zu unerwünschten Ereignissen (z. B. MAUDE) und die Analyse von Berichten zur Überwachung nach der Markteinführung. Diese Bemühungen zielen darauf ab, die anhaltende Sicherheit und Wirksamkeit zu bestätigen, neu auftretende Risiken zu identifizieren bzw. eine nicht bestimmungsgemäße Verwendung aufzudecken. Zum Vergleich der Ergebnisse werden auch klinische Daten von vergleichbaren Produkten herangezogen.</w:t>
      </w:r>
    </w:p>
    <w:p w14:paraId="33785C59" w14:textId="7AB0634B" w:rsidR="008745ED" w:rsidRPr="00BD0745" w:rsidRDefault="008745ED" w:rsidP="00042B91">
      <w:pPr>
        <w:pStyle w:val="Heading1"/>
        <w:rPr>
          <w:rFonts w:cs="Times New Roman"/>
          <w:lang w:val="de-DE"/>
        </w:rPr>
      </w:pPr>
      <w:bookmarkStart w:id="71" w:name="_Toc222741415"/>
      <w:r>
        <w:rPr>
          <w:rFonts w:cs="Times New Roman"/>
          <w:bCs/>
          <w:lang w:val="de-DE"/>
        </w:rPr>
        <w:t>Zusammenfassung der klinischen Daten zu einem gleichwertigen Produkt, falls zutreffend</w:t>
      </w:r>
      <w:bookmarkEnd w:id="71"/>
      <w:r>
        <w:rPr>
          <w:rFonts w:cs="Times New Roman"/>
          <w:bCs/>
          <w:lang w:val="de-DE"/>
        </w:rPr>
        <w:t xml:space="preserve"> </w:t>
      </w:r>
    </w:p>
    <w:p w14:paraId="62C65035" w14:textId="2ED3F324" w:rsidR="00B763A0" w:rsidRPr="00BD0745" w:rsidRDefault="00F24AE3" w:rsidP="00511B41">
      <w:pPr>
        <w:ind w:firstLine="360"/>
        <w:rPr>
          <w:rFonts w:cs="Times New Roman"/>
          <w:lang w:val="de-DE"/>
        </w:rPr>
      </w:pPr>
      <w:r>
        <w:rPr>
          <w:rFonts w:cs="Times New Roman"/>
          <w:lang w:val="de-DE"/>
        </w:rPr>
        <w:t>Dieser Abschnitt ist nicht anwendbar (N/A).</w:t>
      </w:r>
    </w:p>
    <w:p w14:paraId="46CE7D79" w14:textId="2B10E133" w:rsidR="008745ED" w:rsidRPr="00BD0745" w:rsidRDefault="008745ED" w:rsidP="00042B91">
      <w:pPr>
        <w:pStyle w:val="Heading1"/>
        <w:rPr>
          <w:rFonts w:cs="Times New Roman"/>
          <w:lang w:val="de-DE"/>
        </w:rPr>
      </w:pPr>
      <w:bookmarkStart w:id="72" w:name="_Toc222741416"/>
      <w:r>
        <w:rPr>
          <w:rFonts w:cs="Times New Roman"/>
          <w:bCs/>
          <w:lang w:val="de-DE"/>
        </w:rPr>
        <w:t>Zusammenfassung der klinischen Daten aus durchgeführten Prüfungen des Produkts vor der CE-Kennzeichnung, falls zutreffend</w:t>
      </w:r>
      <w:bookmarkEnd w:id="72"/>
      <w:r>
        <w:rPr>
          <w:rFonts w:cs="Times New Roman"/>
          <w:bCs/>
          <w:lang w:val="de-DE"/>
        </w:rPr>
        <w:t xml:space="preserve"> </w:t>
      </w:r>
    </w:p>
    <w:p w14:paraId="27B7D18D" w14:textId="3346219F" w:rsidR="004846A6" w:rsidRPr="00BD0745" w:rsidRDefault="00F604C9" w:rsidP="00F24AE3">
      <w:pPr>
        <w:ind w:left="360"/>
        <w:rPr>
          <w:rFonts w:cs="Times New Roman"/>
          <w:lang w:val="de-DE"/>
        </w:rPr>
      </w:pPr>
      <w:bookmarkStart w:id="73" w:name="_Hlk196514030"/>
      <w:r>
        <w:rPr>
          <w:rFonts w:cs="Times New Roman"/>
          <w:lang w:val="de-DE"/>
        </w:rPr>
        <w:t>Dieser Abschnitt ist nicht anwendbar (N/A).</w:t>
      </w:r>
    </w:p>
    <w:p w14:paraId="7A896071" w14:textId="00061818" w:rsidR="008745ED" w:rsidRPr="00BD0745" w:rsidRDefault="008745ED" w:rsidP="00042B91">
      <w:pPr>
        <w:pStyle w:val="Heading1"/>
        <w:rPr>
          <w:rFonts w:cs="Times New Roman"/>
          <w:lang w:val="de-DE"/>
        </w:rPr>
      </w:pPr>
      <w:bookmarkStart w:id="74" w:name="_Toc222741417"/>
      <w:bookmarkEnd w:id="73"/>
      <w:r>
        <w:rPr>
          <w:rFonts w:cs="Times New Roman"/>
          <w:bCs/>
          <w:lang w:val="de-DE"/>
        </w:rPr>
        <w:t>Zusammenfassung der klinischen Daten aus anderen Quellen, falls zutreffend</w:t>
      </w:r>
      <w:bookmarkEnd w:id="74"/>
      <w:r>
        <w:rPr>
          <w:rFonts w:cs="Times New Roman"/>
          <w:bCs/>
          <w:lang w:val="de-DE"/>
        </w:rPr>
        <w:t xml:space="preserve"> </w:t>
      </w:r>
    </w:p>
    <w:p w14:paraId="3F1ED76E" w14:textId="5FADBA51" w:rsidR="006C2B68" w:rsidRPr="00BD0745" w:rsidRDefault="0037599D" w:rsidP="004846A6">
      <w:pPr>
        <w:spacing w:before="100" w:beforeAutospacing="1" w:line="240" w:lineRule="auto"/>
        <w:rPr>
          <w:rFonts w:eastAsia="Times New Roman" w:cs="Times New Roman"/>
          <w:szCs w:val="24"/>
          <w:lang w:val="de-DE"/>
        </w:rPr>
      </w:pPr>
      <w:r>
        <w:rPr>
          <w:rFonts w:eastAsia="Times New Roman" w:cs="Times New Roman"/>
          <w:szCs w:val="24"/>
          <w:lang w:val="de-DE"/>
        </w:rPr>
        <w:t>CER-029 Rev B wird durch eine umfassende Auswertung externer klinischer Daten untermauert, darunter:</w:t>
      </w:r>
    </w:p>
    <w:p w14:paraId="421058D0" w14:textId="26D1A572" w:rsidR="00FB1FDD" w:rsidRPr="00BD0745" w:rsidRDefault="00FC5667" w:rsidP="004846A6">
      <w:pPr>
        <w:spacing w:before="100" w:beforeAutospacing="1" w:line="240" w:lineRule="auto"/>
        <w:rPr>
          <w:rFonts w:cs="Times New Roman"/>
          <w:lang w:val="de-DE"/>
        </w:rPr>
      </w:pPr>
      <w:r>
        <w:rPr>
          <w:rFonts w:cs="Times New Roman"/>
          <w:szCs w:val="24"/>
          <w:lang w:val="de-DE"/>
        </w:rPr>
        <w:t xml:space="preserve">Literatur zum Stand der Technik (State of the Art, SOA): Eine systematische Überprüfung von 579 Artikeln identifizierte 16 relevante Studien zu vergleichbaren Produkten und Verfahren. Diese Studien belegten hohe </w:t>
      </w:r>
      <w:r>
        <w:rPr>
          <w:rFonts w:cs="Times New Roman"/>
          <w:szCs w:val="24"/>
          <w:lang w:val="de-DE"/>
        </w:rPr>
        <w:lastRenderedPageBreak/>
        <w:t>technische Erfolgsraten (≥ 91,2 %) und niedrige Komplikationsraten (≤ 1,1 %) und setzten damit Maßstäbe für Sicherheit und Leistung.</w:t>
      </w:r>
      <w:r>
        <w:rPr>
          <w:rFonts w:cs="Times New Roman"/>
          <w:lang w:val="de-DE"/>
        </w:rPr>
        <w:t xml:space="preserve"> </w:t>
      </w:r>
    </w:p>
    <w:p w14:paraId="7C6B59FC" w14:textId="77777777" w:rsidR="00FB1FDD" w:rsidRPr="00BD0745" w:rsidRDefault="00D23267" w:rsidP="004846A6">
      <w:pPr>
        <w:spacing w:before="100" w:beforeAutospacing="1" w:line="240" w:lineRule="auto"/>
        <w:rPr>
          <w:rFonts w:cs="Times New Roman"/>
          <w:lang w:val="de-DE"/>
        </w:rPr>
      </w:pPr>
      <w:r>
        <w:rPr>
          <w:rFonts w:cs="Times New Roman"/>
          <w:szCs w:val="24"/>
          <w:lang w:val="de-DE"/>
        </w:rPr>
        <w:t>Literatur zu Wettbewerberprodukten: Acht Studien zu vergleichbaren Produkten (z. B. EN Snare, GooseNeck, CloverSnare) bestätigten ähnliche Sicherheits- und Wirksamkeitsprofile und untermauerten damit den Status von Gefäßschlingen als Standardtherapie.</w:t>
      </w:r>
      <w:r>
        <w:rPr>
          <w:rFonts w:cs="Times New Roman"/>
          <w:lang w:val="de-DE"/>
        </w:rPr>
        <w:t xml:space="preserve"> </w:t>
      </w:r>
    </w:p>
    <w:p w14:paraId="2910073B" w14:textId="4049ACE7" w:rsidR="004846A6" w:rsidRPr="00BD0745" w:rsidRDefault="009B4453" w:rsidP="004846A6">
      <w:pPr>
        <w:spacing w:before="100" w:beforeAutospacing="1" w:line="240" w:lineRule="auto"/>
        <w:rPr>
          <w:rFonts w:eastAsia="Times New Roman" w:cs="Times New Roman"/>
          <w:szCs w:val="24"/>
          <w:lang w:val="de-DE"/>
        </w:rPr>
      </w:pPr>
      <w:r>
        <w:rPr>
          <w:rFonts w:eastAsia="Times New Roman" w:cs="Times New Roman"/>
          <w:szCs w:val="24"/>
          <w:lang w:val="de-DE"/>
        </w:rPr>
        <w:t>Klinische Leitlinien: Empfehlungen von Fachgesellschaften (z. B. SIR, ESC, KDOQI) unterstützen den Einsatz perkutaner Bergungsmethoden, einschließlich Schlingen, als Erstlinienbehandlung zur Fremdkörperentfernung im kardiovaskulären System.</w:t>
      </w:r>
    </w:p>
    <w:p w14:paraId="661EF380" w14:textId="29BB1CA1" w:rsidR="00516D79" w:rsidRPr="00BD0745" w:rsidRDefault="00516D79" w:rsidP="004846A6">
      <w:pPr>
        <w:spacing w:before="100" w:beforeAutospacing="1" w:line="240" w:lineRule="auto"/>
        <w:rPr>
          <w:rFonts w:eastAsia="Times New Roman" w:cs="Times New Roman"/>
          <w:szCs w:val="24"/>
          <w:lang w:val="de-DE"/>
        </w:rPr>
      </w:pPr>
      <w:r>
        <w:rPr>
          <w:rFonts w:eastAsia="Times New Roman" w:cs="Times New Roman"/>
          <w:szCs w:val="24"/>
          <w:lang w:val="de-DE"/>
        </w:rPr>
        <w:t>Fachliteratur zu Medizinprodukten: Dreizehn Veröffentlichungen (einschließlich Fallberichte und retrospektive Studien) zu Atrieve zeigten einen technischen Erfolg von 100 % und einen klinischen Erfolg von 94,5 % bei minimalen unerwünschten Ereignissen. Einige Leistungskennzahlen lagen etwas unter den SOA-Benchmarks, blieben aber innerhalb akzeptabler klinischer Bereiche.</w:t>
      </w:r>
    </w:p>
    <w:p w14:paraId="66F22352" w14:textId="28F3CCF3" w:rsidR="004846A6" w:rsidRPr="00BD0745" w:rsidRDefault="004846A6" w:rsidP="004846A6">
      <w:pPr>
        <w:spacing w:before="100" w:beforeAutospacing="1" w:line="240" w:lineRule="auto"/>
        <w:rPr>
          <w:rFonts w:eastAsia="Times New Roman" w:cs="Times New Roman"/>
          <w:szCs w:val="24"/>
          <w:lang w:val="de-DE"/>
        </w:rPr>
      </w:pPr>
      <w:r>
        <w:rPr>
          <w:rFonts w:eastAsia="Times New Roman" w:cs="Times New Roman"/>
          <w:szCs w:val="24"/>
          <w:lang w:val="de-DE"/>
        </w:rPr>
        <w:t>Darüber hinaus enthält der Bericht auch Daten aus der Überwachung nach der Markteinführung (Post-Market Surveillance, PMS), die im Rahmen strukturierter Überwachungspläne für das Produkt von Atrieve erhoben wurden. Dies umfasst die Nachverfolgung von Reklamationen und unerwünschten Ereignissen über einen Zeitraum von fünf Jahren sowie Korrekturmaßnahmen. Trotz des hohen weltweiten Absatzvolumens zeigten die PMS-Daten keine neuen Sicherheitstrends oder unerwarteten Risiken, was die Sicherheitsprofile der Produkte unter Praxisbedingungen bestätigte.</w:t>
      </w:r>
    </w:p>
    <w:p w14:paraId="6527D03E" w14:textId="73944EC6" w:rsidR="004846A6" w:rsidRPr="00BD0745" w:rsidRDefault="004846A6" w:rsidP="004846A6">
      <w:pPr>
        <w:spacing w:before="100" w:beforeAutospacing="1" w:line="240" w:lineRule="auto"/>
        <w:rPr>
          <w:rFonts w:eastAsia="Times New Roman" w:cs="Times New Roman"/>
          <w:szCs w:val="24"/>
          <w:lang w:val="de-DE"/>
        </w:rPr>
      </w:pPr>
      <w:r>
        <w:rPr>
          <w:rFonts w:eastAsia="Times New Roman" w:cs="Times New Roman"/>
          <w:szCs w:val="24"/>
          <w:lang w:val="de-DE"/>
        </w:rPr>
        <w:t>Schließlich zeigen nicht-klinische Daten, einschließlich die Prüfung unter kontrollierten Laborbedingungen und Biokompatibilitätstests, dass die Produkte alle Konstruktionsvorgaben und regulatorischen Standards erfüllen. Auch wenn mit diesen Produkte keine klinischen Untersuchungen durchgeführt wurden, ist der Einsatz aufgrund einer umfassenden Datenlage, die aus der Fachliteratur, aus nach der Markteinführung konsultierten Quellen und aus der Verwendung älterer Produkte resultiert, gerechtfertigt. Insgesamt bestätigen diese verschiedenen Datenquellen gemeinsam die Sicherheit und Wirksamkeit der Produkte im Einklang mit den Anforderungen der EU-Medizinprodukteverordnung (MDR).</w:t>
      </w:r>
    </w:p>
    <w:p w14:paraId="0F01E5AD" w14:textId="2BD461FF" w:rsidR="008745ED" w:rsidRPr="00BD0745" w:rsidRDefault="008745ED" w:rsidP="00042B91">
      <w:pPr>
        <w:pStyle w:val="Heading1"/>
        <w:rPr>
          <w:rFonts w:cs="Times New Roman"/>
          <w:lang w:val="de-DE"/>
        </w:rPr>
      </w:pPr>
      <w:bookmarkStart w:id="75" w:name="_Toc222741418"/>
      <w:r>
        <w:rPr>
          <w:rFonts w:cs="Times New Roman"/>
          <w:bCs/>
          <w:lang w:val="de-DE"/>
        </w:rPr>
        <w:t>Übergreifende Zusammenfassung der klinischen Leistung und Sicherheit</w:t>
      </w:r>
      <w:bookmarkEnd w:id="75"/>
      <w:r>
        <w:rPr>
          <w:rFonts w:cs="Times New Roman"/>
          <w:bCs/>
          <w:lang w:val="de-DE"/>
        </w:rPr>
        <w:t xml:space="preserve"> </w:t>
      </w:r>
    </w:p>
    <w:p w14:paraId="7C1B956B" w14:textId="77777777" w:rsidR="009977D7" w:rsidRPr="00BD0745" w:rsidRDefault="009977D7" w:rsidP="00D52DF8">
      <w:pPr>
        <w:spacing w:after="0" w:afterAutospacing="0" w:line="240" w:lineRule="auto"/>
        <w:rPr>
          <w:rFonts w:eastAsia="Times New Roman" w:cs="Times New Roman"/>
          <w:iCs/>
          <w:szCs w:val="24"/>
          <w:lang w:val="de-DE"/>
        </w:rPr>
      </w:pPr>
    </w:p>
    <w:p w14:paraId="068544DB" w14:textId="3687A670" w:rsidR="00D52DF8" w:rsidRPr="00BD0745" w:rsidRDefault="00D52DF8" w:rsidP="00D52DF8">
      <w:pPr>
        <w:spacing w:after="0" w:afterAutospacing="0" w:line="240" w:lineRule="auto"/>
        <w:rPr>
          <w:rFonts w:eastAsia="Times New Roman" w:cs="Times New Roman"/>
          <w:iCs/>
          <w:szCs w:val="24"/>
          <w:lang w:val="de-DE"/>
        </w:rPr>
      </w:pPr>
      <w:r>
        <w:rPr>
          <w:rFonts w:eastAsia="Times New Roman" w:cs="Times New Roman"/>
          <w:szCs w:val="24"/>
          <w:lang w:val="de-DE"/>
        </w:rPr>
        <w:t>Auf Grundlage der Zulassungsbescheinigungen X9585730-0321-EU Rev A und CER-029 Rev B für das Atrieve Vascular Snare Kit ist das klinische Leistungs- und Sicherheitsprofil des Produkts insgesamt günstig und entspricht den Erwartungen hinsichtlich seines Verwendungszwecks.</w:t>
      </w:r>
    </w:p>
    <w:p w14:paraId="3508FD3D" w14:textId="77777777" w:rsidR="002E59B4" w:rsidRPr="00BD0745" w:rsidRDefault="002E59B4" w:rsidP="00D52DF8">
      <w:pPr>
        <w:spacing w:after="0" w:afterAutospacing="0" w:line="240" w:lineRule="auto"/>
        <w:rPr>
          <w:rFonts w:eastAsia="Times New Roman" w:cs="Times New Roman"/>
          <w:iCs/>
          <w:szCs w:val="24"/>
          <w:lang w:val="de-DE"/>
        </w:rPr>
      </w:pPr>
    </w:p>
    <w:p w14:paraId="0A303358" w14:textId="24357A0A" w:rsidR="00C361CA" w:rsidRPr="00BD0745" w:rsidRDefault="005C642C" w:rsidP="00C97841">
      <w:pPr>
        <w:spacing w:after="0" w:afterAutospacing="0" w:line="240" w:lineRule="auto"/>
        <w:rPr>
          <w:rFonts w:cs="Times New Roman"/>
          <w:lang w:val="de-DE"/>
        </w:rPr>
      </w:pPr>
      <w:r>
        <w:rPr>
          <w:rFonts w:cs="Times New Roman"/>
          <w:lang w:val="de-DE"/>
        </w:rPr>
        <w:t xml:space="preserve">Das Produkt ist für die </w:t>
      </w:r>
      <w:r>
        <w:rPr>
          <w:rStyle w:val="Strong"/>
          <w:rFonts w:cs="Times New Roman"/>
          <w:lang w:val="de-DE"/>
        </w:rPr>
        <w:t>perkutane Entfernung und Manipulation von Fremdkörpern</w:t>
      </w:r>
      <w:r>
        <w:rPr>
          <w:rFonts w:cs="Times New Roman"/>
          <w:lang w:val="de-DE"/>
        </w:rPr>
        <w:t xml:space="preserve"> im kardiovaskulären System oder in Hohlorganen vorgesehen. Der klinische Nutzen besteht vor allem in der minimalinvasiven Bergung, dem verminderten Patientenrisiko und einer niedrigeren Komplikationsrate im Vergleich zu chirurgischen Alternativen.</w:t>
      </w:r>
    </w:p>
    <w:p w14:paraId="0DE0B963" w14:textId="77777777" w:rsidR="005C642C" w:rsidRPr="00BD0745" w:rsidRDefault="005C642C" w:rsidP="00C97841">
      <w:pPr>
        <w:spacing w:after="0" w:afterAutospacing="0" w:line="240" w:lineRule="auto"/>
        <w:rPr>
          <w:rFonts w:eastAsia="Times New Roman" w:cs="Times New Roman"/>
          <w:iCs/>
          <w:szCs w:val="24"/>
          <w:lang w:val="de-DE"/>
        </w:rPr>
      </w:pPr>
    </w:p>
    <w:p w14:paraId="2DA4A118" w14:textId="58FE2B84" w:rsidR="00C97841" w:rsidRPr="00BD0745" w:rsidRDefault="00B26297" w:rsidP="00C97841">
      <w:pPr>
        <w:spacing w:after="0" w:afterAutospacing="0" w:line="240" w:lineRule="auto"/>
        <w:rPr>
          <w:rFonts w:eastAsia="Times New Roman" w:cs="Times New Roman"/>
          <w:iCs/>
          <w:szCs w:val="24"/>
          <w:lang w:val="de-DE"/>
        </w:rPr>
      </w:pPr>
      <w:r>
        <w:rPr>
          <w:rFonts w:eastAsia="Times New Roman" w:cs="Times New Roman"/>
          <w:szCs w:val="24"/>
          <w:lang w:val="de-DE"/>
        </w:rPr>
        <w:t>Die klinische Beurteilung definiert die folgenden Ergebnisparameter:</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de-DE"/>
              </w:rPr>
              <w:lastRenderedPageBreak/>
              <w:t>Leistungsmerkmale</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de-DE"/>
              </w:rPr>
              <w:t>Messparameter</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4241EF">
            <w:pPr>
              <w:spacing w:after="0" w:line="240" w:lineRule="auto"/>
              <w:jc w:val="center"/>
              <w:rPr>
                <w:rFonts w:eastAsia="Times New Roman" w:cs="Times New Roman"/>
                <w:b/>
                <w:bCs/>
              </w:rPr>
            </w:pPr>
            <w:r>
              <w:rPr>
                <w:rFonts w:eastAsia="Times New Roman" w:cs="Times New Roman"/>
                <w:b/>
                <w:bCs/>
                <w:lang w:val="de-DE"/>
              </w:rPr>
              <w:t>Definition</w:t>
            </w:r>
          </w:p>
        </w:tc>
      </w:tr>
      <w:tr w:rsidR="00942C1E" w:rsidRPr="00E064BB"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de-DE"/>
              </w:rPr>
              <w:t>Technische Erfolgsrate</w:t>
            </w:r>
          </w:p>
        </w:tc>
        <w:tc>
          <w:tcPr>
            <w:tcW w:w="3514" w:type="pct"/>
            <w:tcMar>
              <w:top w:w="120" w:type="dxa"/>
              <w:left w:w="180" w:type="dxa"/>
              <w:bottom w:w="105" w:type="dxa"/>
              <w:right w:w="120" w:type="dxa"/>
            </w:tcMar>
            <w:hideMark/>
          </w:tcPr>
          <w:p w14:paraId="55E25C25" w14:textId="77777777" w:rsidR="00942C1E" w:rsidRPr="00BD0745" w:rsidRDefault="00942C1E" w:rsidP="004241EF">
            <w:pPr>
              <w:spacing w:after="0" w:line="240" w:lineRule="auto"/>
              <w:jc w:val="center"/>
              <w:rPr>
                <w:rFonts w:eastAsia="Times New Roman" w:cs="Times New Roman"/>
                <w:lang w:val="de-DE"/>
              </w:rPr>
            </w:pPr>
            <w:r>
              <w:rPr>
                <w:rFonts w:eastAsia="Times New Roman" w:cs="Times New Roman"/>
                <w:lang w:val="de-DE"/>
              </w:rPr>
              <w:t>Erfolgreiche Bergung/Manipulation von Fremdkörpern</w:t>
            </w:r>
          </w:p>
        </w:tc>
      </w:tr>
      <w:tr w:rsidR="00942C1E" w:rsidRPr="00E064BB"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4241EF">
            <w:pPr>
              <w:spacing w:after="0" w:line="240" w:lineRule="auto"/>
              <w:jc w:val="center"/>
              <w:rPr>
                <w:rFonts w:eastAsia="Times New Roman" w:cs="Times New Roman"/>
              </w:rPr>
            </w:pPr>
            <w:r>
              <w:rPr>
                <w:rFonts w:eastAsia="Times New Roman" w:cs="Times New Roman"/>
                <w:b/>
                <w:bCs/>
                <w:lang w:val="de-DE"/>
              </w:rPr>
              <w:t>Klinische Erfolgsrate</w:t>
            </w:r>
          </w:p>
        </w:tc>
        <w:tc>
          <w:tcPr>
            <w:tcW w:w="3514" w:type="pct"/>
            <w:tcMar>
              <w:top w:w="120" w:type="dxa"/>
              <w:left w:w="180" w:type="dxa"/>
              <w:bottom w:w="90" w:type="dxa"/>
              <w:right w:w="120" w:type="dxa"/>
            </w:tcMar>
            <w:hideMark/>
          </w:tcPr>
          <w:p w14:paraId="01FCEBA5" w14:textId="77777777" w:rsidR="00942C1E" w:rsidRPr="00BD0745" w:rsidRDefault="00942C1E" w:rsidP="004241EF">
            <w:pPr>
              <w:spacing w:after="0" w:line="240" w:lineRule="auto"/>
              <w:jc w:val="center"/>
              <w:rPr>
                <w:rFonts w:eastAsia="Times New Roman" w:cs="Times New Roman"/>
                <w:lang w:val="de-DE"/>
              </w:rPr>
            </w:pPr>
            <w:r>
              <w:rPr>
                <w:rFonts w:eastAsia="Times New Roman" w:cs="Times New Roman"/>
                <w:lang w:val="de-DE"/>
              </w:rPr>
              <w:t>Erfolgreiche Bergung/Manipulation ohne verfahrensbedingte Komplikationen</w:t>
            </w:r>
          </w:p>
        </w:tc>
      </w:tr>
    </w:tbl>
    <w:p w14:paraId="6CABCDF2" w14:textId="77777777" w:rsidR="004F7F77" w:rsidRPr="00BD0745" w:rsidRDefault="004F7F77" w:rsidP="00C97841">
      <w:pPr>
        <w:spacing w:after="0" w:afterAutospacing="0" w:line="240" w:lineRule="auto"/>
        <w:rPr>
          <w:rFonts w:eastAsia="Times New Roman" w:cs="Times New Roman"/>
          <w:iCs/>
          <w:szCs w:val="24"/>
          <w:lang w:val="de-DE"/>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50"/>
        <w:gridCol w:w="6880"/>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607046">
            <w:pPr>
              <w:spacing w:after="0" w:line="240" w:lineRule="auto"/>
              <w:jc w:val="center"/>
              <w:rPr>
                <w:rFonts w:eastAsia="Times New Roman" w:cs="Times New Roman"/>
                <w:b/>
                <w:bCs/>
              </w:rPr>
            </w:pPr>
            <w:r>
              <w:rPr>
                <w:rFonts w:eastAsia="Times New Roman" w:cs="Times New Roman"/>
                <w:b/>
                <w:bCs/>
                <w:lang w:val="de-DE"/>
              </w:rPr>
              <w:t>Sicherheitsmerkmale</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de-DE"/>
              </w:rPr>
              <w:t>Messparameter</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4241EF">
            <w:pPr>
              <w:spacing w:after="0" w:line="240" w:lineRule="auto"/>
              <w:jc w:val="center"/>
              <w:rPr>
                <w:rFonts w:eastAsia="Times New Roman" w:cs="Times New Roman"/>
                <w:b/>
                <w:bCs/>
              </w:rPr>
            </w:pPr>
            <w:r>
              <w:rPr>
                <w:rFonts w:eastAsia="Times New Roman" w:cs="Times New Roman"/>
                <w:b/>
                <w:bCs/>
                <w:lang w:val="de-DE"/>
              </w:rPr>
              <w:t>Definition</w:t>
            </w:r>
          </w:p>
        </w:tc>
      </w:tr>
      <w:tr w:rsidR="00607046" w:rsidRPr="00E064BB"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de-DE"/>
              </w:rPr>
              <w:t>Verfahrensbedingte Komplikationen</w:t>
            </w:r>
          </w:p>
        </w:tc>
        <w:tc>
          <w:tcPr>
            <w:tcW w:w="0" w:type="auto"/>
            <w:tcMar>
              <w:top w:w="120" w:type="dxa"/>
              <w:left w:w="180" w:type="dxa"/>
              <w:bottom w:w="105" w:type="dxa"/>
              <w:right w:w="120" w:type="dxa"/>
            </w:tcMar>
            <w:hideMark/>
          </w:tcPr>
          <w:p w14:paraId="5EFFAF53" w14:textId="77777777" w:rsidR="00607046" w:rsidRPr="00BD0745" w:rsidRDefault="00607046" w:rsidP="004241EF">
            <w:pPr>
              <w:spacing w:after="0" w:line="240" w:lineRule="auto"/>
              <w:jc w:val="center"/>
              <w:rPr>
                <w:rFonts w:eastAsia="Times New Roman" w:cs="Times New Roman"/>
                <w:lang w:val="de-DE"/>
              </w:rPr>
            </w:pPr>
            <w:r>
              <w:rPr>
                <w:rFonts w:eastAsia="Times New Roman" w:cs="Times New Roman"/>
                <w:lang w:val="de-DE"/>
              </w:rPr>
              <w:t>Unter anderem Blutung, Perforation, Embolie, Infektion, allergische Reaktion und Schmerzen.</w:t>
            </w:r>
          </w:p>
        </w:tc>
      </w:tr>
      <w:tr w:rsidR="00607046" w:rsidRPr="00E064BB"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4241EF">
            <w:pPr>
              <w:spacing w:after="0" w:line="240" w:lineRule="auto"/>
              <w:jc w:val="center"/>
              <w:rPr>
                <w:rFonts w:eastAsia="Times New Roman" w:cs="Times New Roman"/>
              </w:rPr>
            </w:pPr>
            <w:r>
              <w:rPr>
                <w:rFonts w:eastAsia="Times New Roman" w:cs="Times New Roman"/>
                <w:b/>
                <w:bCs/>
                <w:lang w:val="de-DE"/>
              </w:rPr>
              <w:t>Gesamt-Komplikationsrate</w:t>
            </w:r>
          </w:p>
        </w:tc>
        <w:tc>
          <w:tcPr>
            <w:tcW w:w="0" w:type="auto"/>
            <w:tcMar>
              <w:top w:w="120" w:type="dxa"/>
              <w:left w:w="180" w:type="dxa"/>
              <w:bottom w:w="90" w:type="dxa"/>
              <w:right w:w="120" w:type="dxa"/>
            </w:tcMar>
            <w:hideMark/>
          </w:tcPr>
          <w:p w14:paraId="2D2E84BE" w14:textId="77777777" w:rsidR="00607046" w:rsidRPr="00BD0745" w:rsidRDefault="00607046" w:rsidP="004241EF">
            <w:pPr>
              <w:spacing w:after="0" w:line="240" w:lineRule="auto"/>
              <w:jc w:val="center"/>
              <w:rPr>
                <w:rFonts w:eastAsia="Times New Roman" w:cs="Times New Roman"/>
                <w:lang w:val="de-DE"/>
              </w:rPr>
            </w:pPr>
            <w:r>
              <w:rPr>
                <w:rFonts w:eastAsia="Times New Roman" w:cs="Times New Roman"/>
                <w:lang w:val="de-DE"/>
              </w:rPr>
              <w:t>Kombinierte Rate aller unerwünschten Ereignisse während oder nach dem Verfahren</w:t>
            </w:r>
          </w:p>
        </w:tc>
      </w:tr>
    </w:tbl>
    <w:p w14:paraId="4A64B2C8" w14:textId="77777777" w:rsidR="00607046" w:rsidRPr="00BD0745" w:rsidRDefault="00607046" w:rsidP="00C97841">
      <w:pPr>
        <w:spacing w:after="0" w:afterAutospacing="0" w:line="240" w:lineRule="auto"/>
        <w:rPr>
          <w:rFonts w:eastAsia="Times New Roman" w:cs="Times New Roman"/>
          <w:iCs/>
          <w:szCs w:val="24"/>
          <w:lang w:val="de-DE"/>
        </w:rPr>
      </w:pPr>
    </w:p>
    <w:p w14:paraId="10E95C55" w14:textId="35E4246E" w:rsidR="00050F24" w:rsidRPr="00BD0745" w:rsidRDefault="00050F24" w:rsidP="00050F24">
      <w:pPr>
        <w:spacing w:after="0" w:afterAutospacing="0" w:line="240" w:lineRule="auto"/>
        <w:rPr>
          <w:rFonts w:eastAsia="Times New Roman" w:cs="Times New Roman"/>
          <w:iCs/>
          <w:szCs w:val="24"/>
          <w:lang w:val="de-DE"/>
        </w:rPr>
      </w:pPr>
      <w:r>
        <w:rPr>
          <w:rFonts w:eastAsia="Times New Roman" w:cs="Times New Roman"/>
          <w:szCs w:val="24"/>
          <w:lang w:val="de-DE"/>
        </w:rPr>
        <w:t>Zusammenfassung der Erfolgsraten für die Ergebnisparameter der Atrieve Vascular Snare:</w:t>
      </w:r>
    </w:p>
    <w:p w14:paraId="5B675D80" w14:textId="77777777" w:rsidR="00EE18FA" w:rsidRPr="00BD0745" w:rsidRDefault="00EE18FA" w:rsidP="00050F24">
      <w:pPr>
        <w:spacing w:after="0" w:afterAutospacing="0" w:line="240" w:lineRule="auto"/>
        <w:rPr>
          <w:rFonts w:eastAsia="Times New Roman" w:cs="Times New Roman"/>
          <w:iCs/>
          <w:szCs w:val="24"/>
          <w:lang w:val="de-DE"/>
        </w:rPr>
      </w:pPr>
    </w:p>
    <w:p w14:paraId="6387EAAA" w14:textId="6A98A9F8" w:rsidR="00050F24" w:rsidRPr="00BD074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e-DE"/>
        </w:rPr>
        <w:t>Die technische Erfolgsrate war mit 100 % hervorragend.</w:t>
      </w:r>
    </w:p>
    <w:p w14:paraId="70426807" w14:textId="6A68FCB6" w:rsidR="00050F24" w:rsidRPr="00BD074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e-DE"/>
        </w:rPr>
        <w:t>Die klinische Erfolgsrate lag bei 94,5 % und damit leicht unter dem Schwellenwert von 97,4 %.</w:t>
      </w:r>
    </w:p>
    <w:p w14:paraId="3E9DC071" w14:textId="055EE80D" w:rsidR="00050F24" w:rsidRPr="00BD074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e-DE"/>
        </w:rPr>
        <w:t>Die Gesamtrate an Komplikationen, Perforationen/Gewebeschäden und der klinische Erfolg erfüllten nicht die Akzeptanzkriterien.</w:t>
      </w:r>
    </w:p>
    <w:p w14:paraId="44EC781B" w14:textId="7DA02325" w:rsidR="00050F24" w:rsidRPr="00BD0745" w:rsidRDefault="00050F24" w:rsidP="00050F24">
      <w:pPr>
        <w:pStyle w:val="ListParagraph"/>
        <w:numPr>
          <w:ilvl w:val="0"/>
          <w:numId w:val="27"/>
        </w:numPr>
        <w:spacing w:after="0" w:afterAutospacing="0" w:line="240" w:lineRule="auto"/>
        <w:rPr>
          <w:rFonts w:eastAsia="Times New Roman" w:cs="Times New Roman"/>
          <w:iCs/>
          <w:szCs w:val="24"/>
          <w:lang w:val="de-DE"/>
        </w:rPr>
      </w:pPr>
      <w:r>
        <w:rPr>
          <w:rFonts w:eastAsia="Times New Roman" w:cs="Times New Roman"/>
          <w:szCs w:val="24"/>
          <w:lang w:val="de-DE"/>
        </w:rPr>
        <w:t>Embolie-, Schmerz- und Mortalitätsraten betrugen 0 % und erfüllten die Kriterien.</w:t>
      </w:r>
    </w:p>
    <w:p w14:paraId="05E37DDA" w14:textId="77777777" w:rsidR="00EE18FA" w:rsidRPr="00BD0745" w:rsidRDefault="00EE18FA" w:rsidP="00EE18FA">
      <w:pPr>
        <w:pStyle w:val="ListParagraph"/>
        <w:spacing w:after="0" w:afterAutospacing="0" w:line="240" w:lineRule="auto"/>
        <w:rPr>
          <w:rFonts w:eastAsia="Times New Roman" w:cs="Times New Roman"/>
          <w:iCs/>
          <w:szCs w:val="24"/>
          <w:lang w:val="de-DE"/>
        </w:rPr>
      </w:pPr>
    </w:p>
    <w:p w14:paraId="3F2FC7C2" w14:textId="2808A8DE" w:rsidR="00050F24" w:rsidRPr="00BD0745" w:rsidRDefault="00050F24" w:rsidP="00EE18FA">
      <w:pPr>
        <w:spacing w:after="0" w:afterAutospacing="0" w:line="240" w:lineRule="auto"/>
        <w:rPr>
          <w:rFonts w:eastAsia="Times New Roman" w:cs="Times New Roman"/>
          <w:iCs/>
          <w:szCs w:val="24"/>
          <w:lang w:val="de-DE"/>
        </w:rPr>
      </w:pPr>
      <w:r>
        <w:rPr>
          <w:rFonts w:eastAsia="Times New Roman" w:cs="Times New Roman"/>
          <w:szCs w:val="24"/>
          <w:lang w:val="de-DE"/>
        </w:rPr>
        <w:t>Obwohl einige Sicherheitsendpunkte die Schwellenwerte überschritten, blieb das Nutzen-Risiko-Verhältnis aufgrund des hohen technischen Erfolgs und der Komplikationen geringen Schweregrads günstig.</w:t>
      </w:r>
    </w:p>
    <w:p w14:paraId="2F8EAFF0" w14:textId="77777777" w:rsidR="00AA7F1D" w:rsidRPr="00BD0745" w:rsidRDefault="00AA7F1D" w:rsidP="00D47200">
      <w:pPr>
        <w:spacing w:after="0" w:afterAutospacing="0" w:line="240" w:lineRule="auto"/>
        <w:rPr>
          <w:rFonts w:eastAsia="Times New Roman" w:cs="Times New Roman"/>
          <w:iCs/>
          <w:szCs w:val="24"/>
          <w:lang w:val="de-DE"/>
        </w:rPr>
      </w:pPr>
    </w:p>
    <w:p w14:paraId="7A0B3597" w14:textId="24A6D6E4" w:rsidR="00D47200" w:rsidRPr="00BD0745" w:rsidRDefault="00AA7F1D" w:rsidP="00D47200">
      <w:pPr>
        <w:spacing w:after="0" w:afterAutospacing="0" w:line="240" w:lineRule="auto"/>
        <w:rPr>
          <w:rFonts w:eastAsia="Times New Roman" w:cs="Times New Roman"/>
          <w:iCs/>
          <w:szCs w:val="24"/>
          <w:lang w:val="de-DE"/>
        </w:rPr>
      </w:pPr>
      <w:r>
        <w:rPr>
          <w:rFonts w:eastAsia="Times New Roman" w:cs="Times New Roman"/>
          <w:szCs w:val="24"/>
          <w:lang w:val="de-DE"/>
        </w:rPr>
        <w:t>Klinische Aussagen in Gebrauchsanweisung und Marketingmaterialien</w:t>
      </w:r>
    </w:p>
    <w:p w14:paraId="7DADA029" w14:textId="6C6ECAD3" w:rsidR="001F48BA" w:rsidRPr="00BD0745" w:rsidRDefault="00C01A53" w:rsidP="00D52DF8">
      <w:pPr>
        <w:spacing w:after="0" w:afterAutospacing="0" w:line="240" w:lineRule="auto"/>
        <w:rPr>
          <w:rFonts w:cs="Times New Roman"/>
          <w:iCs/>
          <w:szCs w:val="24"/>
          <w:lang w:val="de-DE"/>
        </w:rPr>
      </w:pPr>
      <w:r>
        <w:rPr>
          <w:rFonts w:cs="Times New Roman"/>
          <w:szCs w:val="24"/>
          <w:lang w:val="de-DE"/>
        </w:rPr>
        <w:t>Die folgenden Aussagen werden durch die klinische Beurteilung untermauert:</w:t>
      </w:r>
    </w:p>
    <w:p w14:paraId="19E8DAE4" w14:textId="77777777" w:rsidR="00EE18FA" w:rsidRPr="00BD0745" w:rsidRDefault="00EE18FA" w:rsidP="00D52DF8">
      <w:pPr>
        <w:spacing w:after="0" w:afterAutospacing="0" w:line="240" w:lineRule="auto"/>
        <w:rPr>
          <w:rFonts w:cs="Times New Roman"/>
          <w:iCs/>
          <w:szCs w:val="24"/>
          <w:lang w:val="de-DE"/>
        </w:rPr>
      </w:pPr>
    </w:p>
    <w:p w14:paraId="7925D059" w14:textId="1A5A89DA" w:rsidR="003859AF" w:rsidRPr="00BD0745"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de-DE"/>
        </w:rPr>
        <w:t>Perkutane Entfernung/Manipulation von Fremdkörpern: Belegt durch technische Erfolgsrate von 100 % in der Fachliteratur.</w:t>
      </w:r>
    </w:p>
    <w:p w14:paraId="3AB6E45D" w14:textId="783809AA" w:rsidR="003859AF" w:rsidRPr="00BD0745"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de-DE"/>
        </w:rPr>
        <w:t>Geringere Komplikationsraten als bei chirurgischen Eingriffen: Belegt durch vergleichende Literatur und modernste Analysen.</w:t>
      </w:r>
    </w:p>
    <w:p w14:paraId="15638B58" w14:textId="335CFE86" w:rsidR="003859AF" w:rsidRPr="00BD0745"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de-DE"/>
        </w:rPr>
        <w:t>Anwendung bei ergänzenden Eingriffen (z. B. Abstreifen der Fibrinhülle, Katheterrepositionierung): Belegt durch klinische Fallberichte und Verfahrensrichtlinien.</w:t>
      </w:r>
    </w:p>
    <w:p w14:paraId="351D383E" w14:textId="7EB46C62" w:rsidR="00C01A53" w:rsidRPr="00BD0745" w:rsidRDefault="003859AF" w:rsidP="003859AF">
      <w:pPr>
        <w:pStyle w:val="ListParagraph"/>
        <w:numPr>
          <w:ilvl w:val="0"/>
          <w:numId w:val="28"/>
        </w:numPr>
        <w:spacing w:after="0" w:afterAutospacing="0" w:line="240" w:lineRule="auto"/>
        <w:rPr>
          <w:rFonts w:cs="Times New Roman"/>
          <w:iCs/>
          <w:szCs w:val="24"/>
          <w:lang w:val="de-DE"/>
        </w:rPr>
      </w:pPr>
      <w:r>
        <w:rPr>
          <w:rFonts w:cs="Times New Roman"/>
          <w:szCs w:val="24"/>
          <w:lang w:val="de-DE"/>
        </w:rPr>
        <w:t>Unbedenklich für die Anwendung bei Erwachsenen: Belegt durch Daten aus der Überwachung nach Markteinführung und der Fachliteratur.</w:t>
      </w:r>
    </w:p>
    <w:p w14:paraId="68D32F33" w14:textId="77777777" w:rsidR="005D424F" w:rsidRPr="00BD0745" w:rsidRDefault="005D424F" w:rsidP="005D424F">
      <w:pPr>
        <w:spacing w:after="0" w:afterAutospacing="0" w:line="240" w:lineRule="auto"/>
        <w:rPr>
          <w:rFonts w:cs="Times New Roman"/>
          <w:iCs/>
          <w:szCs w:val="24"/>
          <w:lang w:val="de-DE"/>
        </w:rPr>
      </w:pPr>
    </w:p>
    <w:p w14:paraId="76063689" w14:textId="3006D09D" w:rsidR="005D424F" w:rsidRPr="00BD0745" w:rsidRDefault="005D424F" w:rsidP="005D424F">
      <w:pPr>
        <w:spacing w:after="0" w:afterAutospacing="0" w:line="240" w:lineRule="auto"/>
        <w:rPr>
          <w:rFonts w:cs="Times New Roman"/>
          <w:iCs/>
          <w:szCs w:val="24"/>
          <w:lang w:val="de-DE"/>
        </w:rPr>
      </w:pPr>
      <w:r>
        <w:rPr>
          <w:rFonts w:cs="Times New Roman"/>
          <w:szCs w:val="24"/>
          <w:lang w:val="de-DE"/>
        </w:rPr>
        <w:t>Die Atrieve Vascular Snares weisen ein günstiges Nutzen-Risiko-Verhältnis und eine starke klinischer Leistung und hohe Sicherheit auf, untermauert durch Fachliteratur, Tests und nach der Markteinführung erhobenen Daten. Sie entsprechen den regulatorischen Standards und sind für den fortgesetzten klinischen Einsatz geeignet.</w:t>
      </w:r>
    </w:p>
    <w:p w14:paraId="653883C0" w14:textId="77777777" w:rsidR="003859AF" w:rsidRPr="00BD0745" w:rsidRDefault="003859AF" w:rsidP="003859AF">
      <w:pPr>
        <w:spacing w:after="0" w:afterAutospacing="0" w:line="240" w:lineRule="auto"/>
        <w:rPr>
          <w:rFonts w:cs="Times New Roman"/>
          <w:iCs/>
          <w:szCs w:val="24"/>
          <w:lang w:val="de-DE"/>
        </w:rPr>
      </w:pPr>
    </w:p>
    <w:p w14:paraId="6DCFA27A" w14:textId="12CF0A2D" w:rsidR="00C91927" w:rsidRPr="00BD0745" w:rsidRDefault="008745ED" w:rsidP="00C91927">
      <w:pPr>
        <w:pStyle w:val="Heading1"/>
        <w:rPr>
          <w:rFonts w:cs="Times New Roman"/>
          <w:color w:val="auto"/>
          <w:lang w:val="de-DE"/>
        </w:rPr>
      </w:pPr>
      <w:bookmarkStart w:id="76" w:name="_Toc222741419"/>
      <w:r>
        <w:rPr>
          <w:rFonts w:cs="Times New Roman"/>
          <w:bCs/>
          <w:color w:val="auto"/>
          <w:lang w:val="de-DE"/>
        </w:rPr>
        <w:t>Laufende oder geplante klinische Nachbeobachtung nach dem Inverkehrbringen</w:t>
      </w:r>
      <w:bookmarkEnd w:id="76"/>
    </w:p>
    <w:p w14:paraId="494CEDC3" w14:textId="10523200" w:rsidR="0094476E" w:rsidRPr="00BD0745" w:rsidRDefault="003B4C77" w:rsidP="00C91927">
      <w:pPr>
        <w:spacing w:line="240" w:lineRule="auto"/>
        <w:rPr>
          <w:rFonts w:cs="Times New Roman"/>
          <w:highlight w:val="yellow"/>
          <w:lang w:val="de-DE"/>
        </w:rPr>
      </w:pPr>
      <w:r>
        <w:rPr>
          <w:rFonts w:cs="Times New Roman"/>
          <w:lang w:val="de-DE"/>
        </w:rPr>
        <w:t>Die klinische Nachbeobachtung nach dem Inverkehrbringen der Atrieve Vascular Snare erfolgt gemäß PMCFP-029 Rev C und entspricht den Anforderungen von MDR Anhang XIV Teil B. Die PMCF-Aktivitäten dienen dazu, die Sicherheit und Leistungsfähigkeit des Produkts im klinischen Praxisalltag proaktiv zu bestätigen, neu auftretende Risiken zu identifizieren und zu kontrollieren, ob das Nutzen-Risiko-Profil weiterhin akzeptabel ist.</w:t>
      </w:r>
    </w:p>
    <w:p w14:paraId="58642C16" w14:textId="276C8BA1" w:rsidR="00E541DE" w:rsidRPr="00BD0745" w:rsidRDefault="00E541DE" w:rsidP="00E541DE">
      <w:pPr>
        <w:pStyle w:val="NormalWeb"/>
        <w:rPr>
          <w:lang w:val="de-DE"/>
        </w:rPr>
      </w:pPr>
      <w:r>
        <w:rPr>
          <w:rStyle w:val="Strong"/>
          <w:lang w:val="de-DE"/>
        </w:rPr>
        <w:t>Laufende PMCF-Aktivitäten</w:t>
      </w:r>
      <w:r>
        <w:rPr>
          <w:lang w:val="de-DE"/>
        </w:rPr>
        <w:br/>
        <w:t>Folgende Aktivitäten sollen während des gesamten Lebenszyklus des Produkts durchgeführt werden:</w:t>
      </w:r>
    </w:p>
    <w:p w14:paraId="15FC3A69" w14:textId="31C9D895" w:rsidR="00E541DE" w:rsidRPr="00BD0745" w:rsidRDefault="00DE3CC0" w:rsidP="00E541DE">
      <w:pPr>
        <w:pStyle w:val="NormalWeb"/>
        <w:numPr>
          <w:ilvl w:val="0"/>
          <w:numId w:val="29"/>
        </w:numPr>
        <w:rPr>
          <w:lang w:val="de-DE"/>
        </w:rPr>
      </w:pPr>
      <w:r>
        <w:rPr>
          <w:rStyle w:val="Strong"/>
          <w:b w:val="0"/>
          <w:bCs w:val="0"/>
          <w:lang w:val="de-DE"/>
        </w:rPr>
        <w:t>Jährliche systematische Literaturrecherche:</w:t>
      </w:r>
      <w:r>
        <w:rPr>
          <w:lang w:val="de-DE"/>
        </w:rPr>
        <w:t xml:space="preserve"> Es wird eine strukturierte Überprüfung der veröffentlichten klinischen Evidenz im Zusammenhang mit Gefäßschlingen und vergleichbaren Produkten durchgeführt, um neue Informationen über Sicherheit, Leistung, klinische Techniken oder neu auftretende Risiken zu ermitteln.</w:t>
      </w:r>
    </w:p>
    <w:p w14:paraId="08598FA3" w14:textId="6BDEE605" w:rsidR="00E541DE" w:rsidRPr="00BD0745" w:rsidRDefault="00DE3CC0" w:rsidP="00E541DE">
      <w:pPr>
        <w:pStyle w:val="NormalWeb"/>
        <w:numPr>
          <w:ilvl w:val="0"/>
          <w:numId w:val="29"/>
        </w:numPr>
        <w:rPr>
          <w:lang w:val="de-DE"/>
        </w:rPr>
      </w:pPr>
      <w:r>
        <w:rPr>
          <w:rStyle w:val="Strong"/>
          <w:b w:val="0"/>
          <w:bCs w:val="0"/>
          <w:lang w:val="de-DE"/>
        </w:rPr>
        <w:t>Jährliche Überprüfung des Stands der Technik (State of the Art, SOA):</w:t>
      </w:r>
      <w:r>
        <w:rPr>
          <w:lang w:val="de-DE"/>
        </w:rPr>
        <w:t xml:space="preserve"> Es wird eine Bewertung der Leitlinien für die klinische Praxis, internationaler Standards und konkurrierender Technologien durchgeführt, um eine kontinuierliche Anpassung an die aktuelle klinische und technische Praxis zu gewährleisten.</w:t>
      </w:r>
    </w:p>
    <w:p w14:paraId="6EE80A3F" w14:textId="77777777" w:rsidR="00E541DE" w:rsidRPr="00BD0745" w:rsidRDefault="00E541DE" w:rsidP="00E541DE">
      <w:pPr>
        <w:pStyle w:val="NormalWeb"/>
        <w:numPr>
          <w:ilvl w:val="0"/>
          <w:numId w:val="29"/>
        </w:numPr>
        <w:rPr>
          <w:lang w:val="de-DE"/>
        </w:rPr>
      </w:pPr>
      <w:r>
        <w:rPr>
          <w:rStyle w:val="Strong"/>
          <w:b w:val="0"/>
          <w:bCs w:val="0"/>
          <w:lang w:val="de-DE"/>
        </w:rPr>
        <w:t>Kontinuierliche Überprüfung von Daten aus Reklamationen und unerwünschten Ereignissen:</w:t>
      </w:r>
      <w:r>
        <w:rPr>
          <w:lang w:val="de-DE"/>
        </w:rPr>
        <w:t xml:space="preserve"> Obwohl es sich hierbei um eine PMS-Aktivität und nicht um eine PMCF-Aktivität handelt, werden die wichtigsten Ergebnisse im Rahmen des PMCF-Prozesses ausgewertet, um festzustellen, ob eine zusätzliche klinische Nachbeobachtung erforderlich ist.</w:t>
      </w:r>
    </w:p>
    <w:p w14:paraId="39597E9A" w14:textId="77777777" w:rsidR="009E1EBB" w:rsidRPr="00BD0745" w:rsidRDefault="009E1EBB" w:rsidP="009E1EBB">
      <w:pPr>
        <w:pStyle w:val="NormalWeb"/>
        <w:rPr>
          <w:lang w:val="de-DE"/>
        </w:rPr>
      </w:pPr>
      <w:r>
        <w:rPr>
          <w:rStyle w:val="Strong"/>
          <w:lang w:val="de-DE"/>
        </w:rPr>
        <w:t>Geplante PMCF-Aktivitäten</w:t>
      </w:r>
      <w:r>
        <w:rPr>
          <w:lang w:val="de-DE"/>
        </w:rPr>
        <w:br/>
        <w:t>Um gezielte Erkenntnisse aus der Praxis über das Atrieve Vascular Snare Kit zu sammeln, ist folgende Aktivität geplant:</w:t>
      </w:r>
    </w:p>
    <w:p w14:paraId="395AA027" w14:textId="77777777" w:rsidR="009E1EBB" w:rsidRPr="00BD0745" w:rsidRDefault="009E1EBB" w:rsidP="009E1EBB">
      <w:pPr>
        <w:pStyle w:val="NormalWeb"/>
        <w:numPr>
          <w:ilvl w:val="0"/>
          <w:numId w:val="32"/>
        </w:numPr>
        <w:rPr>
          <w:lang w:val="de-DE"/>
        </w:rPr>
      </w:pPr>
      <w:r>
        <w:rPr>
          <w:rStyle w:val="Strong"/>
          <w:lang w:val="de-DE"/>
        </w:rPr>
        <w:t>PMCF-Ärztebefragung:</w:t>
      </w:r>
      <w:r>
        <w:rPr>
          <w:lang w:val="de-DE"/>
        </w:rPr>
        <w:br/>
        <w:t>Zur Erfassung von Erfahrungen mit dem Produkt, Beurteilung der Leistung im Routinebetrieb und Identifikation etwaiger Komplikationen oder unerwarteter Ereignisse, wird eine strukturierte Umfrage unter klinischem Fachpersonal durchgeführt. Die Ergebnisse der Umfrage werden analysiert und in den PMCF-Evaluierungsbericht aufgenommen. Die Ergebnisse dienen als Grundlage für Entscheidungen über die Notwendigkeit zusätzlicher PMCF-Aktivitäten oder Aktualisierungen des klinischen Bewertungsberichts (CER) und des Risikomanagementberichts (RMR).</w:t>
      </w:r>
    </w:p>
    <w:p w14:paraId="1DED8B40" w14:textId="44E4C95F" w:rsidR="00DE0007" w:rsidRPr="00BD0745" w:rsidRDefault="00DE0007" w:rsidP="00DE0007">
      <w:pPr>
        <w:pStyle w:val="NormalWeb"/>
        <w:rPr>
          <w:lang w:val="de-DE"/>
        </w:rPr>
      </w:pPr>
      <w:r>
        <w:rPr>
          <w:rStyle w:val="Strong"/>
          <w:lang w:val="de-DE"/>
        </w:rPr>
        <w:t>Begründung für den PMCF-Ansatz</w:t>
      </w:r>
      <w:r>
        <w:rPr>
          <w:lang w:val="de-DE"/>
        </w:rPr>
        <w:br/>
        <w:t xml:space="preserve">Auf Grundlage der aktuellen klinischen Bewertung, der Erkenntnisse aus der Fachliteratur und der </w:t>
      </w:r>
      <w:r>
        <w:rPr>
          <w:lang w:val="de-DE"/>
        </w:rPr>
        <w:lastRenderedPageBreak/>
        <w:t>Erfahrungen nach der Markteinführung wurden keine neuen oder sich abzeichnenden Risiken identifiziert, die eine produktspezifische klinische Untersuchung erfordern würden. Die derzeitigen PMCF-Aktivitäten sowie die jährlichen Literatur- und SOA-Recherchen, die durch gezieltes Feedback von Ärzten untermauert werden, gelten als ausreichend, um die fortlaufende Sicherheit und Leistungsfähigkeit dieses etablierten Medizinprodukts der Klasse III, des Atrieve Vascular Snare Kits, zu bestätigen.</w:t>
      </w:r>
    </w:p>
    <w:p w14:paraId="3DA3C9CA" w14:textId="77777777" w:rsidR="005B4422" w:rsidRPr="00BD0745" w:rsidRDefault="005B4422" w:rsidP="005B4422">
      <w:pPr>
        <w:pStyle w:val="NormalWeb"/>
        <w:spacing w:before="0" w:beforeAutospacing="0" w:after="0" w:afterAutospacing="0"/>
        <w:rPr>
          <w:lang w:val="de-DE"/>
        </w:rPr>
      </w:pPr>
      <w:r>
        <w:rPr>
          <w:rStyle w:val="Strong"/>
          <w:lang w:val="de-DE"/>
        </w:rPr>
        <w:t>PMCF-Berichterstattung</w:t>
      </w:r>
    </w:p>
    <w:p w14:paraId="5C389055" w14:textId="14E4D114" w:rsidR="0094476E" w:rsidRPr="00BD0745" w:rsidRDefault="00B04139" w:rsidP="007002E4">
      <w:pPr>
        <w:pStyle w:val="NormalWeb"/>
        <w:spacing w:before="0" w:beforeAutospacing="0" w:after="0" w:afterAutospacing="0"/>
        <w:rPr>
          <w:lang w:val="de-DE"/>
        </w:rPr>
      </w:pPr>
      <w:r>
        <w:rPr>
          <w:lang w:val="de-DE"/>
        </w:rPr>
        <w:t>Ein PMCF-Bericht wird in festgelegten Abständen und immer dann erstellt, wenn neue Informationen verfügbar werden, die sich auf das Nutzen-Risiko-Profil auswirken könnten. Alle PMCF-Ergebnisse fließen in den klinischen Bewertungsbericht (CER), den Risikomanagementbericht (RMR) und gegebenenfalls in andere Prozesse nach der Markteinführung ein.</w:t>
      </w:r>
    </w:p>
    <w:p w14:paraId="09D946B7" w14:textId="77777777" w:rsidR="007002E4" w:rsidRPr="00BD0745" w:rsidRDefault="007002E4" w:rsidP="007002E4">
      <w:pPr>
        <w:pStyle w:val="NormalWeb"/>
        <w:spacing w:before="0" w:beforeAutospacing="0" w:after="0" w:afterAutospacing="0"/>
        <w:rPr>
          <w:lang w:val="de-DE"/>
        </w:rPr>
      </w:pPr>
    </w:p>
    <w:p w14:paraId="748C3FE5" w14:textId="1D19292C" w:rsidR="00760400" w:rsidRPr="009461CC" w:rsidRDefault="00760400" w:rsidP="00F67A0E">
      <w:pPr>
        <w:pStyle w:val="Heading1"/>
        <w:numPr>
          <w:ilvl w:val="0"/>
          <w:numId w:val="2"/>
        </w:numPr>
        <w:rPr>
          <w:rFonts w:cs="Times New Roman"/>
        </w:rPr>
      </w:pPr>
      <w:bookmarkStart w:id="77" w:name="_Toc222741420"/>
      <w:r>
        <w:rPr>
          <w:rFonts w:cs="Times New Roman"/>
          <w:bCs/>
          <w:lang w:val="de-DE"/>
        </w:rPr>
        <w:t>Mögliche diagnostische oder therapeutische Alternativen</w:t>
      </w:r>
      <w:bookmarkEnd w:id="77"/>
      <w:r>
        <w:rPr>
          <w:rFonts w:cs="Times New Roman"/>
          <w:bCs/>
          <w:lang w:val="de-DE"/>
        </w:rPr>
        <w:t xml:space="preserve"> </w:t>
      </w:r>
    </w:p>
    <w:p w14:paraId="60C316BA" w14:textId="4177FF86" w:rsidR="00042B91" w:rsidRPr="00BD0745" w:rsidRDefault="008373C6" w:rsidP="00AB04FB">
      <w:pPr>
        <w:rPr>
          <w:rFonts w:cs="Times New Roman"/>
          <w:lang w:val="de-DE"/>
        </w:rPr>
      </w:pPr>
      <w:r>
        <w:rPr>
          <w:rFonts w:cs="Times New Roman"/>
          <w:lang w:val="de-DE"/>
        </w:rPr>
        <w:t>Gemäß CER-029 Rev B werden drei wichtige alternative Verfahren für die Fremdkörperentfernung aus dem kardiovaskulären System angegeben. Bei asymptomatischen Patienten oder Patienten, für die ein chirurgischer Eingriff ein hohes Risiko darstellt, wird ein konservatives Vorgehen empfohlen, bei dem auf engmaschige Überwachung und Bildgebung gesetzt wird, wenn ein Eingriff mit einem erheblichen Risiko verbunden sein könnte. Minimalinvasive Techniken sind der bevorzugte Ansatz, wobei Schlingen, insbesondere Gooseneck-Schlingen, sowohl bei Standardverfahren als auch bei komplexen Bergungen weit verbreitet sind. Pinzetten ermöglichen ein präzises Greifen. Sie eignen sich besonders für schwierige Fälle wie beispielsweise bei frakturierten oder eingekapselten Implantaten. Chirurgische Eingriffe wie Thorakotomie oder Sternotomie sind aufgrund ihrer invasiven Natur und des höheren Patientenrisikos eine Option der letzten Wahl. Insgesamt ist die endovaskuläre Entfernung nach wie vor der Versorgungsstandard, wobei sich die Therapie am Zustand des Patienten und den Eigenschaften des Fremdkörpers orientieren sollte.</w:t>
      </w:r>
    </w:p>
    <w:p w14:paraId="2CDE6FBF" w14:textId="77777777" w:rsidR="00042B91" w:rsidRPr="00BD0745" w:rsidRDefault="00042B91" w:rsidP="00F67A0E">
      <w:pPr>
        <w:pStyle w:val="Heading1"/>
        <w:numPr>
          <w:ilvl w:val="0"/>
          <w:numId w:val="2"/>
        </w:numPr>
        <w:rPr>
          <w:rFonts w:cs="Times New Roman"/>
          <w:lang w:val="de-DE"/>
        </w:rPr>
      </w:pPr>
      <w:bookmarkStart w:id="78" w:name="_Toc222741421"/>
      <w:r>
        <w:rPr>
          <w:rFonts w:cs="Times New Roman"/>
          <w:bCs/>
          <w:lang w:val="de-DE"/>
        </w:rPr>
        <w:t>Vorgeschlagenes Profil und Schulung für Benutzer</w:t>
      </w:r>
      <w:bookmarkEnd w:id="78"/>
    </w:p>
    <w:p w14:paraId="35173865" w14:textId="0C72FD3E" w:rsidR="00042B91" w:rsidRPr="00BD0745" w:rsidRDefault="00A5239F" w:rsidP="00042B91">
      <w:pPr>
        <w:spacing w:after="0" w:afterAutospacing="0" w:line="240" w:lineRule="auto"/>
        <w:rPr>
          <w:rFonts w:eastAsia="Calibri" w:cs="Times New Roman"/>
          <w:szCs w:val="24"/>
          <w:lang w:val="de-DE"/>
        </w:rPr>
      </w:pPr>
      <w:r>
        <w:rPr>
          <w:rFonts w:eastAsia="Calibri" w:cs="Times New Roman"/>
          <w:szCs w:val="24"/>
          <w:lang w:val="de-DE"/>
        </w:rPr>
        <w:t>Das Produkt darf nur von medizinischem Fachpersonal mit der nötigen Qualifikation angewendete werden, das mit dem Verfahren vertraut ist.</w:t>
      </w:r>
    </w:p>
    <w:p w14:paraId="21A7D581" w14:textId="77777777" w:rsidR="00A5239F" w:rsidRPr="00BD0745" w:rsidRDefault="00A5239F" w:rsidP="00042B91">
      <w:pPr>
        <w:spacing w:after="0" w:afterAutospacing="0" w:line="240" w:lineRule="auto"/>
        <w:rPr>
          <w:rFonts w:cs="Times New Roman"/>
          <w:i/>
          <w:color w:val="FF0000"/>
          <w:highlight w:val="yellow"/>
          <w:lang w:val="de-DE"/>
        </w:rPr>
      </w:pPr>
    </w:p>
    <w:p w14:paraId="7848B753" w14:textId="692785D6" w:rsidR="0037316E" w:rsidRPr="009461CC" w:rsidRDefault="00760400" w:rsidP="00F67A0E">
      <w:pPr>
        <w:pStyle w:val="Heading1"/>
        <w:numPr>
          <w:ilvl w:val="0"/>
          <w:numId w:val="2"/>
        </w:numPr>
        <w:rPr>
          <w:rFonts w:cs="Times New Roman"/>
        </w:rPr>
      </w:pPr>
      <w:bookmarkStart w:id="79" w:name="_Toc222741422"/>
      <w:r>
        <w:rPr>
          <w:rFonts w:cs="Times New Roman"/>
          <w:bCs/>
          <w:lang w:val="de-DE"/>
        </w:rPr>
        <w:t>Harmonisierte Normen/Gemeinsame Spezifikationen</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Argon-Konformitätsdatum/-Version</w:t>
            </w:r>
          </w:p>
        </w:tc>
        <w:tc>
          <w:tcPr>
            <w:tcW w:w="3871" w:type="pct"/>
          </w:tcPr>
          <w:p w14:paraId="7BCD1036"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Bezeichnung der Norm</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Beschriftung</w:t>
            </w:r>
          </w:p>
        </w:tc>
      </w:tr>
      <w:tr w:rsidR="0094168A" w:rsidRPr="00E064BB" w14:paraId="25DF072C" w14:textId="77777777" w:rsidTr="00293453">
        <w:tc>
          <w:tcPr>
            <w:tcW w:w="1129" w:type="pct"/>
          </w:tcPr>
          <w:p w14:paraId="434B73AC" w14:textId="77777777" w:rsidR="0094168A" w:rsidRPr="009461CC" w:rsidRDefault="0094168A" w:rsidP="00293453">
            <w:pPr>
              <w:spacing w:after="0" w:afterAutospacing="0"/>
              <w:rPr>
                <w:rFonts w:cs="Times New Roman"/>
                <w:sz w:val="22"/>
              </w:rPr>
            </w:pPr>
            <w:r>
              <w:rPr>
                <w:rFonts w:eastAsia="Times New Roman" w:cs="Times New Roman"/>
                <w:sz w:val="22"/>
                <w:lang w:val="de-DE"/>
              </w:rPr>
              <w:t>EN ISO 15223-1:2021</w:t>
            </w:r>
          </w:p>
        </w:tc>
        <w:tc>
          <w:tcPr>
            <w:tcW w:w="3871" w:type="pct"/>
          </w:tcPr>
          <w:p w14:paraId="40A15B1C" w14:textId="77777777" w:rsidR="0094168A" w:rsidRPr="00BD0745" w:rsidRDefault="0094168A" w:rsidP="00293453">
            <w:pPr>
              <w:spacing w:after="0" w:afterAutospacing="0"/>
              <w:rPr>
                <w:rFonts w:cs="Times New Roman"/>
                <w:sz w:val="22"/>
                <w:lang w:val="de-DE"/>
              </w:rPr>
            </w:pPr>
            <w:r>
              <w:rPr>
                <w:rFonts w:cs="Times New Roman"/>
                <w:sz w:val="22"/>
                <w:lang w:val="de-DE"/>
              </w:rPr>
              <w:t xml:space="preserve">Medizinprodukte – Symbole zur Verwendung mit Medizinprodukten. </w:t>
            </w:r>
          </w:p>
          <w:p w14:paraId="093121E8" w14:textId="77777777" w:rsidR="0094168A" w:rsidRPr="00BD0745" w:rsidRDefault="0094168A" w:rsidP="00293453">
            <w:pPr>
              <w:spacing w:after="0" w:afterAutospacing="0"/>
              <w:rPr>
                <w:rFonts w:cs="Times New Roman"/>
                <w:sz w:val="22"/>
                <w:lang w:val="de-DE"/>
              </w:rPr>
            </w:pPr>
            <w:r>
              <w:rPr>
                <w:rFonts w:cs="Times New Roman"/>
                <w:sz w:val="22"/>
                <w:lang w:val="de-DE"/>
              </w:rPr>
              <w:t xml:space="preserve">Etiketten, Kennzeichnung und bereitzustellende Informationen – Teil 1: Allgemeine Anforderungen. </w:t>
            </w:r>
          </w:p>
          <w:p w14:paraId="3CEE87DD" w14:textId="77777777" w:rsidR="0094168A" w:rsidRPr="00BD0745" w:rsidRDefault="0094168A" w:rsidP="00293453">
            <w:pPr>
              <w:spacing w:after="0" w:afterAutospacing="0"/>
              <w:rPr>
                <w:rFonts w:cs="Times New Roman"/>
                <w:sz w:val="22"/>
                <w:lang w:val="de-DE"/>
              </w:rPr>
            </w:pPr>
          </w:p>
        </w:tc>
      </w:tr>
      <w:tr w:rsidR="0094168A" w:rsidRPr="00E064BB" w14:paraId="13723641" w14:textId="77777777" w:rsidTr="00293453">
        <w:tc>
          <w:tcPr>
            <w:tcW w:w="1129" w:type="pct"/>
          </w:tcPr>
          <w:p w14:paraId="7822ED4F" w14:textId="77777777" w:rsidR="0094168A" w:rsidRPr="009461CC" w:rsidRDefault="0094168A" w:rsidP="00293453">
            <w:pPr>
              <w:spacing w:after="0" w:afterAutospacing="0"/>
              <w:rPr>
                <w:rFonts w:cs="Times New Roman"/>
                <w:sz w:val="22"/>
              </w:rPr>
            </w:pPr>
            <w:r>
              <w:rPr>
                <w:rFonts w:cs="Times New Roman"/>
                <w:sz w:val="22"/>
                <w:lang w:val="de-DE"/>
              </w:rPr>
              <w:t>EN ISO 20417:2021</w:t>
            </w:r>
          </w:p>
        </w:tc>
        <w:tc>
          <w:tcPr>
            <w:tcW w:w="3871" w:type="pct"/>
          </w:tcPr>
          <w:p w14:paraId="6EF6F718" w14:textId="77777777" w:rsidR="0094168A" w:rsidRPr="00BD0745" w:rsidRDefault="0094168A" w:rsidP="00293453">
            <w:pPr>
              <w:spacing w:after="0" w:afterAutospacing="0"/>
              <w:rPr>
                <w:rFonts w:cs="Times New Roman"/>
                <w:sz w:val="22"/>
                <w:lang w:val="de-DE"/>
              </w:rPr>
            </w:pPr>
            <w:r>
              <w:rPr>
                <w:rFonts w:cs="Times New Roman"/>
                <w:sz w:val="22"/>
                <w:lang w:val="de-DE"/>
              </w:rPr>
              <w:t>Terminologie, Symbole und Informationen zu Medizinprodukten: Informationen, die der Hersteller mit Medizinprodukten liefert</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Allgemeine Standards – Sterilisation</w:t>
            </w:r>
          </w:p>
        </w:tc>
      </w:tr>
      <w:tr w:rsidR="0094168A" w:rsidRPr="00E064BB" w14:paraId="7C28E0D3" w14:textId="77777777" w:rsidTr="00293453">
        <w:tc>
          <w:tcPr>
            <w:tcW w:w="1129" w:type="pct"/>
          </w:tcPr>
          <w:p w14:paraId="0416000A" w14:textId="77777777" w:rsidR="0094168A" w:rsidRPr="009461CC" w:rsidRDefault="0094168A" w:rsidP="00293453">
            <w:pPr>
              <w:spacing w:after="0" w:afterAutospacing="0"/>
              <w:rPr>
                <w:rFonts w:cs="Times New Roman"/>
                <w:sz w:val="22"/>
              </w:rPr>
            </w:pPr>
            <w:r>
              <w:rPr>
                <w:rFonts w:cs="Times New Roman"/>
                <w:sz w:val="22"/>
                <w:lang w:val="de-DE"/>
              </w:rPr>
              <w:t>ISO 10555-1:2013</w:t>
            </w:r>
          </w:p>
        </w:tc>
        <w:tc>
          <w:tcPr>
            <w:tcW w:w="3871" w:type="pct"/>
          </w:tcPr>
          <w:p w14:paraId="5B0C265F" w14:textId="77777777" w:rsidR="0094168A" w:rsidRPr="00BD0745" w:rsidRDefault="0094168A" w:rsidP="00293453">
            <w:pPr>
              <w:spacing w:after="0" w:afterAutospacing="0"/>
              <w:rPr>
                <w:rFonts w:cs="Times New Roman"/>
                <w:sz w:val="22"/>
                <w:lang w:val="de-DE"/>
              </w:rPr>
            </w:pPr>
            <w:r>
              <w:rPr>
                <w:rFonts w:cs="Times New Roman"/>
                <w:sz w:val="22"/>
                <w:lang w:val="de-DE"/>
              </w:rPr>
              <w:t>Intravaskuläre Katheter – Sterile und Einwegkatheter – Teil 1: Allgemeine Anforderungen</w:t>
            </w:r>
          </w:p>
        </w:tc>
      </w:tr>
      <w:tr w:rsidR="0094168A" w:rsidRPr="009461CC" w14:paraId="088E27B4" w14:textId="77777777" w:rsidTr="00293453">
        <w:tc>
          <w:tcPr>
            <w:tcW w:w="1129" w:type="pct"/>
          </w:tcPr>
          <w:p w14:paraId="47460872" w14:textId="77777777" w:rsidR="0094168A" w:rsidRPr="009461CC" w:rsidRDefault="0094168A" w:rsidP="00293453">
            <w:pPr>
              <w:spacing w:after="0" w:afterAutospacing="0"/>
              <w:rPr>
                <w:rFonts w:cs="Times New Roman"/>
                <w:sz w:val="22"/>
              </w:rPr>
            </w:pPr>
            <w:r>
              <w:rPr>
                <w:rFonts w:cs="Times New Roman"/>
                <w:sz w:val="22"/>
                <w:lang w:val="de-DE"/>
              </w:rPr>
              <w:lastRenderedPageBreak/>
              <w:t>EN 556-1:2024</w:t>
            </w:r>
          </w:p>
        </w:tc>
        <w:tc>
          <w:tcPr>
            <w:tcW w:w="3871" w:type="pct"/>
          </w:tcPr>
          <w:p w14:paraId="64BED8C0" w14:textId="77777777" w:rsidR="0094168A" w:rsidRPr="009461CC" w:rsidRDefault="0094168A" w:rsidP="00293453">
            <w:pPr>
              <w:spacing w:after="0" w:afterAutospacing="0"/>
              <w:rPr>
                <w:rFonts w:cs="Times New Roman"/>
                <w:sz w:val="22"/>
              </w:rPr>
            </w:pPr>
            <w:r>
              <w:rPr>
                <w:rFonts w:cs="Times New Roman"/>
                <w:sz w:val="22"/>
                <w:lang w:val="de-DE"/>
              </w:rPr>
              <w:t>Sterilisation von Medizinprodukten. Anforderungen an Medizinprodukte, die als STERIL gekennzeichnet werden müssen. Anforderungen an in der Endphase sterilisierte Medizinprodukte</w:t>
            </w:r>
          </w:p>
        </w:tc>
      </w:tr>
      <w:tr w:rsidR="0094168A" w:rsidRPr="00E064BB" w14:paraId="4DEE0525" w14:textId="77777777" w:rsidTr="00293453">
        <w:tc>
          <w:tcPr>
            <w:tcW w:w="1129" w:type="pct"/>
          </w:tcPr>
          <w:p w14:paraId="5095D1B9" w14:textId="77777777" w:rsidR="0094168A" w:rsidRPr="009461CC" w:rsidRDefault="0094168A" w:rsidP="00293453">
            <w:pPr>
              <w:spacing w:after="0" w:afterAutospacing="0"/>
              <w:rPr>
                <w:rFonts w:cs="Times New Roman"/>
                <w:sz w:val="22"/>
              </w:rPr>
            </w:pPr>
            <w:r>
              <w:rPr>
                <w:rFonts w:cs="Times New Roman"/>
                <w:sz w:val="22"/>
                <w:lang w:val="de-DE"/>
              </w:rPr>
              <w:t>EN ISO 11135:2019</w:t>
            </w:r>
          </w:p>
        </w:tc>
        <w:tc>
          <w:tcPr>
            <w:tcW w:w="3871" w:type="pct"/>
          </w:tcPr>
          <w:p w14:paraId="1E9B7BED" w14:textId="77777777" w:rsidR="0094168A" w:rsidRPr="00BD0745" w:rsidRDefault="0094168A" w:rsidP="00293453">
            <w:pPr>
              <w:spacing w:after="0" w:afterAutospacing="0"/>
              <w:rPr>
                <w:rFonts w:cs="Times New Roman"/>
                <w:sz w:val="22"/>
                <w:lang w:val="de-DE"/>
              </w:rPr>
            </w:pPr>
            <w:r>
              <w:rPr>
                <w:rFonts w:cs="Times New Roman"/>
                <w:sz w:val="22"/>
                <w:lang w:val="de-DE"/>
              </w:rPr>
              <w:t>Sterilisation von Produkten für die Gesundheitsfürsorge – Ethylenoxid – Teil 1: Anforderungen an die Entwicklung, Validierung und Lenkung der Anwendung eines Sterilisationsverfahrens für Medizinprodukte</w:t>
            </w:r>
          </w:p>
        </w:tc>
      </w:tr>
      <w:tr w:rsidR="0094168A" w:rsidRPr="00E064BB" w14:paraId="6B89F042" w14:textId="77777777" w:rsidTr="00293453">
        <w:tc>
          <w:tcPr>
            <w:tcW w:w="1129" w:type="pct"/>
          </w:tcPr>
          <w:p w14:paraId="3F48324F" w14:textId="77777777" w:rsidR="0094168A" w:rsidRPr="009461CC" w:rsidRDefault="0094168A" w:rsidP="00293453">
            <w:pPr>
              <w:spacing w:after="0" w:afterAutospacing="0"/>
              <w:rPr>
                <w:rFonts w:cs="Times New Roman"/>
                <w:sz w:val="22"/>
              </w:rPr>
            </w:pPr>
            <w:r>
              <w:rPr>
                <w:rFonts w:cs="Times New Roman"/>
                <w:sz w:val="22"/>
                <w:lang w:val="de-DE"/>
              </w:rPr>
              <w:t>AAMI TIR28:2016</w:t>
            </w:r>
          </w:p>
          <w:p w14:paraId="4FBEE0AF" w14:textId="77777777" w:rsidR="0094168A" w:rsidRPr="009461CC" w:rsidRDefault="0094168A" w:rsidP="00293453">
            <w:pPr>
              <w:spacing w:after="0" w:afterAutospacing="0"/>
              <w:jc w:val="center"/>
              <w:rPr>
                <w:rFonts w:cs="Times New Roman"/>
                <w:sz w:val="22"/>
              </w:rPr>
            </w:pPr>
          </w:p>
        </w:tc>
        <w:tc>
          <w:tcPr>
            <w:tcW w:w="3871" w:type="pct"/>
          </w:tcPr>
          <w:p w14:paraId="68BE6733" w14:textId="77777777" w:rsidR="0094168A" w:rsidRPr="00BD0745" w:rsidRDefault="0094168A" w:rsidP="00293453">
            <w:pPr>
              <w:spacing w:after="0" w:afterAutospacing="0"/>
              <w:rPr>
                <w:rFonts w:cs="Times New Roman"/>
                <w:sz w:val="22"/>
                <w:lang w:val="de-DE"/>
              </w:rPr>
            </w:pPr>
            <w:r>
              <w:rPr>
                <w:rFonts w:cs="Times New Roman"/>
                <w:sz w:val="22"/>
                <w:lang w:val="de-DE"/>
              </w:rPr>
              <w:t>Produktakzeptanz und Prozessäquivalenz für die Ethylenoxid-Sterilisation</w:t>
            </w:r>
          </w:p>
        </w:tc>
      </w:tr>
      <w:tr w:rsidR="0094168A" w:rsidRPr="009461CC" w14:paraId="1E1CCCD6" w14:textId="77777777" w:rsidTr="00293453">
        <w:tc>
          <w:tcPr>
            <w:tcW w:w="1129" w:type="pct"/>
          </w:tcPr>
          <w:p w14:paraId="25D300ED" w14:textId="77777777" w:rsidR="0094168A" w:rsidRPr="009461CC" w:rsidRDefault="0094168A" w:rsidP="00293453">
            <w:pPr>
              <w:spacing w:after="0" w:afterAutospacing="0"/>
              <w:jc w:val="center"/>
              <w:rPr>
                <w:rFonts w:cs="Times New Roman"/>
                <w:sz w:val="22"/>
              </w:rPr>
            </w:pPr>
            <w:r>
              <w:rPr>
                <w:rFonts w:cs="Times New Roman"/>
                <w:sz w:val="22"/>
                <w:lang w:val="de-DE"/>
              </w:rPr>
              <w:t>EN ISO 14644-1:2015</w:t>
            </w:r>
          </w:p>
        </w:tc>
        <w:tc>
          <w:tcPr>
            <w:tcW w:w="3871" w:type="pct"/>
          </w:tcPr>
          <w:p w14:paraId="2AD73BC5" w14:textId="77777777" w:rsidR="0094168A" w:rsidRPr="009461CC" w:rsidRDefault="0094168A" w:rsidP="00293453">
            <w:pPr>
              <w:spacing w:after="0" w:afterAutospacing="0"/>
              <w:rPr>
                <w:rFonts w:cs="Times New Roman"/>
                <w:sz w:val="22"/>
              </w:rPr>
            </w:pPr>
            <w:r>
              <w:rPr>
                <w:rFonts w:cs="Times New Roman"/>
                <w:sz w:val="22"/>
                <w:lang w:val="de-DE"/>
              </w:rPr>
              <w:t>Klassifizierung der Luftreinheit, Reinräume und zugehörige kontrollierte Umgebungen. Teil 1: Klassifizierung der Luftreinheit</w:t>
            </w:r>
          </w:p>
        </w:tc>
      </w:tr>
      <w:tr w:rsidR="0094168A" w:rsidRPr="009461CC" w14:paraId="27E7EE41" w14:textId="77777777" w:rsidTr="00293453">
        <w:trPr>
          <w:trHeight w:val="1097"/>
        </w:trPr>
        <w:tc>
          <w:tcPr>
            <w:tcW w:w="1129" w:type="pct"/>
          </w:tcPr>
          <w:p w14:paraId="51EAE02B" w14:textId="77777777" w:rsidR="0094168A" w:rsidRPr="009461CC" w:rsidRDefault="0094168A" w:rsidP="00293453">
            <w:pPr>
              <w:spacing w:after="0" w:afterAutospacing="0"/>
              <w:jc w:val="center"/>
              <w:rPr>
                <w:rFonts w:cs="Times New Roman"/>
                <w:sz w:val="22"/>
              </w:rPr>
            </w:pPr>
            <w:r>
              <w:rPr>
                <w:rFonts w:cs="Times New Roman"/>
                <w:sz w:val="22"/>
                <w:lang w:val="de-DE"/>
              </w:rPr>
              <w:t>EN ISO 14644-2:2015</w:t>
            </w:r>
          </w:p>
        </w:tc>
        <w:tc>
          <w:tcPr>
            <w:tcW w:w="3871" w:type="pct"/>
          </w:tcPr>
          <w:p w14:paraId="3AA6B4D4" w14:textId="77777777" w:rsidR="0094168A" w:rsidRPr="00BD0745" w:rsidRDefault="0094168A" w:rsidP="00293453">
            <w:pPr>
              <w:spacing w:after="0" w:afterAutospacing="0"/>
              <w:rPr>
                <w:rFonts w:cs="Times New Roman"/>
                <w:sz w:val="22"/>
                <w:lang w:val="de-DE"/>
              </w:rPr>
            </w:pPr>
            <w:r>
              <w:rPr>
                <w:rFonts w:cs="Times New Roman"/>
                <w:sz w:val="22"/>
                <w:lang w:val="de-DE"/>
              </w:rPr>
              <w:t xml:space="preserve">Reinräume und zugehörige kontrollierte Umgebungen – Teil 2: Überwachung zum Nachweis der Reinraumtauglichkeit. </w:t>
            </w:r>
          </w:p>
          <w:p w14:paraId="2873EF60" w14:textId="77777777" w:rsidR="0094168A" w:rsidRPr="00BD0745" w:rsidRDefault="0094168A" w:rsidP="00293453">
            <w:pPr>
              <w:spacing w:after="0" w:afterAutospacing="0"/>
              <w:rPr>
                <w:rFonts w:cs="Times New Roman"/>
                <w:sz w:val="22"/>
                <w:lang w:val="de-DE"/>
              </w:rPr>
            </w:pPr>
            <w:r>
              <w:rPr>
                <w:rFonts w:cs="Times New Roman"/>
                <w:sz w:val="22"/>
                <w:lang w:val="de-DE"/>
              </w:rPr>
              <w:t xml:space="preserve">Leistung in Bezug auf die Luftreinheit anhand der </w:t>
            </w:r>
          </w:p>
          <w:p w14:paraId="02B2FEDC" w14:textId="77777777" w:rsidR="0094168A" w:rsidRPr="009461CC" w:rsidRDefault="0094168A" w:rsidP="00293453">
            <w:pPr>
              <w:spacing w:after="0" w:afterAutospacing="0"/>
              <w:rPr>
                <w:rFonts w:cs="Times New Roman"/>
                <w:sz w:val="22"/>
              </w:rPr>
            </w:pPr>
            <w:r>
              <w:rPr>
                <w:rFonts w:cs="Times New Roman"/>
                <w:sz w:val="22"/>
                <w:lang w:val="de-DE"/>
              </w:rPr>
              <w:t>Partikelkonzentration</w:t>
            </w:r>
          </w:p>
        </w:tc>
      </w:tr>
      <w:tr w:rsidR="0094168A" w:rsidRPr="00E064BB"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293453">
            <w:pPr>
              <w:spacing w:after="0" w:afterAutospacing="0"/>
              <w:jc w:val="center"/>
              <w:rPr>
                <w:rFonts w:cs="Times New Roman"/>
                <w:sz w:val="22"/>
              </w:rPr>
            </w:pPr>
            <w:r>
              <w:rPr>
                <w:rFonts w:eastAsia="Times New Roman" w:cs="Times New Roman"/>
                <w:sz w:val="22"/>
                <w:lang w:val="de-DE"/>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BD0745" w:rsidRDefault="0094168A" w:rsidP="00293453">
            <w:pPr>
              <w:spacing w:after="0" w:afterAutospacing="0"/>
              <w:rPr>
                <w:rFonts w:cs="Times New Roman"/>
                <w:sz w:val="22"/>
                <w:lang w:val="de-DE"/>
              </w:rPr>
            </w:pPr>
            <w:r>
              <w:rPr>
                <w:rFonts w:eastAsia="Times New Roman" w:cs="Times New Roman"/>
                <w:sz w:val="22"/>
                <w:lang w:val="de-DE"/>
              </w:rPr>
              <w:t>Sterilisation von Medizinprodukten – Mikrobiologische Verfahren – Teil 1: Bestimmung der Population von Mikroorganismen auf Produkten</w:t>
            </w:r>
          </w:p>
        </w:tc>
      </w:tr>
      <w:tr w:rsidR="0094168A" w:rsidRPr="00E064BB"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293453">
            <w:pPr>
              <w:spacing w:after="0" w:afterAutospacing="0"/>
              <w:jc w:val="center"/>
              <w:rPr>
                <w:rFonts w:cs="Times New Roman"/>
                <w:sz w:val="22"/>
              </w:rPr>
            </w:pPr>
            <w:r>
              <w:rPr>
                <w:rFonts w:eastAsia="Times New Roman" w:cs="Times New Roman"/>
                <w:sz w:val="22"/>
                <w:lang w:val="de-DE"/>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BD0745" w:rsidRDefault="0094168A" w:rsidP="00293453">
            <w:pPr>
              <w:spacing w:after="0" w:afterAutospacing="0"/>
              <w:rPr>
                <w:rFonts w:cs="Times New Roman"/>
                <w:sz w:val="22"/>
                <w:lang w:val="de-DE"/>
              </w:rPr>
            </w:pPr>
            <w:r>
              <w:rPr>
                <w:rFonts w:eastAsia="Times New Roman" w:cs="Times New Roman"/>
                <w:sz w:val="22"/>
                <w:lang w:val="de-DE"/>
              </w:rPr>
              <w:t>Biologische Beurteilung von Medizinprodukten. Ethylenoxid-Sterilisationsrückstände</w:t>
            </w:r>
          </w:p>
        </w:tc>
      </w:tr>
      <w:tr w:rsidR="0094168A" w:rsidRPr="009461CC" w14:paraId="255576C7" w14:textId="77777777" w:rsidTr="00293453">
        <w:tc>
          <w:tcPr>
            <w:tcW w:w="1129" w:type="pct"/>
          </w:tcPr>
          <w:p w14:paraId="3E855248" w14:textId="77777777" w:rsidR="0094168A" w:rsidRPr="009461CC" w:rsidRDefault="0094168A" w:rsidP="00293453">
            <w:pPr>
              <w:spacing w:after="0" w:afterAutospacing="0"/>
              <w:rPr>
                <w:rFonts w:cs="Times New Roman"/>
                <w:sz w:val="22"/>
              </w:rPr>
            </w:pPr>
            <w:r>
              <w:rPr>
                <w:rFonts w:cs="Times New Roman"/>
                <w:sz w:val="22"/>
                <w:lang w:val="de-DE"/>
              </w:rPr>
              <w:t>NSI/AAMI ST72:2019</w:t>
            </w:r>
          </w:p>
        </w:tc>
        <w:tc>
          <w:tcPr>
            <w:tcW w:w="3871" w:type="pct"/>
          </w:tcPr>
          <w:p w14:paraId="1BB2618F" w14:textId="77777777" w:rsidR="0094168A" w:rsidRPr="009461CC" w:rsidRDefault="0094168A" w:rsidP="00293453">
            <w:pPr>
              <w:spacing w:after="0" w:afterAutospacing="0"/>
              <w:rPr>
                <w:rFonts w:cs="Times New Roman"/>
                <w:sz w:val="22"/>
              </w:rPr>
            </w:pPr>
            <w:r>
              <w:rPr>
                <w:rFonts w:cs="Times New Roman"/>
                <w:sz w:val="22"/>
                <w:lang w:val="de-DE"/>
              </w:rPr>
              <w:t>Test auf bakterielle Endotoxine</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Allgemeine Standards – Qualitätssysteme</w:t>
            </w:r>
          </w:p>
        </w:tc>
      </w:tr>
      <w:tr w:rsidR="0094168A" w:rsidRPr="00E064BB"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293453">
            <w:pPr>
              <w:spacing w:after="0" w:afterAutospacing="0"/>
              <w:rPr>
                <w:rFonts w:cs="Times New Roman"/>
                <w:sz w:val="22"/>
              </w:rPr>
            </w:pPr>
            <w:r>
              <w:rPr>
                <w:rFonts w:eastAsia="Times New Roman" w:cs="Times New Roman"/>
                <w:sz w:val="22"/>
                <w:lang w:val="de-DE"/>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BD0745" w:rsidRDefault="0094168A" w:rsidP="00293453">
            <w:pPr>
              <w:spacing w:after="0" w:afterAutospacing="0"/>
              <w:rPr>
                <w:rFonts w:cs="Times New Roman"/>
                <w:sz w:val="22"/>
                <w:lang w:val="de-DE"/>
              </w:rPr>
            </w:pPr>
            <w:r>
              <w:rPr>
                <w:rFonts w:eastAsia="Times New Roman" w:cs="Times New Roman"/>
                <w:sz w:val="22"/>
                <w:lang w:val="de-DE"/>
              </w:rPr>
              <w:t>Medizinprodukte. Qualitätsmanagement-Systeme. Anforderungen für regulatorische Zwecke</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293453">
            <w:pPr>
              <w:spacing w:after="0" w:afterAutospacing="0"/>
              <w:jc w:val="center"/>
              <w:rPr>
                <w:rFonts w:cs="Times New Roman"/>
                <w:b/>
                <w:bCs/>
                <w:sz w:val="22"/>
              </w:rPr>
            </w:pPr>
            <w:r>
              <w:rPr>
                <w:rFonts w:cs="Times New Roman"/>
                <w:b/>
                <w:bCs/>
                <w:sz w:val="22"/>
                <w:lang w:val="de-DE"/>
              </w:rPr>
              <w:t>Risikomanagement</w:t>
            </w:r>
          </w:p>
        </w:tc>
      </w:tr>
      <w:tr w:rsidR="0094168A" w:rsidRPr="00E064BB" w14:paraId="75307B89" w14:textId="77777777" w:rsidTr="00293453">
        <w:tc>
          <w:tcPr>
            <w:tcW w:w="1129" w:type="pct"/>
          </w:tcPr>
          <w:p w14:paraId="653BDB44" w14:textId="77777777" w:rsidR="0094168A" w:rsidRPr="009461CC" w:rsidRDefault="0094168A" w:rsidP="00293453">
            <w:pPr>
              <w:spacing w:after="0" w:afterAutospacing="0"/>
              <w:rPr>
                <w:rFonts w:cs="Times New Roman"/>
                <w:sz w:val="22"/>
              </w:rPr>
            </w:pPr>
            <w:r>
              <w:rPr>
                <w:rFonts w:cs="Times New Roman"/>
                <w:sz w:val="22"/>
                <w:lang w:val="de-DE"/>
              </w:rPr>
              <w:t>EN ISO 14971:2019</w:t>
            </w:r>
          </w:p>
        </w:tc>
        <w:tc>
          <w:tcPr>
            <w:tcW w:w="3871" w:type="pct"/>
          </w:tcPr>
          <w:p w14:paraId="4457BE68" w14:textId="77777777" w:rsidR="0094168A" w:rsidRPr="00BD0745" w:rsidRDefault="0094168A" w:rsidP="00293453">
            <w:pPr>
              <w:spacing w:after="0" w:afterAutospacing="0"/>
              <w:rPr>
                <w:rFonts w:cs="Times New Roman"/>
                <w:sz w:val="22"/>
                <w:lang w:val="de-DE"/>
              </w:rPr>
            </w:pPr>
            <w:r>
              <w:rPr>
                <w:rFonts w:cs="Times New Roman"/>
                <w:sz w:val="22"/>
                <w:lang w:val="de-DE"/>
              </w:rPr>
              <w:t>Medizinprodukte – Anwendung des Risikomanagements auf Medizinprodukte</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293453">
            <w:pPr>
              <w:spacing w:after="0" w:afterAutospacing="0"/>
              <w:jc w:val="center"/>
              <w:rPr>
                <w:rFonts w:cs="Times New Roman"/>
                <w:sz w:val="22"/>
              </w:rPr>
            </w:pPr>
            <w:r>
              <w:rPr>
                <w:rFonts w:eastAsia="Arial" w:cs="Times New Roman"/>
                <w:b/>
                <w:bCs/>
                <w:sz w:val="22"/>
                <w:lang w:val="de-DE"/>
              </w:rPr>
              <w:t>Biologische Sicherheit</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BD0745" w:rsidRDefault="0094168A" w:rsidP="00293453">
            <w:pPr>
              <w:spacing w:after="14" w:afterAutospacing="0"/>
              <w:rPr>
                <w:rFonts w:cs="Times New Roman"/>
                <w:sz w:val="22"/>
                <w:lang w:val="de-DE"/>
              </w:rPr>
            </w:pPr>
            <w:r>
              <w:rPr>
                <w:rFonts w:eastAsia="Arial" w:cs="Times New Roman"/>
                <w:sz w:val="22"/>
                <w:lang w:val="de-DE"/>
              </w:rPr>
              <w:t xml:space="preserve">Biologische Beurteilung von Medizinprodukten – Teil 1: </w:t>
            </w:r>
          </w:p>
          <w:p w14:paraId="1D869305" w14:textId="77777777" w:rsidR="0094168A" w:rsidRPr="009461CC" w:rsidRDefault="0094168A" w:rsidP="00293453">
            <w:pPr>
              <w:tabs>
                <w:tab w:val="left" w:pos="1320"/>
              </w:tabs>
              <w:spacing w:after="0" w:afterAutospacing="0"/>
              <w:rPr>
                <w:rFonts w:cs="Times New Roman"/>
                <w:sz w:val="22"/>
              </w:rPr>
            </w:pPr>
            <w:r>
              <w:rPr>
                <w:rFonts w:eastAsia="Arial" w:cs="Times New Roman"/>
                <w:sz w:val="22"/>
                <w:lang w:val="de-DE"/>
              </w:rPr>
              <w:t xml:space="preserve">Auswertung und Prüfung  </w:t>
            </w:r>
          </w:p>
        </w:tc>
      </w:tr>
      <w:tr w:rsidR="0094168A" w:rsidRPr="00E064BB"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3: Prüfungen auf Genotoxizität, Karzinogenität und Reproduktionstoxizität </w:t>
            </w:r>
          </w:p>
        </w:tc>
      </w:tr>
      <w:tr w:rsidR="0094168A" w:rsidRPr="00E064BB"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4: Auswahl von Prüfungen zu Wechselwirkungen mit Blut </w:t>
            </w:r>
          </w:p>
        </w:tc>
      </w:tr>
      <w:tr w:rsidR="0094168A" w:rsidRPr="00E064BB"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5: Prüfungen auf In-vitro-Zytotoxizität </w:t>
            </w:r>
          </w:p>
        </w:tc>
      </w:tr>
      <w:tr w:rsidR="0094168A" w:rsidRPr="00E064BB"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10: Prüfungen auf Irritation und Hautsensibilisierung </w:t>
            </w:r>
          </w:p>
        </w:tc>
      </w:tr>
      <w:tr w:rsidR="0094168A" w:rsidRPr="00E064BB"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11: Prüfungen auf systemische Toxizität </w:t>
            </w:r>
          </w:p>
        </w:tc>
      </w:tr>
      <w:tr w:rsidR="0094168A" w:rsidRPr="00E064BB"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293453">
            <w:pPr>
              <w:spacing w:after="0" w:afterAutospacing="0"/>
              <w:rPr>
                <w:rFonts w:cs="Times New Roman"/>
                <w:bCs/>
                <w:sz w:val="22"/>
              </w:rPr>
            </w:pPr>
            <w:r>
              <w:rPr>
                <w:rFonts w:eastAsia="Arial" w:cs="Times New Roman"/>
                <w:sz w:val="22"/>
                <w:lang w:val="de-DE"/>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BD0745" w:rsidRDefault="0094168A" w:rsidP="00293453">
            <w:pPr>
              <w:spacing w:after="0" w:afterAutospacing="0"/>
              <w:rPr>
                <w:rFonts w:cs="Times New Roman"/>
                <w:sz w:val="22"/>
                <w:lang w:val="de-DE"/>
              </w:rPr>
            </w:pPr>
            <w:r>
              <w:rPr>
                <w:rFonts w:eastAsia="Arial" w:cs="Times New Roman"/>
                <w:sz w:val="22"/>
                <w:lang w:val="de-DE"/>
              </w:rPr>
              <w:t xml:space="preserve">Biologische Beurteilung von Medizinprodukten – Teil 12: Probenvorbereitung und Referenzmaterialien </w:t>
            </w:r>
          </w:p>
        </w:tc>
      </w:tr>
      <w:tr w:rsidR="00586415" w:rsidRPr="00E064BB"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586415">
            <w:pPr>
              <w:spacing w:after="0" w:afterAutospacing="0"/>
              <w:rPr>
                <w:rFonts w:eastAsia="Arial" w:cs="Times New Roman"/>
                <w:bCs/>
                <w:sz w:val="22"/>
              </w:rPr>
            </w:pPr>
            <w:r>
              <w:rPr>
                <w:rFonts w:eastAsia="Arial" w:cs="Times New Roman"/>
                <w:sz w:val="22"/>
                <w:lang w:val="de-DE"/>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BD0745" w:rsidRDefault="00586415" w:rsidP="00586415">
            <w:pPr>
              <w:spacing w:after="0" w:afterAutospacing="0"/>
              <w:rPr>
                <w:rFonts w:eastAsia="Arial" w:cs="Times New Roman"/>
                <w:sz w:val="22"/>
                <w:lang w:val="de-DE"/>
              </w:rPr>
            </w:pPr>
            <w:r>
              <w:rPr>
                <w:rFonts w:eastAsia="Arial" w:cs="Times New Roman"/>
                <w:sz w:val="22"/>
                <w:lang w:val="de-DE"/>
              </w:rPr>
              <w:t>Toxikologische Risikobeurteilung von Komponenten von Medizinprodukten</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586415">
            <w:pPr>
              <w:spacing w:after="0" w:afterAutospacing="0"/>
              <w:jc w:val="center"/>
              <w:rPr>
                <w:rFonts w:cs="Times New Roman"/>
                <w:sz w:val="22"/>
              </w:rPr>
            </w:pPr>
            <w:r>
              <w:rPr>
                <w:rFonts w:eastAsia="Arial" w:cs="Times New Roman"/>
                <w:b/>
                <w:bCs/>
                <w:sz w:val="22"/>
                <w:lang w:val="de-DE"/>
              </w:rPr>
              <w:t>Klinische Bewertung</w:t>
            </w:r>
          </w:p>
        </w:tc>
      </w:tr>
      <w:tr w:rsidR="00586415" w:rsidRPr="00E064BB" w14:paraId="1F26EC64" w14:textId="77777777" w:rsidTr="00293453">
        <w:tc>
          <w:tcPr>
            <w:tcW w:w="1129" w:type="pct"/>
          </w:tcPr>
          <w:p w14:paraId="5AF3269C" w14:textId="77777777" w:rsidR="00586415" w:rsidRPr="009461CC" w:rsidRDefault="00586415" w:rsidP="00586415">
            <w:pPr>
              <w:spacing w:after="0" w:afterAutospacing="0"/>
              <w:rPr>
                <w:rFonts w:cs="Times New Roman"/>
                <w:bCs/>
                <w:sz w:val="22"/>
              </w:rPr>
            </w:pPr>
            <w:r>
              <w:rPr>
                <w:rFonts w:eastAsia="Arial" w:cs="Times New Roman"/>
                <w:sz w:val="22"/>
                <w:lang w:val="de-DE"/>
              </w:rPr>
              <w:t>MEDDEV 2.7/1 Rev4</w:t>
            </w:r>
          </w:p>
        </w:tc>
        <w:tc>
          <w:tcPr>
            <w:tcW w:w="3871" w:type="pct"/>
          </w:tcPr>
          <w:p w14:paraId="3D1D1121" w14:textId="77777777" w:rsidR="00586415" w:rsidRPr="00BD0745" w:rsidRDefault="00586415" w:rsidP="00586415">
            <w:pPr>
              <w:spacing w:after="0" w:afterAutospacing="0"/>
              <w:rPr>
                <w:rFonts w:cs="Times New Roman"/>
                <w:sz w:val="22"/>
                <w:lang w:val="de-DE"/>
              </w:rPr>
            </w:pPr>
            <w:r>
              <w:rPr>
                <w:rFonts w:cs="Times New Roman"/>
                <w:sz w:val="22"/>
                <w:lang w:val="de-DE"/>
              </w:rPr>
              <w:t>Klinische Bewertung: Leitfaden für Hersteller und Benannte Stellen</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586415">
            <w:pPr>
              <w:spacing w:after="0" w:afterAutospacing="0"/>
              <w:jc w:val="center"/>
              <w:rPr>
                <w:rFonts w:cs="Times New Roman"/>
                <w:sz w:val="22"/>
              </w:rPr>
            </w:pPr>
            <w:r>
              <w:rPr>
                <w:rFonts w:eastAsia="Arial" w:cs="Times New Roman"/>
                <w:b/>
                <w:bCs/>
                <w:sz w:val="22"/>
                <w:lang w:val="de-DE"/>
              </w:rPr>
              <w:t>Designkontrolle</w:t>
            </w:r>
          </w:p>
        </w:tc>
      </w:tr>
      <w:tr w:rsidR="00586415" w:rsidRPr="00E064BB" w14:paraId="54F49ECD" w14:textId="77777777" w:rsidTr="00293453">
        <w:tc>
          <w:tcPr>
            <w:tcW w:w="1129" w:type="pct"/>
          </w:tcPr>
          <w:p w14:paraId="4795B615" w14:textId="77777777" w:rsidR="00586415" w:rsidRPr="009461CC" w:rsidRDefault="00586415" w:rsidP="00586415">
            <w:pPr>
              <w:spacing w:after="0" w:afterAutospacing="0"/>
              <w:rPr>
                <w:rFonts w:cs="Times New Roman"/>
                <w:sz w:val="22"/>
              </w:rPr>
            </w:pPr>
            <w:r>
              <w:rPr>
                <w:rFonts w:cs="Times New Roman"/>
                <w:sz w:val="22"/>
                <w:lang w:val="de-DE"/>
              </w:rPr>
              <w:t>EN ISO 14971</w:t>
            </w:r>
          </w:p>
        </w:tc>
        <w:tc>
          <w:tcPr>
            <w:tcW w:w="3871" w:type="pct"/>
          </w:tcPr>
          <w:p w14:paraId="55771886" w14:textId="77777777" w:rsidR="00586415" w:rsidRPr="00BD0745" w:rsidRDefault="00586415" w:rsidP="00586415">
            <w:pPr>
              <w:spacing w:after="0" w:afterAutospacing="0"/>
              <w:rPr>
                <w:rFonts w:cs="Times New Roman"/>
                <w:sz w:val="22"/>
                <w:lang w:val="de-DE"/>
              </w:rPr>
            </w:pPr>
            <w:r>
              <w:rPr>
                <w:rFonts w:cs="Times New Roman"/>
                <w:sz w:val="22"/>
                <w:lang w:val="de-DE"/>
              </w:rPr>
              <w:t>Medizinprodukte – Anwendung des Risikomanagements auf Medizinprodukte</w:t>
            </w:r>
          </w:p>
        </w:tc>
      </w:tr>
      <w:tr w:rsidR="00586415" w:rsidRPr="00E064BB" w14:paraId="48F71F50" w14:textId="77777777" w:rsidTr="00293453">
        <w:tc>
          <w:tcPr>
            <w:tcW w:w="1129" w:type="pct"/>
          </w:tcPr>
          <w:p w14:paraId="477CFB4F" w14:textId="77777777" w:rsidR="00586415" w:rsidRPr="00BD0745" w:rsidRDefault="00586415" w:rsidP="00586415">
            <w:pPr>
              <w:spacing w:after="0" w:afterAutospacing="0"/>
              <w:jc w:val="center"/>
              <w:rPr>
                <w:rFonts w:cs="Times New Roman"/>
                <w:sz w:val="22"/>
                <w:lang w:val="de-DE"/>
              </w:rPr>
            </w:pPr>
          </w:p>
        </w:tc>
        <w:tc>
          <w:tcPr>
            <w:tcW w:w="3871" w:type="pct"/>
          </w:tcPr>
          <w:p w14:paraId="20C1E190" w14:textId="77777777" w:rsidR="00586415" w:rsidRPr="00BD0745" w:rsidRDefault="00586415" w:rsidP="00586415">
            <w:pPr>
              <w:spacing w:after="0" w:afterAutospacing="0"/>
              <w:rPr>
                <w:rFonts w:cs="Times New Roman"/>
                <w:sz w:val="22"/>
                <w:lang w:val="de-DE"/>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586415">
            <w:pPr>
              <w:spacing w:after="0" w:afterAutospacing="0"/>
              <w:jc w:val="center"/>
              <w:rPr>
                <w:rFonts w:cs="Times New Roman"/>
                <w:b/>
                <w:bCs/>
                <w:sz w:val="22"/>
              </w:rPr>
            </w:pPr>
            <w:r>
              <w:rPr>
                <w:rFonts w:cs="Times New Roman"/>
                <w:b/>
                <w:bCs/>
                <w:sz w:val="22"/>
                <w:lang w:val="de-DE"/>
              </w:rPr>
              <w:t>Benutzerfreundlichkeit</w:t>
            </w:r>
          </w:p>
        </w:tc>
      </w:tr>
      <w:tr w:rsidR="00586415" w:rsidRPr="00E064BB" w14:paraId="29A23DD2" w14:textId="77777777" w:rsidTr="00293453">
        <w:tc>
          <w:tcPr>
            <w:tcW w:w="1129" w:type="pct"/>
          </w:tcPr>
          <w:p w14:paraId="38C30B53" w14:textId="77777777" w:rsidR="00586415" w:rsidRPr="009461CC" w:rsidRDefault="00586415" w:rsidP="00586415">
            <w:pPr>
              <w:spacing w:after="0" w:afterAutospacing="0"/>
              <w:rPr>
                <w:rFonts w:cs="Times New Roman"/>
                <w:sz w:val="22"/>
              </w:rPr>
            </w:pPr>
            <w:r>
              <w:rPr>
                <w:rFonts w:cs="Times New Roman"/>
                <w:sz w:val="22"/>
                <w:lang w:val="de-DE"/>
              </w:rPr>
              <w:t>IEC 62366-1:2015 &amp;</w:t>
            </w:r>
          </w:p>
          <w:p w14:paraId="2D964E3D" w14:textId="77777777" w:rsidR="00586415" w:rsidRPr="009461CC" w:rsidRDefault="00586415" w:rsidP="00586415">
            <w:pPr>
              <w:spacing w:after="0" w:afterAutospacing="0"/>
              <w:rPr>
                <w:rFonts w:cs="Times New Roman"/>
                <w:sz w:val="22"/>
              </w:rPr>
            </w:pPr>
            <w:r>
              <w:rPr>
                <w:rFonts w:cs="Times New Roman"/>
                <w:sz w:val="22"/>
                <w:lang w:val="de-DE"/>
              </w:rPr>
              <w:t>IEC 62366-1:2015/ COR1:2016</w:t>
            </w:r>
          </w:p>
        </w:tc>
        <w:tc>
          <w:tcPr>
            <w:tcW w:w="3871" w:type="pct"/>
          </w:tcPr>
          <w:p w14:paraId="7A444F47" w14:textId="77777777" w:rsidR="00586415" w:rsidRPr="00BD0745" w:rsidRDefault="00586415" w:rsidP="00586415">
            <w:pPr>
              <w:spacing w:after="0" w:afterAutospacing="0"/>
              <w:rPr>
                <w:rFonts w:cs="Times New Roman"/>
                <w:sz w:val="22"/>
                <w:lang w:val="de-DE"/>
              </w:rPr>
            </w:pPr>
            <w:r>
              <w:rPr>
                <w:rFonts w:cs="Times New Roman"/>
                <w:sz w:val="22"/>
                <w:lang w:val="de-DE"/>
              </w:rPr>
              <w:t>Medizinprodukte – Anwendung von Usability Engineering auf Medizinprodukte</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586415">
            <w:pPr>
              <w:spacing w:after="0" w:afterAutospacing="0"/>
              <w:jc w:val="center"/>
              <w:rPr>
                <w:rFonts w:cs="Times New Roman"/>
                <w:b/>
                <w:bCs/>
                <w:sz w:val="22"/>
              </w:rPr>
            </w:pPr>
            <w:r>
              <w:rPr>
                <w:rFonts w:cs="Times New Roman"/>
                <w:b/>
                <w:bCs/>
                <w:sz w:val="22"/>
                <w:lang w:val="de-DE"/>
              </w:rPr>
              <w:t>Verpackung</w:t>
            </w:r>
          </w:p>
        </w:tc>
      </w:tr>
      <w:tr w:rsidR="00586415" w:rsidRPr="00E064BB"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586415">
            <w:pPr>
              <w:spacing w:after="0" w:afterAutospacing="0"/>
              <w:rPr>
                <w:rFonts w:cs="Times New Roman"/>
                <w:bCs/>
                <w:sz w:val="22"/>
              </w:rPr>
            </w:pPr>
            <w:r>
              <w:rPr>
                <w:rFonts w:eastAsia="Arial" w:cs="Times New Roman"/>
                <w:sz w:val="22"/>
                <w:lang w:val="de-DE"/>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Anforderungen an in der Endphase sterilisierte Medizinprodukte Teil 1: Anforderungen an Materialien, Sterilbarrieresysteme und Verpackungssysteme. </w:t>
            </w:r>
          </w:p>
        </w:tc>
      </w:tr>
      <w:tr w:rsidR="00586415" w:rsidRPr="00E064BB"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586415">
            <w:pPr>
              <w:spacing w:after="16" w:afterAutospacing="0"/>
              <w:ind w:left="1"/>
              <w:rPr>
                <w:rFonts w:cs="Times New Roman"/>
                <w:bCs/>
                <w:sz w:val="22"/>
              </w:rPr>
            </w:pPr>
            <w:r>
              <w:rPr>
                <w:rFonts w:eastAsia="Arial" w:cs="Times New Roman"/>
                <w:sz w:val="22"/>
                <w:lang w:val="de-DE"/>
              </w:rPr>
              <w:t>EN ISO 11607-2:2020</w:t>
            </w:r>
          </w:p>
          <w:p w14:paraId="2A1BCB5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Anforderungen an in der Endphase sterilisierte Medizinprodukte Teil 2: Validierungsanforderungen für Umform-, Dichtungs- und Montageprozesse </w:t>
            </w:r>
          </w:p>
        </w:tc>
      </w:tr>
      <w:tr w:rsidR="00586415" w:rsidRPr="00E064BB"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586415">
            <w:pPr>
              <w:spacing w:after="14" w:afterAutospacing="0"/>
              <w:ind w:left="1"/>
              <w:rPr>
                <w:rFonts w:cs="Times New Roman"/>
                <w:bCs/>
                <w:sz w:val="22"/>
              </w:rPr>
            </w:pPr>
            <w:r>
              <w:rPr>
                <w:rFonts w:eastAsia="Arial" w:cs="Times New Roman"/>
                <w:sz w:val="22"/>
                <w:lang w:val="de-DE"/>
              </w:rPr>
              <w:t>EN ISO 2233:2001</w:t>
            </w:r>
          </w:p>
          <w:p w14:paraId="3F44F0A2" w14:textId="77777777" w:rsidR="00586415" w:rsidRPr="009461CC" w:rsidRDefault="00586415" w:rsidP="00586415">
            <w:pPr>
              <w:spacing w:after="0" w:afterAutospacing="0"/>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Verpackung -- Vollständige, gefüllte Transportverpackungen und Ladeeinheiten -- Konditionierung für die Prüfung </w:t>
            </w:r>
          </w:p>
        </w:tc>
      </w:tr>
      <w:tr w:rsidR="00586415" w:rsidRPr="00E064BB"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586415">
            <w:pPr>
              <w:spacing w:after="0" w:afterAutospacing="0"/>
              <w:rPr>
                <w:rFonts w:cs="Times New Roman"/>
                <w:bCs/>
                <w:sz w:val="22"/>
              </w:rPr>
            </w:pPr>
            <w:hyperlink r:id="rId14">
              <w:r>
                <w:rPr>
                  <w:rFonts w:eastAsia="Arial" w:cs="Times New Roman"/>
                  <w:sz w:val="22"/>
                  <w:lang w:val="de-DE"/>
                </w:rPr>
                <w:t xml:space="preserve">ASTM D4169 </w:t>
              </w:r>
            </w:hyperlink>
            <w:r>
              <w:rPr>
                <w:rFonts w:eastAsia="Arial" w:cs="Times New Roman"/>
                <w:sz w:val="22"/>
                <w:lang w:val="de-DE"/>
              </w:rPr>
              <w:t>:2022</w:t>
            </w:r>
            <w:hyperlink r:id="rId15">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Standardverfahren für Leistungstests von Versandbehältern und -systemen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586415">
            <w:pPr>
              <w:spacing w:after="0" w:afterAutospacing="0"/>
              <w:rPr>
                <w:rFonts w:cs="Times New Roman"/>
                <w:bCs/>
                <w:sz w:val="22"/>
              </w:rPr>
            </w:pPr>
            <w:hyperlink r:id="rId16">
              <w:r>
                <w:rPr>
                  <w:rFonts w:eastAsia="Arial" w:cs="Times New Roman"/>
                  <w:sz w:val="22"/>
                  <w:lang w:val="de-DE"/>
                </w:rPr>
                <w:t xml:space="preserve">ASTM F2096 </w:t>
              </w:r>
            </w:hyperlink>
            <w:hyperlink r:id="rId17">
              <w:r>
                <w:rPr>
                  <w:rFonts w:eastAsia="Arial" w:cs="Times New Roman"/>
                  <w:sz w:val="22"/>
                  <w:lang w:val="de-DE"/>
                </w:rPr>
                <w:t xml:space="preserve">– </w:t>
              </w:r>
            </w:hyperlink>
            <w:r>
              <w:rPr>
                <w:rFonts w:eastAsia="Arial" w:cs="Times New Roman"/>
                <w:sz w:val="22"/>
                <w:lang w:val="de-DE"/>
              </w:rPr>
              <w:t>20</w:t>
            </w:r>
            <w:hyperlink r:id="rId18">
              <w:r>
                <w:rPr>
                  <w:rFonts w:eastAsia="Arial" w:cs="Times New Roman"/>
                  <w:sz w:val="22"/>
                  <w:lang w:val="de-DE"/>
                </w:rPr>
                <w:t xml:space="preserve">11 (R2019) </w:t>
              </w:r>
            </w:hyperlink>
            <w:hyperlink r:id="rId19">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BD0745" w:rsidRDefault="00586415" w:rsidP="00586415">
            <w:pPr>
              <w:spacing w:after="14" w:afterAutospacing="0"/>
              <w:rPr>
                <w:rFonts w:cs="Times New Roman"/>
                <w:sz w:val="22"/>
                <w:lang w:val="de-DE"/>
              </w:rPr>
            </w:pPr>
            <w:r>
              <w:rPr>
                <w:rFonts w:eastAsia="Arial" w:cs="Times New Roman"/>
                <w:sz w:val="22"/>
                <w:lang w:val="de-DE"/>
              </w:rPr>
              <w:t xml:space="preserve">Standardtestverfahren zum Nachweis grober Undichtigkeiten in </w:t>
            </w:r>
          </w:p>
          <w:p w14:paraId="403EB0FF" w14:textId="77777777" w:rsidR="00586415" w:rsidRPr="00BD0745" w:rsidRDefault="00586415" w:rsidP="00586415">
            <w:pPr>
              <w:spacing w:after="16" w:afterAutospacing="0"/>
              <w:rPr>
                <w:rFonts w:cs="Times New Roman"/>
                <w:sz w:val="22"/>
                <w:lang w:val="de-DE"/>
              </w:rPr>
            </w:pPr>
            <w:r>
              <w:rPr>
                <w:rFonts w:eastAsia="Arial" w:cs="Times New Roman"/>
                <w:sz w:val="22"/>
                <w:lang w:val="de-DE"/>
              </w:rPr>
              <w:t xml:space="preserve">medizinischen Verpackungen durch Innendruckbeaufschlagung (Blasentest) </w:t>
            </w:r>
          </w:p>
          <w:p w14:paraId="401902E0" w14:textId="77777777" w:rsidR="00586415" w:rsidRPr="009461CC" w:rsidRDefault="00586415" w:rsidP="00586415">
            <w:pPr>
              <w:spacing w:after="0" w:afterAutospacing="0"/>
              <w:rPr>
                <w:rFonts w:cs="Times New Roman"/>
                <w:sz w:val="22"/>
              </w:rPr>
            </w:pPr>
            <w:r>
              <w:rPr>
                <w:rFonts w:eastAsia="Arial" w:cs="Times New Roman"/>
                <w:sz w:val="22"/>
                <w:lang w:val="de-DE"/>
              </w:rPr>
              <w:t xml:space="preserve">– ASTM F 2096-11 (2019) </w:t>
            </w:r>
          </w:p>
        </w:tc>
      </w:tr>
      <w:tr w:rsidR="00586415" w:rsidRPr="00E064BB"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586415">
            <w:pPr>
              <w:spacing w:after="0" w:afterAutospacing="0"/>
              <w:rPr>
                <w:rFonts w:cs="Times New Roman"/>
                <w:bCs/>
                <w:sz w:val="22"/>
              </w:rPr>
            </w:pPr>
            <w:hyperlink r:id="rId20">
              <w:r>
                <w:rPr>
                  <w:rFonts w:eastAsia="Arial" w:cs="Times New Roman"/>
                  <w:sz w:val="22"/>
                  <w:lang w:val="de-DE"/>
                </w:rPr>
                <w:t xml:space="preserve">ASTM F1929 </w:t>
              </w:r>
            </w:hyperlink>
            <w:hyperlink r:id="rId21">
              <w:r>
                <w:rPr>
                  <w:rFonts w:eastAsia="Arial" w:cs="Times New Roman"/>
                  <w:sz w:val="22"/>
                  <w:lang w:val="de-DE"/>
                </w:rPr>
                <w:t xml:space="preserve">- </w:t>
              </w:r>
            </w:hyperlink>
            <w:hyperlink r:id="rId22">
              <w:r>
                <w:rPr>
                  <w:rFonts w:eastAsia="Arial" w:cs="Times New Roman"/>
                  <w:sz w:val="22"/>
                  <w:lang w:val="de-DE"/>
                </w:rPr>
                <w:t xml:space="preserve">15 </w:t>
              </w:r>
            </w:hyperlink>
            <w:hyperlink r:id="rId23">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BD0745" w:rsidRDefault="00586415" w:rsidP="00586415">
            <w:pPr>
              <w:spacing w:after="14" w:afterAutospacing="0"/>
              <w:rPr>
                <w:rFonts w:cs="Times New Roman"/>
                <w:sz w:val="22"/>
                <w:lang w:val="de-DE"/>
              </w:rPr>
            </w:pPr>
            <w:r>
              <w:rPr>
                <w:rFonts w:eastAsia="Arial" w:cs="Times New Roman"/>
                <w:sz w:val="22"/>
                <w:lang w:val="de-DE"/>
              </w:rPr>
              <w:t xml:space="preserve">Standardtestverfahren zum Nachweis von Undichtigkeiten in porösen </w:t>
            </w:r>
          </w:p>
          <w:p w14:paraId="1449B41C"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medizinischen Verpackungen durch Farbstoffpenetration – ASTM F 1929 </w:t>
            </w:r>
          </w:p>
        </w:tc>
      </w:tr>
      <w:tr w:rsidR="00586415" w:rsidRPr="00E064BB"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586415">
            <w:pPr>
              <w:spacing w:after="0" w:afterAutospacing="0"/>
              <w:rPr>
                <w:rFonts w:cs="Times New Roman"/>
                <w:bCs/>
                <w:sz w:val="22"/>
              </w:rPr>
            </w:pPr>
            <w:hyperlink r:id="rId24">
              <w:r>
                <w:rPr>
                  <w:rFonts w:eastAsia="Arial" w:cs="Times New Roman"/>
                  <w:sz w:val="22"/>
                  <w:lang w:val="de-DE"/>
                </w:rPr>
                <w:t xml:space="preserve">ASTM F88 / F88M </w:t>
              </w:r>
            </w:hyperlink>
            <w:hyperlink r:id="rId25">
              <w:r>
                <w:rPr>
                  <w:rFonts w:eastAsia="Arial" w:cs="Times New Roman"/>
                  <w:sz w:val="22"/>
                  <w:lang w:val="de-DE"/>
                </w:rPr>
                <w:t xml:space="preserve">- </w:t>
              </w:r>
            </w:hyperlink>
            <w:r>
              <w:rPr>
                <w:rFonts w:eastAsia="Arial" w:cs="Times New Roman"/>
                <w:sz w:val="22"/>
                <w:lang w:val="de-DE"/>
              </w:rPr>
              <w:t>2021</w:t>
            </w:r>
            <w:hyperlink r:id="rId26">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Standardtestverfahren für die Dichtigkeit flexibler Barrierematerialien – ASTM F88 </w:t>
            </w:r>
          </w:p>
        </w:tc>
      </w:tr>
      <w:tr w:rsidR="00586415" w:rsidRPr="00E064BB"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586415">
            <w:pPr>
              <w:spacing w:after="0" w:afterAutospacing="0"/>
              <w:rPr>
                <w:rFonts w:cs="Times New Roman"/>
                <w:bCs/>
                <w:sz w:val="22"/>
              </w:rPr>
            </w:pPr>
            <w:hyperlink r:id="rId27">
              <w:r>
                <w:rPr>
                  <w:rFonts w:eastAsia="Arial" w:cs="Times New Roman"/>
                  <w:sz w:val="22"/>
                  <w:lang w:val="de-DE"/>
                </w:rPr>
                <w:t xml:space="preserve">ASTM F1980 </w:t>
              </w:r>
            </w:hyperlink>
            <w:hyperlink r:id="rId28">
              <w:r>
                <w:rPr>
                  <w:rFonts w:eastAsia="Arial" w:cs="Times New Roman"/>
                  <w:sz w:val="22"/>
                  <w:lang w:val="de-DE"/>
                </w:rPr>
                <w:t xml:space="preserve">- </w:t>
              </w:r>
            </w:hyperlink>
            <w:r>
              <w:rPr>
                <w:rFonts w:eastAsia="Arial" w:cs="Times New Roman"/>
                <w:sz w:val="22"/>
                <w:lang w:val="de-DE"/>
              </w:rPr>
              <w:t>2021</w:t>
            </w:r>
            <w:hyperlink r:id="rId29">
              <w:r>
                <w:rPr>
                  <w:rFonts w:eastAsia="Arial" w:cs="Times New Roman"/>
                  <w:sz w:val="22"/>
                  <w:lang w:val="de-DE"/>
                </w:rPr>
                <w:t xml:space="preserve"> </w:t>
              </w:r>
            </w:hyperlink>
            <w:hyperlink r:id="rId30">
              <w:r>
                <w:rPr>
                  <w:rFonts w:eastAsia="Arial" w:cs="Times New Roman"/>
                  <w:sz w:val="22"/>
                  <w:lang w:val="de-DE"/>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BD0745" w:rsidRDefault="00586415" w:rsidP="00586415">
            <w:pPr>
              <w:spacing w:after="0" w:afterAutospacing="0"/>
              <w:rPr>
                <w:rFonts w:cs="Times New Roman"/>
                <w:sz w:val="22"/>
                <w:lang w:val="de-DE"/>
              </w:rPr>
            </w:pPr>
            <w:r>
              <w:rPr>
                <w:rFonts w:eastAsia="Arial" w:cs="Times New Roman"/>
                <w:sz w:val="22"/>
                <w:lang w:val="de-DE"/>
              </w:rPr>
              <w:t xml:space="preserve">Standard-Leitfaden für die beschleunigte Alterung von sterilen Barrieresystemen für Medizinprodukte – ASTM F1980 </w:t>
            </w:r>
          </w:p>
        </w:tc>
      </w:tr>
      <w:tr w:rsidR="00586415" w:rsidRPr="00E064BB" w14:paraId="0F76587E" w14:textId="77777777" w:rsidTr="00293453">
        <w:tc>
          <w:tcPr>
            <w:tcW w:w="5000" w:type="pct"/>
            <w:gridSpan w:val="2"/>
            <w:shd w:val="clear" w:color="auto" w:fill="E7E6E6" w:themeFill="background2"/>
          </w:tcPr>
          <w:p w14:paraId="76DCCB76" w14:textId="77777777" w:rsidR="00586415" w:rsidRPr="00BD0745" w:rsidRDefault="00586415" w:rsidP="00586415">
            <w:pPr>
              <w:spacing w:after="0" w:afterAutospacing="0"/>
              <w:jc w:val="center"/>
              <w:rPr>
                <w:rFonts w:cs="Times New Roman"/>
                <w:b/>
                <w:bCs/>
                <w:sz w:val="22"/>
                <w:lang w:val="de-DE"/>
              </w:rPr>
            </w:pPr>
            <w:r>
              <w:rPr>
                <w:rFonts w:cs="Times New Roman"/>
                <w:b/>
                <w:bCs/>
                <w:sz w:val="22"/>
                <w:lang w:val="de-DE"/>
              </w:rPr>
              <w:t>Klinische Nachbeobachtung nach der Markteinführung</w:t>
            </w:r>
          </w:p>
        </w:tc>
      </w:tr>
      <w:tr w:rsidR="00586415" w:rsidRPr="00E064BB" w14:paraId="72BDA171" w14:textId="77777777" w:rsidTr="00293453">
        <w:tc>
          <w:tcPr>
            <w:tcW w:w="1129" w:type="pct"/>
          </w:tcPr>
          <w:p w14:paraId="4A2D9F88" w14:textId="77777777" w:rsidR="00586415" w:rsidRPr="009461CC" w:rsidRDefault="00586415" w:rsidP="00586415">
            <w:pPr>
              <w:spacing w:after="0" w:afterAutospacing="0"/>
              <w:jc w:val="center"/>
              <w:rPr>
                <w:rFonts w:cs="Times New Roman"/>
                <w:sz w:val="22"/>
              </w:rPr>
            </w:pPr>
            <w:r>
              <w:rPr>
                <w:rFonts w:cs="Times New Roman"/>
                <w:sz w:val="22"/>
                <w:lang w:val="de-DE"/>
              </w:rPr>
              <w:t>MEDDEV 2.12/2 Rev2</w:t>
            </w:r>
          </w:p>
        </w:tc>
        <w:tc>
          <w:tcPr>
            <w:tcW w:w="3871" w:type="pct"/>
          </w:tcPr>
          <w:p w14:paraId="534E025E" w14:textId="77777777" w:rsidR="00586415" w:rsidRPr="00BD0745" w:rsidRDefault="00586415" w:rsidP="00586415">
            <w:pPr>
              <w:spacing w:after="0" w:afterAutospacing="0"/>
              <w:rPr>
                <w:rFonts w:cs="Times New Roman"/>
                <w:sz w:val="22"/>
                <w:lang w:val="de-DE"/>
              </w:rPr>
            </w:pPr>
            <w:r>
              <w:rPr>
                <w:rFonts w:cs="Times New Roman"/>
                <w:sz w:val="22"/>
                <w:lang w:val="de-DE"/>
              </w:rPr>
              <w:t>Klinische Nachbeobachtungsstudien nach der Markteinführung</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586415">
            <w:pPr>
              <w:spacing w:after="0" w:afterAutospacing="0"/>
              <w:jc w:val="center"/>
              <w:rPr>
                <w:rFonts w:cs="Times New Roman"/>
                <w:b/>
                <w:bCs/>
                <w:sz w:val="22"/>
              </w:rPr>
            </w:pPr>
            <w:r>
              <w:rPr>
                <w:rFonts w:cs="Times New Roman"/>
                <w:b/>
                <w:bCs/>
                <w:sz w:val="22"/>
                <w:lang w:val="de-DE"/>
              </w:rPr>
              <w:t>Überwachung</w:t>
            </w:r>
          </w:p>
        </w:tc>
      </w:tr>
      <w:tr w:rsidR="00586415" w:rsidRPr="00E064BB" w14:paraId="577ABEC8" w14:textId="77777777" w:rsidTr="00293453">
        <w:tc>
          <w:tcPr>
            <w:tcW w:w="1129" w:type="pct"/>
          </w:tcPr>
          <w:p w14:paraId="403A7E80" w14:textId="77777777" w:rsidR="00586415" w:rsidRPr="009461CC" w:rsidRDefault="00586415" w:rsidP="00586415">
            <w:pPr>
              <w:spacing w:after="0" w:afterAutospacing="0"/>
              <w:jc w:val="center"/>
              <w:rPr>
                <w:rFonts w:cs="Times New Roman"/>
                <w:sz w:val="22"/>
              </w:rPr>
            </w:pPr>
            <w:r>
              <w:rPr>
                <w:rFonts w:cs="Times New Roman"/>
                <w:sz w:val="22"/>
                <w:lang w:val="de-DE"/>
              </w:rPr>
              <w:t>MEDDEV 2.12/1 Rev8</w:t>
            </w:r>
          </w:p>
        </w:tc>
        <w:tc>
          <w:tcPr>
            <w:tcW w:w="3871" w:type="pct"/>
          </w:tcPr>
          <w:p w14:paraId="1F13D90E" w14:textId="77777777" w:rsidR="00586415" w:rsidRPr="00BD0745" w:rsidRDefault="00586415" w:rsidP="00586415">
            <w:pPr>
              <w:spacing w:after="0" w:afterAutospacing="0"/>
              <w:rPr>
                <w:rFonts w:cs="Times New Roman"/>
                <w:sz w:val="22"/>
                <w:lang w:val="de-DE"/>
              </w:rPr>
            </w:pPr>
            <w:r>
              <w:rPr>
                <w:rFonts w:cs="Times New Roman"/>
                <w:sz w:val="22"/>
                <w:lang w:val="de-DE"/>
              </w:rPr>
              <w:t>Leitlinien für ein Überwachungssystem für Medizinprodukte</w:t>
            </w:r>
          </w:p>
        </w:tc>
      </w:tr>
    </w:tbl>
    <w:p w14:paraId="06B25AF7" w14:textId="77777777" w:rsidR="00582286" w:rsidRPr="00BD0745" w:rsidRDefault="00582286" w:rsidP="000A23CB">
      <w:pPr>
        <w:spacing w:after="0" w:afterAutospacing="0" w:line="240" w:lineRule="auto"/>
        <w:rPr>
          <w:rFonts w:cs="Times New Roman"/>
          <w:lang w:val="de-DE"/>
        </w:rPr>
      </w:pPr>
    </w:p>
    <w:p w14:paraId="6F757B16" w14:textId="77777777" w:rsidR="00601F87" w:rsidRPr="00BD0745" w:rsidRDefault="00601F87" w:rsidP="000A23CB">
      <w:pPr>
        <w:spacing w:after="0" w:afterAutospacing="0" w:line="240" w:lineRule="auto"/>
        <w:rPr>
          <w:rFonts w:cs="Times New Roman"/>
          <w:lang w:val="de-DE"/>
        </w:rPr>
      </w:pPr>
    </w:p>
    <w:p w14:paraId="438059D7" w14:textId="77777777" w:rsidR="00601F87" w:rsidRPr="009461CC" w:rsidRDefault="00601F87" w:rsidP="00F67A0E">
      <w:pPr>
        <w:pStyle w:val="Heading1"/>
        <w:numPr>
          <w:ilvl w:val="0"/>
          <w:numId w:val="2"/>
        </w:numPr>
        <w:rPr>
          <w:rFonts w:cs="Times New Roman"/>
        </w:rPr>
      </w:pPr>
      <w:bookmarkStart w:id="80" w:name="_Toc181362715"/>
      <w:bookmarkStart w:id="81" w:name="_Toc222741423"/>
      <w:r>
        <w:rPr>
          <w:rFonts w:cs="Times New Roman"/>
          <w:bCs/>
          <w:lang w:val="de-DE"/>
        </w:rPr>
        <w:t>Änderungsverlauf</w:t>
      </w:r>
      <w:bookmarkEnd w:id="80"/>
      <w:bookmarkEnd w:id="81"/>
    </w:p>
    <w:tbl>
      <w:tblPr>
        <w:tblStyle w:val="TableGrid"/>
        <w:tblW w:w="5000" w:type="pct"/>
        <w:tblLook w:val="04A0" w:firstRow="1" w:lastRow="0" w:firstColumn="1" w:lastColumn="0" w:noHBand="0" w:noVBand="1"/>
      </w:tblPr>
      <w:tblGrid>
        <w:gridCol w:w="1156"/>
        <w:gridCol w:w="1635"/>
        <w:gridCol w:w="4776"/>
        <w:gridCol w:w="2863"/>
      </w:tblGrid>
      <w:tr w:rsidR="00601F87" w:rsidRPr="00E064BB" w14:paraId="5B6BFC55" w14:textId="77777777" w:rsidTr="00293453">
        <w:tc>
          <w:tcPr>
            <w:tcW w:w="575" w:type="pct"/>
          </w:tcPr>
          <w:p w14:paraId="2E035377" w14:textId="77777777" w:rsidR="00601F87" w:rsidRPr="009461CC" w:rsidRDefault="00601F87" w:rsidP="00293453">
            <w:pPr>
              <w:spacing w:after="0" w:afterAutospacing="0"/>
              <w:rPr>
                <w:rFonts w:cs="Times New Roman"/>
                <w:b/>
                <w:sz w:val="22"/>
              </w:rPr>
            </w:pPr>
            <w:r>
              <w:rPr>
                <w:rFonts w:cs="Times New Roman"/>
                <w:b/>
                <w:bCs/>
                <w:sz w:val="22"/>
                <w:lang w:val="de-DE"/>
              </w:rPr>
              <w:t>Revision</w:t>
            </w:r>
          </w:p>
        </w:tc>
        <w:tc>
          <w:tcPr>
            <w:tcW w:w="722" w:type="pct"/>
          </w:tcPr>
          <w:p w14:paraId="50A5C536" w14:textId="77777777" w:rsidR="00601F87" w:rsidRPr="009461CC" w:rsidRDefault="00601F87" w:rsidP="00293453">
            <w:pPr>
              <w:spacing w:after="0" w:afterAutospacing="0"/>
              <w:rPr>
                <w:rFonts w:cs="Times New Roman"/>
                <w:b/>
                <w:sz w:val="22"/>
              </w:rPr>
            </w:pPr>
            <w:r>
              <w:rPr>
                <w:rFonts w:cs="Times New Roman"/>
                <w:b/>
                <w:bCs/>
                <w:sz w:val="22"/>
                <w:lang w:val="de-DE"/>
              </w:rPr>
              <w:t>Ausgabedatum</w:t>
            </w:r>
          </w:p>
        </w:tc>
        <w:tc>
          <w:tcPr>
            <w:tcW w:w="2310" w:type="pct"/>
          </w:tcPr>
          <w:p w14:paraId="028B7F50" w14:textId="77777777" w:rsidR="00601F87" w:rsidRPr="009461CC" w:rsidRDefault="00601F87" w:rsidP="00293453">
            <w:pPr>
              <w:spacing w:after="0" w:afterAutospacing="0"/>
              <w:rPr>
                <w:rFonts w:cs="Times New Roman"/>
                <w:b/>
                <w:sz w:val="22"/>
              </w:rPr>
            </w:pPr>
            <w:r>
              <w:rPr>
                <w:rFonts w:cs="Times New Roman"/>
                <w:b/>
                <w:bCs/>
                <w:sz w:val="22"/>
                <w:lang w:val="de-DE"/>
              </w:rPr>
              <w:t>Beschreibung ändern</w:t>
            </w:r>
          </w:p>
        </w:tc>
        <w:tc>
          <w:tcPr>
            <w:tcW w:w="1393" w:type="pct"/>
          </w:tcPr>
          <w:p w14:paraId="3C9FD99C" w14:textId="77777777" w:rsidR="00601F87" w:rsidRPr="00BD0745" w:rsidRDefault="00601F87" w:rsidP="00293453">
            <w:pPr>
              <w:spacing w:after="0" w:afterAutospacing="0"/>
              <w:rPr>
                <w:rFonts w:cs="Times New Roman"/>
                <w:b/>
                <w:sz w:val="22"/>
                <w:lang w:val="de-DE"/>
              </w:rPr>
            </w:pPr>
            <w:r>
              <w:rPr>
                <w:rFonts w:cs="Times New Roman"/>
                <w:b/>
                <w:bCs/>
                <w:sz w:val="22"/>
                <w:lang w:val="de-DE"/>
              </w:rPr>
              <w:t>Revision von der benannten Stelle validiert?</w:t>
            </w:r>
          </w:p>
        </w:tc>
      </w:tr>
      <w:tr w:rsidR="00601F87" w:rsidRPr="009461CC" w14:paraId="16EC10C7" w14:textId="77777777" w:rsidTr="00293453">
        <w:tc>
          <w:tcPr>
            <w:tcW w:w="575" w:type="pct"/>
          </w:tcPr>
          <w:p w14:paraId="58BC1E5F" w14:textId="77777777" w:rsidR="00601F87" w:rsidRPr="009461CC" w:rsidRDefault="00601F87" w:rsidP="00293453">
            <w:pPr>
              <w:spacing w:after="0" w:afterAutospacing="0"/>
              <w:rPr>
                <w:rFonts w:cs="Times New Roman"/>
                <w:sz w:val="22"/>
              </w:rPr>
            </w:pPr>
            <w:r>
              <w:rPr>
                <w:rFonts w:cs="Times New Roman"/>
                <w:sz w:val="22"/>
                <w:lang w:val="de-DE"/>
              </w:rPr>
              <w:t>A</w:t>
            </w:r>
          </w:p>
        </w:tc>
        <w:tc>
          <w:tcPr>
            <w:tcW w:w="722" w:type="pct"/>
          </w:tcPr>
          <w:p w14:paraId="6A81A9AF" w14:textId="71A1E241" w:rsidR="00601F87" w:rsidRPr="009461CC" w:rsidRDefault="002069F1" w:rsidP="00293453">
            <w:pPr>
              <w:spacing w:after="0" w:afterAutospacing="0"/>
              <w:rPr>
                <w:rFonts w:cs="Times New Roman"/>
                <w:iCs/>
                <w:sz w:val="22"/>
              </w:rPr>
            </w:pPr>
            <w:r>
              <w:rPr>
                <w:rFonts w:cs="Times New Roman"/>
                <w:sz w:val="22"/>
                <w:lang w:val="de-DE"/>
              </w:rPr>
              <w:t>22. Mai 2022</w:t>
            </w:r>
          </w:p>
        </w:tc>
        <w:tc>
          <w:tcPr>
            <w:tcW w:w="2310" w:type="pct"/>
          </w:tcPr>
          <w:p w14:paraId="0B577D70" w14:textId="77777777" w:rsidR="00601F87" w:rsidRPr="00BD0745" w:rsidRDefault="00601F87" w:rsidP="00293453">
            <w:pPr>
              <w:spacing w:after="0" w:afterAutospacing="0"/>
              <w:rPr>
                <w:rFonts w:cs="Times New Roman"/>
                <w:sz w:val="22"/>
                <w:lang w:val="de-DE"/>
              </w:rPr>
            </w:pPr>
            <w:r>
              <w:rPr>
                <w:rFonts w:cs="Times New Roman"/>
                <w:sz w:val="22"/>
                <w:lang w:val="de-DE"/>
              </w:rPr>
              <w:t>Erste interne Freigabe – Nicht vom BSI validiert</w:t>
            </w:r>
          </w:p>
        </w:tc>
        <w:tc>
          <w:tcPr>
            <w:tcW w:w="1393" w:type="pct"/>
          </w:tcPr>
          <w:p w14:paraId="3673E384" w14:textId="77777777" w:rsidR="00601F87" w:rsidRPr="009461CC" w:rsidRDefault="00000000" w:rsidP="00293453">
            <w:pPr>
              <w:spacing w:after="0" w:afterAutospacing="0"/>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452AAB">
                  <w:rPr>
                    <w:rFonts w:ascii="Segoe UI Symbol" w:eastAsia="MS Gothic" w:hAnsi="Segoe UI Symbol" w:cs="Segoe UI Symbol"/>
                    <w:sz w:val="22"/>
                    <w:lang w:val="de-DE"/>
                  </w:rPr>
                  <w:t>☒</w:t>
                </w:r>
              </w:sdtContent>
            </w:sdt>
            <w:r w:rsidR="00452AAB">
              <w:rPr>
                <w:rFonts w:eastAsia="MS Gothic"/>
                <w:sz w:val="22"/>
                <w:lang w:val="de-DE"/>
              </w:rPr>
              <w:t xml:space="preserve"> Nur zur internen Verwendung</w:t>
            </w:r>
          </w:p>
        </w:tc>
      </w:tr>
      <w:tr w:rsidR="00601F87" w:rsidRPr="00E064BB" w14:paraId="253ED939" w14:textId="77777777" w:rsidTr="00293453">
        <w:tc>
          <w:tcPr>
            <w:tcW w:w="575" w:type="pct"/>
          </w:tcPr>
          <w:p w14:paraId="794C6341" w14:textId="77777777" w:rsidR="00601F87" w:rsidRPr="009461CC" w:rsidRDefault="00601F87" w:rsidP="00293453">
            <w:pPr>
              <w:spacing w:after="0" w:afterAutospacing="0"/>
              <w:rPr>
                <w:rFonts w:cs="Times New Roman"/>
                <w:sz w:val="22"/>
              </w:rPr>
            </w:pPr>
            <w:r>
              <w:rPr>
                <w:rFonts w:cs="Times New Roman"/>
                <w:sz w:val="22"/>
                <w:lang w:val="de-DE"/>
              </w:rPr>
              <w:t xml:space="preserve">B </w:t>
            </w:r>
          </w:p>
        </w:tc>
        <w:tc>
          <w:tcPr>
            <w:tcW w:w="722" w:type="pct"/>
          </w:tcPr>
          <w:p w14:paraId="4E93CA05" w14:textId="47A5412E" w:rsidR="00601F87" w:rsidRPr="009461CC" w:rsidRDefault="00624761" w:rsidP="00293453">
            <w:pPr>
              <w:spacing w:after="0" w:afterAutospacing="0"/>
              <w:rPr>
                <w:rFonts w:cs="Times New Roman"/>
                <w:iCs/>
                <w:sz w:val="22"/>
              </w:rPr>
            </w:pPr>
            <w:r>
              <w:rPr>
                <w:rFonts w:cs="Times New Roman"/>
                <w:sz w:val="22"/>
                <w:lang w:val="de-DE"/>
              </w:rPr>
              <w:t xml:space="preserve">15. Dezember 2025 </w:t>
            </w:r>
          </w:p>
          <w:p w14:paraId="76ECF0BB" w14:textId="21F4F941" w:rsidR="00601F87" w:rsidRPr="009461CC" w:rsidRDefault="00601F87" w:rsidP="00293453">
            <w:pPr>
              <w:spacing w:after="0" w:afterAutospacing="0"/>
              <w:rPr>
                <w:rFonts w:cs="Times New Roman"/>
                <w:iCs/>
                <w:sz w:val="22"/>
              </w:rPr>
            </w:pPr>
          </w:p>
        </w:tc>
        <w:tc>
          <w:tcPr>
            <w:tcW w:w="2310" w:type="pct"/>
          </w:tcPr>
          <w:p w14:paraId="7ADC2C3E" w14:textId="77777777" w:rsidR="00601F87" w:rsidRPr="00BD0745" w:rsidRDefault="00601F87" w:rsidP="00293453">
            <w:pPr>
              <w:spacing w:after="0" w:afterAutospacing="0"/>
              <w:rPr>
                <w:rFonts w:cs="Times New Roman"/>
                <w:sz w:val="22"/>
                <w:lang w:val="de-DE"/>
              </w:rPr>
            </w:pPr>
            <w:r>
              <w:rPr>
                <w:rFonts w:cs="Times New Roman"/>
                <w:sz w:val="22"/>
                <w:lang w:val="de-DE"/>
              </w:rPr>
              <w:t>Erste Einreichung beim BSI zur Überprüfung</w:t>
            </w:r>
          </w:p>
          <w:p w14:paraId="17842BBC" w14:textId="53FA9776" w:rsidR="00601F87" w:rsidRPr="00BD0745" w:rsidRDefault="00601F87" w:rsidP="00293453">
            <w:pPr>
              <w:spacing w:after="0" w:afterAutospacing="0"/>
              <w:rPr>
                <w:rFonts w:cs="Times New Roman"/>
                <w:sz w:val="22"/>
                <w:lang w:val="de-DE"/>
              </w:rPr>
            </w:pPr>
            <w:r>
              <w:rPr>
                <w:rFonts w:cs="Times New Roman"/>
                <w:sz w:val="22"/>
                <w:lang w:val="de-DE"/>
              </w:rPr>
              <w:t xml:space="preserve"> </w:t>
            </w:r>
          </w:p>
        </w:tc>
        <w:tc>
          <w:tcPr>
            <w:tcW w:w="1393" w:type="pct"/>
          </w:tcPr>
          <w:p w14:paraId="0FC9FC92" w14:textId="465431A0" w:rsidR="006D6EA3" w:rsidRPr="00BD0745" w:rsidRDefault="00000000" w:rsidP="006D6EA3">
            <w:pPr>
              <w:spacing w:after="0" w:afterAutospacing="0"/>
              <w:rPr>
                <w:rFonts w:cs="Times New Roman"/>
                <w:sz w:val="22"/>
                <w:lang w:val="de-DE"/>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452AAB">
                  <w:rPr>
                    <w:rFonts w:ascii="Segoe UI Symbol" w:eastAsia="MS Gothic" w:hAnsi="Segoe UI Symbol" w:cs="Segoe UI Symbol"/>
                    <w:sz w:val="22"/>
                    <w:lang w:val="de-DE"/>
                  </w:rPr>
                  <w:t>☒</w:t>
                </w:r>
              </w:sdtContent>
            </w:sdt>
            <w:r w:rsidR="00452AAB">
              <w:rPr>
                <w:rFonts w:eastAsia="MS Gothic"/>
                <w:sz w:val="22"/>
                <w:lang w:val="de-DE"/>
              </w:rPr>
              <w:t xml:space="preserve"> Ja </w:t>
            </w:r>
          </w:p>
          <w:p w14:paraId="52EB2E13" w14:textId="77777777" w:rsidR="006D6EA3" w:rsidRPr="00BD0745" w:rsidRDefault="006D6EA3" w:rsidP="006D6EA3">
            <w:pPr>
              <w:spacing w:after="0" w:afterAutospacing="0"/>
              <w:rPr>
                <w:rFonts w:cs="Times New Roman"/>
                <w:sz w:val="22"/>
                <w:lang w:val="de-DE"/>
              </w:rPr>
            </w:pPr>
            <w:r>
              <w:rPr>
                <w:rFonts w:cs="Times New Roman"/>
                <w:sz w:val="22"/>
                <w:lang w:val="de-DE"/>
              </w:rPr>
              <w:t xml:space="preserve">Validierungssprache: </w:t>
            </w:r>
          </w:p>
          <w:p w14:paraId="293F45BE" w14:textId="789551FE" w:rsidR="00CA46B0" w:rsidRPr="00BD0745" w:rsidRDefault="006D6EA3" w:rsidP="006D6EA3">
            <w:pPr>
              <w:spacing w:after="0" w:afterAutospacing="0"/>
              <w:rPr>
                <w:rFonts w:cs="Times New Roman"/>
                <w:sz w:val="22"/>
                <w:lang w:val="de-DE"/>
              </w:rPr>
            </w:pPr>
            <w:r>
              <w:rPr>
                <w:rFonts w:cs="Times New Roman"/>
                <w:sz w:val="22"/>
                <w:lang w:val="de-DE"/>
              </w:rPr>
              <w:t>Deutsch</w:t>
            </w:r>
          </w:p>
          <w:p w14:paraId="2C6B2388" w14:textId="1ACEBA92" w:rsidR="00601F87" w:rsidRPr="00BD0745" w:rsidRDefault="006D6EA3" w:rsidP="006D6EA3">
            <w:pPr>
              <w:spacing w:after="0" w:afterAutospacing="0"/>
              <w:rPr>
                <w:rFonts w:cs="Times New Roman"/>
                <w:sz w:val="22"/>
                <w:highlight w:val="yellow"/>
                <w:lang w:val="de-DE"/>
              </w:rPr>
            </w:pPr>
            <w:r>
              <w:rPr>
                <w:rFonts w:ascii="Segoe UI Symbol" w:hAnsi="Segoe UI Symbol"/>
                <w:sz w:val="22"/>
                <w:lang w:val="de-DE"/>
              </w:rPr>
              <w:t>☐</w:t>
            </w:r>
            <w:r>
              <w:rPr>
                <w:sz w:val="22"/>
                <w:lang w:val="de-DE"/>
              </w:rPr>
              <w:t xml:space="preserve"> Nein (gilt nur für Produkte der Klasse IIa oder einige Produkte der Klasse IIb, für die das SSCP-Dokument [Zusammenfassung der Sicherheit und klinischen Leistung] noch nicht von der </w:t>
            </w:r>
            <w:r>
              <w:rPr>
                <w:sz w:val="22"/>
                <w:lang w:val="de-DE"/>
              </w:rPr>
              <w:lastRenderedPageBreak/>
              <w:t xml:space="preserve">benannten Stelle validiert </w:t>
            </w:r>
            <w:r w:rsidR="00E064BB">
              <w:rPr>
                <w:sz w:val="22"/>
                <w:lang w:val="de-DE"/>
              </w:rPr>
              <w:t xml:space="preserve">(NB) </w:t>
            </w:r>
            <w:r>
              <w:rPr>
                <w:sz w:val="22"/>
                <w:lang w:val="de-DE"/>
              </w:rPr>
              <w:t>wurde)</w:t>
            </w:r>
          </w:p>
        </w:tc>
      </w:tr>
    </w:tbl>
    <w:p w14:paraId="05B94FC3" w14:textId="73ABFCCD" w:rsidR="00601F87" w:rsidRPr="00BD0745" w:rsidRDefault="00601F87" w:rsidP="00601F87">
      <w:pPr>
        <w:tabs>
          <w:tab w:val="left" w:pos="3633"/>
        </w:tabs>
        <w:rPr>
          <w:rFonts w:cs="Times New Roman"/>
          <w:lang w:val="de-DE"/>
        </w:rPr>
      </w:pPr>
    </w:p>
    <w:sectPr w:rsidR="00601F87" w:rsidRPr="00BD0745" w:rsidSect="008018FA">
      <w:headerReference w:type="even" r:id="rId31"/>
      <w:headerReference w:type="default" r:id="rId32"/>
      <w:footerReference w:type="even" r:id="rId33"/>
      <w:footerReference w:type="default" r:id="rId34"/>
      <w:headerReference w:type="first" r:id="rId35"/>
      <w:footerReference w:type="first" r:id="rId36"/>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F594" w14:textId="77777777" w:rsidR="00667CC5" w:rsidRDefault="00667CC5" w:rsidP="009855C3">
      <w:r>
        <w:separator/>
      </w:r>
    </w:p>
  </w:endnote>
  <w:endnote w:type="continuationSeparator" w:id="0">
    <w:p w14:paraId="38245FFE" w14:textId="77777777" w:rsidR="00667CC5" w:rsidRDefault="00667CC5"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2497" w14:textId="77777777" w:rsidR="00CD6EF2" w:rsidRDefault="00CD6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BD0745" w:rsidRDefault="003036AD" w:rsidP="009855C3">
    <w:pPr>
      <w:pStyle w:val="Footer"/>
      <w:rPr>
        <w:szCs w:val="24"/>
        <w:lang w:val="de-DE"/>
      </w:rPr>
    </w:pPr>
    <w:r>
      <w:rPr>
        <w:b/>
        <w:bCs/>
        <w:sz w:val="18"/>
        <w:szCs w:val="18"/>
        <w:lang w:val="de-DE"/>
      </w:rPr>
      <w:t>CAQ-QA-025-F1 Rev. G: Zusammenfassung der Sicherheit und klinischen Leistung (SSCP)</w:t>
    </w:r>
    <w:r>
      <w:rPr>
        <w:lang w:val="de-DE"/>
      </w:rPr>
      <w:t xml:space="preserve"> </w:t>
    </w:r>
    <w:r>
      <w:rPr>
        <w:lang w:val="de-DE"/>
      </w:rPr>
      <w:tab/>
      <w:t xml:space="preserve">Seite </w:t>
    </w:r>
    <w:r>
      <w:rPr>
        <w:lang w:val="de-DE"/>
      </w:rPr>
      <w:fldChar w:fldCharType="begin"/>
    </w:r>
    <w:r>
      <w:rPr>
        <w:lang w:val="de-DE"/>
      </w:rPr>
      <w:instrText xml:space="preserve"> PAGE  \* Arabic </w:instrText>
    </w:r>
    <w:r>
      <w:rPr>
        <w:lang w:val="de-DE"/>
      </w:rPr>
      <w:fldChar w:fldCharType="separate"/>
    </w:r>
    <w:r>
      <w:rPr>
        <w:lang w:val="de-DE"/>
      </w:rPr>
      <w:t>0</w:t>
    </w:r>
    <w:r>
      <w:rPr>
        <w:lang w:val="de-DE"/>
      </w:rPr>
      <w:fldChar w:fldCharType="end"/>
    </w:r>
    <w:r>
      <w:rPr>
        <w:lang w:val="de-DE"/>
      </w:rPr>
      <w:t xml:space="preserve"> von </w:t>
    </w:r>
    <w:r>
      <w:fldChar w:fldCharType="begin"/>
    </w:r>
    <w:r w:rsidRPr="00BD0745">
      <w:rPr>
        <w:lang w:val="de-DE"/>
      </w:rPr>
      <w:instrText xml:space="preserve"> NUMPAGES  </w:instrText>
    </w:r>
    <w:r>
      <w:fldChar w:fldCharType="separate"/>
    </w:r>
    <w:r>
      <w:rPr>
        <w:lang w:val="de-DE"/>
      </w:rPr>
      <w:t>12</w:t>
    </w:r>
    <w:r>
      <w:rPr>
        <w:lang w:val="de-DE"/>
      </w:rPr>
      <w:fldChar w:fldCharType="end"/>
    </w:r>
    <w:r>
      <w:rPr>
        <w:lang w:val="de-DE"/>
      </w:rPr>
      <w:t xml:space="preserve">  </w:t>
    </w:r>
    <w:r>
      <w:rPr>
        <w:lang w:val="de-DE"/>
      </w:rPr>
      <w:tab/>
    </w:r>
    <w:r>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C275" w14:textId="77777777" w:rsidR="00CD6EF2" w:rsidRDefault="00CD6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D8422" w14:textId="77777777" w:rsidR="00667CC5" w:rsidRDefault="00667CC5" w:rsidP="009855C3">
      <w:r>
        <w:separator/>
      </w:r>
    </w:p>
  </w:footnote>
  <w:footnote w:type="continuationSeparator" w:id="0">
    <w:p w14:paraId="32DDBFC0" w14:textId="77777777" w:rsidR="00667CC5" w:rsidRDefault="00667CC5"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5D29" w14:textId="77777777" w:rsidR="00CD6EF2" w:rsidRDefault="00CD6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14:paraId="7E46E4C7" w14:textId="77777777" w:rsidTr="00B62140">
      <w:tc>
        <w:tcPr>
          <w:tcW w:w="3080" w:type="dxa"/>
        </w:tcPr>
        <w:p w14:paraId="184F2588" w14:textId="6EABB2E0" w:rsidR="00B62140" w:rsidRDefault="00B62140" w:rsidP="00B62140">
          <w:pPr>
            <w:pStyle w:val="Header"/>
            <w:jc w:val="left"/>
          </w:pPr>
          <w:r>
            <w:rPr>
              <w:noProof/>
              <w:lang w:val="de-DE"/>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FD2F93" w:rsidRDefault="005450DC" w:rsidP="005450DC">
          <w:pPr>
            <w:spacing w:after="0" w:afterAutospacing="0"/>
            <w:rPr>
              <w:rFonts w:ascii="Arial" w:hAnsi="Arial" w:cs="Arial"/>
              <w:b/>
              <w:bCs/>
              <w:sz w:val="28"/>
              <w:szCs w:val="28"/>
              <w:lang w:val="de-DE"/>
            </w:rPr>
          </w:pPr>
          <w:r>
            <w:rPr>
              <w:rFonts w:ascii="Arial" w:hAnsi="Arial" w:cs="Arial"/>
              <w:b/>
              <w:bCs/>
              <w:sz w:val="28"/>
              <w:szCs w:val="28"/>
              <w:lang w:val="de-DE"/>
            </w:rPr>
            <w:t>Zusammenfassung der Sicherheit und klinischen Leistung (SSCP)</w:t>
          </w:r>
        </w:p>
        <w:p w14:paraId="3BB3B2B1" w14:textId="0B7A306D" w:rsidR="009F5769" w:rsidRPr="005450DC" w:rsidRDefault="009F5769" w:rsidP="009F5769">
          <w:pPr>
            <w:spacing w:after="0" w:afterAutospacing="0"/>
            <w:rPr>
              <w:rFonts w:ascii="Arial" w:hAnsi="Arial" w:cs="Arial"/>
              <w:sz w:val="18"/>
              <w:szCs w:val="18"/>
            </w:rPr>
          </w:pPr>
          <w:r w:rsidRPr="00BD0745">
            <w:rPr>
              <w:rFonts w:ascii="Arial" w:hAnsi="Arial" w:cs="Arial"/>
              <w:b/>
              <w:bCs/>
              <w:sz w:val="18"/>
              <w:szCs w:val="18"/>
            </w:rPr>
            <w:t xml:space="preserve">SSCP-0006: </w:t>
          </w:r>
          <w:bookmarkStart w:id="82" w:name="_Hlk196721157"/>
          <w:proofErr w:type="spellStart"/>
          <w:r w:rsidRPr="00BD0745">
            <w:rPr>
              <w:rFonts w:ascii="Arial" w:hAnsi="Arial" w:cs="Arial"/>
              <w:sz w:val="18"/>
              <w:szCs w:val="18"/>
            </w:rPr>
            <w:t>Atrieve</w:t>
          </w:r>
          <w:proofErr w:type="spellEnd"/>
          <w:r w:rsidRPr="00BD0745">
            <w:rPr>
              <w:rFonts w:ascii="Arial" w:hAnsi="Arial" w:cs="Arial"/>
              <w:sz w:val="18"/>
              <w:szCs w:val="18"/>
            </w:rPr>
            <w:t xml:space="preserve"> Vascular Snare Kit</w:t>
          </w:r>
          <w:bookmarkEnd w:id="82"/>
        </w:p>
        <w:p w14:paraId="32066318" w14:textId="5996CDC6" w:rsidR="005450DC" w:rsidRPr="005450DC" w:rsidRDefault="005450DC" w:rsidP="005450DC">
          <w:pPr>
            <w:spacing w:after="0" w:afterAutospacing="0"/>
            <w:rPr>
              <w:rFonts w:ascii="Arial" w:hAnsi="Arial" w:cs="Arial"/>
              <w:sz w:val="18"/>
              <w:szCs w:val="18"/>
            </w:rPr>
          </w:pPr>
          <w:r w:rsidRPr="00BD0745">
            <w:rPr>
              <w:rFonts w:ascii="Arial" w:hAnsi="Arial" w:cs="Arial"/>
              <w:sz w:val="18"/>
              <w:szCs w:val="18"/>
            </w:rPr>
            <w:t>Revision: B</w:t>
          </w:r>
        </w:p>
        <w:p w14:paraId="2F5F8390" w14:textId="0ABFBBD1" w:rsidR="005450DC" w:rsidRPr="00B62140" w:rsidRDefault="005450DC" w:rsidP="005450DC">
          <w:pPr>
            <w:pStyle w:val="Header"/>
            <w:jc w:val="left"/>
            <w:rPr>
              <w:rFonts w:ascii="Arial" w:hAnsi="Arial" w:cs="Arial"/>
              <w:sz w:val="18"/>
            </w:rPr>
          </w:pPr>
          <w:r>
            <w:rPr>
              <w:rFonts w:ascii="Calibri" w:eastAsiaTheme="minorHAnsi" w:hAnsi="Calibri" w:cs="Calibri"/>
              <w:sz w:val="18"/>
              <w:szCs w:val="18"/>
              <w:lang w:val="de-DE"/>
            </w:rPr>
            <w:t>Argon-Standort: Alle Standorte</w:t>
          </w:r>
        </w:p>
      </w:tc>
    </w:tr>
  </w:tbl>
  <w:p w14:paraId="0BD58B4F" w14:textId="7DA38D57" w:rsidR="00B62140" w:rsidRDefault="00B62140" w:rsidP="00B62140">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74AA" w14:textId="77777777" w:rsidR="00CD6EF2" w:rsidRDefault="00CD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67B6"/>
    <w:rsid w:val="00017BF4"/>
    <w:rsid w:val="00021D6F"/>
    <w:rsid w:val="00021E83"/>
    <w:rsid w:val="0002755B"/>
    <w:rsid w:val="00034879"/>
    <w:rsid w:val="000379B4"/>
    <w:rsid w:val="00042B91"/>
    <w:rsid w:val="0004351F"/>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E9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057A3"/>
    <w:rsid w:val="00113A33"/>
    <w:rsid w:val="001209D7"/>
    <w:rsid w:val="00120DD8"/>
    <w:rsid w:val="00122999"/>
    <w:rsid w:val="00125511"/>
    <w:rsid w:val="00125D9F"/>
    <w:rsid w:val="00142B70"/>
    <w:rsid w:val="00142D15"/>
    <w:rsid w:val="001440E1"/>
    <w:rsid w:val="001475A8"/>
    <w:rsid w:val="00147855"/>
    <w:rsid w:val="00151F01"/>
    <w:rsid w:val="001533A4"/>
    <w:rsid w:val="00154AAA"/>
    <w:rsid w:val="00155220"/>
    <w:rsid w:val="0015690A"/>
    <w:rsid w:val="00156CF3"/>
    <w:rsid w:val="00162917"/>
    <w:rsid w:val="00162923"/>
    <w:rsid w:val="00165A00"/>
    <w:rsid w:val="001861C6"/>
    <w:rsid w:val="00187CF5"/>
    <w:rsid w:val="001919D6"/>
    <w:rsid w:val="00191ED2"/>
    <w:rsid w:val="001A3916"/>
    <w:rsid w:val="001A7EA5"/>
    <w:rsid w:val="001B400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2170"/>
    <w:rsid w:val="00226C45"/>
    <w:rsid w:val="002277B9"/>
    <w:rsid w:val="00230011"/>
    <w:rsid w:val="002351E5"/>
    <w:rsid w:val="00235AAE"/>
    <w:rsid w:val="002364E2"/>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663A1"/>
    <w:rsid w:val="0037316E"/>
    <w:rsid w:val="00375370"/>
    <w:rsid w:val="0037599D"/>
    <w:rsid w:val="00375CFE"/>
    <w:rsid w:val="00376A92"/>
    <w:rsid w:val="00380316"/>
    <w:rsid w:val="00383678"/>
    <w:rsid w:val="00384B21"/>
    <w:rsid w:val="003859AF"/>
    <w:rsid w:val="003859DA"/>
    <w:rsid w:val="00386F47"/>
    <w:rsid w:val="003912E5"/>
    <w:rsid w:val="00394151"/>
    <w:rsid w:val="003951DC"/>
    <w:rsid w:val="00395788"/>
    <w:rsid w:val="00395FDB"/>
    <w:rsid w:val="003966BD"/>
    <w:rsid w:val="00397AE0"/>
    <w:rsid w:val="003A26B9"/>
    <w:rsid w:val="003A3A2E"/>
    <w:rsid w:val="003A3DB1"/>
    <w:rsid w:val="003B4C77"/>
    <w:rsid w:val="003B5B28"/>
    <w:rsid w:val="003B70D7"/>
    <w:rsid w:val="003D4104"/>
    <w:rsid w:val="003D63DA"/>
    <w:rsid w:val="003E5476"/>
    <w:rsid w:val="003F2EB4"/>
    <w:rsid w:val="003F3F3C"/>
    <w:rsid w:val="003F5F86"/>
    <w:rsid w:val="004065D7"/>
    <w:rsid w:val="004235A7"/>
    <w:rsid w:val="004263BF"/>
    <w:rsid w:val="0043056A"/>
    <w:rsid w:val="004329F3"/>
    <w:rsid w:val="00433305"/>
    <w:rsid w:val="0043630C"/>
    <w:rsid w:val="00441215"/>
    <w:rsid w:val="0044138A"/>
    <w:rsid w:val="00442087"/>
    <w:rsid w:val="004430BE"/>
    <w:rsid w:val="00446152"/>
    <w:rsid w:val="004466ED"/>
    <w:rsid w:val="00452AAB"/>
    <w:rsid w:val="00453251"/>
    <w:rsid w:val="00453B44"/>
    <w:rsid w:val="00454296"/>
    <w:rsid w:val="004553D9"/>
    <w:rsid w:val="00465F4B"/>
    <w:rsid w:val="00466071"/>
    <w:rsid w:val="00466981"/>
    <w:rsid w:val="004673EB"/>
    <w:rsid w:val="00467CD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0FC"/>
    <w:rsid w:val="00493B5B"/>
    <w:rsid w:val="00495F6C"/>
    <w:rsid w:val="004A0035"/>
    <w:rsid w:val="004A2596"/>
    <w:rsid w:val="004A4063"/>
    <w:rsid w:val="004A4D87"/>
    <w:rsid w:val="004B30A3"/>
    <w:rsid w:val="004B4929"/>
    <w:rsid w:val="004C0D7F"/>
    <w:rsid w:val="004C12F0"/>
    <w:rsid w:val="004C73EF"/>
    <w:rsid w:val="004D77A4"/>
    <w:rsid w:val="004D7A94"/>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BDA"/>
    <w:rsid w:val="00533C0A"/>
    <w:rsid w:val="00534596"/>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C642C"/>
    <w:rsid w:val="005C6A90"/>
    <w:rsid w:val="005D00E4"/>
    <w:rsid w:val="005D04DF"/>
    <w:rsid w:val="005D3210"/>
    <w:rsid w:val="005D41AF"/>
    <w:rsid w:val="005D424F"/>
    <w:rsid w:val="005D4A52"/>
    <w:rsid w:val="005D7627"/>
    <w:rsid w:val="005D7D43"/>
    <w:rsid w:val="005E76F6"/>
    <w:rsid w:val="005F1F10"/>
    <w:rsid w:val="005F2B16"/>
    <w:rsid w:val="00601F73"/>
    <w:rsid w:val="00601F87"/>
    <w:rsid w:val="00602115"/>
    <w:rsid w:val="006027B7"/>
    <w:rsid w:val="00607046"/>
    <w:rsid w:val="00612216"/>
    <w:rsid w:val="00612BE6"/>
    <w:rsid w:val="00614E9F"/>
    <w:rsid w:val="00616ADF"/>
    <w:rsid w:val="00620D8F"/>
    <w:rsid w:val="00622C5B"/>
    <w:rsid w:val="00623CC6"/>
    <w:rsid w:val="00624761"/>
    <w:rsid w:val="006266F5"/>
    <w:rsid w:val="00634E28"/>
    <w:rsid w:val="00647A09"/>
    <w:rsid w:val="0065086A"/>
    <w:rsid w:val="006517A0"/>
    <w:rsid w:val="006524A2"/>
    <w:rsid w:val="00667CC5"/>
    <w:rsid w:val="00674185"/>
    <w:rsid w:val="00683D4A"/>
    <w:rsid w:val="00686D39"/>
    <w:rsid w:val="00687390"/>
    <w:rsid w:val="00692CDD"/>
    <w:rsid w:val="0069398D"/>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791"/>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42BD"/>
    <w:rsid w:val="008002AB"/>
    <w:rsid w:val="008018FA"/>
    <w:rsid w:val="0080432B"/>
    <w:rsid w:val="00804949"/>
    <w:rsid w:val="00805DD8"/>
    <w:rsid w:val="008103FA"/>
    <w:rsid w:val="008170F8"/>
    <w:rsid w:val="0083288A"/>
    <w:rsid w:val="00832C94"/>
    <w:rsid w:val="00832EBC"/>
    <w:rsid w:val="008373C6"/>
    <w:rsid w:val="0084795E"/>
    <w:rsid w:val="00861A54"/>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DA2"/>
    <w:rsid w:val="008C5C2C"/>
    <w:rsid w:val="008C7623"/>
    <w:rsid w:val="008C78ED"/>
    <w:rsid w:val="008D7F1C"/>
    <w:rsid w:val="008F6E85"/>
    <w:rsid w:val="00900933"/>
    <w:rsid w:val="0090367B"/>
    <w:rsid w:val="00905F56"/>
    <w:rsid w:val="00906FBD"/>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09A"/>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212B"/>
    <w:rsid w:val="00AE2B73"/>
    <w:rsid w:val="00AE5A46"/>
    <w:rsid w:val="00AF2584"/>
    <w:rsid w:val="00B0012D"/>
    <w:rsid w:val="00B01620"/>
    <w:rsid w:val="00B0256A"/>
    <w:rsid w:val="00B04139"/>
    <w:rsid w:val="00B06F88"/>
    <w:rsid w:val="00B07777"/>
    <w:rsid w:val="00B10833"/>
    <w:rsid w:val="00B1087D"/>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36B1"/>
    <w:rsid w:val="00BB79B1"/>
    <w:rsid w:val="00BC0CE0"/>
    <w:rsid w:val="00BC3DD7"/>
    <w:rsid w:val="00BD0745"/>
    <w:rsid w:val="00BD1913"/>
    <w:rsid w:val="00BD7F46"/>
    <w:rsid w:val="00BE0727"/>
    <w:rsid w:val="00BE09C5"/>
    <w:rsid w:val="00BE3D15"/>
    <w:rsid w:val="00BE492F"/>
    <w:rsid w:val="00BE7E3B"/>
    <w:rsid w:val="00BF53FD"/>
    <w:rsid w:val="00BF7DE6"/>
    <w:rsid w:val="00C00243"/>
    <w:rsid w:val="00C01A53"/>
    <w:rsid w:val="00C0200E"/>
    <w:rsid w:val="00C02BC0"/>
    <w:rsid w:val="00C134BC"/>
    <w:rsid w:val="00C13612"/>
    <w:rsid w:val="00C1549E"/>
    <w:rsid w:val="00C16423"/>
    <w:rsid w:val="00C16D85"/>
    <w:rsid w:val="00C234FB"/>
    <w:rsid w:val="00C3050A"/>
    <w:rsid w:val="00C361CA"/>
    <w:rsid w:val="00C3745E"/>
    <w:rsid w:val="00C46C3A"/>
    <w:rsid w:val="00C47B0F"/>
    <w:rsid w:val="00C47F1B"/>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600D7"/>
    <w:rsid w:val="00D62E8E"/>
    <w:rsid w:val="00D63EAA"/>
    <w:rsid w:val="00D64EA5"/>
    <w:rsid w:val="00D75384"/>
    <w:rsid w:val="00D75D87"/>
    <w:rsid w:val="00D760D8"/>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050AA"/>
    <w:rsid w:val="00E064BB"/>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74722"/>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958F0"/>
    <w:rsid w:val="00FA1D26"/>
    <w:rsid w:val="00FB05F7"/>
    <w:rsid w:val="00FB0A38"/>
    <w:rsid w:val="00FB14AD"/>
    <w:rsid w:val="00FB1FDD"/>
    <w:rsid w:val="00FB59FD"/>
    <w:rsid w:val="00FC52C8"/>
    <w:rsid w:val="00FC5667"/>
    <w:rsid w:val="00FC6DBB"/>
    <w:rsid w:val="00FD0ECB"/>
    <w:rsid w:val="00FD2F93"/>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BD0745"/>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BD0745"/>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21" Type="http://schemas.openxmlformats.org/officeDocument/2006/relationships/hyperlink" Target="https://www.astm.org/Standards/F1929.ht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3.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4.xml><?xml version="1.0" encoding="utf-8"?>
<ds:datastoreItem xmlns:ds="http://schemas.openxmlformats.org/officeDocument/2006/customXml" ds:itemID="{4DB36AD9-7C49-4C9F-8758-EEFFA6AB49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4980</Words>
  <Characters>28387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25</cp:revision>
  <cp:lastPrinted>2026-02-23T12:16:00Z</cp:lastPrinted>
  <dcterms:created xsi:type="dcterms:W3CDTF">2026-02-23T12:16:00Z</dcterms:created>
  <dcterms:modified xsi:type="dcterms:W3CDTF">2026-02-26T17:18:00Z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