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et"/>
        </w:rPr>
        <mc:AlternateContent>
          <mc:Choice Requires="wps">
            <w:drawing>
              <wp:anchor distT="0" distB="0" distL="114300" distR="114300" simplePos="0" relativeHeight="251659264" behindDoc="0" locked="0" layoutInCell="1" allowOverlap="1" wp14:anchorId="6FC0C8B7" wp14:editId="6DA47034">
                <wp:simplePos x="0" y="0"/>
                <wp:positionH relativeFrom="column">
                  <wp:posOffset>-190500</wp:posOffset>
                </wp:positionH>
                <wp:positionV relativeFrom="paragraph">
                  <wp:posOffset>71755</wp:posOffset>
                </wp:positionV>
                <wp:extent cx="6448425" cy="12096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09675"/>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E91403" w:rsidRDefault="006F0810" w:rsidP="006D00F2">
                            <w:pPr>
                              <w:pStyle w:val="Heading7"/>
                              <w:spacing w:after="0" w:afterAutospacing="0"/>
                              <w:rPr>
                                <w:sz w:val="32"/>
                                <w:szCs w:val="32"/>
                              </w:rPr>
                            </w:pPr>
                            <w:r>
                              <w:rPr>
                                <w:bCs/>
                                <w:sz w:val="32"/>
                                <w:szCs w:val="32"/>
                                <w:lang w:val="et"/>
                              </w:rPr>
                              <w:t>OHUTUSE JA KLIINILISE TOIMIVUSE KOKKUVÕTE (SSCP)</w:t>
                            </w:r>
                          </w:p>
                          <w:p w14:paraId="0E1996B2" w14:textId="77777777" w:rsidR="005D4A52" w:rsidRDefault="005D4A52" w:rsidP="006D00F2">
                            <w:pPr>
                              <w:pStyle w:val="Heading7"/>
                              <w:spacing w:after="0" w:afterAutospacing="0"/>
                              <w:rPr>
                                <w:sz w:val="32"/>
                                <w:szCs w:val="32"/>
                              </w:rPr>
                            </w:pPr>
                            <w:r>
                              <w:rPr>
                                <w:bCs/>
                                <w:sz w:val="32"/>
                                <w:szCs w:val="32"/>
                                <w:lang w:val="et"/>
                              </w:rPr>
                              <w:t>SSCP-0006</w:t>
                            </w:r>
                          </w:p>
                          <w:p w14:paraId="06B6F153" w14:textId="10E62A6E" w:rsidR="005D4A52" w:rsidRDefault="00F1569C" w:rsidP="006D00F2">
                            <w:pPr>
                              <w:pStyle w:val="Heading7"/>
                              <w:spacing w:after="0" w:afterAutospacing="0"/>
                              <w:rPr>
                                <w:sz w:val="32"/>
                                <w:szCs w:val="32"/>
                              </w:rPr>
                            </w:pPr>
                            <w:r>
                              <w:rPr>
                                <w:bCs/>
                                <w:sz w:val="32"/>
                                <w:szCs w:val="32"/>
                                <w:lang w:val="et"/>
                              </w:rPr>
                              <w:t>Vaskulaarne silmusekomplekt Atrieve™ Snare</w:t>
                            </w:r>
                          </w:p>
                          <w:p w14:paraId="3354BBA5" w14:textId="08AF297F" w:rsidR="005D4A52" w:rsidRPr="005B469C" w:rsidRDefault="005D4A52" w:rsidP="006D00F2">
                            <w:pPr>
                              <w:spacing w:after="0" w:afterAutospacing="0"/>
                              <w:jc w:val="center"/>
                              <w:rPr>
                                <w:b/>
                                <w:bCs/>
                                <w:sz w:val="32"/>
                                <w:szCs w:val="32"/>
                              </w:rPr>
                            </w:pPr>
                            <w:r>
                              <w:rPr>
                                <w:b/>
                                <w:bCs/>
                                <w:sz w:val="32"/>
                                <w:szCs w:val="32"/>
                                <w:lang w:val="et"/>
                              </w:rPr>
                              <w:t>DHF-82248</w:t>
                            </w:r>
                          </w:p>
                          <w:p w14:paraId="3CF39942" w14:textId="77777777" w:rsidR="0005411A" w:rsidRPr="00267292" w:rsidRDefault="0005411A" w:rsidP="009855C3"/>
                          <w:p w14:paraId="684B57C2" w14:textId="77777777" w:rsidR="0005411A" w:rsidRPr="00267292" w:rsidRDefault="0005411A" w:rsidP="009855C3">
                            <w:r>
                              <w:rPr>
                                <w:lang w:val="et"/>
                              </w:rPr>
                              <w:t>[KUUPÄEV]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pt;margin-top:5.65pt;width:507.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" strokeweight="4.5pt">
                <v:stroke linestyle="thinThick"/>
                <v:textbox>
                  <w:txbxContent>
                    <w:p w14:paraId="488C1F47" w14:textId="77777777" w:rsidR="0005411A" w:rsidRPr="00E91403" w:rsidRDefault="006F0810" w:rsidP="006D00F2">
                      <w:pPr>
                        <w:pStyle w:val="Heading7"/>
                        <w:spacing w:after="0" w:afterAutospacing="0"/>
                        <w:rPr>
                          <w:sz w:val="32"/>
                          <w:szCs w:val="32"/>
                        </w:rPr>
                      </w:pPr>
                      <w:r>
                        <w:rPr>
                          <w:bCs/>
                          <w:sz w:val="32"/>
                          <w:szCs w:val="32"/>
                          <w:lang w:val="et"/>
                        </w:rPr>
                        <w:t>OHUTUSE JA KLIINILISE TOIMIVUSE KOKKUVÕTE (SSCP)</w:t>
                      </w:r>
                    </w:p>
                    <w:p w14:paraId="0E1996B2" w14:textId="77777777" w:rsidR="005D4A52" w:rsidRDefault="005D4A52" w:rsidP="006D00F2">
                      <w:pPr>
                        <w:pStyle w:val="Heading7"/>
                        <w:spacing w:after="0" w:afterAutospacing="0"/>
                        <w:rPr>
                          <w:sz w:val="32"/>
                          <w:szCs w:val="32"/>
                        </w:rPr>
                      </w:pPr>
                      <w:r>
                        <w:rPr>
                          <w:bCs/>
                          <w:sz w:val="32"/>
                          <w:szCs w:val="32"/>
                          <w:lang w:val="et"/>
                        </w:rPr>
                        <w:t>SSCP-0006</w:t>
                      </w:r>
                    </w:p>
                    <w:p w14:paraId="06B6F153" w14:textId="10E62A6E" w:rsidR="005D4A52" w:rsidRDefault="00F1569C" w:rsidP="006D00F2">
                      <w:pPr>
                        <w:pStyle w:val="Heading7"/>
                        <w:spacing w:after="0" w:afterAutospacing="0"/>
                        <w:rPr>
                          <w:sz w:val="32"/>
                          <w:szCs w:val="32"/>
                        </w:rPr>
                      </w:pPr>
                      <w:r>
                        <w:rPr>
                          <w:bCs/>
                          <w:sz w:val="32"/>
                          <w:szCs w:val="32"/>
                          <w:lang w:val="et"/>
                        </w:rPr>
                        <w:t>Vaskulaarne silmusekomplekt Atrieve™ Snare</w:t>
                      </w:r>
                    </w:p>
                    <w:p w14:paraId="3354BBA5" w14:textId="08AF297F" w:rsidR="005D4A52" w:rsidRPr="005B469C" w:rsidRDefault="005D4A52" w:rsidP="006D00F2">
                      <w:pPr>
                        <w:spacing w:after="0" w:afterAutospacing="0"/>
                        <w:jc w:val="center"/>
                        <w:rPr>
                          <w:b/>
                          <w:bCs/>
                          <w:sz w:val="32"/>
                          <w:szCs w:val="32"/>
                        </w:rPr>
                      </w:pPr>
                      <w:r>
                        <w:rPr>
                          <w:b/>
                          <w:bCs/>
                          <w:sz w:val="32"/>
                          <w:szCs w:val="32"/>
                          <w:lang w:val="et"/>
                        </w:rPr>
                        <w:t>DHF-82248</w:t>
                      </w:r>
                    </w:p>
                    <w:p w14:paraId="3CF39942" w14:textId="77777777" w:rsidR="0005411A" w:rsidRPr="00267292" w:rsidRDefault="0005411A" w:rsidP="009855C3"/>
                    <w:p w14:paraId="684B57C2" w14:textId="77777777" w:rsidR="0005411A" w:rsidRPr="00267292" w:rsidRDefault="0005411A" w:rsidP="009855C3">
                      <w:r>
                        <w:rPr>
                          <w:lang w:val="et"/>
                        </w:rPr>
                        <w:t>[KUUPÄEV]</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et"/>
        </w:rPr>
        <w:t>Eudamedis avaldamiseks</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36"/>
        <w:gridCol w:w="1817"/>
        <w:gridCol w:w="6996"/>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et"/>
              </w:rPr>
              <w:t>ROLL</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et"/>
              </w:rPr>
              <w:t>OSAKOND</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et"/>
              </w:rPr>
              <w:t>NIMI / AMETINIMETUS</w:t>
            </w:r>
          </w:p>
        </w:tc>
      </w:tr>
      <w:tr w:rsidR="006E0847" w:rsidRPr="00BC0CD8" w14:paraId="45F6CF0D" w14:textId="77777777" w:rsidTr="00283E95">
        <w:trPr>
          <w:trHeight w:val="582"/>
        </w:trPr>
        <w:tc>
          <w:tcPr>
            <w:tcW w:w="1125" w:type="dxa"/>
            <w:tcBorders>
              <w:top w:val="double" w:sz="4" w:space="0" w:color="auto"/>
            </w:tcBorders>
            <w:vAlign w:val="center"/>
          </w:tcPr>
          <w:p w14:paraId="552A4625" w14:textId="77777777" w:rsidR="006E0847" w:rsidRPr="009461CC" w:rsidRDefault="006E0847" w:rsidP="00FC7AAE">
            <w:pPr>
              <w:jc w:val="center"/>
              <w:rPr>
                <w:rFonts w:cs="Times New Roman"/>
                <w:b/>
                <w:szCs w:val="24"/>
              </w:rPr>
            </w:pPr>
            <w:r>
              <w:rPr>
                <w:rFonts w:cs="Times New Roman"/>
                <w:b/>
                <w:bCs/>
                <w:szCs w:val="24"/>
                <w:lang w:val="et"/>
              </w:rPr>
              <w:t>Koostaja</w:t>
            </w:r>
          </w:p>
        </w:tc>
        <w:tc>
          <w:tcPr>
            <w:tcW w:w="1305" w:type="dxa"/>
            <w:tcBorders>
              <w:top w:val="double" w:sz="4" w:space="0" w:color="auto"/>
            </w:tcBorders>
            <w:vAlign w:val="center"/>
          </w:tcPr>
          <w:p w14:paraId="51D1E08B" w14:textId="5374772E" w:rsidR="006E0847" w:rsidRPr="009461CC" w:rsidRDefault="006E0847" w:rsidP="00FC7AAE">
            <w:pPr>
              <w:jc w:val="center"/>
              <w:rPr>
                <w:rFonts w:cs="Times New Roman"/>
                <w:szCs w:val="24"/>
              </w:rPr>
            </w:pPr>
            <w:r>
              <w:rPr>
                <w:rFonts w:cs="Times New Roman"/>
                <w:szCs w:val="24"/>
                <w:lang w:val="et"/>
              </w:rPr>
              <w:t>Õigusküsimused</w:t>
            </w:r>
          </w:p>
        </w:tc>
        <w:tc>
          <w:tcPr>
            <w:tcW w:w="7519" w:type="dxa"/>
            <w:tcBorders>
              <w:top w:val="double" w:sz="4" w:space="0" w:color="auto"/>
            </w:tcBorders>
          </w:tcPr>
          <w:p w14:paraId="360D10DB" w14:textId="77777777" w:rsidR="006E0847" w:rsidRPr="003C53D0" w:rsidRDefault="006E0847" w:rsidP="006E0847">
            <w:pPr>
              <w:spacing w:after="0" w:afterAutospacing="0"/>
              <w:jc w:val="center"/>
              <w:rPr>
                <w:rFonts w:cs="Times New Roman"/>
                <w:szCs w:val="24"/>
                <w:lang w:val="pt-BR"/>
              </w:rPr>
            </w:pPr>
            <w:r>
              <w:rPr>
                <w:rFonts w:cs="Times New Roman"/>
                <w:szCs w:val="24"/>
                <w:lang w:val="et"/>
              </w:rPr>
              <w:t>Nadira Lotus</w:t>
            </w:r>
          </w:p>
          <w:p w14:paraId="7BA00BEF" w14:textId="2E4C5FAD" w:rsidR="006E0847" w:rsidRPr="003C53D0" w:rsidRDefault="006E0847" w:rsidP="006E0847">
            <w:pPr>
              <w:jc w:val="center"/>
              <w:rPr>
                <w:rFonts w:cs="Times New Roman"/>
                <w:szCs w:val="24"/>
                <w:lang w:val="pt-BR"/>
              </w:rPr>
            </w:pPr>
            <w:r>
              <w:rPr>
                <w:rFonts w:cs="Times New Roman"/>
                <w:szCs w:val="24"/>
                <w:lang w:val="et"/>
              </w:rPr>
              <w:t>Juht, turustamisjärgne järelevalve</w:t>
            </w:r>
          </w:p>
        </w:tc>
      </w:tr>
    </w:tbl>
    <w:p w14:paraId="45EA3393" w14:textId="77777777" w:rsidR="00E91403" w:rsidRPr="003C53D0" w:rsidRDefault="00E91403" w:rsidP="00E91403">
      <w:pPr>
        <w:jc w:val="center"/>
        <w:rPr>
          <w:rFonts w:cs="Times New Roman"/>
          <w:b/>
          <w:lang w:val="pt-BR"/>
        </w:rPr>
      </w:pPr>
    </w:p>
    <w:p w14:paraId="3ADE6C89" w14:textId="0496458B" w:rsidR="00E91403" w:rsidRPr="003C53D0" w:rsidRDefault="00E91403" w:rsidP="00E91403">
      <w:pPr>
        <w:tabs>
          <w:tab w:val="center" w:pos="5220"/>
          <w:tab w:val="right" w:pos="10440"/>
        </w:tabs>
        <w:rPr>
          <w:rFonts w:cs="Times New Roman"/>
          <w:b/>
          <w:lang w:val="et"/>
        </w:rPr>
      </w:pPr>
      <w:r>
        <w:rPr>
          <w:rFonts w:cs="Times New Roman"/>
          <w:lang w:val="et"/>
        </w:rPr>
        <w:tab/>
      </w:r>
      <w:r>
        <w:rPr>
          <w:rFonts w:cs="Times New Roman"/>
          <w:b/>
          <w:bCs/>
          <w:lang w:val="et"/>
        </w:rPr>
        <w:t>Allkirjaga kinnitamise tabel</w:t>
      </w:r>
      <w:r>
        <w:rPr>
          <w:rFonts w:cs="Times New Roman"/>
          <w:lang w:val="et"/>
        </w:rPr>
        <w:tab/>
      </w:r>
    </w:p>
    <w:p w14:paraId="01F684E3" w14:textId="77777777" w:rsidR="00E91403" w:rsidRPr="003C53D0" w:rsidRDefault="00E91403" w:rsidP="00E91403">
      <w:pPr>
        <w:spacing w:after="60"/>
        <w:ind w:right="274"/>
        <w:rPr>
          <w:rFonts w:cs="Times New Roman"/>
          <w:sz w:val="20"/>
          <w:szCs w:val="20"/>
          <w:lang w:val="et"/>
        </w:rPr>
      </w:pPr>
      <w:r>
        <w:rPr>
          <w:rFonts w:cs="Times New Roman"/>
          <w:sz w:val="20"/>
          <w:szCs w:val="20"/>
          <w:lang w:val="et"/>
        </w:rPr>
        <w:t>Selle dokumendi peavad üle vaatama ja kinnitama kõik all-loetletud isikud või nende volitatud esindajad.</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3"/>
        <w:gridCol w:w="1430"/>
        <w:gridCol w:w="7316"/>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et"/>
              </w:rPr>
              <w:t>ROLL</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et"/>
              </w:rPr>
              <w:t>OSAKOND</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et"/>
              </w:rPr>
              <w:t>NIMI / AMETINIMETUS</w:t>
            </w:r>
          </w:p>
        </w:tc>
      </w:tr>
      <w:tr w:rsidR="00386F47" w:rsidRPr="009461CC"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et"/>
              </w:rPr>
              <w:t>Kinnitus</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et"/>
              </w:rPr>
              <w:t>Kliinilised küsimused</w:t>
            </w:r>
          </w:p>
        </w:tc>
        <w:tc>
          <w:tcPr>
            <w:tcW w:w="7519" w:type="dxa"/>
            <w:vAlign w:val="center"/>
          </w:tcPr>
          <w:p w14:paraId="613876EC" w14:textId="77777777" w:rsidR="00386F47" w:rsidRPr="009461CC" w:rsidRDefault="00386F47" w:rsidP="00386F47">
            <w:pPr>
              <w:spacing w:after="0" w:afterAutospacing="0"/>
              <w:jc w:val="center"/>
              <w:rPr>
                <w:rFonts w:cs="Times New Roman"/>
                <w:szCs w:val="24"/>
              </w:rPr>
            </w:pPr>
            <w:r>
              <w:rPr>
                <w:rFonts w:cs="Times New Roman"/>
                <w:szCs w:val="24"/>
                <w:lang w:val="et"/>
              </w:rPr>
              <w:t>Danyel Carr</w:t>
            </w:r>
          </w:p>
          <w:p w14:paraId="172E4813" w14:textId="2E4F9175" w:rsidR="00386F47" w:rsidRPr="009461CC" w:rsidRDefault="00E03D31" w:rsidP="00386F47">
            <w:pPr>
              <w:jc w:val="center"/>
              <w:rPr>
                <w:rFonts w:cs="Times New Roman"/>
                <w:szCs w:val="24"/>
              </w:rPr>
            </w:pPr>
            <w:r>
              <w:rPr>
                <w:rFonts w:cs="Times New Roman"/>
                <w:szCs w:val="24"/>
                <w:lang w:val="et"/>
              </w:rPr>
              <w:t>Vanemdirektor, kliinilised küsimused</w:t>
            </w:r>
          </w:p>
        </w:tc>
      </w:tr>
      <w:tr w:rsidR="00386F47" w:rsidRPr="009461CC"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et"/>
              </w:rPr>
              <w:t>Kinnitus</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et"/>
              </w:rPr>
              <w:t xml:space="preserve">Kvaliteet </w:t>
            </w:r>
          </w:p>
        </w:tc>
        <w:tc>
          <w:tcPr>
            <w:tcW w:w="7519" w:type="dxa"/>
            <w:vAlign w:val="center"/>
          </w:tcPr>
          <w:p w14:paraId="3D954801" w14:textId="77777777" w:rsidR="00F07DD1" w:rsidRDefault="00F07DD1" w:rsidP="004065D7">
            <w:pPr>
              <w:spacing w:after="0" w:afterAutospacing="0"/>
              <w:jc w:val="center"/>
              <w:rPr>
                <w:rFonts w:cs="Times New Roman"/>
                <w:szCs w:val="24"/>
              </w:rPr>
            </w:pPr>
            <w:r>
              <w:rPr>
                <w:rFonts w:cs="Times New Roman"/>
                <w:szCs w:val="24"/>
                <w:lang w:val="et"/>
              </w:rPr>
              <w:t xml:space="preserve">James Stephens </w:t>
            </w:r>
          </w:p>
          <w:p w14:paraId="1EA24645" w14:textId="5BC698A1" w:rsidR="00386F47" w:rsidRPr="009461CC" w:rsidRDefault="00547353" w:rsidP="004065D7">
            <w:pPr>
              <w:spacing w:after="0" w:afterAutospacing="0"/>
              <w:jc w:val="center"/>
              <w:rPr>
                <w:rFonts w:cs="Times New Roman"/>
                <w:szCs w:val="24"/>
              </w:rPr>
            </w:pPr>
            <w:r>
              <w:rPr>
                <w:rFonts w:cs="Times New Roman"/>
                <w:szCs w:val="24"/>
                <w:lang w:val="et"/>
              </w:rPr>
              <w:t>Kvaliteedi tagamise eest vastutav peadirektor</w:t>
            </w:r>
          </w:p>
        </w:tc>
      </w:tr>
      <w:tr w:rsidR="00386F47" w:rsidRPr="009461CC"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et"/>
              </w:rPr>
              <w:t>Heakskiit</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et"/>
              </w:rPr>
              <w:t xml:space="preserve">Õiguslik </w:t>
            </w:r>
          </w:p>
        </w:tc>
        <w:tc>
          <w:tcPr>
            <w:tcW w:w="7519" w:type="dxa"/>
            <w:vAlign w:val="center"/>
          </w:tcPr>
          <w:p w14:paraId="7676555E" w14:textId="77777777" w:rsidR="00386F47" w:rsidRPr="009461CC" w:rsidRDefault="00386F47" w:rsidP="00386F47">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et"/>
              </w:rPr>
              <w:t>Scott Bishop</w:t>
            </w:r>
          </w:p>
          <w:p w14:paraId="39BF7685" w14:textId="4DD9DE97" w:rsidR="00386F47" w:rsidRPr="009461CC" w:rsidRDefault="00E950A1" w:rsidP="00386F47">
            <w:pPr>
              <w:jc w:val="center"/>
              <w:rPr>
                <w:rFonts w:cs="Times New Roman"/>
                <w:szCs w:val="24"/>
              </w:rPr>
            </w:pPr>
            <w:r>
              <w:rPr>
                <w:rFonts w:eastAsia="Times New Roman" w:cs="Times New Roman"/>
                <w:color w:val="000000" w:themeColor="text1"/>
                <w:szCs w:val="24"/>
                <w:lang w:val="et"/>
              </w:rPr>
              <w:t>Globaalsete regulatiivsete küsimuste ja kvaliteedi tagamise eest vastutav asepresident</w:t>
            </w:r>
          </w:p>
        </w:tc>
      </w:tr>
    </w:tbl>
    <w:p w14:paraId="51DA0A01" w14:textId="5402C604" w:rsidR="00E91403" w:rsidRPr="009461CC" w:rsidRDefault="00E91403" w:rsidP="00E91403">
      <w:pPr>
        <w:jc w:val="center"/>
        <w:rPr>
          <w:rFonts w:cs="Times New Roman"/>
          <w:b/>
        </w:rPr>
      </w:pPr>
      <w:r>
        <w:rPr>
          <w:rFonts w:cs="Times New Roman"/>
          <w:b/>
          <w:bCs/>
          <w:lang w:val="et"/>
        </w:rPr>
        <w:t>Muudatuste ajalugu</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70"/>
        <w:gridCol w:w="1296"/>
        <w:gridCol w:w="1144"/>
        <w:gridCol w:w="4306"/>
        <w:gridCol w:w="1771"/>
      </w:tblGrid>
      <w:tr w:rsidR="00E91403" w:rsidRPr="009461CC"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et"/>
              </w:rPr>
              <w:t>Muudatus</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et"/>
              </w:rPr>
              <w:t>Kuupäev</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et"/>
              </w:rPr>
              <w:t>Jaotised</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et"/>
              </w:rPr>
              <w:t>Muudatuse kirjeldus</w:t>
            </w:r>
          </w:p>
        </w:tc>
        <w:tc>
          <w:tcPr>
            <w:tcW w:w="1799"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et"/>
              </w:rPr>
              <w:t>Muudatuse taotluse nr</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et"/>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et"/>
              </w:rPr>
              <w:t>22.05.2022</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et"/>
              </w:rPr>
              <w:t>Kõik</w:t>
            </w:r>
          </w:p>
        </w:tc>
        <w:tc>
          <w:tcPr>
            <w:tcW w:w="4496" w:type="dxa"/>
            <w:tcBorders>
              <w:top w:val="double" w:sz="4" w:space="0" w:color="auto"/>
              <w:bottom w:val="single" w:sz="4" w:space="0" w:color="auto"/>
            </w:tcBorders>
          </w:tcPr>
          <w:p w14:paraId="3973A2E3" w14:textId="3D8B33BA" w:rsidR="00740900" w:rsidRPr="009461CC" w:rsidRDefault="00740900" w:rsidP="00740900">
            <w:pPr>
              <w:rPr>
                <w:rFonts w:cs="Times New Roman"/>
                <w:szCs w:val="24"/>
              </w:rPr>
            </w:pPr>
            <w:r>
              <w:rPr>
                <w:rFonts w:cs="Times New Roman"/>
                <w:szCs w:val="24"/>
                <w:lang w:val="et"/>
              </w:rPr>
              <w:t>Esialgne aruanne ainult sisekasutuseks</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et"/>
              </w:rPr>
              <w:t>Ei ole kohaldatav</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et"/>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et"/>
              </w:rPr>
              <w:t>15.12.2025</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et"/>
              </w:rPr>
              <w:t>Kõik</w:t>
            </w:r>
          </w:p>
        </w:tc>
        <w:tc>
          <w:tcPr>
            <w:tcW w:w="4496" w:type="dxa"/>
            <w:tcBorders>
              <w:top w:val="single" w:sz="4" w:space="0" w:color="auto"/>
              <w:bottom w:val="single" w:sz="12" w:space="0" w:color="auto"/>
            </w:tcBorders>
          </w:tcPr>
          <w:p w14:paraId="3D913A75" w14:textId="51ABC114" w:rsidR="00923982" w:rsidRPr="009461CC" w:rsidRDefault="002849C4" w:rsidP="00923982">
            <w:pPr>
              <w:rPr>
                <w:rFonts w:cs="Times New Roman"/>
                <w:szCs w:val="24"/>
              </w:rPr>
            </w:pPr>
            <w:r>
              <w:rPr>
                <w:rFonts w:cs="Times New Roman"/>
                <w:szCs w:val="24"/>
                <w:lang w:val="et"/>
              </w:rPr>
              <w:t>EU MDR</w:t>
            </w:r>
            <w:r w:rsidR="0080432B">
              <w:rPr>
                <w:rFonts w:cs="Times New Roman"/>
                <w:szCs w:val="24"/>
                <w:lang w:val="et"/>
              </w:rPr>
              <w:t xml:space="preserve"> esildised</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et"/>
              </w:rPr>
              <w:t>07919</w:t>
            </w:r>
          </w:p>
        </w:tc>
      </w:tr>
    </w:tbl>
    <w:p w14:paraId="5C951A98" w14:textId="6A651DC3" w:rsidR="0005411A" w:rsidRPr="009461CC" w:rsidRDefault="00E91403" w:rsidP="00E91403">
      <w:pPr>
        <w:jc w:val="center"/>
        <w:rPr>
          <w:rFonts w:cs="Times New Roman"/>
        </w:rPr>
      </w:pPr>
      <w:r>
        <w:rPr>
          <w:rFonts w:cs="Times New Roman"/>
          <w:i/>
          <w:iCs/>
          <w:lang w:val="et"/>
        </w:rPr>
        <w:t>Märkus. Heakskiidud jäädvustatakse seotud muutmistaotluse kaudu.</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et"/>
        </w:rPr>
        <w:br w:type="page"/>
      </w:r>
      <w:r>
        <w:rPr>
          <w:rFonts w:cs="Times New Roman"/>
          <w:lang w:val="et"/>
        </w:rPr>
        <w:lastRenderedPageBreak/>
        <w:t>Sisukord</w:t>
      </w:r>
    </w:p>
    <w:p w14:paraId="610F6119" w14:textId="740BA91E" w:rsidR="00D728AE" w:rsidRDefault="006F0810">
      <w:pPr>
        <w:pStyle w:val="TOC1"/>
        <w:rPr>
          <w:rFonts w:asciiTheme="minorHAnsi" w:eastAsiaTheme="minorEastAsia" w:hAnsiTheme="minorHAnsi" w:cstheme="minorBidi"/>
          <w:noProof/>
          <w:kern w:val="2"/>
          <w:lang w:eastAsia="zh-CN"/>
          <w14:ligatures w14:val="standardContextual"/>
        </w:rPr>
      </w:pPr>
      <w:r>
        <w:rPr>
          <w:lang w:val="et"/>
        </w:rPr>
        <w:fldChar w:fldCharType="begin"/>
      </w:r>
      <w:r>
        <w:instrText xml:space="preserve"> TOC \o "1-3" \h \z \u </w:instrText>
      </w:r>
      <w:r>
        <w:fldChar w:fldCharType="separate"/>
      </w:r>
      <w:hyperlink w:anchor="_Toc222741304" w:history="1">
        <w:r w:rsidR="00D728AE" w:rsidRPr="001D21A9">
          <w:rPr>
            <w:rStyle w:val="Hyperlink"/>
            <w:noProof/>
          </w:rPr>
          <w:t>1.</w:t>
        </w:r>
        <w:r w:rsidR="00D728AE">
          <w:rPr>
            <w:rFonts w:asciiTheme="minorHAnsi" w:eastAsiaTheme="minorEastAsia" w:hAnsiTheme="minorHAnsi" w:cstheme="minorBidi"/>
            <w:noProof/>
            <w:kern w:val="2"/>
            <w:lang w:eastAsia="zh-CN"/>
            <w14:ligatures w14:val="standardContextual"/>
          </w:rPr>
          <w:tab/>
        </w:r>
        <w:r w:rsidR="00D728AE" w:rsidRPr="001D21A9">
          <w:rPr>
            <w:rStyle w:val="Hyperlink"/>
            <w:bCs/>
            <w:noProof/>
            <w:lang w:val="et"/>
          </w:rPr>
          <w:t>Ohutuse ja kliinilise toimivuse kokkuvõtte (SSCP) rakendusala:</w:t>
        </w:r>
        <w:r w:rsidR="00D728AE">
          <w:rPr>
            <w:noProof/>
            <w:webHidden/>
          </w:rPr>
          <w:tab/>
        </w:r>
        <w:r w:rsidR="00D728AE">
          <w:rPr>
            <w:noProof/>
            <w:webHidden/>
          </w:rPr>
          <w:fldChar w:fldCharType="begin"/>
        </w:r>
        <w:r w:rsidR="00D728AE">
          <w:rPr>
            <w:noProof/>
            <w:webHidden/>
          </w:rPr>
          <w:instrText xml:space="preserve"> PAGEREF _Toc222741304 \h </w:instrText>
        </w:r>
        <w:r w:rsidR="00D728AE">
          <w:rPr>
            <w:noProof/>
            <w:webHidden/>
          </w:rPr>
        </w:r>
        <w:r w:rsidR="00D728AE">
          <w:rPr>
            <w:noProof/>
            <w:webHidden/>
          </w:rPr>
          <w:fldChar w:fldCharType="separate"/>
        </w:r>
        <w:r w:rsidR="006C0F54">
          <w:rPr>
            <w:noProof/>
            <w:webHidden/>
          </w:rPr>
          <w:t>3</w:t>
        </w:r>
        <w:r w:rsidR="00D728AE">
          <w:rPr>
            <w:noProof/>
            <w:webHidden/>
          </w:rPr>
          <w:fldChar w:fldCharType="end"/>
        </w:r>
      </w:hyperlink>
    </w:p>
    <w:p w14:paraId="260CDD31" w14:textId="651CD9F2"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05" w:history="1">
        <w:r w:rsidRPr="001D21A9">
          <w:rPr>
            <w:rStyle w:val="Hyperlink"/>
            <w:noProof/>
          </w:rPr>
          <w:t>1.1.</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Seadme kaubanimi:</w:t>
        </w:r>
        <w:r>
          <w:rPr>
            <w:noProof/>
            <w:webHidden/>
          </w:rPr>
          <w:tab/>
        </w:r>
        <w:r>
          <w:rPr>
            <w:noProof/>
            <w:webHidden/>
          </w:rPr>
          <w:fldChar w:fldCharType="begin"/>
        </w:r>
        <w:r>
          <w:rPr>
            <w:noProof/>
            <w:webHidden/>
          </w:rPr>
          <w:instrText xml:space="preserve"> PAGEREF _Toc222741305 \h </w:instrText>
        </w:r>
        <w:r>
          <w:rPr>
            <w:noProof/>
            <w:webHidden/>
          </w:rPr>
        </w:r>
        <w:r>
          <w:rPr>
            <w:noProof/>
            <w:webHidden/>
          </w:rPr>
          <w:fldChar w:fldCharType="separate"/>
        </w:r>
        <w:r w:rsidR="006C0F54">
          <w:rPr>
            <w:noProof/>
            <w:webHidden/>
          </w:rPr>
          <w:t>3</w:t>
        </w:r>
        <w:r>
          <w:rPr>
            <w:noProof/>
            <w:webHidden/>
          </w:rPr>
          <w:fldChar w:fldCharType="end"/>
        </w:r>
      </w:hyperlink>
    </w:p>
    <w:p w14:paraId="568E63DC" w14:textId="60F63C12"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06" w:history="1">
        <w:r w:rsidRPr="001D21A9">
          <w:rPr>
            <w:rStyle w:val="Hyperlink"/>
            <w:noProof/>
          </w:rPr>
          <w:t>1.2.</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Seadme kirjeldus, põhi-UDI-DI ja EL-i klassifikatsioon:</w:t>
        </w:r>
        <w:r>
          <w:rPr>
            <w:noProof/>
            <w:webHidden/>
          </w:rPr>
          <w:tab/>
        </w:r>
        <w:r>
          <w:rPr>
            <w:noProof/>
            <w:webHidden/>
          </w:rPr>
          <w:fldChar w:fldCharType="begin"/>
        </w:r>
        <w:r>
          <w:rPr>
            <w:noProof/>
            <w:webHidden/>
          </w:rPr>
          <w:instrText xml:space="preserve"> PAGEREF _Toc222741306 \h </w:instrText>
        </w:r>
        <w:r>
          <w:rPr>
            <w:noProof/>
            <w:webHidden/>
          </w:rPr>
        </w:r>
        <w:r>
          <w:rPr>
            <w:noProof/>
            <w:webHidden/>
          </w:rPr>
          <w:fldChar w:fldCharType="separate"/>
        </w:r>
        <w:r w:rsidR="006C0F54">
          <w:rPr>
            <w:noProof/>
            <w:webHidden/>
          </w:rPr>
          <w:t>3</w:t>
        </w:r>
        <w:r>
          <w:rPr>
            <w:noProof/>
            <w:webHidden/>
          </w:rPr>
          <w:fldChar w:fldCharType="end"/>
        </w:r>
      </w:hyperlink>
    </w:p>
    <w:p w14:paraId="2F99DE91" w14:textId="451AF222" w:rsidR="00D728AE" w:rsidRDefault="00BC0CD8">
      <w:pPr>
        <w:pStyle w:val="TOC1"/>
        <w:rPr>
          <w:rFonts w:asciiTheme="minorHAnsi" w:eastAsiaTheme="minorEastAsia" w:hAnsiTheme="minorHAnsi" w:cstheme="minorBidi"/>
          <w:noProof/>
          <w:kern w:val="2"/>
          <w:lang w:eastAsia="zh-CN"/>
          <w14:ligatures w14:val="standardContextual"/>
        </w:rPr>
      </w:pPr>
      <w:hyperlink w:anchor="_Toc222741307" w:history="1">
        <w:r w:rsidRPr="001D21A9">
          <w:rPr>
            <w:rStyle w:val="Hyperlink"/>
            <w:noProof/>
          </w:rPr>
          <w:t>1.3.</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Aasta, millal anti välja esimene seadet hõlmav sertifikaat (CE)</w:t>
        </w:r>
        <w:r>
          <w:rPr>
            <w:noProof/>
            <w:webHidden/>
          </w:rPr>
          <w:tab/>
          <w:t>3</w:t>
        </w:r>
      </w:hyperlink>
    </w:p>
    <w:p w14:paraId="3CFC2CE1" w14:textId="7A01C421"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08" w:history="1">
        <w:r w:rsidRPr="001D21A9">
          <w:rPr>
            <w:rStyle w:val="Hyperlink"/>
            <w:noProof/>
          </w:rPr>
          <w:t>1.4.</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Tootja nimi, aadress ja SRN:</w:t>
        </w:r>
        <w:r>
          <w:rPr>
            <w:noProof/>
            <w:webHidden/>
          </w:rPr>
          <w:tab/>
        </w:r>
        <w:r>
          <w:rPr>
            <w:noProof/>
            <w:webHidden/>
          </w:rPr>
          <w:fldChar w:fldCharType="begin"/>
        </w:r>
        <w:r>
          <w:rPr>
            <w:noProof/>
            <w:webHidden/>
          </w:rPr>
          <w:instrText xml:space="preserve"> PAGEREF _Toc222741308 \h </w:instrText>
        </w:r>
        <w:r>
          <w:rPr>
            <w:noProof/>
            <w:webHidden/>
          </w:rPr>
        </w:r>
        <w:r>
          <w:rPr>
            <w:noProof/>
            <w:webHidden/>
          </w:rPr>
          <w:fldChar w:fldCharType="separate"/>
        </w:r>
        <w:r w:rsidR="006C0F54">
          <w:rPr>
            <w:noProof/>
            <w:webHidden/>
          </w:rPr>
          <w:t>4</w:t>
        </w:r>
        <w:r>
          <w:rPr>
            <w:noProof/>
            <w:webHidden/>
          </w:rPr>
          <w:fldChar w:fldCharType="end"/>
        </w:r>
      </w:hyperlink>
    </w:p>
    <w:p w14:paraId="3152832A" w14:textId="6EDB6023"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09" w:history="1">
        <w:r w:rsidRPr="001D21A9">
          <w:rPr>
            <w:rStyle w:val="Hyperlink"/>
            <w:noProof/>
          </w:rPr>
          <w:t>1.5.</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Volitatud esindaja nimi ja SRN:</w:t>
        </w:r>
        <w:r>
          <w:rPr>
            <w:noProof/>
            <w:webHidden/>
          </w:rPr>
          <w:tab/>
        </w:r>
        <w:r>
          <w:rPr>
            <w:noProof/>
            <w:webHidden/>
          </w:rPr>
          <w:fldChar w:fldCharType="begin"/>
        </w:r>
        <w:r>
          <w:rPr>
            <w:noProof/>
            <w:webHidden/>
          </w:rPr>
          <w:instrText xml:space="preserve"> PAGEREF _Toc222741309 \h </w:instrText>
        </w:r>
        <w:r>
          <w:rPr>
            <w:noProof/>
            <w:webHidden/>
          </w:rPr>
        </w:r>
        <w:r>
          <w:rPr>
            <w:noProof/>
            <w:webHidden/>
          </w:rPr>
          <w:fldChar w:fldCharType="separate"/>
        </w:r>
        <w:r w:rsidR="006C0F54">
          <w:rPr>
            <w:noProof/>
            <w:webHidden/>
          </w:rPr>
          <w:t>4</w:t>
        </w:r>
        <w:r>
          <w:rPr>
            <w:noProof/>
            <w:webHidden/>
          </w:rPr>
          <w:fldChar w:fldCharType="end"/>
        </w:r>
      </w:hyperlink>
    </w:p>
    <w:p w14:paraId="457EAA6A" w14:textId="417444F9"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10" w:history="1">
        <w:r w:rsidRPr="001D21A9">
          <w:rPr>
            <w:rStyle w:val="Hyperlink"/>
            <w:noProof/>
          </w:rPr>
          <w:t>1.6.</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Teavitatud asutuse nimi ja kordumatu identifitseerimisnumber:</w:t>
        </w:r>
        <w:r>
          <w:rPr>
            <w:noProof/>
            <w:webHidden/>
          </w:rPr>
          <w:tab/>
        </w:r>
        <w:r>
          <w:rPr>
            <w:noProof/>
            <w:webHidden/>
          </w:rPr>
          <w:fldChar w:fldCharType="begin"/>
        </w:r>
        <w:r>
          <w:rPr>
            <w:noProof/>
            <w:webHidden/>
          </w:rPr>
          <w:instrText xml:space="preserve"> PAGEREF _Toc222741310 \h </w:instrText>
        </w:r>
        <w:r>
          <w:rPr>
            <w:noProof/>
            <w:webHidden/>
          </w:rPr>
        </w:r>
        <w:r>
          <w:rPr>
            <w:noProof/>
            <w:webHidden/>
          </w:rPr>
          <w:fldChar w:fldCharType="separate"/>
        </w:r>
        <w:r w:rsidR="006C0F54">
          <w:rPr>
            <w:noProof/>
            <w:webHidden/>
          </w:rPr>
          <w:t>4</w:t>
        </w:r>
        <w:r>
          <w:rPr>
            <w:noProof/>
            <w:webHidden/>
          </w:rPr>
          <w:fldChar w:fldCharType="end"/>
        </w:r>
      </w:hyperlink>
    </w:p>
    <w:p w14:paraId="275C7B47" w14:textId="35C7E256" w:rsidR="00D728AE" w:rsidRDefault="00BC0CD8">
      <w:pPr>
        <w:pStyle w:val="TOC1"/>
        <w:rPr>
          <w:rFonts w:asciiTheme="minorHAnsi" w:eastAsiaTheme="minorEastAsia" w:hAnsiTheme="minorHAnsi" w:cstheme="minorBidi"/>
          <w:noProof/>
          <w:kern w:val="2"/>
          <w:lang w:eastAsia="zh-CN"/>
          <w14:ligatures w14:val="standardContextual"/>
        </w:rPr>
      </w:pPr>
      <w:hyperlink w:anchor="_Toc222741311" w:history="1">
        <w:r w:rsidRPr="001D21A9">
          <w:rPr>
            <w:rStyle w:val="Hyperlink"/>
            <w:noProof/>
          </w:rPr>
          <w:t>2.</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Seadme sihtotstarve</w:t>
        </w:r>
        <w:r>
          <w:rPr>
            <w:noProof/>
            <w:webHidden/>
          </w:rPr>
          <w:tab/>
          <w:t>4</w:t>
        </w:r>
      </w:hyperlink>
    </w:p>
    <w:p w14:paraId="21F2134F" w14:textId="5042CADE" w:rsidR="00D728AE" w:rsidRDefault="00BC0CD8">
      <w:pPr>
        <w:pStyle w:val="TOC1"/>
        <w:rPr>
          <w:rFonts w:asciiTheme="minorHAnsi" w:eastAsiaTheme="minorEastAsia" w:hAnsiTheme="minorHAnsi" w:cstheme="minorBidi"/>
          <w:noProof/>
          <w:kern w:val="2"/>
          <w:lang w:eastAsia="zh-CN"/>
          <w14:ligatures w14:val="standardContextual"/>
        </w:rPr>
      </w:pPr>
      <w:hyperlink w:anchor="_Toc222741312" w:history="1">
        <w:r w:rsidRPr="001D21A9">
          <w:rPr>
            <w:rStyle w:val="Hyperlink"/>
            <w:noProof/>
          </w:rPr>
          <w:t>2.1.</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Sihtotstarve / kavandatud kasutusotstarve</w:t>
        </w:r>
        <w:r>
          <w:rPr>
            <w:noProof/>
            <w:webHidden/>
          </w:rPr>
          <w:tab/>
          <w:t>4</w:t>
        </w:r>
      </w:hyperlink>
    </w:p>
    <w:p w14:paraId="5EDB803C" w14:textId="2D6D8762" w:rsidR="00D728AE" w:rsidRDefault="00BC0CD8">
      <w:pPr>
        <w:pStyle w:val="TOC1"/>
        <w:rPr>
          <w:rFonts w:asciiTheme="minorHAnsi" w:eastAsiaTheme="minorEastAsia" w:hAnsiTheme="minorHAnsi" w:cstheme="minorBidi"/>
          <w:noProof/>
          <w:kern w:val="2"/>
          <w:lang w:eastAsia="zh-CN"/>
          <w14:ligatures w14:val="standardContextual"/>
        </w:rPr>
      </w:pPr>
      <w:hyperlink w:anchor="_Toc222741313" w:history="1">
        <w:r w:rsidRPr="001D21A9">
          <w:rPr>
            <w:rStyle w:val="Hyperlink"/>
            <w:noProof/>
          </w:rPr>
          <w:t>2.2.</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Kasutusnäidustus</w:t>
        </w:r>
        <w:r>
          <w:rPr>
            <w:noProof/>
            <w:webHidden/>
          </w:rPr>
          <w:tab/>
          <w:t>4</w:t>
        </w:r>
      </w:hyperlink>
    </w:p>
    <w:p w14:paraId="25D36307" w14:textId="08DD901B"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14" w:history="1">
        <w:r w:rsidRPr="001D21A9">
          <w:rPr>
            <w:rStyle w:val="Hyperlink"/>
            <w:noProof/>
          </w:rPr>
          <w:t>2.3.</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Sihtpopulatsioon</w:t>
        </w:r>
        <w:r>
          <w:rPr>
            <w:noProof/>
            <w:webHidden/>
          </w:rPr>
          <w:tab/>
        </w:r>
        <w:r>
          <w:rPr>
            <w:noProof/>
            <w:webHidden/>
          </w:rPr>
          <w:fldChar w:fldCharType="begin"/>
        </w:r>
        <w:r>
          <w:rPr>
            <w:noProof/>
            <w:webHidden/>
          </w:rPr>
          <w:instrText xml:space="preserve"> PAGEREF _Toc222741314 \h </w:instrText>
        </w:r>
        <w:r>
          <w:rPr>
            <w:noProof/>
            <w:webHidden/>
          </w:rPr>
        </w:r>
        <w:r>
          <w:rPr>
            <w:noProof/>
            <w:webHidden/>
          </w:rPr>
          <w:fldChar w:fldCharType="separate"/>
        </w:r>
        <w:r w:rsidR="006C0F54">
          <w:rPr>
            <w:noProof/>
            <w:webHidden/>
          </w:rPr>
          <w:t>5</w:t>
        </w:r>
        <w:r>
          <w:rPr>
            <w:noProof/>
            <w:webHidden/>
          </w:rPr>
          <w:fldChar w:fldCharType="end"/>
        </w:r>
      </w:hyperlink>
    </w:p>
    <w:p w14:paraId="398AC63B" w14:textId="6382CF92"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15" w:history="1">
        <w:r w:rsidRPr="001D21A9">
          <w:rPr>
            <w:rStyle w:val="Hyperlink"/>
            <w:noProof/>
          </w:rPr>
          <w:t>2.4.</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Vastunäidustused</w:t>
        </w:r>
        <w:r>
          <w:rPr>
            <w:noProof/>
            <w:webHidden/>
          </w:rPr>
          <w:tab/>
        </w:r>
        <w:r>
          <w:rPr>
            <w:noProof/>
            <w:webHidden/>
          </w:rPr>
          <w:fldChar w:fldCharType="begin"/>
        </w:r>
        <w:r>
          <w:rPr>
            <w:noProof/>
            <w:webHidden/>
          </w:rPr>
          <w:instrText xml:space="preserve"> PAGEREF _Toc222741315 \h </w:instrText>
        </w:r>
        <w:r>
          <w:rPr>
            <w:noProof/>
            <w:webHidden/>
          </w:rPr>
        </w:r>
        <w:r>
          <w:rPr>
            <w:noProof/>
            <w:webHidden/>
          </w:rPr>
          <w:fldChar w:fldCharType="separate"/>
        </w:r>
        <w:r w:rsidR="006C0F54">
          <w:rPr>
            <w:noProof/>
            <w:webHidden/>
          </w:rPr>
          <w:t>5</w:t>
        </w:r>
        <w:r>
          <w:rPr>
            <w:noProof/>
            <w:webHidden/>
          </w:rPr>
          <w:fldChar w:fldCharType="end"/>
        </w:r>
      </w:hyperlink>
    </w:p>
    <w:p w14:paraId="1BE3923D" w14:textId="491FA6A9"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16" w:history="1">
        <w:r w:rsidRPr="001D21A9">
          <w:rPr>
            <w:rStyle w:val="Hyperlink"/>
            <w:noProof/>
          </w:rPr>
          <w:t>3.</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Seadme kirjeldus</w:t>
        </w:r>
        <w:r>
          <w:rPr>
            <w:noProof/>
            <w:webHidden/>
          </w:rPr>
          <w:tab/>
        </w:r>
        <w:r>
          <w:rPr>
            <w:noProof/>
            <w:webHidden/>
          </w:rPr>
          <w:fldChar w:fldCharType="begin"/>
        </w:r>
        <w:r>
          <w:rPr>
            <w:noProof/>
            <w:webHidden/>
          </w:rPr>
          <w:instrText xml:space="preserve"> PAGEREF _Toc222741316 \h </w:instrText>
        </w:r>
        <w:r>
          <w:rPr>
            <w:noProof/>
            <w:webHidden/>
          </w:rPr>
        </w:r>
        <w:r>
          <w:rPr>
            <w:noProof/>
            <w:webHidden/>
          </w:rPr>
          <w:fldChar w:fldCharType="separate"/>
        </w:r>
        <w:r w:rsidR="006C0F54">
          <w:rPr>
            <w:noProof/>
            <w:webHidden/>
          </w:rPr>
          <w:t>5</w:t>
        </w:r>
        <w:r>
          <w:rPr>
            <w:noProof/>
            <w:webHidden/>
          </w:rPr>
          <w:fldChar w:fldCharType="end"/>
        </w:r>
      </w:hyperlink>
    </w:p>
    <w:p w14:paraId="046DE89C" w14:textId="461A66AC"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17" w:history="1">
        <w:r w:rsidRPr="001D21A9">
          <w:rPr>
            <w:rStyle w:val="Hyperlink"/>
            <w:noProof/>
          </w:rPr>
          <w:t>3.1.</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Seadme kirjeldus</w:t>
        </w:r>
        <w:r>
          <w:rPr>
            <w:noProof/>
            <w:webHidden/>
          </w:rPr>
          <w:tab/>
        </w:r>
        <w:r>
          <w:rPr>
            <w:noProof/>
            <w:webHidden/>
          </w:rPr>
          <w:fldChar w:fldCharType="begin"/>
        </w:r>
        <w:r>
          <w:rPr>
            <w:noProof/>
            <w:webHidden/>
          </w:rPr>
          <w:instrText xml:space="preserve"> PAGEREF _Toc222741317 \h </w:instrText>
        </w:r>
        <w:r>
          <w:rPr>
            <w:noProof/>
            <w:webHidden/>
          </w:rPr>
        </w:r>
        <w:r>
          <w:rPr>
            <w:noProof/>
            <w:webHidden/>
          </w:rPr>
          <w:fldChar w:fldCharType="separate"/>
        </w:r>
        <w:r w:rsidR="006C0F54">
          <w:rPr>
            <w:noProof/>
            <w:webHidden/>
          </w:rPr>
          <w:t>5</w:t>
        </w:r>
        <w:r>
          <w:rPr>
            <w:noProof/>
            <w:webHidden/>
          </w:rPr>
          <w:fldChar w:fldCharType="end"/>
        </w:r>
      </w:hyperlink>
    </w:p>
    <w:p w14:paraId="07814FDD" w14:textId="5DEF812F" w:rsidR="00D728AE" w:rsidRDefault="00BC0CD8">
      <w:pPr>
        <w:pStyle w:val="TOC1"/>
        <w:rPr>
          <w:rFonts w:asciiTheme="minorHAnsi" w:eastAsiaTheme="minorEastAsia" w:hAnsiTheme="minorHAnsi" w:cstheme="minorBidi"/>
          <w:noProof/>
          <w:kern w:val="2"/>
          <w:lang w:eastAsia="zh-CN"/>
          <w14:ligatures w14:val="standardContextual"/>
        </w:rPr>
      </w:pPr>
      <w:hyperlink w:anchor="_Toc222741318" w:history="1">
        <w:r w:rsidRPr="001D21A9">
          <w:rPr>
            <w:rStyle w:val="Hyperlink"/>
            <w:noProof/>
          </w:rPr>
          <w:t>3.2.</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Eelnevad variandid ja nende erinevused</w:t>
        </w:r>
        <w:r>
          <w:rPr>
            <w:noProof/>
            <w:webHidden/>
          </w:rPr>
          <w:tab/>
          <w:t>5</w:t>
        </w:r>
      </w:hyperlink>
    </w:p>
    <w:p w14:paraId="06E184B1" w14:textId="483BC5F6" w:rsidR="00D728AE" w:rsidRDefault="00BC0CD8">
      <w:pPr>
        <w:pStyle w:val="TOC1"/>
        <w:rPr>
          <w:rFonts w:asciiTheme="minorHAnsi" w:eastAsiaTheme="minorEastAsia" w:hAnsiTheme="minorHAnsi" w:cstheme="minorBidi"/>
          <w:noProof/>
          <w:kern w:val="2"/>
          <w:lang w:eastAsia="zh-CN"/>
          <w14:ligatures w14:val="standardContextual"/>
        </w:rPr>
      </w:pPr>
      <w:hyperlink w:anchor="_Toc222741319" w:history="1">
        <w:r w:rsidRPr="001D21A9">
          <w:rPr>
            <w:rStyle w:val="Hyperlink"/>
            <w:noProof/>
          </w:rPr>
          <w:t>3.3.</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Tarvikud, ühilduvad seadmed ja muud koos kasutatud tooted</w:t>
        </w:r>
        <w:r>
          <w:rPr>
            <w:noProof/>
            <w:webHidden/>
          </w:rPr>
          <w:tab/>
          <w:t>5</w:t>
        </w:r>
      </w:hyperlink>
    </w:p>
    <w:p w14:paraId="14AC1EA5" w14:textId="7043172D"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20" w:history="1">
        <w:r w:rsidRPr="001D21A9">
          <w:rPr>
            <w:rStyle w:val="Hyperlink"/>
            <w:noProof/>
          </w:rPr>
          <w:t>4.</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Ohud ja hoiatused</w:t>
        </w:r>
        <w:r>
          <w:rPr>
            <w:noProof/>
            <w:webHidden/>
          </w:rPr>
          <w:tab/>
        </w:r>
        <w:r>
          <w:rPr>
            <w:noProof/>
            <w:webHidden/>
          </w:rPr>
          <w:fldChar w:fldCharType="begin"/>
        </w:r>
        <w:r>
          <w:rPr>
            <w:noProof/>
            <w:webHidden/>
          </w:rPr>
          <w:instrText xml:space="preserve"> PAGEREF _Toc222741320 \h </w:instrText>
        </w:r>
        <w:r>
          <w:rPr>
            <w:noProof/>
            <w:webHidden/>
          </w:rPr>
        </w:r>
        <w:r>
          <w:rPr>
            <w:noProof/>
            <w:webHidden/>
          </w:rPr>
          <w:fldChar w:fldCharType="separate"/>
        </w:r>
        <w:r w:rsidR="006C0F54">
          <w:rPr>
            <w:noProof/>
            <w:webHidden/>
          </w:rPr>
          <w:t>6</w:t>
        </w:r>
        <w:r>
          <w:rPr>
            <w:noProof/>
            <w:webHidden/>
          </w:rPr>
          <w:fldChar w:fldCharType="end"/>
        </w:r>
      </w:hyperlink>
    </w:p>
    <w:p w14:paraId="2A205717" w14:textId="33BA1886"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21" w:history="1">
        <w:r w:rsidRPr="001D21A9">
          <w:rPr>
            <w:rStyle w:val="Hyperlink"/>
            <w:noProof/>
          </w:rPr>
          <w:t>4.1.</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Jääkriskid ja soovimatud kõrvaltoimed</w:t>
        </w:r>
        <w:r>
          <w:rPr>
            <w:noProof/>
            <w:webHidden/>
          </w:rPr>
          <w:tab/>
        </w:r>
        <w:r>
          <w:rPr>
            <w:noProof/>
            <w:webHidden/>
          </w:rPr>
          <w:fldChar w:fldCharType="begin"/>
        </w:r>
        <w:r>
          <w:rPr>
            <w:noProof/>
            <w:webHidden/>
          </w:rPr>
          <w:instrText xml:space="preserve"> PAGEREF _Toc222741321 \h </w:instrText>
        </w:r>
        <w:r>
          <w:rPr>
            <w:noProof/>
            <w:webHidden/>
          </w:rPr>
        </w:r>
        <w:r>
          <w:rPr>
            <w:noProof/>
            <w:webHidden/>
          </w:rPr>
          <w:fldChar w:fldCharType="separate"/>
        </w:r>
        <w:r w:rsidR="006C0F54">
          <w:rPr>
            <w:noProof/>
            <w:webHidden/>
          </w:rPr>
          <w:t>6</w:t>
        </w:r>
        <w:r>
          <w:rPr>
            <w:noProof/>
            <w:webHidden/>
          </w:rPr>
          <w:fldChar w:fldCharType="end"/>
        </w:r>
      </w:hyperlink>
    </w:p>
    <w:p w14:paraId="35B9DB35" w14:textId="41CA334A"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22" w:history="1">
        <w:r w:rsidRPr="001D21A9">
          <w:rPr>
            <w:rStyle w:val="Hyperlink"/>
            <w:noProof/>
          </w:rPr>
          <w:t>4.2.</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Hoiatused ja ettevaatusabinõud</w:t>
        </w:r>
        <w:r>
          <w:rPr>
            <w:noProof/>
            <w:webHidden/>
          </w:rPr>
          <w:tab/>
        </w:r>
        <w:r>
          <w:rPr>
            <w:noProof/>
            <w:webHidden/>
          </w:rPr>
          <w:fldChar w:fldCharType="begin"/>
        </w:r>
        <w:r>
          <w:rPr>
            <w:noProof/>
            <w:webHidden/>
          </w:rPr>
          <w:instrText xml:space="preserve"> PAGEREF _Toc222741322 \h </w:instrText>
        </w:r>
        <w:r>
          <w:rPr>
            <w:noProof/>
            <w:webHidden/>
          </w:rPr>
        </w:r>
        <w:r>
          <w:rPr>
            <w:noProof/>
            <w:webHidden/>
          </w:rPr>
          <w:fldChar w:fldCharType="separate"/>
        </w:r>
        <w:r w:rsidR="006C0F54">
          <w:rPr>
            <w:noProof/>
            <w:webHidden/>
          </w:rPr>
          <w:t>6</w:t>
        </w:r>
        <w:r>
          <w:rPr>
            <w:noProof/>
            <w:webHidden/>
          </w:rPr>
          <w:fldChar w:fldCharType="end"/>
        </w:r>
      </w:hyperlink>
    </w:p>
    <w:p w14:paraId="361B4F87" w14:textId="7F258BE1"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23" w:history="1">
        <w:r w:rsidRPr="001D21A9">
          <w:rPr>
            <w:rStyle w:val="Hyperlink"/>
            <w:noProof/>
          </w:rPr>
          <w:t>4.3.</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Muud ohutusega seotud olulised asjaolud, sh valdkonna ohutusalase parandusmeetmete (FSCA, sh FSN) kokkuvõte, kui see on asjakohane</w:t>
        </w:r>
        <w:r>
          <w:rPr>
            <w:noProof/>
            <w:webHidden/>
          </w:rPr>
          <w:tab/>
        </w:r>
        <w:r>
          <w:rPr>
            <w:noProof/>
            <w:webHidden/>
          </w:rPr>
          <w:fldChar w:fldCharType="begin"/>
        </w:r>
        <w:r>
          <w:rPr>
            <w:noProof/>
            <w:webHidden/>
          </w:rPr>
          <w:instrText xml:space="preserve"> PAGEREF _Toc222741323 \h </w:instrText>
        </w:r>
        <w:r>
          <w:rPr>
            <w:noProof/>
            <w:webHidden/>
          </w:rPr>
        </w:r>
        <w:r>
          <w:rPr>
            <w:noProof/>
            <w:webHidden/>
          </w:rPr>
          <w:fldChar w:fldCharType="separate"/>
        </w:r>
        <w:r w:rsidR="006C0F54">
          <w:rPr>
            <w:noProof/>
            <w:webHidden/>
          </w:rPr>
          <w:t>7</w:t>
        </w:r>
        <w:r>
          <w:rPr>
            <w:noProof/>
            <w:webHidden/>
          </w:rPr>
          <w:fldChar w:fldCharType="end"/>
        </w:r>
      </w:hyperlink>
    </w:p>
    <w:p w14:paraId="50C6CEA0" w14:textId="2DB412F9"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24" w:history="1">
        <w:r w:rsidRPr="001D21A9">
          <w:rPr>
            <w:rStyle w:val="Hyperlink"/>
            <w:noProof/>
          </w:rPr>
          <w:t>5.</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Kliinilise hindamise ja turustamisjärgse kliinilise järelkontrolli (PMCF) kokkuvõte</w:t>
        </w:r>
        <w:r>
          <w:rPr>
            <w:noProof/>
            <w:webHidden/>
          </w:rPr>
          <w:tab/>
        </w:r>
        <w:r>
          <w:rPr>
            <w:noProof/>
            <w:webHidden/>
          </w:rPr>
          <w:fldChar w:fldCharType="begin"/>
        </w:r>
        <w:r>
          <w:rPr>
            <w:noProof/>
            <w:webHidden/>
          </w:rPr>
          <w:instrText xml:space="preserve"> PAGEREF _Toc222741324 \h </w:instrText>
        </w:r>
        <w:r>
          <w:rPr>
            <w:noProof/>
            <w:webHidden/>
          </w:rPr>
        </w:r>
        <w:r>
          <w:rPr>
            <w:noProof/>
            <w:webHidden/>
          </w:rPr>
          <w:fldChar w:fldCharType="separate"/>
        </w:r>
        <w:r w:rsidR="006C0F54">
          <w:rPr>
            <w:noProof/>
            <w:webHidden/>
          </w:rPr>
          <w:t>7</w:t>
        </w:r>
        <w:r>
          <w:rPr>
            <w:noProof/>
            <w:webHidden/>
          </w:rPr>
          <w:fldChar w:fldCharType="end"/>
        </w:r>
      </w:hyperlink>
    </w:p>
    <w:p w14:paraId="75F1AF22" w14:textId="2B852F78"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25" w:history="1">
        <w:r w:rsidRPr="001D21A9">
          <w:rPr>
            <w:rStyle w:val="Hyperlink"/>
            <w:noProof/>
          </w:rPr>
          <w:t>5.1.</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Samaväärse seadmega seotud kliiniliste andmete kokkuvõte selle olemasolul</w:t>
        </w:r>
        <w:r>
          <w:rPr>
            <w:noProof/>
            <w:webHidden/>
          </w:rPr>
          <w:tab/>
        </w:r>
        <w:r>
          <w:rPr>
            <w:noProof/>
            <w:webHidden/>
          </w:rPr>
          <w:fldChar w:fldCharType="begin"/>
        </w:r>
        <w:r>
          <w:rPr>
            <w:noProof/>
            <w:webHidden/>
          </w:rPr>
          <w:instrText xml:space="preserve"> PAGEREF _Toc222741325 \h </w:instrText>
        </w:r>
        <w:r>
          <w:rPr>
            <w:noProof/>
            <w:webHidden/>
          </w:rPr>
        </w:r>
        <w:r>
          <w:rPr>
            <w:noProof/>
            <w:webHidden/>
          </w:rPr>
          <w:fldChar w:fldCharType="separate"/>
        </w:r>
        <w:r w:rsidR="006C0F54">
          <w:rPr>
            <w:noProof/>
            <w:webHidden/>
          </w:rPr>
          <w:t>8</w:t>
        </w:r>
        <w:r>
          <w:rPr>
            <w:noProof/>
            <w:webHidden/>
          </w:rPr>
          <w:fldChar w:fldCharType="end"/>
        </w:r>
      </w:hyperlink>
    </w:p>
    <w:p w14:paraId="53D8917A" w14:textId="1933BC00"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26" w:history="1">
        <w:r w:rsidRPr="001D21A9">
          <w:rPr>
            <w:rStyle w:val="Hyperlink"/>
            <w:noProof/>
          </w:rPr>
          <w:t>5.2.</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Seadmel enne CE-vastavusmärgist läbiviidud uuringutest pärit kliiniliste andmete kokkuvõte, kui see on asjakohane</w:t>
        </w:r>
        <w:r>
          <w:rPr>
            <w:noProof/>
            <w:webHidden/>
          </w:rPr>
          <w:tab/>
        </w:r>
        <w:r>
          <w:rPr>
            <w:noProof/>
            <w:webHidden/>
          </w:rPr>
          <w:fldChar w:fldCharType="begin"/>
        </w:r>
        <w:r>
          <w:rPr>
            <w:noProof/>
            <w:webHidden/>
          </w:rPr>
          <w:instrText xml:space="preserve"> PAGEREF _Toc222741326 \h </w:instrText>
        </w:r>
        <w:r>
          <w:rPr>
            <w:noProof/>
            <w:webHidden/>
          </w:rPr>
        </w:r>
        <w:r>
          <w:rPr>
            <w:noProof/>
            <w:webHidden/>
          </w:rPr>
          <w:fldChar w:fldCharType="separate"/>
        </w:r>
        <w:r w:rsidR="006C0F54">
          <w:rPr>
            <w:noProof/>
            <w:webHidden/>
          </w:rPr>
          <w:t>8</w:t>
        </w:r>
        <w:r>
          <w:rPr>
            <w:noProof/>
            <w:webHidden/>
          </w:rPr>
          <w:fldChar w:fldCharType="end"/>
        </w:r>
      </w:hyperlink>
    </w:p>
    <w:p w14:paraId="3651E557" w14:textId="10A77DC5"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27" w:history="1">
        <w:r w:rsidRPr="001D21A9">
          <w:rPr>
            <w:rStyle w:val="Hyperlink"/>
            <w:noProof/>
          </w:rPr>
          <w:t>5.3.</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Muudest allikatest pärit kliiniliste andmete kokkuvõte, kui see on asjakohane</w:t>
        </w:r>
        <w:r>
          <w:rPr>
            <w:noProof/>
            <w:webHidden/>
          </w:rPr>
          <w:tab/>
        </w:r>
        <w:r>
          <w:rPr>
            <w:noProof/>
            <w:webHidden/>
          </w:rPr>
          <w:fldChar w:fldCharType="begin"/>
        </w:r>
        <w:r>
          <w:rPr>
            <w:noProof/>
            <w:webHidden/>
          </w:rPr>
          <w:instrText xml:space="preserve"> PAGEREF _Toc222741327 \h </w:instrText>
        </w:r>
        <w:r>
          <w:rPr>
            <w:noProof/>
            <w:webHidden/>
          </w:rPr>
        </w:r>
        <w:r>
          <w:rPr>
            <w:noProof/>
            <w:webHidden/>
          </w:rPr>
          <w:fldChar w:fldCharType="separate"/>
        </w:r>
        <w:r w:rsidR="006C0F54">
          <w:rPr>
            <w:noProof/>
            <w:webHidden/>
          </w:rPr>
          <w:t>8</w:t>
        </w:r>
        <w:r>
          <w:rPr>
            <w:noProof/>
            <w:webHidden/>
          </w:rPr>
          <w:fldChar w:fldCharType="end"/>
        </w:r>
      </w:hyperlink>
    </w:p>
    <w:p w14:paraId="7ED80348" w14:textId="3F48A7C4"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28" w:history="1">
        <w:r w:rsidRPr="001D21A9">
          <w:rPr>
            <w:rStyle w:val="Hyperlink"/>
            <w:noProof/>
          </w:rPr>
          <w:t>5.4.</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Kliinilise toimivuse ja ohutuse üldkokkuvõte</w:t>
        </w:r>
        <w:r>
          <w:rPr>
            <w:noProof/>
            <w:webHidden/>
          </w:rPr>
          <w:tab/>
        </w:r>
        <w:r>
          <w:rPr>
            <w:noProof/>
            <w:webHidden/>
          </w:rPr>
          <w:fldChar w:fldCharType="begin"/>
        </w:r>
        <w:r>
          <w:rPr>
            <w:noProof/>
            <w:webHidden/>
          </w:rPr>
          <w:instrText xml:space="preserve"> PAGEREF _Toc222741328 \h </w:instrText>
        </w:r>
        <w:r>
          <w:rPr>
            <w:noProof/>
            <w:webHidden/>
          </w:rPr>
        </w:r>
        <w:r>
          <w:rPr>
            <w:noProof/>
            <w:webHidden/>
          </w:rPr>
          <w:fldChar w:fldCharType="separate"/>
        </w:r>
        <w:r w:rsidR="006C0F54">
          <w:rPr>
            <w:noProof/>
            <w:webHidden/>
          </w:rPr>
          <w:t>9</w:t>
        </w:r>
        <w:r>
          <w:rPr>
            <w:noProof/>
            <w:webHidden/>
          </w:rPr>
          <w:fldChar w:fldCharType="end"/>
        </w:r>
      </w:hyperlink>
    </w:p>
    <w:p w14:paraId="4002E8B4" w14:textId="2B3F7F83"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29" w:history="1">
        <w:r w:rsidRPr="001D21A9">
          <w:rPr>
            <w:rStyle w:val="Hyperlink"/>
            <w:noProof/>
          </w:rPr>
          <w:t>5.5.</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Pooleliolev või plaanitud turustamisjärgne kliiniline järelkontroll</w:t>
        </w:r>
        <w:r>
          <w:rPr>
            <w:noProof/>
            <w:webHidden/>
          </w:rPr>
          <w:tab/>
        </w:r>
        <w:r>
          <w:rPr>
            <w:noProof/>
            <w:webHidden/>
          </w:rPr>
          <w:fldChar w:fldCharType="begin"/>
        </w:r>
        <w:r>
          <w:rPr>
            <w:noProof/>
            <w:webHidden/>
          </w:rPr>
          <w:instrText xml:space="preserve"> PAGEREF _Toc222741329 \h </w:instrText>
        </w:r>
        <w:r>
          <w:rPr>
            <w:noProof/>
            <w:webHidden/>
          </w:rPr>
        </w:r>
        <w:r>
          <w:rPr>
            <w:noProof/>
            <w:webHidden/>
          </w:rPr>
          <w:fldChar w:fldCharType="separate"/>
        </w:r>
        <w:r w:rsidR="006C0F54">
          <w:rPr>
            <w:noProof/>
            <w:webHidden/>
          </w:rPr>
          <w:t>10</w:t>
        </w:r>
        <w:r>
          <w:rPr>
            <w:noProof/>
            <w:webHidden/>
          </w:rPr>
          <w:fldChar w:fldCharType="end"/>
        </w:r>
      </w:hyperlink>
    </w:p>
    <w:p w14:paraId="4AA60B7F" w14:textId="5E28BAE0"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30" w:history="1">
        <w:r w:rsidRPr="001D21A9">
          <w:rPr>
            <w:rStyle w:val="Hyperlink"/>
            <w:noProof/>
          </w:rPr>
          <w:t>6.</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Võimalikud alternatiivid diagnostikaks ja raviks</w:t>
        </w:r>
        <w:r>
          <w:rPr>
            <w:noProof/>
            <w:webHidden/>
          </w:rPr>
          <w:tab/>
        </w:r>
        <w:r>
          <w:rPr>
            <w:noProof/>
            <w:webHidden/>
          </w:rPr>
          <w:fldChar w:fldCharType="begin"/>
        </w:r>
        <w:r>
          <w:rPr>
            <w:noProof/>
            <w:webHidden/>
          </w:rPr>
          <w:instrText xml:space="preserve"> PAGEREF _Toc222741330 \h </w:instrText>
        </w:r>
        <w:r>
          <w:rPr>
            <w:noProof/>
            <w:webHidden/>
          </w:rPr>
        </w:r>
        <w:r>
          <w:rPr>
            <w:noProof/>
            <w:webHidden/>
          </w:rPr>
          <w:fldChar w:fldCharType="separate"/>
        </w:r>
        <w:r w:rsidR="006C0F54">
          <w:rPr>
            <w:noProof/>
            <w:webHidden/>
          </w:rPr>
          <w:t>11</w:t>
        </w:r>
        <w:r>
          <w:rPr>
            <w:noProof/>
            <w:webHidden/>
          </w:rPr>
          <w:fldChar w:fldCharType="end"/>
        </w:r>
      </w:hyperlink>
    </w:p>
    <w:p w14:paraId="5F13D343" w14:textId="382638B2" w:rsidR="00D728AE" w:rsidRDefault="00BC0CD8">
      <w:pPr>
        <w:pStyle w:val="TOC1"/>
        <w:rPr>
          <w:rFonts w:asciiTheme="minorHAnsi" w:eastAsiaTheme="minorEastAsia" w:hAnsiTheme="minorHAnsi" w:cstheme="minorBidi"/>
          <w:noProof/>
          <w:kern w:val="2"/>
          <w:lang w:eastAsia="zh-CN"/>
          <w14:ligatures w14:val="standardContextual"/>
        </w:rPr>
      </w:pPr>
      <w:hyperlink w:anchor="_Toc222741331" w:history="1">
        <w:r w:rsidRPr="001D21A9">
          <w:rPr>
            <w:rStyle w:val="Hyperlink"/>
            <w:noProof/>
          </w:rPr>
          <w:t>7.</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Kasutajate soovituslik profiil ja väljaõpe</w:t>
        </w:r>
        <w:r>
          <w:rPr>
            <w:noProof/>
            <w:webHidden/>
          </w:rPr>
          <w:tab/>
        </w:r>
        <w:r>
          <w:rPr>
            <w:noProof/>
            <w:webHidden/>
          </w:rPr>
          <w:fldChar w:fldCharType="begin"/>
        </w:r>
        <w:r>
          <w:rPr>
            <w:noProof/>
            <w:webHidden/>
          </w:rPr>
          <w:instrText xml:space="preserve"> PAGEREF _Toc222741331 \h </w:instrText>
        </w:r>
        <w:r>
          <w:rPr>
            <w:noProof/>
            <w:webHidden/>
          </w:rPr>
        </w:r>
        <w:r>
          <w:rPr>
            <w:noProof/>
            <w:webHidden/>
          </w:rPr>
          <w:fldChar w:fldCharType="separate"/>
        </w:r>
        <w:r>
          <w:rPr>
            <w:noProof/>
            <w:webHidden/>
          </w:rPr>
          <w:t>11</w:t>
        </w:r>
        <w:r>
          <w:rPr>
            <w:noProof/>
            <w:webHidden/>
          </w:rPr>
          <w:fldChar w:fldCharType="end"/>
        </w:r>
      </w:hyperlink>
    </w:p>
    <w:p w14:paraId="169CA029" w14:textId="2D59E5B3" w:rsidR="00D728AE" w:rsidRDefault="00BC0CD8">
      <w:pPr>
        <w:pStyle w:val="TOC1"/>
        <w:rPr>
          <w:rFonts w:asciiTheme="minorHAnsi" w:eastAsiaTheme="minorEastAsia" w:hAnsiTheme="minorHAnsi" w:cstheme="minorBidi"/>
          <w:noProof/>
          <w:kern w:val="2"/>
          <w:lang w:eastAsia="zh-CN"/>
          <w14:ligatures w14:val="standardContextual"/>
        </w:rPr>
      </w:pPr>
      <w:hyperlink w:anchor="_Toc222741332" w:history="1">
        <w:r w:rsidRPr="001D21A9">
          <w:rPr>
            <w:rStyle w:val="Hyperlink"/>
            <w:noProof/>
          </w:rPr>
          <w:t>8.</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Harmoneeritud standardid / ühised tehnilised andmed</w:t>
        </w:r>
        <w:r>
          <w:rPr>
            <w:noProof/>
            <w:webHidden/>
          </w:rPr>
          <w:tab/>
        </w:r>
        <w:r>
          <w:rPr>
            <w:noProof/>
            <w:webHidden/>
          </w:rPr>
          <w:fldChar w:fldCharType="begin"/>
        </w:r>
        <w:r>
          <w:rPr>
            <w:noProof/>
            <w:webHidden/>
          </w:rPr>
          <w:instrText xml:space="preserve"> PAGEREF _Toc222741332 \h </w:instrText>
        </w:r>
        <w:r>
          <w:rPr>
            <w:noProof/>
            <w:webHidden/>
          </w:rPr>
        </w:r>
        <w:r>
          <w:rPr>
            <w:noProof/>
            <w:webHidden/>
          </w:rPr>
          <w:fldChar w:fldCharType="separate"/>
        </w:r>
        <w:r>
          <w:rPr>
            <w:noProof/>
            <w:webHidden/>
          </w:rPr>
          <w:t>11</w:t>
        </w:r>
        <w:r>
          <w:rPr>
            <w:noProof/>
            <w:webHidden/>
          </w:rPr>
          <w:fldChar w:fldCharType="end"/>
        </w:r>
      </w:hyperlink>
    </w:p>
    <w:p w14:paraId="11B9112D" w14:textId="705A4ABC" w:rsidR="00D728AE" w:rsidRDefault="00D728AE">
      <w:pPr>
        <w:pStyle w:val="TOC1"/>
        <w:rPr>
          <w:rFonts w:asciiTheme="minorHAnsi" w:eastAsiaTheme="minorEastAsia" w:hAnsiTheme="minorHAnsi" w:cstheme="minorBidi"/>
          <w:noProof/>
          <w:kern w:val="2"/>
          <w:lang w:eastAsia="zh-CN"/>
          <w14:ligatures w14:val="standardContextual"/>
        </w:rPr>
      </w:pPr>
      <w:hyperlink w:anchor="_Toc222741333" w:history="1">
        <w:r w:rsidRPr="001D21A9">
          <w:rPr>
            <w:rStyle w:val="Hyperlink"/>
            <w:noProof/>
          </w:rPr>
          <w:t>9.</w:t>
        </w:r>
        <w:r>
          <w:rPr>
            <w:rFonts w:asciiTheme="minorHAnsi" w:eastAsiaTheme="minorEastAsia" w:hAnsiTheme="minorHAnsi" w:cstheme="minorBidi"/>
            <w:noProof/>
            <w:kern w:val="2"/>
            <w:lang w:eastAsia="zh-CN"/>
            <w14:ligatures w14:val="standardContextual"/>
          </w:rPr>
          <w:tab/>
        </w:r>
        <w:r w:rsidRPr="001D21A9">
          <w:rPr>
            <w:rStyle w:val="Hyperlink"/>
            <w:bCs/>
            <w:noProof/>
            <w:lang w:val="et"/>
          </w:rPr>
          <w:t>Muudatuste ajalugu</w:t>
        </w:r>
        <w:r>
          <w:rPr>
            <w:noProof/>
            <w:webHidden/>
          </w:rPr>
          <w:tab/>
        </w:r>
        <w:r>
          <w:rPr>
            <w:noProof/>
            <w:webHidden/>
          </w:rPr>
          <w:fldChar w:fldCharType="begin"/>
        </w:r>
        <w:r>
          <w:rPr>
            <w:noProof/>
            <w:webHidden/>
          </w:rPr>
          <w:instrText xml:space="preserve"> PAGEREF _Toc222741333 \h </w:instrText>
        </w:r>
        <w:r>
          <w:rPr>
            <w:noProof/>
            <w:webHidden/>
          </w:rPr>
        </w:r>
        <w:r>
          <w:rPr>
            <w:noProof/>
            <w:webHidden/>
          </w:rPr>
          <w:fldChar w:fldCharType="separate"/>
        </w:r>
        <w:r w:rsidR="006C0F54">
          <w:rPr>
            <w:noProof/>
            <w:webHidden/>
          </w:rPr>
          <w:t>13</w:t>
        </w:r>
        <w:r>
          <w:rPr>
            <w:noProof/>
            <w:webHidden/>
          </w:rPr>
          <w:fldChar w:fldCharType="end"/>
        </w:r>
      </w:hyperlink>
    </w:p>
    <w:p w14:paraId="29D6E5E3" w14:textId="03D49B61"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et"/>
        </w:rPr>
        <w:br w:type="page"/>
      </w:r>
    </w:p>
    <w:p w14:paraId="453DC774" w14:textId="77777777" w:rsidR="00221CEF" w:rsidRPr="009461CC" w:rsidRDefault="00221CEF" w:rsidP="00042B91">
      <w:pPr>
        <w:pStyle w:val="Heading7"/>
        <w:spacing w:after="0" w:afterAutospacing="0"/>
      </w:pPr>
      <w:r>
        <w:rPr>
          <w:bCs/>
          <w:lang w:val="et"/>
        </w:rPr>
        <w:lastRenderedPageBreak/>
        <w:t>Ohutuse ja kliinilise toimivuse kokkuvõte</w:t>
      </w:r>
    </w:p>
    <w:p w14:paraId="2D567C3A" w14:textId="4D6B7954" w:rsidR="00221CEF" w:rsidRPr="009461CC" w:rsidRDefault="00221CEF" w:rsidP="00042B91">
      <w:pPr>
        <w:spacing w:after="0" w:afterAutospacing="0" w:line="240" w:lineRule="auto"/>
        <w:rPr>
          <w:rFonts w:cs="Times New Roman"/>
        </w:rPr>
      </w:pPr>
      <w:r>
        <w:rPr>
          <w:rFonts w:cs="Times New Roman"/>
          <w:lang w:val="et"/>
        </w:rPr>
        <w:t>Selle ohutuse ja kliinilise toimivuse kokkuvõttega (SSCP) soovitakse anda avalik ligipääs seadme ohutuse ja kliinilise toimivuse peamiste aspektide uuendatud kokkuvõttele.</w:t>
      </w:r>
    </w:p>
    <w:p w14:paraId="549AF428" w14:textId="35F6904C" w:rsidR="00221CEF" w:rsidRPr="009461CC" w:rsidRDefault="00221CEF" w:rsidP="00042B91">
      <w:pPr>
        <w:spacing w:after="0" w:afterAutospacing="0" w:line="240" w:lineRule="auto"/>
        <w:rPr>
          <w:rFonts w:cs="Times New Roman"/>
        </w:rPr>
      </w:pPr>
      <w:r>
        <w:rPr>
          <w:rFonts w:cs="Times New Roman"/>
          <w:lang w:val="et"/>
        </w:rPr>
        <w:t>See SSCP ei ole ette nähtud asendama kasutusjuhendit kui peamist dokumenti, mis tagab seadme ohutu kasutuse, ega jagama diagnostilisi ega ravialaseid soovitusi sihtkasutajatele ja patsientidele.</w:t>
      </w:r>
    </w:p>
    <w:p w14:paraId="6E1D4297" w14:textId="77777777" w:rsidR="00042B91" w:rsidRPr="009461CC" w:rsidRDefault="00042B91" w:rsidP="00042B91">
      <w:pPr>
        <w:spacing w:after="0" w:afterAutospacing="0" w:line="240" w:lineRule="auto"/>
        <w:rPr>
          <w:rFonts w:cs="Times New Roman"/>
        </w:rPr>
      </w:pPr>
    </w:p>
    <w:p w14:paraId="57958E5A" w14:textId="739089BF" w:rsidR="00221CEF" w:rsidRPr="009461CC" w:rsidRDefault="00221CEF" w:rsidP="00042B91">
      <w:pPr>
        <w:spacing w:after="0" w:afterAutospacing="0" w:line="240" w:lineRule="auto"/>
        <w:rPr>
          <w:rFonts w:cs="Times New Roman"/>
        </w:rPr>
      </w:pPr>
      <w:r>
        <w:rPr>
          <w:rFonts w:cs="Times New Roman"/>
          <w:lang w:val="et"/>
        </w:rPr>
        <w:t>Järgnev teave on mõeldud kasutajatele/tervishoiutöötajatele.</w:t>
      </w:r>
    </w:p>
    <w:p w14:paraId="18A77BED" w14:textId="77777777" w:rsidR="00042B91" w:rsidRPr="009461CC" w:rsidRDefault="00042B91" w:rsidP="00042B91">
      <w:pPr>
        <w:spacing w:after="0" w:afterAutospacing="0" w:line="240" w:lineRule="auto"/>
        <w:rPr>
          <w:rFonts w:cs="Times New Roman"/>
        </w:rPr>
      </w:pPr>
    </w:p>
    <w:p w14:paraId="6E5276B4" w14:textId="2AFD9220" w:rsidR="00042B91" w:rsidRPr="009461CC" w:rsidRDefault="006F0810" w:rsidP="00F67A0E">
      <w:pPr>
        <w:pStyle w:val="Heading1"/>
        <w:numPr>
          <w:ilvl w:val="0"/>
          <w:numId w:val="2"/>
        </w:numPr>
        <w:rPr>
          <w:rFonts w:cs="Times New Roman"/>
        </w:rPr>
      </w:pPr>
      <w:bookmarkStart w:id="0" w:name="_Toc222741304"/>
      <w:r>
        <w:rPr>
          <w:rFonts w:cs="Times New Roman"/>
          <w:bCs/>
          <w:lang w:val="et"/>
        </w:rPr>
        <w:t>Ohutuse ja kliinilise toimivuse kokkuvõtte (SSCP) rakendusala:</w:t>
      </w:r>
      <w:bookmarkEnd w:id="0"/>
    </w:p>
    <w:p w14:paraId="5CDBAEA3" w14:textId="77777777" w:rsidR="00042B91" w:rsidRPr="009461CC" w:rsidRDefault="00042B91" w:rsidP="00042B91">
      <w:pPr>
        <w:spacing w:after="0" w:afterAutospacing="0" w:line="240" w:lineRule="auto"/>
        <w:rPr>
          <w:rFonts w:cs="Times New Roman"/>
        </w:rPr>
      </w:pPr>
    </w:p>
    <w:p w14:paraId="45E5BCB2" w14:textId="6E901CD2" w:rsidR="00AA2E04" w:rsidRPr="009461CC" w:rsidRDefault="00221CEF" w:rsidP="00042B91">
      <w:pPr>
        <w:pStyle w:val="Heading1"/>
        <w:rPr>
          <w:rFonts w:cs="Times New Roman"/>
        </w:rPr>
      </w:pPr>
      <w:bookmarkStart w:id="1" w:name="_Toc222741305"/>
      <w:r>
        <w:rPr>
          <w:rFonts w:cs="Times New Roman"/>
          <w:bCs/>
          <w:lang w:val="et"/>
        </w:rPr>
        <w:t>Seadme kaubanimi:</w:t>
      </w:r>
      <w:bookmarkEnd w:id="1"/>
      <w:r>
        <w:rPr>
          <w:rFonts w:cs="Times New Roman"/>
          <w:bCs/>
          <w:lang w:val="et"/>
        </w:rPr>
        <w:t xml:space="preserve"> </w:t>
      </w:r>
    </w:p>
    <w:p w14:paraId="29AE9E59" w14:textId="1BB46FAA" w:rsidR="00042B91" w:rsidRPr="009461CC" w:rsidRDefault="001D7B25" w:rsidP="001E6921">
      <w:pPr>
        <w:spacing w:after="0" w:afterAutospacing="0" w:line="240" w:lineRule="auto"/>
        <w:ind w:left="792"/>
        <w:rPr>
          <w:rFonts w:cs="Times New Roman"/>
        </w:rPr>
      </w:pPr>
      <w:r>
        <w:rPr>
          <w:rFonts w:cs="Times New Roman"/>
          <w:lang w:val="et"/>
        </w:rPr>
        <w:t>V</w:t>
      </w:r>
      <w:r w:rsidR="00CD5997">
        <w:rPr>
          <w:rFonts w:cs="Times New Roman"/>
          <w:lang w:val="et"/>
        </w:rPr>
        <w:t>askulaarne silmusekomplekt</w:t>
      </w:r>
      <w:r>
        <w:rPr>
          <w:rFonts w:cs="Times New Roman"/>
          <w:lang w:val="et"/>
        </w:rPr>
        <w:t xml:space="preserve"> Atrieve Snare</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9461CC" w:rsidRDefault="00221CEF" w:rsidP="00042B91">
      <w:pPr>
        <w:pStyle w:val="Heading1"/>
        <w:rPr>
          <w:rFonts w:cs="Times New Roman"/>
        </w:rPr>
      </w:pPr>
      <w:bookmarkStart w:id="2" w:name="_Toc222741306"/>
      <w:r>
        <w:rPr>
          <w:rFonts w:cs="Times New Roman"/>
          <w:bCs/>
          <w:lang w:val="et"/>
        </w:rPr>
        <w:t>Seadme kirjeldus, põhi-UDI-DI ja EL-i klassifikatsioon:</w:t>
      </w:r>
      <w:bookmarkEnd w:id="2"/>
    </w:p>
    <w:tbl>
      <w:tblPr>
        <w:tblStyle w:val="TableGrid"/>
        <w:tblW w:w="0" w:type="auto"/>
        <w:tblLook w:val="04A0" w:firstRow="1" w:lastRow="0" w:firstColumn="1" w:lastColumn="0" w:noHBand="0" w:noVBand="1"/>
      </w:tblPr>
      <w:tblGrid>
        <w:gridCol w:w="4403"/>
        <w:gridCol w:w="1804"/>
        <w:gridCol w:w="1110"/>
        <w:gridCol w:w="1097"/>
        <w:gridCol w:w="2016"/>
      </w:tblGrid>
      <w:tr w:rsidR="00BF13AC" w:rsidRPr="009461CC" w14:paraId="77A15E5D" w14:textId="77777777" w:rsidTr="00283E95">
        <w:tc>
          <w:tcPr>
            <w:tcW w:w="4495" w:type="dxa"/>
            <w:shd w:val="clear" w:color="auto" w:fill="E7E6E6" w:themeFill="background2"/>
          </w:tcPr>
          <w:p w14:paraId="6089AC65" w14:textId="5ACA6E64" w:rsidR="006266F5" w:rsidRPr="009461CC" w:rsidRDefault="006266F5" w:rsidP="0015690A">
            <w:pPr>
              <w:jc w:val="center"/>
              <w:rPr>
                <w:rFonts w:cs="Times New Roman"/>
                <w:b/>
                <w:bCs/>
              </w:rPr>
            </w:pPr>
            <w:r>
              <w:rPr>
                <w:rFonts w:cs="Times New Roman"/>
                <w:b/>
                <w:bCs/>
                <w:lang w:val="et"/>
              </w:rPr>
              <w:t>Seadme nimi / kirjeldus</w:t>
            </w:r>
          </w:p>
        </w:tc>
        <w:tc>
          <w:tcPr>
            <w:tcW w:w="1710"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et"/>
              </w:rPr>
              <w:t>EL-i klassifikatsioon</w:t>
            </w:r>
          </w:p>
        </w:tc>
        <w:tc>
          <w:tcPr>
            <w:tcW w:w="1112"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et"/>
              </w:rPr>
              <w:t>GMDN-kood</w:t>
            </w:r>
          </w:p>
        </w:tc>
        <w:tc>
          <w:tcPr>
            <w:tcW w:w="1097"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et"/>
              </w:rPr>
              <w:t>EMDN</w:t>
            </w:r>
          </w:p>
        </w:tc>
        <w:tc>
          <w:tcPr>
            <w:tcW w:w="20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et"/>
              </w:rPr>
              <w:t>Põhi-UDI-DI</w:t>
            </w:r>
          </w:p>
        </w:tc>
      </w:tr>
      <w:tr w:rsidR="00BF13AC" w:rsidRPr="009461CC" w14:paraId="72288A12" w14:textId="77777777" w:rsidTr="00283E95">
        <w:tc>
          <w:tcPr>
            <w:tcW w:w="4495" w:type="dxa"/>
          </w:tcPr>
          <w:p w14:paraId="04AE147E" w14:textId="742C804E" w:rsidR="006266F5" w:rsidRPr="009461CC" w:rsidRDefault="006266F5" w:rsidP="005B3E76">
            <w:pPr>
              <w:rPr>
                <w:rFonts w:cs="Times New Roman"/>
              </w:rPr>
            </w:pPr>
            <w:r>
              <w:rPr>
                <w:rFonts w:cs="Times New Roman"/>
                <w:lang w:val="et"/>
              </w:rPr>
              <w:t>Vaskulaarne silmusekomplekt Atrieve Snare™, läbimõõt 6–10 mm x 120 cm silmus, kateeter 6F x 100 cm</w:t>
            </w:r>
          </w:p>
        </w:tc>
        <w:tc>
          <w:tcPr>
            <w:tcW w:w="1710" w:type="dxa"/>
            <w:vMerge w:val="restart"/>
          </w:tcPr>
          <w:p w14:paraId="016CD4E1" w14:textId="205743A9" w:rsidR="006266F5" w:rsidRPr="009461CC" w:rsidRDefault="00BA7D3E" w:rsidP="00D24167">
            <w:pPr>
              <w:jc w:val="center"/>
              <w:rPr>
                <w:rFonts w:cs="Times New Roman"/>
              </w:rPr>
            </w:pPr>
            <w:r>
              <w:rPr>
                <w:rFonts w:cs="Times New Roman"/>
                <w:lang w:val="et"/>
              </w:rPr>
              <w:t>III klass</w:t>
            </w:r>
          </w:p>
        </w:tc>
        <w:tc>
          <w:tcPr>
            <w:tcW w:w="1112" w:type="dxa"/>
            <w:vMerge w:val="restart"/>
          </w:tcPr>
          <w:p w14:paraId="2554DF3F" w14:textId="217E32BA" w:rsidR="006266F5" w:rsidRPr="009461CC" w:rsidRDefault="006266F5" w:rsidP="00D24167">
            <w:pPr>
              <w:jc w:val="center"/>
              <w:rPr>
                <w:rFonts w:cs="Times New Roman"/>
              </w:rPr>
            </w:pPr>
            <w:r>
              <w:rPr>
                <w:rFonts w:cs="Times New Roman"/>
                <w:lang w:val="et"/>
              </w:rPr>
              <w:t>17927</w:t>
            </w:r>
          </w:p>
        </w:tc>
        <w:tc>
          <w:tcPr>
            <w:tcW w:w="1097" w:type="dxa"/>
            <w:vMerge w:val="restart"/>
          </w:tcPr>
          <w:p w14:paraId="44053393" w14:textId="5F7E5816" w:rsidR="006266F5" w:rsidRPr="009461CC" w:rsidRDefault="006266F5" w:rsidP="00D24167">
            <w:pPr>
              <w:jc w:val="center"/>
              <w:rPr>
                <w:rFonts w:cs="Times New Roman"/>
              </w:rPr>
            </w:pPr>
            <w:r>
              <w:rPr>
                <w:rFonts w:cs="Times New Roman"/>
                <w:lang w:val="et"/>
              </w:rPr>
              <w:t>C019005</w:t>
            </w:r>
          </w:p>
        </w:tc>
        <w:tc>
          <w:tcPr>
            <w:tcW w:w="2016" w:type="dxa"/>
            <w:vMerge w:val="restart"/>
          </w:tcPr>
          <w:p w14:paraId="16987761" w14:textId="1464A232" w:rsidR="006266F5" w:rsidRPr="009461CC" w:rsidRDefault="006266F5" w:rsidP="00D24167">
            <w:pPr>
              <w:jc w:val="center"/>
              <w:rPr>
                <w:rFonts w:cs="Times New Roman"/>
              </w:rPr>
            </w:pPr>
            <w:r>
              <w:rPr>
                <w:rFonts w:cs="Times New Roman"/>
                <w:lang w:val="et"/>
              </w:rPr>
              <w:t>088633329000132</w:t>
            </w:r>
          </w:p>
        </w:tc>
      </w:tr>
      <w:tr w:rsidR="00BF13AC" w:rsidRPr="009461CC" w14:paraId="674985B4" w14:textId="77777777" w:rsidTr="00283E95">
        <w:tc>
          <w:tcPr>
            <w:tcW w:w="4495" w:type="dxa"/>
          </w:tcPr>
          <w:p w14:paraId="1845B978" w14:textId="6A432F56" w:rsidR="006266F5" w:rsidRPr="009461CC" w:rsidRDefault="006266F5" w:rsidP="005B3E76">
            <w:pPr>
              <w:rPr>
                <w:rFonts w:cs="Times New Roman"/>
              </w:rPr>
            </w:pPr>
            <w:r>
              <w:rPr>
                <w:rFonts w:cs="Times New Roman"/>
                <w:lang w:val="et"/>
              </w:rPr>
              <w:t xml:space="preserve">Vaskulaarne silmusekomplekt Atrieve Snare™, läbimõõt 9–15 mm x 120 cm silmus, kateeter 6F x 100 cm </w:t>
            </w:r>
          </w:p>
        </w:tc>
        <w:tc>
          <w:tcPr>
            <w:tcW w:w="1710" w:type="dxa"/>
            <w:vMerge/>
          </w:tcPr>
          <w:p w14:paraId="0F2DCD20" w14:textId="77777777" w:rsidR="006266F5" w:rsidRPr="009461CC" w:rsidRDefault="006266F5" w:rsidP="005B3E76">
            <w:pPr>
              <w:rPr>
                <w:rFonts w:cs="Times New Roman"/>
              </w:rPr>
            </w:pPr>
          </w:p>
        </w:tc>
        <w:tc>
          <w:tcPr>
            <w:tcW w:w="1112" w:type="dxa"/>
            <w:vMerge/>
          </w:tcPr>
          <w:p w14:paraId="45E8FDD8" w14:textId="4AADF8C7" w:rsidR="006266F5" w:rsidRPr="009461CC" w:rsidRDefault="006266F5" w:rsidP="005B3E76">
            <w:pPr>
              <w:rPr>
                <w:rFonts w:cs="Times New Roman"/>
              </w:rPr>
            </w:pPr>
          </w:p>
        </w:tc>
        <w:tc>
          <w:tcPr>
            <w:tcW w:w="1097" w:type="dxa"/>
            <w:vMerge/>
          </w:tcPr>
          <w:p w14:paraId="165F2BBA" w14:textId="77777777" w:rsidR="006266F5" w:rsidRPr="009461CC" w:rsidRDefault="006266F5" w:rsidP="005B3E76">
            <w:pPr>
              <w:rPr>
                <w:rFonts w:cs="Times New Roman"/>
              </w:rPr>
            </w:pPr>
          </w:p>
        </w:tc>
        <w:tc>
          <w:tcPr>
            <w:tcW w:w="2016" w:type="dxa"/>
            <w:vMerge/>
          </w:tcPr>
          <w:p w14:paraId="5C1D3365" w14:textId="77777777" w:rsidR="006266F5" w:rsidRPr="009461CC" w:rsidRDefault="006266F5" w:rsidP="005B3E76">
            <w:pPr>
              <w:rPr>
                <w:rFonts w:cs="Times New Roman"/>
              </w:rPr>
            </w:pPr>
          </w:p>
        </w:tc>
      </w:tr>
      <w:tr w:rsidR="00BF13AC" w:rsidRPr="009461CC" w14:paraId="1B0B0E25" w14:textId="77777777" w:rsidTr="00283E95">
        <w:tc>
          <w:tcPr>
            <w:tcW w:w="4495" w:type="dxa"/>
          </w:tcPr>
          <w:p w14:paraId="0A9B2655" w14:textId="2E7BF1F3" w:rsidR="006266F5" w:rsidRPr="009461CC" w:rsidRDefault="006266F5" w:rsidP="005B3E76">
            <w:pPr>
              <w:rPr>
                <w:rFonts w:cs="Times New Roman"/>
              </w:rPr>
            </w:pPr>
            <w:r>
              <w:rPr>
                <w:rFonts w:cs="Times New Roman"/>
                <w:lang w:val="et"/>
              </w:rPr>
              <w:t xml:space="preserve">Vaskulaarne silmusekomplekt Atrieve Snare™, läbimõõt 12–20 mm x 120 cm silmus, kateeter 6F x 100 cm </w:t>
            </w:r>
          </w:p>
        </w:tc>
        <w:tc>
          <w:tcPr>
            <w:tcW w:w="1710" w:type="dxa"/>
            <w:vMerge/>
          </w:tcPr>
          <w:p w14:paraId="4F42F09B" w14:textId="77777777" w:rsidR="006266F5" w:rsidRPr="009461CC" w:rsidRDefault="006266F5" w:rsidP="005B3E76">
            <w:pPr>
              <w:rPr>
                <w:rFonts w:cs="Times New Roman"/>
              </w:rPr>
            </w:pPr>
          </w:p>
        </w:tc>
        <w:tc>
          <w:tcPr>
            <w:tcW w:w="1112" w:type="dxa"/>
            <w:vMerge/>
          </w:tcPr>
          <w:p w14:paraId="7D1A397B" w14:textId="2F1838AC" w:rsidR="006266F5" w:rsidRPr="009461CC" w:rsidRDefault="006266F5" w:rsidP="005B3E76">
            <w:pPr>
              <w:rPr>
                <w:rFonts w:cs="Times New Roman"/>
              </w:rPr>
            </w:pPr>
          </w:p>
        </w:tc>
        <w:tc>
          <w:tcPr>
            <w:tcW w:w="1097" w:type="dxa"/>
            <w:vMerge/>
          </w:tcPr>
          <w:p w14:paraId="721C2322" w14:textId="77777777" w:rsidR="006266F5" w:rsidRPr="009461CC" w:rsidRDefault="006266F5" w:rsidP="005B3E76">
            <w:pPr>
              <w:rPr>
                <w:rFonts w:cs="Times New Roman"/>
              </w:rPr>
            </w:pPr>
          </w:p>
        </w:tc>
        <w:tc>
          <w:tcPr>
            <w:tcW w:w="2016" w:type="dxa"/>
            <w:vMerge/>
          </w:tcPr>
          <w:p w14:paraId="3C7CCE81" w14:textId="77777777" w:rsidR="006266F5" w:rsidRPr="009461CC" w:rsidRDefault="006266F5" w:rsidP="005B3E76">
            <w:pPr>
              <w:rPr>
                <w:rFonts w:cs="Times New Roman"/>
              </w:rPr>
            </w:pPr>
          </w:p>
        </w:tc>
      </w:tr>
      <w:tr w:rsidR="00BF13AC" w:rsidRPr="009461CC" w14:paraId="06B07953" w14:textId="77777777" w:rsidTr="00283E95">
        <w:tc>
          <w:tcPr>
            <w:tcW w:w="4495" w:type="dxa"/>
          </w:tcPr>
          <w:p w14:paraId="122A6EC5" w14:textId="63FDCCD8" w:rsidR="006266F5" w:rsidRPr="009461CC" w:rsidRDefault="006266F5" w:rsidP="005B3E76">
            <w:pPr>
              <w:rPr>
                <w:rFonts w:cs="Times New Roman"/>
              </w:rPr>
            </w:pPr>
            <w:r>
              <w:rPr>
                <w:rFonts w:cs="Times New Roman"/>
                <w:lang w:val="et"/>
              </w:rPr>
              <w:t xml:space="preserve">Vaskulaarne silmusekomplekt Atrieve Snare™, läbimõõt 18–30 mm x 120 cm silmus, kateeter 7F x 100 cm </w:t>
            </w:r>
          </w:p>
        </w:tc>
        <w:tc>
          <w:tcPr>
            <w:tcW w:w="1710" w:type="dxa"/>
            <w:vMerge/>
          </w:tcPr>
          <w:p w14:paraId="1913C875" w14:textId="77777777" w:rsidR="006266F5" w:rsidRPr="009461CC" w:rsidRDefault="006266F5" w:rsidP="005B3E76">
            <w:pPr>
              <w:rPr>
                <w:rFonts w:cs="Times New Roman"/>
              </w:rPr>
            </w:pPr>
          </w:p>
        </w:tc>
        <w:tc>
          <w:tcPr>
            <w:tcW w:w="1112" w:type="dxa"/>
            <w:vMerge/>
          </w:tcPr>
          <w:p w14:paraId="00E8406E" w14:textId="7131A855" w:rsidR="006266F5" w:rsidRPr="009461CC" w:rsidRDefault="006266F5" w:rsidP="005B3E76">
            <w:pPr>
              <w:rPr>
                <w:rFonts w:cs="Times New Roman"/>
              </w:rPr>
            </w:pPr>
          </w:p>
        </w:tc>
        <w:tc>
          <w:tcPr>
            <w:tcW w:w="1097" w:type="dxa"/>
            <w:vMerge/>
          </w:tcPr>
          <w:p w14:paraId="68FC6CAA" w14:textId="77777777" w:rsidR="006266F5" w:rsidRPr="009461CC" w:rsidRDefault="006266F5" w:rsidP="005B3E76">
            <w:pPr>
              <w:rPr>
                <w:rFonts w:cs="Times New Roman"/>
              </w:rPr>
            </w:pPr>
          </w:p>
        </w:tc>
        <w:tc>
          <w:tcPr>
            <w:tcW w:w="2016" w:type="dxa"/>
            <w:vMerge/>
          </w:tcPr>
          <w:p w14:paraId="36E19225" w14:textId="77777777" w:rsidR="006266F5" w:rsidRPr="009461CC" w:rsidRDefault="006266F5" w:rsidP="005B3E76">
            <w:pPr>
              <w:rPr>
                <w:rFonts w:cs="Times New Roman"/>
              </w:rPr>
            </w:pPr>
          </w:p>
        </w:tc>
      </w:tr>
      <w:tr w:rsidR="00BF13AC" w:rsidRPr="009461CC" w14:paraId="70E2EDC2" w14:textId="77777777" w:rsidTr="00283E95">
        <w:tc>
          <w:tcPr>
            <w:tcW w:w="4495" w:type="dxa"/>
          </w:tcPr>
          <w:p w14:paraId="3B2B1D80" w14:textId="1AA864F2" w:rsidR="006266F5" w:rsidRPr="009461CC" w:rsidRDefault="006266F5" w:rsidP="005B3E76">
            <w:pPr>
              <w:rPr>
                <w:rFonts w:cs="Times New Roman"/>
              </w:rPr>
            </w:pPr>
            <w:r>
              <w:rPr>
                <w:rFonts w:cs="Times New Roman"/>
                <w:lang w:val="et"/>
              </w:rPr>
              <w:t>Vaskulaarne silmusekomplekt Atrieve Snare™, läbimõõt 27–45 mm x 120 cm silmus, kateeter 7F x 100 cm</w:t>
            </w:r>
          </w:p>
        </w:tc>
        <w:tc>
          <w:tcPr>
            <w:tcW w:w="1710" w:type="dxa"/>
            <w:vMerge/>
          </w:tcPr>
          <w:p w14:paraId="5D298385" w14:textId="77777777" w:rsidR="006266F5" w:rsidRPr="009461CC" w:rsidRDefault="006266F5" w:rsidP="005B3E76">
            <w:pPr>
              <w:rPr>
                <w:rFonts w:cs="Times New Roman"/>
              </w:rPr>
            </w:pPr>
          </w:p>
        </w:tc>
        <w:tc>
          <w:tcPr>
            <w:tcW w:w="1112" w:type="dxa"/>
            <w:vMerge/>
          </w:tcPr>
          <w:p w14:paraId="001781C2" w14:textId="46419622" w:rsidR="006266F5" w:rsidRPr="009461CC" w:rsidRDefault="006266F5" w:rsidP="005B3E76">
            <w:pPr>
              <w:rPr>
                <w:rFonts w:cs="Times New Roman"/>
              </w:rPr>
            </w:pPr>
          </w:p>
        </w:tc>
        <w:tc>
          <w:tcPr>
            <w:tcW w:w="1097" w:type="dxa"/>
            <w:vMerge/>
          </w:tcPr>
          <w:p w14:paraId="20D9A32E" w14:textId="77777777" w:rsidR="006266F5" w:rsidRPr="009461CC" w:rsidRDefault="006266F5" w:rsidP="005B3E76">
            <w:pPr>
              <w:rPr>
                <w:rFonts w:cs="Times New Roman"/>
              </w:rPr>
            </w:pPr>
          </w:p>
        </w:tc>
        <w:tc>
          <w:tcPr>
            <w:tcW w:w="2016" w:type="dxa"/>
            <w:vMerge/>
          </w:tcPr>
          <w:p w14:paraId="5855DBED" w14:textId="77777777" w:rsidR="006266F5" w:rsidRPr="009461CC" w:rsidRDefault="006266F5" w:rsidP="005B3E76">
            <w:pPr>
              <w:rPr>
                <w:rFonts w:cs="Times New Roman"/>
              </w:rPr>
            </w:pPr>
          </w:p>
        </w:tc>
      </w:tr>
      <w:tr w:rsidR="00BF13AC" w:rsidRPr="009461CC" w14:paraId="7E3403A6" w14:textId="77777777" w:rsidTr="00283E95">
        <w:tc>
          <w:tcPr>
            <w:tcW w:w="4495" w:type="dxa"/>
          </w:tcPr>
          <w:p w14:paraId="675708BF" w14:textId="49354FA9" w:rsidR="006266F5" w:rsidRPr="009461CC" w:rsidRDefault="006266F5" w:rsidP="005B3E76">
            <w:pPr>
              <w:rPr>
                <w:rFonts w:cs="Times New Roman"/>
              </w:rPr>
            </w:pPr>
            <w:r>
              <w:rPr>
                <w:rFonts w:cs="Times New Roman"/>
                <w:lang w:val="et"/>
              </w:rPr>
              <w:t xml:space="preserve">Vaskulaarne silmusekomplekt Atrieve Snare™, läbimõõt 2–4 mm x 175 cm silmus, kateeter 3,2 jalga x 150 cm </w:t>
            </w:r>
          </w:p>
        </w:tc>
        <w:tc>
          <w:tcPr>
            <w:tcW w:w="1710" w:type="dxa"/>
            <w:vMerge/>
          </w:tcPr>
          <w:p w14:paraId="4005AAE7" w14:textId="77777777" w:rsidR="006266F5" w:rsidRPr="009461CC" w:rsidRDefault="006266F5" w:rsidP="005B3E76">
            <w:pPr>
              <w:rPr>
                <w:rFonts w:cs="Times New Roman"/>
              </w:rPr>
            </w:pPr>
          </w:p>
        </w:tc>
        <w:tc>
          <w:tcPr>
            <w:tcW w:w="1112" w:type="dxa"/>
            <w:vMerge/>
          </w:tcPr>
          <w:p w14:paraId="10F77F80" w14:textId="1EEE88E0" w:rsidR="006266F5" w:rsidRPr="009461CC" w:rsidRDefault="006266F5" w:rsidP="005B3E76">
            <w:pPr>
              <w:rPr>
                <w:rFonts w:cs="Times New Roman"/>
              </w:rPr>
            </w:pPr>
          </w:p>
        </w:tc>
        <w:tc>
          <w:tcPr>
            <w:tcW w:w="1097" w:type="dxa"/>
            <w:vMerge/>
          </w:tcPr>
          <w:p w14:paraId="01E30B80" w14:textId="77777777" w:rsidR="006266F5" w:rsidRPr="009461CC" w:rsidRDefault="006266F5" w:rsidP="005B3E76">
            <w:pPr>
              <w:rPr>
                <w:rFonts w:cs="Times New Roman"/>
              </w:rPr>
            </w:pPr>
          </w:p>
        </w:tc>
        <w:tc>
          <w:tcPr>
            <w:tcW w:w="2016" w:type="dxa"/>
            <w:vMerge/>
          </w:tcPr>
          <w:p w14:paraId="7E3CD13D" w14:textId="77777777" w:rsidR="006266F5" w:rsidRPr="009461CC" w:rsidRDefault="006266F5" w:rsidP="005B3E76">
            <w:pPr>
              <w:rPr>
                <w:rFonts w:cs="Times New Roman"/>
              </w:rPr>
            </w:pPr>
          </w:p>
        </w:tc>
      </w:tr>
      <w:tr w:rsidR="00BF13AC" w:rsidRPr="009461CC" w14:paraId="163BEE28" w14:textId="77777777" w:rsidTr="00283E95">
        <w:tc>
          <w:tcPr>
            <w:tcW w:w="4495" w:type="dxa"/>
          </w:tcPr>
          <w:p w14:paraId="2C7CFD34" w14:textId="1D3DE5A1" w:rsidR="006266F5" w:rsidRPr="009461CC" w:rsidRDefault="006266F5" w:rsidP="005B3E76">
            <w:pPr>
              <w:rPr>
                <w:rFonts w:cs="Times New Roman"/>
              </w:rPr>
            </w:pPr>
            <w:r>
              <w:rPr>
                <w:rFonts w:cs="Times New Roman"/>
                <w:lang w:val="et"/>
              </w:rPr>
              <w:t>Vaskulaarne silmusekomplekt Atrieve Snare™, läbimõõt 4–8 mm x 175 cm silmus, kateeter 3,2 jalga x 150 cm</w:t>
            </w:r>
          </w:p>
        </w:tc>
        <w:tc>
          <w:tcPr>
            <w:tcW w:w="1710" w:type="dxa"/>
            <w:vMerge/>
          </w:tcPr>
          <w:p w14:paraId="796C4314" w14:textId="77777777" w:rsidR="006266F5" w:rsidRPr="009461CC" w:rsidRDefault="006266F5" w:rsidP="005B3E76">
            <w:pPr>
              <w:rPr>
                <w:rFonts w:cs="Times New Roman"/>
              </w:rPr>
            </w:pPr>
          </w:p>
        </w:tc>
        <w:tc>
          <w:tcPr>
            <w:tcW w:w="1112" w:type="dxa"/>
            <w:vMerge/>
          </w:tcPr>
          <w:p w14:paraId="520A7E25" w14:textId="5F41C696" w:rsidR="006266F5" w:rsidRPr="009461CC" w:rsidRDefault="006266F5" w:rsidP="005B3E76">
            <w:pPr>
              <w:rPr>
                <w:rFonts w:cs="Times New Roman"/>
              </w:rPr>
            </w:pPr>
          </w:p>
        </w:tc>
        <w:tc>
          <w:tcPr>
            <w:tcW w:w="1097" w:type="dxa"/>
            <w:vMerge/>
          </w:tcPr>
          <w:p w14:paraId="77962B81" w14:textId="77777777" w:rsidR="006266F5" w:rsidRPr="009461CC" w:rsidRDefault="006266F5" w:rsidP="005B3E76">
            <w:pPr>
              <w:rPr>
                <w:rFonts w:cs="Times New Roman"/>
              </w:rPr>
            </w:pPr>
          </w:p>
        </w:tc>
        <w:tc>
          <w:tcPr>
            <w:tcW w:w="2016" w:type="dxa"/>
            <w:vMerge/>
          </w:tcPr>
          <w:p w14:paraId="570FDA70" w14:textId="77777777" w:rsidR="006266F5" w:rsidRPr="009461CC" w:rsidRDefault="006266F5" w:rsidP="005B3E76">
            <w:pPr>
              <w:rPr>
                <w:rFonts w:cs="Times New Roman"/>
              </w:rPr>
            </w:pPr>
          </w:p>
        </w:tc>
      </w:tr>
    </w:tbl>
    <w:p w14:paraId="2DAE4D4B" w14:textId="77777777" w:rsidR="00AA2E04" w:rsidRPr="009461CC" w:rsidRDefault="00AA2E04" w:rsidP="00AA3694">
      <w:pPr>
        <w:pStyle w:val="Heading1"/>
        <w:numPr>
          <w:ilvl w:val="0"/>
          <w:numId w:val="0"/>
        </w:numPr>
        <w:rPr>
          <w:rFonts w:cs="Times New Roman"/>
        </w:rPr>
      </w:pPr>
    </w:p>
    <w:p w14:paraId="4B18C73D" w14:textId="72C79B52" w:rsidR="009855C3" w:rsidRPr="00D728AE" w:rsidRDefault="009855C3" w:rsidP="00042B91">
      <w:pPr>
        <w:pStyle w:val="Heading1"/>
        <w:rPr>
          <w:rFonts w:cs="Times New Roman"/>
          <w:lang w:val="it-IT"/>
        </w:rPr>
      </w:pPr>
      <w:bookmarkStart w:id="3" w:name="_Toc222741307"/>
      <w:r>
        <w:rPr>
          <w:rFonts w:cs="Times New Roman"/>
          <w:bCs/>
          <w:lang w:val="et"/>
        </w:rPr>
        <w:t>Aasta, millal anti välja esimene seadet hõlmav sertifikaat (CE)</w:t>
      </w:r>
      <w:bookmarkEnd w:id="3"/>
      <w:r>
        <w:rPr>
          <w:rFonts w:cs="Times New Roman"/>
          <w:bCs/>
          <w:lang w:val="et"/>
        </w:rPr>
        <w:t xml:space="preserve"> </w:t>
      </w:r>
    </w:p>
    <w:p w14:paraId="76BA3EF9" w14:textId="6A9F2628" w:rsidR="00713233" w:rsidRPr="00D728AE" w:rsidRDefault="00780A59" w:rsidP="00E714ED">
      <w:pPr>
        <w:spacing w:after="0" w:afterAutospacing="0" w:line="240" w:lineRule="auto"/>
        <w:ind w:left="792"/>
        <w:rPr>
          <w:rFonts w:cs="Times New Roman"/>
          <w:lang w:val="it-IT"/>
        </w:rPr>
      </w:pPr>
      <w:r>
        <w:rPr>
          <w:rFonts w:cs="Times New Roman"/>
          <w:lang w:val="et"/>
        </w:rPr>
        <w:t xml:space="preserve">Vaskulaarne silmusekomplekt Atrieve Snare sai 2010. aastal meditsiiniseadmete direktiivi (MDD) alusel CE-märgise (CE 608298). </w:t>
      </w:r>
    </w:p>
    <w:p w14:paraId="6B157940" w14:textId="77777777" w:rsidR="00FE78AD" w:rsidRPr="00D728AE" w:rsidRDefault="00FE78AD" w:rsidP="00E714ED">
      <w:pPr>
        <w:spacing w:after="0" w:afterAutospacing="0" w:line="240" w:lineRule="auto"/>
        <w:ind w:left="792"/>
        <w:rPr>
          <w:rFonts w:cs="Times New Roman"/>
          <w:lang w:val="it-IT"/>
        </w:rPr>
      </w:pPr>
    </w:p>
    <w:p w14:paraId="7DB260B7" w14:textId="77777777" w:rsidR="00FE78AD" w:rsidRPr="00D728AE" w:rsidRDefault="00FE78AD" w:rsidP="00E714ED">
      <w:pPr>
        <w:spacing w:after="0" w:afterAutospacing="0" w:line="240" w:lineRule="auto"/>
        <w:ind w:left="792"/>
        <w:rPr>
          <w:rFonts w:cs="Times New Roman"/>
          <w:lang w:val="it-IT"/>
        </w:rPr>
      </w:pPr>
    </w:p>
    <w:p w14:paraId="79EE515A" w14:textId="77777777" w:rsidR="00FE78AD" w:rsidRPr="00D728AE" w:rsidRDefault="00FE78AD" w:rsidP="00E714ED">
      <w:pPr>
        <w:spacing w:after="0" w:afterAutospacing="0" w:line="240" w:lineRule="auto"/>
        <w:ind w:left="792"/>
        <w:rPr>
          <w:rFonts w:cs="Times New Roman"/>
          <w:lang w:val="it-IT"/>
        </w:rPr>
      </w:pPr>
    </w:p>
    <w:p w14:paraId="10A04209" w14:textId="75FC9DEC" w:rsidR="009855C3" w:rsidRPr="00D728AE" w:rsidRDefault="009855C3" w:rsidP="00042B91">
      <w:pPr>
        <w:pStyle w:val="Heading1"/>
        <w:rPr>
          <w:rFonts w:cs="Times New Roman"/>
          <w:lang w:val="de-DE"/>
        </w:rPr>
      </w:pPr>
      <w:r>
        <w:rPr>
          <w:rFonts w:cs="Times New Roman"/>
          <w:bCs/>
          <w:lang w:val="et"/>
        </w:rPr>
        <w:lastRenderedPageBreak/>
        <w:t xml:space="preserve"> </w:t>
      </w:r>
      <w:bookmarkStart w:id="4" w:name="_Toc222741308"/>
      <w:r>
        <w:rPr>
          <w:rFonts w:cs="Times New Roman"/>
          <w:bCs/>
          <w:lang w:val="et"/>
        </w:rPr>
        <w:t>Tootja nimi, aadress ja SRN:</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et"/>
              </w:rPr>
              <w:t>Tootja teave</w:t>
            </w:r>
          </w:p>
        </w:tc>
      </w:tr>
      <w:tr w:rsidR="00493B5B" w:rsidRPr="009461CC" w14:paraId="49F686BA" w14:textId="77777777" w:rsidTr="00272DEA">
        <w:trPr>
          <w:trHeight w:val="489"/>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et"/>
              </w:rPr>
              <w:t>Tootja SRN: US-MF-000002324</w:t>
            </w:r>
          </w:p>
        </w:tc>
        <w:tc>
          <w:tcPr>
            <w:tcW w:w="2759" w:type="pct"/>
          </w:tcPr>
          <w:p w14:paraId="61E93080" w14:textId="77777777" w:rsidR="00493B5B" w:rsidRPr="009461CC" w:rsidRDefault="00493B5B" w:rsidP="00AA3694">
            <w:pPr>
              <w:spacing w:after="0" w:afterAutospacing="0"/>
              <w:rPr>
                <w:szCs w:val="24"/>
              </w:rPr>
            </w:pPr>
            <w:r>
              <w:rPr>
                <w:szCs w:val="24"/>
                <w:lang w:val="et"/>
              </w:rPr>
              <w:t>Tootja nimi: Argon Medical Devices, Inc.</w:t>
            </w:r>
          </w:p>
        </w:tc>
      </w:tr>
      <w:tr w:rsidR="00493B5B" w:rsidRPr="009461CC" w14:paraId="03F91594" w14:textId="77777777" w:rsidTr="00272DEA">
        <w:trPr>
          <w:trHeight w:val="525"/>
        </w:trPr>
        <w:tc>
          <w:tcPr>
            <w:tcW w:w="2241" w:type="pct"/>
          </w:tcPr>
          <w:p w14:paraId="119B5A73" w14:textId="77777777" w:rsidR="00493B5B" w:rsidRPr="00D728AE" w:rsidRDefault="00493B5B" w:rsidP="00283E95">
            <w:pPr>
              <w:spacing w:after="0" w:afterAutospacing="0"/>
              <w:rPr>
                <w:spacing w:val="-2"/>
                <w:szCs w:val="24"/>
                <w:lang w:val="de-DE"/>
              </w:rPr>
            </w:pPr>
            <w:r>
              <w:rPr>
                <w:szCs w:val="24"/>
                <w:lang w:val="et"/>
              </w:rPr>
              <w:t>Kontaktisiku ees- ja perekonnanimi: Scott Bishop</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rPr>
            </w:pPr>
            <w:r>
              <w:rPr>
                <w:szCs w:val="24"/>
                <w:lang w:val="et"/>
              </w:rPr>
              <w:t>E-post:</w:t>
            </w:r>
            <w:r>
              <w:rPr>
                <w:sz w:val="22"/>
                <w:lang w:val="et"/>
              </w:rPr>
              <w:t xml:space="preserve"> </w:t>
            </w:r>
            <w:hyperlink r:id="rId11" w:history="1">
              <w:r>
                <w:rPr>
                  <w:color w:val="0563C1"/>
                  <w:szCs w:val="24"/>
                  <w:u w:val="single"/>
                  <w:lang w:val="et"/>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et"/>
              </w:rPr>
              <w:t>Telefoninumber: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r>
              <w:rPr>
                <w:szCs w:val="24"/>
                <w:lang w:val="et"/>
              </w:rPr>
              <w:t>Aadress:</w:t>
            </w:r>
          </w:p>
          <w:p w14:paraId="041EA64B" w14:textId="77777777" w:rsidR="001533A4" w:rsidRPr="009461CC" w:rsidRDefault="001533A4" w:rsidP="009709B4">
            <w:pPr>
              <w:widowControl w:val="0"/>
              <w:autoSpaceDE w:val="0"/>
              <w:autoSpaceDN w:val="0"/>
              <w:spacing w:after="0" w:afterAutospacing="0"/>
              <w:rPr>
                <w:spacing w:val="-2"/>
                <w:szCs w:val="24"/>
              </w:rPr>
            </w:pPr>
            <w:r>
              <w:rPr>
                <w:szCs w:val="24"/>
                <w:lang w:val="et"/>
              </w:rPr>
              <w:t>1445 Flat Creek Rd.</w:t>
            </w:r>
          </w:p>
          <w:p w14:paraId="26DE4983" w14:textId="77777777" w:rsidR="001533A4" w:rsidRPr="009461CC" w:rsidRDefault="001533A4" w:rsidP="009709B4">
            <w:pPr>
              <w:widowControl w:val="0"/>
              <w:autoSpaceDE w:val="0"/>
              <w:autoSpaceDN w:val="0"/>
              <w:spacing w:after="0" w:afterAutospacing="0"/>
              <w:rPr>
                <w:spacing w:val="-2"/>
                <w:szCs w:val="24"/>
              </w:rPr>
            </w:pPr>
            <w:r>
              <w:rPr>
                <w:szCs w:val="24"/>
                <w:lang w:val="et"/>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et"/>
              </w:rPr>
              <w:t>USA</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D728AE" w:rsidRDefault="00887E5D" w:rsidP="00AA3694">
      <w:pPr>
        <w:pStyle w:val="Heading1"/>
        <w:rPr>
          <w:rFonts w:cs="Times New Roman"/>
          <w:lang w:val="it-IT"/>
        </w:rPr>
      </w:pPr>
      <w:bookmarkStart w:id="5" w:name="_Toc222741309"/>
      <w:r>
        <w:rPr>
          <w:rFonts w:cs="Times New Roman"/>
          <w:bCs/>
          <w:lang w:val="et"/>
        </w:rPr>
        <w:t>Volitatud esindaja nimi ja SRN:</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et"/>
              </w:rPr>
              <w:t>Volitatud esindaja teave</w:t>
            </w:r>
          </w:p>
        </w:tc>
      </w:tr>
      <w:tr w:rsidR="008A210D" w:rsidRPr="001D7B25"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et"/>
              </w:rPr>
              <w:t>SRN: NL-AR-000000116</w:t>
            </w:r>
          </w:p>
        </w:tc>
        <w:tc>
          <w:tcPr>
            <w:tcW w:w="2759" w:type="pct"/>
          </w:tcPr>
          <w:p w14:paraId="25BF63FC" w14:textId="77777777" w:rsidR="008A210D" w:rsidRPr="00D728AE" w:rsidRDefault="008A210D" w:rsidP="008A210D">
            <w:pPr>
              <w:widowControl w:val="0"/>
              <w:autoSpaceDE w:val="0"/>
              <w:autoSpaceDN w:val="0"/>
              <w:spacing w:before="119" w:after="0" w:afterAutospacing="0"/>
              <w:rPr>
                <w:bCs/>
                <w:szCs w:val="24"/>
                <w:lang w:val="it-IT"/>
              </w:rPr>
            </w:pPr>
            <w:r>
              <w:rPr>
                <w:szCs w:val="24"/>
                <w:lang w:val="et"/>
              </w:rPr>
              <w:t>Volitatud esindaja organisatsiooni nimi:</w:t>
            </w:r>
          </w:p>
          <w:p w14:paraId="3A6B7B5C" w14:textId="77777777" w:rsidR="008A210D" w:rsidRPr="00D728AE" w:rsidRDefault="008A210D" w:rsidP="008A210D">
            <w:pPr>
              <w:spacing w:after="0" w:afterAutospacing="0"/>
              <w:rPr>
                <w:szCs w:val="24"/>
                <w:lang w:val="it-IT"/>
              </w:rPr>
            </w:pPr>
            <w:r>
              <w:rPr>
                <w:szCs w:val="24"/>
                <w:lang w:val="et"/>
              </w:rPr>
              <w:t>Emergo Europe</w:t>
            </w:r>
          </w:p>
        </w:tc>
      </w:tr>
      <w:tr w:rsidR="008A210D" w:rsidRPr="00BC0CD8" w14:paraId="7AE34B46" w14:textId="77777777" w:rsidTr="00283E95">
        <w:trPr>
          <w:trHeight w:val="422"/>
        </w:trPr>
        <w:tc>
          <w:tcPr>
            <w:tcW w:w="2241" w:type="pct"/>
          </w:tcPr>
          <w:p w14:paraId="65D7FE1F" w14:textId="77777777" w:rsidR="008A210D" w:rsidRPr="009461CC" w:rsidRDefault="008A210D" w:rsidP="008A210D">
            <w:pPr>
              <w:spacing w:after="0" w:afterAutospacing="0"/>
              <w:jc w:val="both"/>
              <w:rPr>
                <w:spacing w:val="-2"/>
                <w:szCs w:val="24"/>
              </w:rPr>
            </w:pPr>
            <w:r>
              <w:rPr>
                <w:szCs w:val="24"/>
                <w:lang w:val="et"/>
              </w:rPr>
              <w:t>Kontaktandmed: Vigilance Team</w:t>
            </w:r>
          </w:p>
        </w:tc>
        <w:tc>
          <w:tcPr>
            <w:tcW w:w="2759" w:type="pct"/>
          </w:tcPr>
          <w:p w14:paraId="2A3CD5D0" w14:textId="77777777" w:rsidR="008A210D" w:rsidRPr="003C53D0" w:rsidRDefault="008A210D" w:rsidP="008A210D">
            <w:pPr>
              <w:widowControl w:val="0"/>
              <w:autoSpaceDE w:val="0"/>
              <w:autoSpaceDN w:val="0"/>
              <w:spacing w:before="39" w:after="0" w:afterAutospacing="0"/>
              <w:rPr>
                <w:spacing w:val="-2"/>
                <w:szCs w:val="24"/>
                <w:lang w:val="de-DE"/>
              </w:rPr>
            </w:pPr>
            <w:r>
              <w:rPr>
                <w:szCs w:val="24"/>
                <w:lang w:val="et"/>
              </w:rPr>
              <w:t xml:space="preserve">E-post: </w:t>
            </w:r>
            <w:hyperlink r:id="rId12" w:history="1">
              <w:r>
                <w:rPr>
                  <w:color w:val="0563C1"/>
                  <w:szCs w:val="24"/>
                  <w:u w:val="single"/>
                  <w:lang w:val="et"/>
                </w:rPr>
                <w:t>EmergoVigilance@ul.com</w:t>
              </w:r>
            </w:hyperlink>
          </w:p>
        </w:tc>
      </w:tr>
      <w:tr w:rsidR="008A210D" w:rsidRPr="009461CC"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et"/>
              </w:rPr>
              <w:t>Telefoninumber: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et"/>
              </w:rPr>
              <w:t>Faks: +31 (0)70 346 7299</w:t>
            </w:r>
          </w:p>
        </w:tc>
        <w:tc>
          <w:tcPr>
            <w:tcW w:w="2759" w:type="pct"/>
          </w:tcPr>
          <w:p w14:paraId="2F414254" w14:textId="77777777" w:rsidR="008A210D" w:rsidRPr="00D728AE" w:rsidRDefault="008A210D" w:rsidP="009709B4">
            <w:pPr>
              <w:widowControl w:val="0"/>
              <w:autoSpaceDE w:val="0"/>
              <w:autoSpaceDN w:val="0"/>
              <w:spacing w:after="0" w:afterAutospacing="0"/>
              <w:rPr>
                <w:spacing w:val="-2"/>
                <w:szCs w:val="24"/>
                <w:lang w:val="de-DE"/>
              </w:rPr>
            </w:pPr>
            <w:r>
              <w:rPr>
                <w:szCs w:val="24"/>
                <w:lang w:val="et"/>
              </w:rPr>
              <w:t>Aadress</w:t>
            </w:r>
          </w:p>
          <w:p w14:paraId="759A4A48" w14:textId="77777777" w:rsidR="008A210D" w:rsidRPr="00D728AE" w:rsidRDefault="008A210D" w:rsidP="009709B4">
            <w:pPr>
              <w:widowControl w:val="0"/>
              <w:autoSpaceDE w:val="0"/>
              <w:autoSpaceDN w:val="0"/>
              <w:spacing w:after="0" w:afterAutospacing="0"/>
              <w:rPr>
                <w:spacing w:val="-2"/>
                <w:szCs w:val="24"/>
                <w:lang w:val="de-DE"/>
              </w:rPr>
            </w:pPr>
            <w:r>
              <w:rPr>
                <w:szCs w:val="24"/>
                <w:lang w:val="et"/>
              </w:rPr>
              <w:t>Tänava number ja nimi:</w:t>
            </w:r>
            <w:r>
              <w:rPr>
                <w:sz w:val="22"/>
                <w:lang w:val="et"/>
              </w:rPr>
              <w:t xml:space="preserve"> 60 </w:t>
            </w:r>
            <w:r>
              <w:rPr>
                <w:szCs w:val="24"/>
                <w:lang w:val="et"/>
              </w:rPr>
              <w:t>Westervoortsedijk</w:t>
            </w:r>
          </w:p>
          <w:p w14:paraId="3B20AE15" w14:textId="77777777" w:rsidR="008A210D" w:rsidRPr="009461CC" w:rsidRDefault="008A210D" w:rsidP="009709B4">
            <w:pPr>
              <w:widowControl w:val="0"/>
              <w:autoSpaceDE w:val="0"/>
              <w:autoSpaceDN w:val="0"/>
              <w:spacing w:after="0" w:afterAutospacing="0"/>
              <w:rPr>
                <w:spacing w:val="-2"/>
                <w:szCs w:val="24"/>
              </w:rPr>
            </w:pPr>
            <w:r>
              <w:rPr>
                <w:szCs w:val="24"/>
                <w:lang w:val="et"/>
              </w:rPr>
              <w:t>Linn: Arnhem</w:t>
            </w:r>
          </w:p>
          <w:p w14:paraId="6FC33444" w14:textId="77777777" w:rsidR="008A210D" w:rsidRPr="009461CC" w:rsidRDefault="008A210D" w:rsidP="009709B4">
            <w:pPr>
              <w:widowControl w:val="0"/>
              <w:autoSpaceDE w:val="0"/>
              <w:autoSpaceDN w:val="0"/>
              <w:spacing w:after="0" w:afterAutospacing="0"/>
              <w:rPr>
                <w:spacing w:val="-2"/>
                <w:szCs w:val="24"/>
              </w:rPr>
            </w:pPr>
            <w:r>
              <w:rPr>
                <w:szCs w:val="24"/>
                <w:lang w:val="et"/>
              </w:rPr>
              <w:t>Postiindeks/sihtnumber: 6827 AT</w:t>
            </w:r>
          </w:p>
          <w:p w14:paraId="2EB91056" w14:textId="77777777" w:rsidR="008A210D" w:rsidRPr="009461CC" w:rsidRDefault="008A210D" w:rsidP="009709B4">
            <w:pPr>
              <w:widowControl w:val="0"/>
              <w:autoSpaceDE w:val="0"/>
              <w:autoSpaceDN w:val="0"/>
              <w:spacing w:after="0" w:afterAutospacing="0"/>
              <w:rPr>
                <w:spacing w:val="-2"/>
                <w:szCs w:val="24"/>
              </w:rPr>
            </w:pPr>
            <w:r>
              <w:rPr>
                <w:szCs w:val="24"/>
                <w:lang w:val="et"/>
              </w:rPr>
              <w:t>Riik: Madalmaad</w:t>
            </w:r>
          </w:p>
        </w:tc>
      </w:tr>
    </w:tbl>
    <w:p w14:paraId="1624A296" w14:textId="77777777" w:rsidR="009855C3" w:rsidRPr="009461CC" w:rsidRDefault="009855C3" w:rsidP="00042B91">
      <w:pPr>
        <w:spacing w:after="0" w:afterAutospacing="0" w:line="240" w:lineRule="auto"/>
        <w:ind w:left="1440"/>
        <w:rPr>
          <w:rFonts w:cs="Times New Roman"/>
        </w:rPr>
      </w:pPr>
    </w:p>
    <w:p w14:paraId="6CE36BA3" w14:textId="2E82DF7C" w:rsidR="006517A0" w:rsidRPr="009461CC" w:rsidRDefault="009855C3" w:rsidP="003074B3">
      <w:pPr>
        <w:pStyle w:val="Heading1"/>
        <w:rPr>
          <w:rFonts w:cs="Times New Roman"/>
        </w:rPr>
      </w:pPr>
      <w:bookmarkStart w:id="6" w:name="_Toc222741310"/>
      <w:r>
        <w:rPr>
          <w:rFonts w:cs="Times New Roman"/>
          <w:bCs/>
          <w:lang w:val="et"/>
        </w:rPr>
        <w:t xml:space="preserve">Teavitatud asutuse </w:t>
      </w:r>
      <w:r w:rsidR="00BC0CD8">
        <w:rPr>
          <w:rFonts w:cs="Times New Roman"/>
          <w:bCs/>
          <w:lang w:val="et"/>
        </w:rPr>
        <w:t xml:space="preserve">(NB) </w:t>
      </w:r>
      <w:r>
        <w:rPr>
          <w:rFonts w:cs="Times New Roman"/>
          <w:bCs/>
          <w:lang w:val="et"/>
        </w:rPr>
        <w:t>nimi ja kordumatu identifitseerimisnumber:</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6836"/>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et"/>
              </w:rPr>
              <w:t>Teavitatud asutus</w:t>
            </w:r>
          </w:p>
        </w:tc>
      </w:tr>
      <w:tr w:rsidR="00272DEA" w:rsidRPr="009461CC" w14:paraId="0B814508" w14:textId="77777777" w:rsidTr="00283E95">
        <w:trPr>
          <w:trHeight w:val="350"/>
          <w:jc w:val="center"/>
        </w:trPr>
        <w:tc>
          <w:tcPr>
            <w:tcW w:w="1723"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et"/>
              </w:rPr>
              <w:t>Nimi:</w:t>
            </w:r>
          </w:p>
        </w:tc>
        <w:tc>
          <w:tcPr>
            <w:tcW w:w="3277"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Pr>
                <w:rFonts w:cs="Times New Roman"/>
                <w:szCs w:val="24"/>
                <w:lang w:val="et"/>
              </w:rPr>
              <w:t>The British Standards Institution (BSI) Group the Netherlands B.V.</w:t>
            </w:r>
          </w:p>
        </w:tc>
      </w:tr>
      <w:tr w:rsidR="003074B3" w:rsidRPr="009461CC" w14:paraId="65281175" w14:textId="77777777" w:rsidTr="00283E95">
        <w:trPr>
          <w:trHeight w:val="728"/>
          <w:jc w:val="center"/>
        </w:trPr>
        <w:tc>
          <w:tcPr>
            <w:tcW w:w="1723"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t"/>
              </w:rPr>
              <w:t>Aadress:</w:t>
            </w:r>
          </w:p>
        </w:tc>
        <w:tc>
          <w:tcPr>
            <w:tcW w:w="3277" w:type="pct"/>
          </w:tcPr>
          <w:p w14:paraId="727CFF1E"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et"/>
              </w:rPr>
              <w:t>John M. Keynesplein 9</w:t>
            </w:r>
          </w:p>
          <w:p w14:paraId="4054093A"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et"/>
              </w:rPr>
              <w:t>1066 EP Amsterdam</w:t>
            </w:r>
          </w:p>
          <w:p w14:paraId="72F2BC20"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et"/>
              </w:rPr>
              <w:t xml:space="preserve"> Madalmaad</w:t>
            </w:r>
          </w:p>
        </w:tc>
      </w:tr>
      <w:tr w:rsidR="003074B3" w:rsidRPr="009461CC" w14:paraId="7A858549" w14:textId="77777777" w:rsidTr="00283E95">
        <w:trPr>
          <w:trHeight w:val="351"/>
          <w:jc w:val="center"/>
        </w:trPr>
        <w:tc>
          <w:tcPr>
            <w:tcW w:w="1723"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et"/>
              </w:rPr>
              <w:t>Veebisait:</w:t>
            </w:r>
          </w:p>
        </w:tc>
        <w:tc>
          <w:tcPr>
            <w:tcW w:w="3277"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color w:val="0000FF"/>
                  <w:szCs w:val="24"/>
                  <w:u w:val="single"/>
                  <w:lang w:val="et"/>
                </w:rPr>
                <w:t>www.bsigroup.com</w:t>
              </w:r>
            </w:hyperlink>
            <w:r>
              <w:rPr>
                <w:rFonts w:eastAsia="Times New Roman" w:cs="Times New Roman"/>
                <w:szCs w:val="24"/>
                <w:lang w:val="et"/>
              </w:rPr>
              <w:t xml:space="preserve"> </w:t>
            </w:r>
          </w:p>
        </w:tc>
      </w:tr>
      <w:tr w:rsidR="003074B3" w:rsidRPr="009461CC" w14:paraId="242654B6" w14:textId="77777777" w:rsidTr="00283E95">
        <w:trPr>
          <w:trHeight w:val="355"/>
          <w:jc w:val="center"/>
        </w:trPr>
        <w:tc>
          <w:tcPr>
            <w:tcW w:w="1723"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et"/>
              </w:rPr>
              <w:t>Telefon:</w:t>
            </w:r>
          </w:p>
        </w:tc>
        <w:tc>
          <w:tcPr>
            <w:tcW w:w="3277"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et"/>
              </w:rPr>
              <w:t>+31 (0) 20 346 07 80</w:t>
            </w:r>
          </w:p>
        </w:tc>
      </w:tr>
      <w:tr w:rsidR="003074B3" w:rsidRPr="009461CC" w14:paraId="3445789F" w14:textId="77777777" w:rsidTr="00283E95">
        <w:trPr>
          <w:trHeight w:val="355"/>
          <w:jc w:val="center"/>
        </w:trPr>
        <w:tc>
          <w:tcPr>
            <w:tcW w:w="1723"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et"/>
              </w:rPr>
              <w:t>Faks:</w:t>
            </w:r>
          </w:p>
        </w:tc>
        <w:tc>
          <w:tcPr>
            <w:tcW w:w="3277"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et"/>
              </w:rPr>
              <w:t>+31 (0)20 346 07 81</w:t>
            </w:r>
          </w:p>
        </w:tc>
      </w:tr>
      <w:tr w:rsidR="003074B3" w:rsidRPr="009461CC" w14:paraId="108563A6" w14:textId="77777777" w:rsidTr="00283E95">
        <w:trPr>
          <w:trHeight w:val="323"/>
          <w:jc w:val="center"/>
        </w:trPr>
        <w:tc>
          <w:tcPr>
            <w:tcW w:w="1723"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et"/>
              </w:rPr>
              <w:t>Teavitatud asutuse number:</w:t>
            </w:r>
            <w:r>
              <w:rPr>
                <w:rFonts w:eastAsia="Times New Roman" w:cs="Times New Roman"/>
                <w:szCs w:val="24"/>
                <w:lang w:val="et"/>
              </w:rPr>
              <w:tab/>
            </w:r>
          </w:p>
        </w:tc>
        <w:tc>
          <w:tcPr>
            <w:tcW w:w="3277"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et"/>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1311"/>
      <w:r>
        <w:rPr>
          <w:rFonts w:cs="Times New Roman"/>
          <w:bCs/>
          <w:lang w:val="et"/>
        </w:rPr>
        <w:t>Seadme sihtotstarve</w:t>
      </w:r>
      <w:bookmarkEnd w:id="7"/>
      <w:r>
        <w:rPr>
          <w:rFonts w:cs="Times New Roman"/>
          <w:bCs/>
          <w:lang w:val="et"/>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et"/>
        </w:rPr>
        <w:t>Viited:</w:t>
      </w:r>
    </w:p>
    <w:p w14:paraId="5CC3EE9B" w14:textId="1A780D49" w:rsidR="00042B91" w:rsidRPr="009461CC" w:rsidRDefault="00FE5B73" w:rsidP="00042B91">
      <w:pPr>
        <w:spacing w:after="0" w:afterAutospacing="0" w:line="240" w:lineRule="auto"/>
        <w:rPr>
          <w:rFonts w:cs="Times New Roman"/>
        </w:rPr>
      </w:pPr>
      <w:r>
        <w:rPr>
          <w:rFonts w:cs="Times New Roman"/>
          <w:lang w:val="et"/>
        </w:rPr>
        <w:t>Viitenumbrid: X9585730-0321-EU Rev A</w:t>
      </w:r>
    </w:p>
    <w:p w14:paraId="1254EE9F" w14:textId="77777777" w:rsidR="00FE5B73" w:rsidRPr="009461CC" w:rsidRDefault="00FE5B73" w:rsidP="00042B91">
      <w:pPr>
        <w:spacing w:after="0" w:afterAutospacing="0" w:line="240" w:lineRule="auto"/>
        <w:rPr>
          <w:rFonts w:cs="Times New Roman"/>
        </w:rPr>
      </w:pPr>
    </w:p>
    <w:p w14:paraId="39A6DB15" w14:textId="58ED6DAB" w:rsidR="006F0810" w:rsidRPr="009461CC" w:rsidRDefault="00B7112F" w:rsidP="00042B91">
      <w:pPr>
        <w:pStyle w:val="Heading1"/>
        <w:rPr>
          <w:rFonts w:cs="Times New Roman"/>
        </w:rPr>
      </w:pPr>
      <w:r>
        <w:rPr>
          <w:rFonts w:cs="Times New Roman"/>
          <w:bCs/>
          <w:lang w:val="et"/>
        </w:rPr>
        <w:t xml:space="preserve"> </w:t>
      </w:r>
      <w:bookmarkStart w:id="8" w:name="_Toc222741312"/>
      <w:r>
        <w:rPr>
          <w:rFonts w:cs="Times New Roman"/>
          <w:bCs/>
          <w:lang w:val="et"/>
        </w:rPr>
        <w:t>Sihtotstarve / kavandatud kasutusotstarve</w:t>
      </w:r>
      <w:bookmarkEnd w:id="8"/>
    </w:p>
    <w:p w14:paraId="5F55F24F" w14:textId="56B0C778" w:rsidR="009B569A" w:rsidRPr="009461CC" w:rsidRDefault="00C53F71" w:rsidP="00B82FB3">
      <w:pPr>
        <w:rPr>
          <w:rFonts w:cs="Times New Roman"/>
          <w:shd w:val="clear" w:color="auto" w:fill="FFFFFF"/>
        </w:rPr>
      </w:pPr>
      <w:r>
        <w:rPr>
          <w:rFonts w:cs="Times New Roman"/>
          <w:shd w:val="clear" w:color="auto" w:fill="FFFFFF"/>
          <w:lang w:val="et"/>
        </w:rPr>
        <w:t>M</w:t>
      </w:r>
      <w:r w:rsidR="00B82FB3">
        <w:rPr>
          <w:rFonts w:cs="Times New Roman"/>
          <w:shd w:val="clear" w:color="auto" w:fill="FFFFFF"/>
          <w:lang w:val="et"/>
        </w:rPr>
        <w:t>õeldud kasutamiseks südameveresoonkonnas või õõneselundites, et võõrkehasid eemaldada ja manipuleerida.</w:t>
      </w:r>
    </w:p>
    <w:p w14:paraId="0540FB4C" w14:textId="6BE36C7A" w:rsidR="006F0810" w:rsidRPr="009461CC" w:rsidRDefault="006F0810" w:rsidP="00042B91">
      <w:pPr>
        <w:pStyle w:val="Heading1"/>
        <w:rPr>
          <w:rFonts w:cs="Times New Roman"/>
        </w:rPr>
      </w:pPr>
      <w:bookmarkStart w:id="9" w:name="_Toc222741313"/>
      <w:r>
        <w:rPr>
          <w:rFonts w:cs="Times New Roman"/>
          <w:bCs/>
          <w:lang w:val="et"/>
        </w:rPr>
        <w:t>Kasutusnäidustus</w:t>
      </w:r>
      <w:bookmarkEnd w:id="9"/>
    </w:p>
    <w:p w14:paraId="24ADD508" w14:textId="3C2CC330" w:rsidR="00235AAE" w:rsidRPr="00D728AE" w:rsidRDefault="00D76341" w:rsidP="00235AAE">
      <w:pPr>
        <w:widowControl w:val="0"/>
        <w:rPr>
          <w:rFonts w:cs="Times New Roman"/>
          <w:lang w:val="et"/>
        </w:rPr>
      </w:pPr>
      <w:r>
        <w:rPr>
          <w:rFonts w:cs="Times New Roman"/>
          <w:lang w:val="et"/>
        </w:rPr>
        <w:lastRenderedPageBreak/>
        <w:t>M</w:t>
      </w:r>
      <w:r w:rsidR="00235AAE">
        <w:rPr>
          <w:rFonts w:cs="Times New Roman"/>
          <w:lang w:val="et"/>
        </w:rPr>
        <w:t>õeldud kasutamiseks südameveresoonkonnas või õõneselundites, et võõrkehasid eemaldada ja manipuleerida. Manipuleerimisprotseduurideks on püsikateetri ümberpaigutamine, püsikateetri fibriinitupe eemaldamine ja tsentraalveeni ligipääsu punktsiooniprotseduuri abistamine.</w:t>
      </w:r>
    </w:p>
    <w:p w14:paraId="498EAE44" w14:textId="77777777" w:rsidR="00D20FA4" w:rsidRPr="009461CC" w:rsidRDefault="00D20FA4" w:rsidP="00042B91">
      <w:pPr>
        <w:pStyle w:val="Heading1"/>
        <w:rPr>
          <w:rFonts w:cs="Times New Roman"/>
        </w:rPr>
      </w:pPr>
      <w:bookmarkStart w:id="10" w:name="_Toc222741314"/>
      <w:r>
        <w:rPr>
          <w:rFonts w:cs="Times New Roman"/>
          <w:bCs/>
          <w:lang w:val="et"/>
        </w:rPr>
        <w:t>Sihtpopulatsioon</w:t>
      </w:r>
      <w:bookmarkEnd w:id="10"/>
    </w:p>
    <w:p w14:paraId="099A3585" w14:textId="77777777" w:rsidR="003B70D7" w:rsidRPr="009461CC" w:rsidRDefault="003B70D7" w:rsidP="005A1E4B">
      <w:pPr>
        <w:pStyle w:val="pf0"/>
        <w:widowControl w:val="0"/>
        <w:spacing w:before="0" w:beforeAutospacing="0" w:after="0" w:afterAutospacing="0"/>
      </w:pPr>
      <w:r>
        <w:rPr>
          <w:lang w:val="et"/>
        </w:rPr>
        <w:t>Täiskasvanud patsientide hulka kuuluvad eakad täiskasvanud, olenemata soost, rassist või etnilisest kuuluvusest.</w:t>
      </w:r>
    </w:p>
    <w:p w14:paraId="3621B4F1" w14:textId="77777777" w:rsidR="003B70D7" w:rsidRPr="009461CC" w:rsidRDefault="003B70D7" w:rsidP="003B70D7">
      <w:pPr>
        <w:pStyle w:val="pf0"/>
        <w:widowControl w:val="0"/>
        <w:spacing w:before="0" w:beforeAutospacing="0" w:after="0" w:afterAutospacing="0"/>
      </w:pPr>
    </w:p>
    <w:p w14:paraId="28F544BD" w14:textId="4F93A450" w:rsidR="006F0810" w:rsidRPr="009461CC" w:rsidRDefault="006F0810" w:rsidP="00042B91">
      <w:pPr>
        <w:pStyle w:val="Heading1"/>
        <w:rPr>
          <w:rFonts w:cs="Times New Roman"/>
        </w:rPr>
      </w:pPr>
      <w:bookmarkStart w:id="11" w:name="_Toc222741315"/>
      <w:r>
        <w:rPr>
          <w:rFonts w:cs="Times New Roman"/>
          <w:bCs/>
          <w:lang w:val="et"/>
        </w:rPr>
        <w:t>Vastunäidustused</w:t>
      </w:r>
      <w:bookmarkEnd w:id="11"/>
    </w:p>
    <w:p w14:paraId="169E24EB"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cs="Times New Roman"/>
          <w:color w:val="000000"/>
          <w:lang w:val="et"/>
        </w:rPr>
        <w:t>See seade ei ole ette nähtud koekasvu tagajärjel kinni jäänud võõrkehade eemaldamiseks.</w:t>
      </w:r>
      <w:r>
        <w:rPr>
          <w:rFonts w:cs="Times New Roman"/>
          <w:color w:val="4472C4" w:themeColor="accent1"/>
          <w:lang w:val="et"/>
        </w:rPr>
        <w:t>.</w:t>
      </w:r>
    </w:p>
    <w:p w14:paraId="4BFB00B8"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et"/>
        </w:rPr>
        <w:t>Seadet ei tohiks kasutada fibriinkatte eemaldamiseks avatud foramen ovale vaheseina defektide korral.</w:t>
      </w:r>
    </w:p>
    <w:p w14:paraId="77577945"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et"/>
        </w:rPr>
        <w:t>See seade ei ole ette nähtud implanteeritud stimulatsioonijuhtmete eemaldamiseks.</w:t>
      </w:r>
    </w:p>
    <w:p w14:paraId="764D1032" w14:textId="77777777" w:rsidR="00761873" w:rsidRPr="009461CC" w:rsidRDefault="00761873" w:rsidP="00761873">
      <w:pPr>
        <w:pStyle w:val="ListParagraph"/>
        <w:spacing w:after="0" w:afterAutospacing="0"/>
        <w:ind w:left="1440"/>
        <w:rPr>
          <w:rFonts w:cs="Times New Roman"/>
        </w:rPr>
      </w:pPr>
    </w:p>
    <w:p w14:paraId="0A9D601E" w14:textId="53FB771D" w:rsidR="00760400" w:rsidRPr="009461CC" w:rsidRDefault="00D20FA4" w:rsidP="00F67A0E">
      <w:pPr>
        <w:pStyle w:val="Heading1"/>
        <w:numPr>
          <w:ilvl w:val="0"/>
          <w:numId w:val="2"/>
        </w:numPr>
        <w:rPr>
          <w:rFonts w:cs="Times New Roman"/>
        </w:rPr>
      </w:pPr>
      <w:bookmarkStart w:id="12" w:name="_Toc222741316"/>
      <w:r>
        <w:rPr>
          <w:rFonts w:cs="Times New Roman"/>
          <w:bCs/>
          <w:lang w:val="et"/>
        </w:rPr>
        <w:t>Seadme kirjeldus</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22741317"/>
      <w:r>
        <w:rPr>
          <w:rFonts w:cs="Times New Roman"/>
          <w:bCs/>
          <w:lang w:val="et"/>
        </w:rPr>
        <w:t>Seadme kirjeldus</w:t>
      </w:r>
      <w:bookmarkEnd w:id="13"/>
      <w:r>
        <w:rPr>
          <w:rFonts w:cs="Times New Roman"/>
          <w:bCs/>
          <w:lang w:val="et"/>
        </w:rPr>
        <w:t xml:space="preserve"> </w:t>
      </w:r>
    </w:p>
    <w:p w14:paraId="3DAFEC6E" w14:textId="11FC85B0" w:rsidR="00994DB9" w:rsidRPr="00D728AE" w:rsidRDefault="00994DB9" w:rsidP="00994DB9">
      <w:pPr>
        <w:rPr>
          <w:rFonts w:cs="Times New Roman"/>
          <w:lang w:val="et"/>
        </w:rPr>
      </w:pPr>
      <w:bookmarkStart w:id="14" w:name="_Hlk169187630"/>
      <w:r>
        <w:rPr>
          <w:rFonts w:cs="Times New Roman"/>
          <w:lang w:val="et"/>
        </w:rPr>
        <w:t>Vaskulaarne silmusekomplekt Atrieve</w:t>
      </w:r>
      <w:r w:rsidR="00EC09EF" w:rsidRPr="00EC09EF">
        <w:rPr>
          <w:rFonts w:cs="Times New Roman"/>
        </w:rPr>
        <w:t>™</w:t>
      </w:r>
      <w:r>
        <w:rPr>
          <w:rFonts w:cs="Times New Roman"/>
          <w:lang w:val="et"/>
        </w:rPr>
        <w:t xml:space="preserve"> Snare koosneb </w:t>
      </w:r>
      <w:r w:rsidR="004433FD">
        <w:rPr>
          <w:rFonts w:cs="Times New Roman"/>
          <w:lang w:val="et"/>
        </w:rPr>
        <w:t>silmusest</w:t>
      </w:r>
      <w:r>
        <w:rPr>
          <w:rFonts w:cs="Times New Roman"/>
          <w:lang w:val="et"/>
        </w:rPr>
        <w:t>, millel on kolm eelvormitud aasa, mis on valmistatud ülielastsest nitinoolist ja plaatinast. Silmused ei ole üksteise küljes ja saavad koos liikuda. Eemaldusseadme silmused saab sisestada sisestamiskateetrisse ilma ohuta, et seade deformeeruks permanentselt. Vaskulaarsesse silmusekomplekti Atrieve Snare kuuluvad paigalduskateeter, pöördvars ja sisesti. Manustamiskateetril on distaalses otsas röntgenkontrastne markerriba. Toode on pakendatud kaitsvasse rõngakujulisse hoidikusse. Seade on mõeldud ühekordseks kasutamiseks ja tarnitakse steriilselt (etüleenoksiid) kasutusvalmis kujul.</w:t>
      </w:r>
    </w:p>
    <w:p w14:paraId="210E0750" w14:textId="1FA1664A" w:rsidR="00994DB9" w:rsidRPr="003C53D0" w:rsidRDefault="00994DB9" w:rsidP="00994DB9">
      <w:pPr>
        <w:rPr>
          <w:rFonts w:cs="Times New Roman"/>
          <w:lang w:val="et"/>
        </w:rPr>
      </w:pPr>
      <w:r>
        <w:rPr>
          <w:rFonts w:cs="Times New Roman"/>
          <w:lang w:val="et"/>
        </w:rPr>
        <w:t>Vaskulaarne silmusekomplekt Atrieve</w:t>
      </w:r>
      <w:r w:rsidR="0045431D" w:rsidRPr="00283E95">
        <w:rPr>
          <w:rFonts w:cs="Times New Roman"/>
          <w:lang w:val="et"/>
        </w:rPr>
        <w:t>™</w:t>
      </w:r>
      <w:r>
        <w:rPr>
          <w:rFonts w:cs="Times New Roman"/>
          <w:lang w:val="et"/>
        </w:rPr>
        <w:t xml:space="preserve"> Snare on saadaval järgmistes suurustes:</w:t>
      </w:r>
    </w:p>
    <w:tbl>
      <w:tblPr>
        <w:tblStyle w:val="TableGrid"/>
        <w:tblW w:w="5000" w:type="pct"/>
        <w:tblLook w:val="04A0" w:firstRow="1" w:lastRow="0" w:firstColumn="1" w:lastColumn="0" w:noHBand="0" w:noVBand="1"/>
      </w:tblPr>
      <w:tblGrid>
        <w:gridCol w:w="2825"/>
        <w:gridCol w:w="1940"/>
        <w:gridCol w:w="3060"/>
        <w:gridCol w:w="2605"/>
      </w:tblGrid>
      <w:tr w:rsidR="00994DB9" w:rsidRPr="009461CC" w14:paraId="5ADE64F6" w14:textId="77777777" w:rsidTr="00283E95">
        <w:tc>
          <w:tcPr>
            <w:tcW w:w="1354" w:type="pct"/>
          </w:tcPr>
          <w:p w14:paraId="323B4940" w14:textId="0DDDE4F3" w:rsidR="00994DB9" w:rsidRPr="009461CC" w:rsidRDefault="00605BF2" w:rsidP="0022766F">
            <w:pPr>
              <w:widowControl w:val="0"/>
              <w:rPr>
                <w:rFonts w:cs="Times New Roman"/>
              </w:rPr>
            </w:pPr>
            <w:r>
              <w:rPr>
                <w:rFonts w:cs="Times New Roman"/>
                <w:lang w:val="et"/>
              </w:rPr>
              <w:t>Silmus</w:t>
            </w:r>
            <w:r w:rsidR="008D473C">
              <w:rPr>
                <w:rFonts w:cs="Times New Roman"/>
                <w:lang w:val="et"/>
              </w:rPr>
              <w:t>e</w:t>
            </w:r>
            <w:r>
              <w:rPr>
                <w:rFonts w:cs="Times New Roman"/>
                <w:lang w:val="et"/>
              </w:rPr>
              <w:t xml:space="preserve"> </w:t>
            </w:r>
            <w:r w:rsidR="00994DB9">
              <w:rPr>
                <w:rFonts w:cs="Times New Roman"/>
                <w:lang w:val="et"/>
              </w:rPr>
              <w:t>läbimõõdu vahemik</w:t>
            </w:r>
          </w:p>
        </w:tc>
        <w:tc>
          <w:tcPr>
            <w:tcW w:w="930" w:type="pct"/>
          </w:tcPr>
          <w:p w14:paraId="2775F724" w14:textId="14A4FD5F" w:rsidR="00994DB9" w:rsidRPr="009461CC" w:rsidRDefault="008D473C" w:rsidP="0022766F">
            <w:pPr>
              <w:widowControl w:val="0"/>
              <w:rPr>
                <w:rFonts w:cs="Times New Roman"/>
              </w:rPr>
            </w:pPr>
            <w:r>
              <w:rPr>
                <w:rFonts w:cs="Times New Roman"/>
                <w:lang w:val="et"/>
              </w:rPr>
              <w:t xml:space="preserve">Silmuse </w:t>
            </w:r>
            <w:r w:rsidR="00994DB9">
              <w:rPr>
                <w:rFonts w:cs="Times New Roman"/>
                <w:lang w:val="et"/>
              </w:rPr>
              <w:t>pikkus</w:t>
            </w:r>
          </w:p>
        </w:tc>
        <w:tc>
          <w:tcPr>
            <w:tcW w:w="1467" w:type="pct"/>
          </w:tcPr>
          <w:p w14:paraId="7396E037" w14:textId="1898D6BE" w:rsidR="00994DB9" w:rsidRPr="009461CC" w:rsidRDefault="00AF608E" w:rsidP="0022766F">
            <w:pPr>
              <w:widowControl w:val="0"/>
              <w:rPr>
                <w:rFonts w:cs="Times New Roman"/>
              </w:rPr>
            </w:pPr>
            <w:r>
              <w:rPr>
                <w:rFonts w:cs="Times New Roman"/>
                <w:lang w:val="et"/>
              </w:rPr>
              <w:t xml:space="preserve">Sisestuse </w:t>
            </w:r>
            <w:r w:rsidR="00994DB9">
              <w:rPr>
                <w:rFonts w:cs="Times New Roman"/>
                <w:lang w:val="et"/>
              </w:rPr>
              <w:t>suurus</w:t>
            </w:r>
          </w:p>
        </w:tc>
        <w:tc>
          <w:tcPr>
            <w:tcW w:w="1249" w:type="pct"/>
          </w:tcPr>
          <w:p w14:paraId="7E248A66" w14:textId="77777777" w:rsidR="00994DB9" w:rsidRPr="009461CC" w:rsidRDefault="00994DB9" w:rsidP="0022766F">
            <w:pPr>
              <w:widowControl w:val="0"/>
              <w:rPr>
                <w:rFonts w:cs="Times New Roman"/>
              </w:rPr>
            </w:pPr>
            <w:r>
              <w:rPr>
                <w:rFonts w:cs="Times New Roman"/>
                <w:lang w:val="et"/>
              </w:rPr>
              <w:t>Kateetri pikkus</w:t>
            </w:r>
          </w:p>
        </w:tc>
      </w:tr>
      <w:tr w:rsidR="00994DB9" w:rsidRPr="009461CC" w14:paraId="41F89C56" w14:textId="77777777" w:rsidTr="00283E95">
        <w:tc>
          <w:tcPr>
            <w:tcW w:w="1354" w:type="pct"/>
          </w:tcPr>
          <w:p w14:paraId="20D41F97" w14:textId="77777777" w:rsidR="00994DB9" w:rsidRPr="009461CC" w:rsidRDefault="00994DB9" w:rsidP="0022766F">
            <w:pPr>
              <w:widowControl w:val="0"/>
              <w:rPr>
                <w:rFonts w:cs="Times New Roman"/>
              </w:rPr>
            </w:pPr>
            <w:r>
              <w:rPr>
                <w:rFonts w:cs="Times New Roman"/>
                <w:lang w:val="et"/>
              </w:rPr>
              <w:t>2–4 mm</w:t>
            </w:r>
          </w:p>
        </w:tc>
        <w:tc>
          <w:tcPr>
            <w:tcW w:w="930" w:type="pct"/>
          </w:tcPr>
          <w:p w14:paraId="04CC9EC1" w14:textId="77777777" w:rsidR="00994DB9" w:rsidRPr="009461CC" w:rsidRDefault="00994DB9" w:rsidP="0022766F">
            <w:pPr>
              <w:widowControl w:val="0"/>
              <w:rPr>
                <w:rFonts w:cs="Times New Roman"/>
              </w:rPr>
            </w:pPr>
            <w:r>
              <w:rPr>
                <w:rFonts w:cs="Times New Roman"/>
                <w:lang w:val="et"/>
              </w:rPr>
              <w:t>175 cm</w:t>
            </w:r>
          </w:p>
        </w:tc>
        <w:tc>
          <w:tcPr>
            <w:tcW w:w="1467" w:type="pct"/>
          </w:tcPr>
          <w:p w14:paraId="38F2FCC0" w14:textId="77777777" w:rsidR="00994DB9" w:rsidRPr="009461CC" w:rsidRDefault="00994DB9" w:rsidP="0022766F">
            <w:pPr>
              <w:widowControl w:val="0"/>
              <w:rPr>
                <w:rFonts w:cs="Times New Roman"/>
              </w:rPr>
            </w:pPr>
            <w:r>
              <w:rPr>
                <w:rFonts w:cs="Times New Roman"/>
                <w:lang w:val="et"/>
              </w:rPr>
              <w:t>3,2 kraadi Fahrenheiti järgi</w:t>
            </w:r>
          </w:p>
        </w:tc>
        <w:tc>
          <w:tcPr>
            <w:tcW w:w="1249" w:type="pct"/>
          </w:tcPr>
          <w:p w14:paraId="5CD712C9" w14:textId="77777777" w:rsidR="00994DB9" w:rsidRPr="009461CC" w:rsidRDefault="00994DB9" w:rsidP="0022766F">
            <w:pPr>
              <w:widowControl w:val="0"/>
              <w:rPr>
                <w:rFonts w:cs="Times New Roman"/>
              </w:rPr>
            </w:pPr>
            <w:r>
              <w:rPr>
                <w:rFonts w:cs="Times New Roman"/>
                <w:lang w:val="et"/>
              </w:rPr>
              <w:t>150 cm</w:t>
            </w:r>
          </w:p>
        </w:tc>
      </w:tr>
      <w:tr w:rsidR="00994DB9" w:rsidRPr="009461CC" w14:paraId="5428D0A0" w14:textId="77777777" w:rsidTr="00283E95">
        <w:tc>
          <w:tcPr>
            <w:tcW w:w="1354" w:type="pct"/>
          </w:tcPr>
          <w:p w14:paraId="7992579F" w14:textId="77777777" w:rsidR="00994DB9" w:rsidRPr="009461CC" w:rsidRDefault="00994DB9" w:rsidP="0022766F">
            <w:pPr>
              <w:widowControl w:val="0"/>
              <w:rPr>
                <w:rFonts w:cs="Times New Roman"/>
              </w:rPr>
            </w:pPr>
            <w:r>
              <w:rPr>
                <w:rFonts w:cs="Times New Roman"/>
                <w:lang w:val="et"/>
              </w:rPr>
              <w:t>4–8 mm</w:t>
            </w:r>
          </w:p>
        </w:tc>
        <w:tc>
          <w:tcPr>
            <w:tcW w:w="930" w:type="pct"/>
          </w:tcPr>
          <w:p w14:paraId="7E385A6E" w14:textId="77777777" w:rsidR="00994DB9" w:rsidRPr="009461CC" w:rsidRDefault="00994DB9" w:rsidP="0022766F">
            <w:pPr>
              <w:widowControl w:val="0"/>
              <w:rPr>
                <w:rFonts w:cs="Times New Roman"/>
              </w:rPr>
            </w:pPr>
            <w:r>
              <w:rPr>
                <w:rFonts w:cs="Times New Roman"/>
                <w:lang w:val="et"/>
              </w:rPr>
              <w:t>175 cm</w:t>
            </w:r>
          </w:p>
        </w:tc>
        <w:tc>
          <w:tcPr>
            <w:tcW w:w="1467" w:type="pct"/>
          </w:tcPr>
          <w:p w14:paraId="52F22EE9" w14:textId="77777777" w:rsidR="00994DB9" w:rsidRPr="009461CC" w:rsidRDefault="00994DB9" w:rsidP="0022766F">
            <w:pPr>
              <w:widowControl w:val="0"/>
              <w:rPr>
                <w:rFonts w:cs="Times New Roman"/>
              </w:rPr>
            </w:pPr>
            <w:r>
              <w:rPr>
                <w:rFonts w:cs="Times New Roman"/>
                <w:lang w:val="et"/>
              </w:rPr>
              <w:t>3,2 kraadi Fahrenheiti järgi</w:t>
            </w:r>
          </w:p>
        </w:tc>
        <w:tc>
          <w:tcPr>
            <w:tcW w:w="1249" w:type="pct"/>
          </w:tcPr>
          <w:p w14:paraId="2FFE91B6" w14:textId="77777777" w:rsidR="00994DB9" w:rsidRPr="009461CC" w:rsidRDefault="00994DB9" w:rsidP="0022766F">
            <w:pPr>
              <w:widowControl w:val="0"/>
              <w:rPr>
                <w:rFonts w:cs="Times New Roman"/>
              </w:rPr>
            </w:pPr>
            <w:r>
              <w:rPr>
                <w:rFonts w:cs="Times New Roman"/>
                <w:lang w:val="et"/>
              </w:rPr>
              <w:t>150 cm</w:t>
            </w:r>
          </w:p>
        </w:tc>
      </w:tr>
      <w:tr w:rsidR="00994DB9" w:rsidRPr="009461CC" w14:paraId="1CBE6E3D" w14:textId="77777777" w:rsidTr="00283E95">
        <w:tc>
          <w:tcPr>
            <w:tcW w:w="1354" w:type="pct"/>
          </w:tcPr>
          <w:p w14:paraId="3CD87E57" w14:textId="77777777" w:rsidR="00994DB9" w:rsidRPr="009461CC" w:rsidRDefault="00994DB9" w:rsidP="0022766F">
            <w:pPr>
              <w:widowControl w:val="0"/>
              <w:rPr>
                <w:rFonts w:cs="Times New Roman"/>
              </w:rPr>
            </w:pPr>
            <w:r>
              <w:rPr>
                <w:rFonts w:cs="Times New Roman"/>
                <w:lang w:val="et"/>
              </w:rPr>
              <w:t>6–10 mm</w:t>
            </w:r>
          </w:p>
        </w:tc>
        <w:tc>
          <w:tcPr>
            <w:tcW w:w="930" w:type="pct"/>
          </w:tcPr>
          <w:p w14:paraId="58739EE1" w14:textId="77777777" w:rsidR="00994DB9" w:rsidRPr="009461CC" w:rsidRDefault="00994DB9" w:rsidP="0022766F">
            <w:pPr>
              <w:widowControl w:val="0"/>
              <w:rPr>
                <w:rFonts w:cs="Times New Roman"/>
              </w:rPr>
            </w:pPr>
            <w:r>
              <w:rPr>
                <w:rFonts w:cs="Times New Roman"/>
                <w:lang w:val="et"/>
              </w:rPr>
              <w:t>120 cm</w:t>
            </w:r>
          </w:p>
        </w:tc>
        <w:tc>
          <w:tcPr>
            <w:tcW w:w="1467" w:type="pct"/>
          </w:tcPr>
          <w:p w14:paraId="66A2FE52" w14:textId="77777777" w:rsidR="00994DB9" w:rsidRPr="009461CC" w:rsidRDefault="00994DB9" w:rsidP="0022766F">
            <w:pPr>
              <w:widowControl w:val="0"/>
              <w:rPr>
                <w:rFonts w:cs="Times New Roman"/>
              </w:rPr>
            </w:pPr>
            <w:r>
              <w:rPr>
                <w:rFonts w:cs="Times New Roman"/>
                <w:lang w:val="et"/>
              </w:rPr>
              <w:t>6 F</w:t>
            </w:r>
          </w:p>
        </w:tc>
        <w:tc>
          <w:tcPr>
            <w:tcW w:w="1249" w:type="pct"/>
          </w:tcPr>
          <w:p w14:paraId="16036ECD" w14:textId="77777777" w:rsidR="00994DB9" w:rsidRPr="009461CC" w:rsidRDefault="00994DB9" w:rsidP="0022766F">
            <w:pPr>
              <w:widowControl w:val="0"/>
              <w:rPr>
                <w:rFonts w:cs="Times New Roman"/>
              </w:rPr>
            </w:pPr>
            <w:r>
              <w:rPr>
                <w:rFonts w:cs="Times New Roman"/>
                <w:lang w:val="et"/>
              </w:rPr>
              <w:t>100 cm</w:t>
            </w:r>
          </w:p>
        </w:tc>
      </w:tr>
      <w:tr w:rsidR="00994DB9" w:rsidRPr="009461CC" w14:paraId="7137F3A0" w14:textId="77777777" w:rsidTr="00283E95">
        <w:tc>
          <w:tcPr>
            <w:tcW w:w="1354" w:type="pct"/>
          </w:tcPr>
          <w:p w14:paraId="5097E3BD" w14:textId="77777777" w:rsidR="00994DB9" w:rsidRPr="009461CC" w:rsidRDefault="00994DB9" w:rsidP="0022766F">
            <w:pPr>
              <w:widowControl w:val="0"/>
              <w:rPr>
                <w:rFonts w:cs="Times New Roman"/>
              </w:rPr>
            </w:pPr>
            <w:r>
              <w:rPr>
                <w:rFonts w:cs="Times New Roman"/>
                <w:lang w:val="et"/>
              </w:rPr>
              <w:t>9–15 mm</w:t>
            </w:r>
          </w:p>
        </w:tc>
        <w:tc>
          <w:tcPr>
            <w:tcW w:w="930" w:type="pct"/>
          </w:tcPr>
          <w:p w14:paraId="6E08B1BC" w14:textId="77777777" w:rsidR="00994DB9" w:rsidRPr="009461CC" w:rsidRDefault="00994DB9" w:rsidP="0022766F">
            <w:pPr>
              <w:widowControl w:val="0"/>
              <w:rPr>
                <w:rFonts w:cs="Times New Roman"/>
              </w:rPr>
            </w:pPr>
            <w:r>
              <w:rPr>
                <w:rFonts w:cs="Times New Roman"/>
                <w:lang w:val="et"/>
              </w:rPr>
              <w:t>120 cm</w:t>
            </w:r>
          </w:p>
        </w:tc>
        <w:tc>
          <w:tcPr>
            <w:tcW w:w="1467" w:type="pct"/>
          </w:tcPr>
          <w:p w14:paraId="5E975E99" w14:textId="77777777" w:rsidR="00994DB9" w:rsidRPr="009461CC" w:rsidRDefault="00994DB9" w:rsidP="0022766F">
            <w:pPr>
              <w:widowControl w:val="0"/>
              <w:rPr>
                <w:rFonts w:cs="Times New Roman"/>
              </w:rPr>
            </w:pPr>
            <w:r>
              <w:rPr>
                <w:rFonts w:cs="Times New Roman"/>
                <w:lang w:val="et"/>
              </w:rPr>
              <w:t>6 F</w:t>
            </w:r>
          </w:p>
        </w:tc>
        <w:tc>
          <w:tcPr>
            <w:tcW w:w="1249" w:type="pct"/>
          </w:tcPr>
          <w:p w14:paraId="70150399" w14:textId="77777777" w:rsidR="00994DB9" w:rsidRPr="009461CC" w:rsidRDefault="00994DB9" w:rsidP="0022766F">
            <w:pPr>
              <w:widowControl w:val="0"/>
              <w:rPr>
                <w:rFonts w:cs="Times New Roman"/>
              </w:rPr>
            </w:pPr>
            <w:r>
              <w:rPr>
                <w:rFonts w:cs="Times New Roman"/>
                <w:lang w:val="et"/>
              </w:rPr>
              <w:t>100 cm</w:t>
            </w:r>
          </w:p>
        </w:tc>
      </w:tr>
      <w:tr w:rsidR="00994DB9" w:rsidRPr="009461CC" w14:paraId="6873E431" w14:textId="77777777" w:rsidTr="00283E95">
        <w:tc>
          <w:tcPr>
            <w:tcW w:w="1354" w:type="pct"/>
          </w:tcPr>
          <w:p w14:paraId="0A8A2276" w14:textId="77777777" w:rsidR="00994DB9" w:rsidRPr="009461CC" w:rsidRDefault="00994DB9" w:rsidP="0022766F">
            <w:pPr>
              <w:widowControl w:val="0"/>
              <w:rPr>
                <w:rFonts w:cs="Times New Roman"/>
              </w:rPr>
            </w:pPr>
            <w:r>
              <w:rPr>
                <w:rFonts w:cs="Times New Roman"/>
                <w:lang w:val="et"/>
              </w:rPr>
              <w:t>12–20 mm</w:t>
            </w:r>
          </w:p>
        </w:tc>
        <w:tc>
          <w:tcPr>
            <w:tcW w:w="930" w:type="pct"/>
          </w:tcPr>
          <w:p w14:paraId="7058BA8B" w14:textId="77777777" w:rsidR="00994DB9" w:rsidRPr="009461CC" w:rsidRDefault="00994DB9" w:rsidP="0022766F">
            <w:pPr>
              <w:widowControl w:val="0"/>
              <w:rPr>
                <w:rFonts w:cs="Times New Roman"/>
              </w:rPr>
            </w:pPr>
            <w:r>
              <w:rPr>
                <w:rFonts w:cs="Times New Roman"/>
                <w:lang w:val="et"/>
              </w:rPr>
              <w:t>120 cm</w:t>
            </w:r>
          </w:p>
        </w:tc>
        <w:tc>
          <w:tcPr>
            <w:tcW w:w="1467" w:type="pct"/>
          </w:tcPr>
          <w:p w14:paraId="16F950BF" w14:textId="77777777" w:rsidR="00994DB9" w:rsidRPr="009461CC" w:rsidRDefault="00994DB9" w:rsidP="0022766F">
            <w:pPr>
              <w:widowControl w:val="0"/>
              <w:rPr>
                <w:rFonts w:cs="Times New Roman"/>
              </w:rPr>
            </w:pPr>
            <w:r>
              <w:rPr>
                <w:rFonts w:cs="Times New Roman"/>
                <w:lang w:val="et"/>
              </w:rPr>
              <w:t>6 F</w:t>
            </w:r>
          </w:p>
        </w:tc>
        <w:tc>
          <w:tcPr>
            <w:tcW w:w="1249" w:type="pct"/>
          </w:tcPr>
          <w:p w14:paraId="759B78BD" w14:textId="77777777" w:rsidR="00994DB9" w:rsidRPr="009461CC" w:rsidRDefault="00994DB9" w:rsidP="0022766F">
            <w:pPr>
              <w:widowControl w:val="0"/>
              <w:rPr>
                <w:rFonts w:cs="Times New Roman"/>
              </w:rPr>
            </w:pPr>
            <w:r>
              <w:rPr>
                <w:rFonts w:cs="Times New Roman"/>
                <w:lang w:val="et"/>
              </w:rPr>
              <w:t>100 cm</w:t>
            </w:r>
          </w:p>
        </w:tc>
      </w:tr>
      <w:tr w:rsidR="00994DB9" w:rsidRPr="009461CC" w14:paraId="52111BAB" w14:textId="77777777" w:rsidTr="00283E95">
        <w:tc>
          <w:tcPr>
            <w:tcW w:w="1354" w:type="pct"/>
          </w:tcPr>
          <w:p w14:paraId="41061D9E" w14:textId="77777777" w:rsidR="00994DB9" w:rsidRPr="009461CC" w:rsidRDefault="00994DB9" w:rsidP="0022766F">
            <w:pPr>
              <w:widowControl w:val="0"/>
              <w:rPr>
                <w:rFonts w:cs="Times New Roman"/>
              </w:rPr>
            </w:pPr>
            <w:r>
              <w:rPr>
                <w:rFonts w:cs="Times New Roman"/>
                <w:lang w:val="et"/>
              </w:rPr>
              <w:t>18–30 mm</w:t>
            </w:r>
          </w:p>
        </w:tc>
        <w:tc>
          <w:tcPr>
            <w:tcW w:w="930" w:type="pct"/>
          </w:tcPr>
          <w:p w14:paraId="22AB0CDE" w14:textId="77777777" w:rsidR="00994DB9" w:rsidRPr="009461CC" w:rsidRDefault="00994DB9" w:rsidP="0022766F">
            <w:pPr>
              <w:widowControl w:val="0"/>
              <w:rPr>
                <w:rFonts w:cs="Times New Roman"/>
              </w:rPr>
            </w:pPr>
            <w:r>
              <w:rPr>
                <w:rFonts w:cs="Times New Roman"/>
                <w:lang w:val="et"/>
              </w:rPr>
              <w:t>120 cm</w:t>
            </w:r>
          </w:p>
        </w:tc>
        <w:tc>
          <w:tcPr>
            <w:tcW w:w="1467" w:type="pct"/>
          </w:tcPr>
          <w:p w14:paraId="17196BA8" w14:textId="77777777" w:rsidR="00994DB9" w:rsidRPr="009461CC" w:rsidRDefault="00994DB9" w:rsidP="0022766F">
            <w:pPr>
              <w:widowControl w:val="0"/>
              <w:rPr>
                <w:rFonts w:cs="Times New Roman"/>
              </w:rPr>
            </w:pPr>
            <w:r>
              <w:rPr>
                <w:rFonts w:cs="Times New Roman"/>
                <w:lang w:val="et"/>
              </w:rPr>
              <w:t>7 F</w:t>
            </w:r>
          </w:p>
        </w:tc>
        <w:tc>
          <w:tcPr>
            <w:tcW w:w="1249" w:type="pct"/>
          </w:tcPr>
          <w:p w14:paraId="4543B8B0" w14:textId="77777777" w:rsidR="00994DB9" w:rsidRPr="009461CC" w:rsidRDefault="00994DB9" w:rsidP="0022766F">
            <w:pPr>
              <w:widowControl w:val="0"/>
              <w:rPr>
                <w:rFonts w:cs="Times New Roman"/>
              </w:rPr>
            </w:pPr>
            <w:r>
              <w:rPr>
                <w:rFonts w:cs="Times New Roman"/>
                <w:lang w:val="et"/>
              </w:rPr>
              <w:t>100 cm</w:t>
            </w:r>
          </w:p>
        </w:tc>
      </w:tr>
      <w:tr w:rsidR="00994DB9" w:rsidRPr="009461CC" w14:paraId="3F7A77C7" w14:textId="77777777" w:rsidTr="00283E95">
        <w:tc>
          <w:tcPr>
            <w:tcW w:w="1354" w:type="pct"/>
          </w:tcPr>
          <w:p w14:paraId="755F3FE4" w14:textId="77777777" w:rsidR="00994DB9" w:rsidRPr="009461CC" w:rsidRDefault="00994DB9" w:rsidP="0022766F">
            <w:pPr>
              <w:widowControl w:val="0"/>
              <w:rPr>
                <w:rFonts w:cs="Times New Roman"/>
              </w:rPr>
            </w:pPr>
            <w:r>
              <w:rPr>
                <w:rFonts w:cs="Times New Roman"/>
                <w:lang w:val="et"/>
              </w:rPr>
              <w:t>27–45 mm</w:t>
            </w:r>
          </w:p>
        </w:tc>
        <w:tc>
          <w:tcPr>
            <w:tcW w:w="930" w:type="pct"/>
          </w:tcPr>
          <w:p w14:paraId="622306B0" w14:textId="77777777" w:rsidR="00994DB9" w:rsidRPr="009461CC" w:rsidRDefault="00994DB9" w:rsidP="0022766F">
            <w:pPr>
              <w:widowControl w:val="0"/>
              <w:rPr>
                <w:rFonts w:cs="Times New Roman"/>
              </w:rPr>
            </w:pPr>
            <w:r>
              <w:rPr>
                <w:rFonts w:cs="Times New Roman"/>
                <w:lang w:val="et"/>
              </w:rPr>
              <w:t>120 cm</w:t>
            </w:r>
          </w:p>
        </w:tc>
        <w:tc>
          <w:tcPr>
            <w:tcW w:w="1467" w:type="pct"/>
          </w:tcPr>
          <w:p w14:paraId="74C46753" w14:textId="77777777" w:rsidR="00994DB9" w:rsidRPr="009461CC" w:rsidRDefault="00994DB9" w:rsidP="0022766F">
            <w:pPr>
              <w:widowControl w:val="0"/>
              <w:rPr>
                <w:rFonts w:cs="Times New Roman"/>
              </w:rPr>
            </w:pPr>
            <w:r>
              <w:rPr>
                <w:rFonts w:cs="Times New Roman"/>
                <w:lang w:val="et"/>
              </w:rPr>
              <w:t>7 F</w:t>
            </w:r>
          </w:p>
        </w:tc>
        <w:tc>
          <w:tcPr>
            <w:tcW w:w="1249" w:type="pct"/>
          </w:tcPr>
          <w:p w14:paraId="2DBCCFBE" w14:textId="77777777" w:rsidR="00994DB9" w:rsidRPr="009461CC" w:rsidRDefault="00994DB9" w:rsidP="0022766F">
            <w:pPr>
              <w:widowControl w:val="0"/>
              <w:rPr>
                <w:rFonts w:cs="Times New Roman"/>
              </w:rPr>
            </w:pPr>
            <w:r>
              <w:rPr>
                <w:rFonts w:cs="Times New Roman"/>
                <w:lang w:val="et"/>
              </w:rPr>
              <w:t>100 cm</w:t>
            </w:r>
          </w:p>
        </w:tc>
      </w:tr>
    </w:tbl>
    <w:p w14:paraId="5D27461E" w14:textId="77777777" w:rsidR="000F4DF1" w:rsidRPr="00283E95" w:rsidRDefault="000F4DF1" w:rsidP="00994DB9">
      <w:pPr>
        <w:rPr>
          <w:rFonts w:cs="Times New Roman"/>
          <w:sz w:val="2"/>
          <w:szCs w:val="2"/>
        </w:rPr>
      </w:pPr>
    </w:p>
    <w:p w14:paraId="4C7769AE" w14:textId="77777777" w:rsidR="00D20FA4" w:rsidRPr="009461CC" w:rsidRDefault="00D20FA4" w:rsidP="00042B91">
      <w:pPr>
        <w:pStyle w:val="Heading1"/>
        <w:rPr>
          <w:rFonts w:cs="Times New Roman"/>
        </w:rPr>
      </w:pPr>
      <w:bookmarkStart w:id="15" w:name="_Toc222741318"/>
      <w:bookmarkEnd w:id="14"/>
      <w:r>
        <w:rPr>
          <w:rFonts w:cs="Times New Roman"/>
          <w:bCs/>
          <w:lang w:val="et"/>
        </w:rPr>
        <w:t>Eelnevad variandid ja nende erinevused</w:t>
      </w:r>
      <w:bookmarkEnd w:id="15"/>
    </w:p>
    <w:p w14:paraId="060329F5" w14:textId="3AA8BB73" w:rsidR="00042B91" w:rsidRPr="009461CC" w:rsidRDefault="009D7E33" w:rsidP="007B0F04">
      <w:pPr>
        <w:ind w:left="792"/>
        <w:rPr>
          <w:rFonts w:cs="Times New Roman"/>
        </w:rPr>
      </w:pPr>
      <w:r>
        <w:rPr>
          <w:rFonts w:cs="Times New Roman"/>
          <w:lang w:val="et"/>
        </w:rPr>
        <w:t>See jaotis pole kohaldatav (P/K).</w:t>
      </w:r>
    </w:p>
    <w:p w14:paraId="26363C05" w14:textId="77777777" w:rsidR="00760400" w:rsidRPr="009461CC" w:rsidRDefault="00760400" w:rsidP="00042B91">
      <w:pPr>
        <w:pStyle w:val="Heading1"/>
        <w:rPr>
          <w:rFonts w:cs="Times New Roman"/>
        </w:rPr>
      </w:pPr>
      <w:bookmarkStart w:id="16" w:name="_Toc222741319"/>
      <w:r>
        <w:rPr>
          <w:rFonts w:cs="Times New Roman"/>
          <w:bCs/>
          <w:lang w:val="et"/>
        </w:rPr>
        <w:t>Tarvikud, ühilduvad seadmed ja muud koos kasutatud tooted</w:t>
      </w:r>
      <w:bookmarkEnd w:id="16"/>
    </w:p>
    <w:p w14:paraId="21F32064" w14:textId="4119C978" w:rsidR="00C02BC0" w:rsidRPr="009461CC" w:rsidRDefault="00C02BC0" w:rsidP="007B0F04">
      <w:pPr>
        <w:spacing w:after="0" w:afterAutospacing="0"/>
        <w:ind w:left="792"/>
        <w:rPr>
          <w:rFonts w:cs="Times New Roman"/>
        </w:rPr>
      </w:pPr>
      <w:r>
        <w:rPr>
          <w:rFonts w:cs="Times New Roman"/>
          <w:lang w:val="et"/>
        </w:rPr>
        <w:t>Vaskulaarse silmusekomplekti Atrieve Snare lisatarvikute hulka kuuluvad paigalduskateeter, sisesti ja pöördvars (kruustangid).</w:t>
      </w:r>
    </w:p>
    <w:p w14:paraId="17CCC4B6" w14:textId="77777777" w:rsidR="00042B91" w:rsidRPr="009461CC" w:rsidRDefault="00042B91" w:rsidP="00042B91">
      <w:pPr>
        <w:spacing w:after="0" w:afterAutospacing="0" w:line="240" w:lineRule="auto"/>
        <w:rPr>
          <w:rFonts w:cs="Times New Roman"/>
          <w:i/>
          <w:color w:val="FF0000"/>
        </w:rPr>
      </w:pPr>
    </w:p>
    <w:p w14:paraId="45C0A245" w14:textId="61A622A4" w:rsidR="008745ED" w:rsidRPr="009461CC" w:rsidRDefault="008745ED" w:rsidP="00F67A0E">
      <w:pPr>
        <w:pStyle w:val="Heading1"/>
        <w:numPr>
          <w:ilvl w:val="0"/>
          <w:numId w:val="2"/>
        </w:numPr>
        <w:rPr>
          <w:rFonts w:cs="Times New Roman"/>
        </w:rPr>
      </w:pPr>
      <w:bookmarkStart w:id="17" w:name="_Toc222741320"/>
      <w:r>
        <w:rPr>
          <w:rFonts w:cs="Times New Roman"/>
          <w:bCs/>
          <w:lang w:val="et"/>
        </w:rPr>
        <w:lastRenderedPageBreak/>
        <w:t>Ohud ja hoiatused</w:t>
      </w:r>
      <w:bookmarkEnd w:id="17"/>
    </w:p>
    <w:p w14:paraId="3D8BE6E3" w14:textId="77777777" w:rsidR="00042B91" w:rsidRPr="009461CC" w:rsidRDefault="00042B91" w:rsidP="00042B91">
      <w:pPr>
        <w:spacing w:after="0" w:afterAutospacing="0" w:line="240" w:lineRule="auto"/>
        <w:rPr>
          <w:rFonts w:cs="Times New Roman"/>
        </w:rPr>
      </w:pPr>
    </w:p>
    <w:p w14:paraId="04F70349" w14:textId="6FD2DA8D" w:rsidR="008745ED" w:rsidRPr="009461CC" w:rsidRDefault="008745ED" w:rsidP="00042B91">
      <w:pPr>
        <w:pStyle w:val="Heading1"/>
        <w:rPr>
          <w:rFonts w:cs="Times New Roman"/>
        </w:rPr>
      </w:pPr>
      <w:bookmarkStart w:id="18" w:name="_Toc222741321"/>
      <w:r>
        <w:rPr>
          <w:rFonts w:cs="Times New Roman"/>
          <w:bCs/>
          <w:lang w:val="et"/>
        </w:rPr>
        <w:t>Jääkriskid ja soovimatud kõrvaltoimed</w:t>
      </w:r>
      <w:bookmarkEnd w:id="18"/>
    </w:p>
    <w:p w14:paraId="2F64097C" w14:textId="607FF4A5" w:rsidR="00D15BBE" w:rsidRPr="009461CC" w:rsidRDefault="00C64987" w:rsidP="008D7F1C">
      <w:pPr>
        <w:ind w:left="792"/>
        <w:rPr>
          <w:rFonts w:cs="Times New Roman"/>
        </w:rPr>
      </w:pPr>
      <w:r>
        <w:rPr>
          <w:rFonts w:cs="Times New Roman"/>
          <w:lang w:val="et"/>
        </w:rPr>
        <w:t xml:space="preserve">RMR-0011 Rev H kohaselt on tootel järgmine riski-kasu profiil: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080"/>
        <w:gridCol w:w="2092"/>
        <w:gridCol w:w="3863"/>
      </w:tblGrid>
      <w:tr w:rsidR="00453251" w:rsidRPr="009461CC" w14:paraId="15FC12E9" w14:textId="77777777" w:rsidTr="00283E95">
        <w:trPr>
          <w:trHeight w:val="620"/>
        </w:trPr>
        <w:tc>
          <w:tcPr>
            <w:tcW w:w="1148" w:type="pct"/>
            <w:shd w:val="clear" w:color="auto" w:fill="BFBFBF"/>
            <w:vAlign w:val="center"/>
          </w:tcPr>
          <w:p w14:paraId="024816D8"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et"/>
              </w:rPr>
              <w:t>Tulemus</w:t>
            </w:r>
            <w:bookmarkStart w:id="19" w:name="_Toc86391902"/>
            <w:bookmarkEnd w:id="19"/>
          </w:p>
        </w:tc>
        <w:tc>
          <w:tcPr>
            <w:tcW w:w="997" w:type="pct"/>
            <w:shd w:val="clear" w:color="auto" w:fill="BFBFBF"/>
          </w:tcPr>
          <w:p w14:paraId="22A108A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et"/>
              </w:rPr>
              <w:t>SOA</w:t>
            </w:r>
            <w:r>
              <w:rPr>
                <w:rFonts w:ascii="Times New Roman" w:hAnsi="Times New Roman" w:cs="Times New Roman"/>
                <w:lang w:val="et"/>
              </w:rPr>
              <w:br/>
              <w:t>Üldine ulatus</w:t>
            </w:r>
          </w:p>
        </w:tc>
        <w:tc>
          <w:tcPr>
            <w:tcW w:w="1003" w:type="pct"/>
            <w:shd w:val="clear" w:color="auto" w:fill="BFBFBF"/>
            <w:vAlign w:val="center"/>
          </w:tcPr>
          <w:p w14:paraId="16D6B523"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et"/>
              </w:rPr>
              <w:t>Konkurendi seade</w:t>
            </w:r>
          </w:p>
          <w:p w14:paraId="45EFB37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et"/>
              </w:rPr>
              <w:t>Üldine ulatus</w:t>
            </w:r>
            <w:bookmarkStart w:id="20" w:name="_Toc86391905"/>
            <w:bookmarkEnd w:id="20"/>
          </w:p>
        </w:tc>
        <w:tc>
          <w:tcPr>
            <w:tcW w:w="1853" w:type="pct"/>
            <w:shd w:val="clear" w:color="auto" w:fill="BFBFBF"/>
            <w:vAlign w:val="center"/>
          </w:tcPr>
          <w:p w14:paraId="17C5AFF5"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et"/>
              </w:rPr>
              <w:t>Aktsepteerimise kriteerium</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AC7398">
            <w:pPr>
              <w:pStyle w:val="TableTextLeft"/>
              <w:rPr>
                <w:rFonts w:ascii="Times New Roman" w:hAnsi="Times New Roman" w:cs="Times New Roman"/>
                <w:b/>
                <w:bCs/>
              </w:rPr>
            </w:pPr>
            <w:r>
              <w:rPr>
                <w:rFonts w:ascii="Times New Roman" w:hAnsi="Times New Roman" w:cs="Times New Roman"/>
                <w:b/>
                <w:bCs/>
                <w:iCs w:val="0"/>
                <w:lang w:val="et"/>
              </w:rPr>
              <w:t>Ohutus</w:t>
            </w:r>
          </w:p>
        </w:tc>
      </w:tr>
      <w:tr w:rsidR="00453251" w:rsidRPr="009461CC" w14:paraId="2ECEC40D" w14:textId="77777777" w:rsidTr="00283E95">
        <w:tc>
          <w:tcPr>
            <w:tcW w:w="1148" w:type="pct"/>
          </w:tcPr>
          <w:p w14:paraId="01C3E100"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t"/>
              </w:rPr>
              <w:t>Veritsus</w:t>
            </w:r>
            <w:bookmarkStart w:id="23" w:name="_Toc86391910"/>
            <w:bookmarkEnd w:id="23"/>
          </w:p>
        </w:tc>
        <w:tc>
          <w:tcPr>
            <w:tcW w:w="997" w:type="pct"/>
            <w:vAlign w:val="center"/>
          </w:tcPr>
          <w:p w14:paraId="529B6FA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t"/>
              </w:rPr>
              <w:t>0–3%</w:t>
            </w:r>
          </w:p>
        </w:tc>
        <w:tc>
          <w:tcPr>
            <w:tcW w:w="1003" w:type="pct"/>
            <w:vAlign w:val="center"/>
          </w:tcPr>
          <w:p w14:paraId="30172B6B" w14:textId="77777777" w:rsidR="00453251" w:rsidRPr="009461CC" w:rsidRDefault="00453251" w:rsidP="00AC7398">
            <w:pPr>
              <w:pStyle w:val="TableTextLeft"/>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et"/>
              </w:rPr>
              <w:t>0–0,6%</w:t>
            </w:r>
          </w:p>
        </w:tc>
        <w:tc>
          <w:tcPr>
            <w:tcW w:w="1853" w:type="pct"/>
            <w:vAlign w:val="center"/>
          </w:tcPr>
          <w:p w14:paraId="03E978DF" w14:textId="77777777" w:rsidR="00453251" w:rsidRPr="009461CC" w:rsidRDefault="00453251" w:rsidP="00AC7398">
            <w:pPr>
              <w:pStyle w:val="TableTextLeft"/>
              <w:rPr>
                <w:rFonts w:ascii="Times New Roman" w:hAnsi="Times New Roman" w:cs="Times New Roman"/>
              </w:rPr>
            </w:pPr>
            <w:bookmarkStart w:id="26" w:name="_Toc86391914"/>
            <w:bookmarkEnd w:id="26"/>
            <w:r>
              <w:rPr>
                <w:rFonts w:ascii="Times New Roman" w:hAnsi="Times New Roman" w:cs="Times New Roman"/>
                <w:iCs w:val="0"/>
                <w:lang w:val="et"/>
              </w:rPr>
              <w:t xml:space="preserve">Verejooksu </w:t>
            </w:r>
            <w:r>
              <w:rPr>
                <w:rFonts w:ascii="Times New Roman" w:hAnsi="Times New Roman" w:cs="Times New Roman"/>
                <w:b/>
                <w:bCs/>
                <w:iCs w:val="0"/>
                <w:lang w:val="et"/>
              </w:rPr>
              <w:t>määr alla 3%</w:t>
            </w:r>
          </w:p>
        </w:tc>
        <w:bookmarkStart w:id="27" w:name="_Toc86391915"/>
        <w:bookmarkEnd w:id="27"/>
      </w:tr>
      <w:tr w:rsidR="00453251" w:rsidRPr="009461CC" w14:paraId="770200CA" w14:textId="77777777" w:rsidTr="00283E95">
        <w:tc>
          <w:tcPr>
            <w:tcW w:w="1148" w:type="pct"/>
          </w:tcPr>
          <w:p w14:paraId="4D43F3AC"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et"/>
              </w:rPr>
              <w:t>Perforatsioon/koekahjustus</w:t>
            </w:r>
            <w:bookmarkStart w:id="28" w:name="_Toc86391916"/>
            <w:bookmarkEnd w:id="28"/>
          </w:p>
        </w:tc>
        <w:tc>
          <w:tcPr>
            <w:tcW w:w="997" w:type="pct"/>
            <w:vAlign w:val="center"/>
          </w:tcPr>
          <w:p w14:paraId="42E7FC3B"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t"/>
              </w:rPr>
              <w:t>0–1,7%</w:t>
            </w:r>
          </w:p>
        </w:tc>
        <w:tc>
          <w:tcPr>
            <w:tcW w:w="1003" w:type="pct"/>
            <w:vAlign w:val="center"/>
          </w:tcPr>
          <w:p w14:paraId="58C428BE" w14:textId="77777777" w:rsidR="00453251" w:rsidRPr="009461CC" w:rsidRDefault="00453251" w:rsidP="00AC7398">
            <w:pPr>
              <w:pStyle w:val="TableTextLeft"/>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et"/>
              </w:rPr>
              <w:t>0–4,0%</w:t>
            </w:r>
          </w:p>
        </w:tc>
        <w:tc>
          <w:tcPr>
            <w:tcW w:w="1853" w:type="pct"/>
            <w:vAlign w:val="center"/>
          </w:tcPr>
          <w:p w14:paraId="785BDB89" w14:textId="77777777" w:rsidR="00453251" w:rsidRPr="009461CC" w:rsidRDefault="00453251" w:rsidP="00AC7398">
            <w:pPr>
              <w:pStyle w:val="TableTextLeft"/>
              <w:rPr>
                <w:rFonts w:ascii="Times New Roman" w:hAnsi="Times New Roman" w:cs="Times New Roman"/>
                <w:b/>
                <w:bCs/>
              </w:rPr>
            </w:pPr>
            <w:bookmarkStart w:id="31" w:name="_Toc86391920"/>
            <w:bookmarkEnd w:id="31"/>
            <w:r>
              <w:rPr>
                <w:rFonts w:ascii="Times New Roman" w:hAnsi="Times New Roman" w:cs="Times New Roman"/>
                <w:iCs w:val="0"/>
                <w:lang w:val="et"/>
              </w:rPr>
              <w:t xml:space="preserve">Perforatsiooni/koekahjustuse määr </w:t>
            </w:r>
            <w:r>
              <w:rPr>
                <w:rFonts w:ascii="Times New Roman" w:hAnsi="Times New Roman" w:cs="Times New Roman"/>
                <w:b/>
                <w:bCs/>
                <w:iCs w:val="0"/>
                <w:lang w:val="et"/>
              </w:rPr>
              <w:t>alla 4%</w:t>
            </w:r>
          </w:p>
        </w:tc>
        <w:bookmarkStart w:id="32" w:name="_Toc86391921"/>
        <w:bookmarkEnd w:id="32"/>
      </w:tr>
      <w:tr w:rsidR="00453251" w:rsidRPr="009461CC" w14:paraId="3D17E0CA" w14:textId="77777777" w:rsidTr="00283E95">
        <w:tc>
          <w:tcPr>
            <w:tcW w:w="1148" w:type="pct"/>
          </w:tcPr>
          <w:p w14:paraId="22E5467D" w14:textId="1552C59B"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t"/>
              </w:rPr>
              <w:t>Õhkemboolia</w:t>
            </w:r>
            <w:bookmarkStart w:id="33" w:name="_Toc86391922"/>
            <w:bookmarkEnd w:id="33"/>
          </w:p>
        </w:tc>
        <w:tc>
          <w:tcPr>
            <w:tcW w:w="997" w:type="pct"/>
            <w:vAlign w:val="center"/>
          </w:tcPr>
          <w:p w14:paraId="50CDDBB0"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t"/>
              </w:rPr>
              <w:t>0–2,1%</w:t>
            </w:r>
          </w:p>
        </w:tc>
        <w:tc>
          <w:tcPr>
            <w:tcW w:w="1003" w:type="pct"/>
            <w:vAlign w:val="center"/>
          </w:tcPr>
          <w:p w14:paraId="0471C436" w14:textId="77777777" w:rsidR="00453251" w:rsidRPr="009461CC" w:rsidRDefault="00453251" w:rsidP="00AC7398">
            <w:pPr>
              <w:pStyle w:val="TableTextLeft"/>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et"/>
              </w:rPr>
              <w:t>0–0,6%</w:t>
            </w:r>
          </w:p>
        </w:tc>
        <w:tc>
          <w:tcPr>
            <w:tcW w:w="1853" w:type="pct"/>
            <w:vAlign w:val="center"/>
          </w:tcPr>
          <w:p w14:paraId="1B80F3DB" w14:textId="77777777" w:rsidR="00453251" w:rsidRPr="009461CC" w:rsidRDefault="00453251" w:rsidP="00AC7398">
            <w:pPr>
              <w:pStyle w:val="TableTextLeft"/>
              <w:rPr>
                <w:rFonts w:ascii="Times New Roman" w:hAnsi="Times New Roman" w:cs="Times New Roman"/>
                <w:b/>
                <w:bCs/>
              </w:rPr>
            </w:pPr>
            <w:bookmarkStart w:id="36" w:name="_Toc86391926"/>
            <w:bookmarkEnd w:id="36"/>
            <w:r>
              <w:rPr>
                <w:rFonts w:ascii="Times New Roman" w:hAnsi="Times New Roman" w:cs="Times New Roman"/>
                <w:iCs w:val="0"/>
                <w:lang w:val="et"/>
              </w:rPr>
              <w:t xml:space="preserve">Emboolia </w:t>
            </w:r>
            <w:r>
              <w:rPr>
                <w:rFonts w:ascii="Times New Roman" w:hAnsi="Times New Roman" w:cs="Times New Roman"/>
                <w:b/>
                <w:bCs/>
                <w:iCs w:val="0"/>
                <w:lang w:val="et"/>
              </w:rPr>
              <w:t>alla 2,1%</w:t>
            </w:r>
          </w:p>
        </w:tc>
        <w:bookmarkStart w:id="37" w:name="_Toc86391927"/>
        <w:bookmarkEnd w:id="37"/>
      </w:tr>
      <w:tr w:rsidR="00453251" w:rsidRPr="009461CC" w14:paraId="33FEDA6C" w14:textId="77777777" w:rsidTr="00283E95">
        <w:tc>
          <w:tcPr>
            <w:tcW w:w="1148" w:type="pct"/>
          </w:tcPr>
          <w:p w14:paraId="5817831E"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t"/>
              </w:rPr>
              <w:t>Infektsioon</w:t>
            </w:r>
            <w:bookmarkStart w:id="38" w:name="_Toc86391928"/>
            <w:bookmarkEnd w:id="38"/>
          </w:p>
        </w:tc>
        <w:tc>
          <w:tcPr>
            <w:tcW w:w="997" w:type="pct"/>
            <w:vAlign w:val="center"/>
          </w:tcPr>
          <w:p w14:paraId="190DF8A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t"/>
              </w:rPr>
              <w:t>0%</w:t>
            </w:r>
          </w:p>
        </w:tc>
        <w:tc>
          <w:tcPr>
            <w:tcW w:w="1003" w:type="pct"/>
            <w:vAlign w:val="center"/>
          </w:tcPr>
          <w:p w14:paraId="480907F1" w14:textId="77777777" w:rsidR="00453251" w:rsidRPr="009461CC" w:rsidRDefault="00453251" w:rsidP="00AC7398">
            <w:pPr>
              <w:pStyle w:val="TableTextLeft"/>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et"/>
              </w:rPr>
              <w:t>0%</w:t>
            </w:r>
          </w:p>
        </w:tc>
        <w:tc>
          <w:tcPr>
            <w:tcW w:w="1853" w:type="pct"/>
            <w:vAlign w:val="center"/>
          </w:tcPr>
          <w:p w14:paraId="1D828A42" w14:textId="77777777" w:rsidR="00453251" w:rsidRPr="009461CC" w:rsidRDefault="00453251" w:rsidP="00AC7398">
            <w:pPr>
              <w:pStyle w:val="TableTextLeft"/>
              <w:rPr>
                <w:rFonts w:ascii="Times New Roman" w:hAnsi="Times New Roman" w:cs="Times New Roman"/>
                <w:b/>
                <w:bCs/>
              </w:rPr>
            </w:pPr>
            <w:bookmarkStart w:id="41" w:name="_Toc86391932"/>
            <w:bookmarkEnd w:id="41"/>
            <w:r>
              <w:rPr>
                <w:rFonts w:ascii="Times New Roman" w:hAnsi="Times New Roman" w:cs="Times New Roman"/>
                <w:iCs w:val="0"/>
                <w:lang w:val="et"/>
              </w:rPr>
              <w:t xml:space="preserve">Nakatumine </w:t>
            </w:r>
            <w:r>
              <w:rPr>
                <w:rFonts w:ascii="Times New Roman" w:hAnsi="Times New Roman" w:cs="Times New Roman"/>
                <w:b/>
                <w:bCs/>
                <w:iCs w:val="0"/>
                <w:lang w:val="et"/>
              </w:rPr>
              <w:t>alla 0%</w:t>
            </w:r>
          </w:p>
        </w:tc>
        <w:bookmarkStart w:id="42" w:name="_Toc86391933"/>
        <w:bookmarkEnd w:id="42"/>
      </w:tr>
      <w:tr w:rsidR="00453251" w:rsidRPr="009461CC" w14:paraId="00F9D43C" w14:textId="77777777" w:rsidTr="00283E95">
        <w:tc>
          <w:tcPr>
            <w:tcW w:w="1148" w:type="pct"/>
          </w:tcPr>
          <w:p w14:paraId="530E2FE9"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t"/>
              </w:rPr>
              <w:t>allergiline reaktsioon;</w:t>
            </w:r>
            <w:bookmarkStart w:id="43" w:name="_Toc86391934"/>
            <w:bookmarkEnd w:id="43"/>
          </w:p>
        </w:tc>
        <w:tc>
          <w:tcPr>
            <w:tcW w:w="997" w:type="pct"/>
            <w:vAlign w:val="center"/>
          </w:tcPr>
          <w:p w14:paraId="6250CCD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t"/>
              </w:rPr>
              <w:t>0%</w:t>
            </w:r>
          </w:p>
        </w:tc>
        <w:tc>
          <w:tcPr>
            <w:tcW w:w="1003" w:type="pct"/>
            <w:vAlign w:val="center"/>
          </w:tcPr>
          <w:p w14:paraId="50CF5415" w14:textId="77777777" w:rsidR="00453251" w:rsidRPr="009461CC" w:rsidRDefault="00453251" w:rsidP="00AC7398">
            <w:pPr>
              <w:pStyle w:val="TableTextLeft"/>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et"/>
              </w:rPr>
              <w:t>0%</w:t>
            </w:r>
          </w:p>
        </w:tc>
        <w:tc>
          <w:tcPr>
            <w:tcW w:w="1853" w:type="pct"/>
            <w:vAlign w:val="center"/>
          </w:tcPr>
          <w:p w14:paraId="3CD98CC2" w14:textId="77777777" w:rsidR="00453251" w:rsidRPr="009461CC" w:rsidRDefault="00453251" w:rsidP="00AC7398">
            <w:pPr>
              <w:pStyle w:val="TableTextLeft"/>
              <w:rPr>
                <w:rFonts w:ascii="Times New Roman" w:hAnsi="Times New Roman" w:cs="Times New Roman"/>
                <w:b/>
                <w:bCs/>
              </w:rPr>
            </w:pPr>
            <w:bookmarkStart w:id="46" w:name="_Toc86391938"/>
            <w:bookmarkEnd w:id="46"/>
            <w:r>
              <w:rPr>
                <w:rFonts w:ascii="Times New Roman" w:hAnsi="Times New Roman" w:cs="Times New Roman"/>
                <w:iCs w:val="0"/>
                <w:lang w:val="et"/>
              </w:rPr>
              <w:t xml:space="preserve">Allergiline reaktsioon </w:t>
            </w:r>
            <w:r>
              <w:rPr>
                <w:rFonts w:ascii="Times New Roman" w:hAnsi="Times New Roman" w:cs="Times New Roman"/>
                <w:b/>
                <w:bCs/>
                <w:iCs w:val="0"/>
                <w:lang w:val="et"/>
              </w:rPr>
              <w:t>alla 0%</w:t>
            </w:r>
          </w:p>
        </w:tc>
        <w:bookmarkStart w:id="47" w:name="_Toc86391939"/>
        <w:bookmarkEnd w:id="47"/>
      </w:tr>
      <w:tr w:rsidR="00453251" w:rsidRPr="009461CC" w14:paraId="027FF060" w14:textId="77777777" w:rsidTr="00283E95">
        <w:trPr>
          <w:trHeight w:val="197"/>
        </w:trPr>
        <w:tc>
          <w:tcPr>
            <w:tcW w:w="1148" w:type="pct"/>
          </w:tcPr>
          <w:p w14:paraId="0B4FA88A" w14:textId="237389F3"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t"/>
              </w:rPr>
              <w:t>Valu</w:t>
            </w:r>
            <w:bookmarkStart w:id="48" w:name="_Toc86391940"/>
            <w:bookmarkEnd w:id="48"/>
          </w:p>
        </w:tc>
        <w:tc>
          <w:tcPr>
            <w:tcW w:w="997" w:type="pct"/>
            <w:vAlign w:val="center"/>
          </w:tcPr>
          <w:p w14:paraId="0A01661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t"/>
              </w:rPr>
              <w:t>0%</w:t>
            </w:r>
          </w:p>
        </w:tc>
        <w:tc>
          <w:tcPr>
            <w:tcW w:w="1003" w:type="pct"/>
            <w:vAlign w:val="center"/>
          </w:tcPr>
          <w:p w14:paraId="72B648EC" w14:textId="77777777" w:rsidR="00453251" w:rsidRPr="009461CC" w:rsidRDefault="00453251" w:rsidP="00AC7398">
            <w:pPr>
              <w:pStyle w:val="TableTextLeft"/>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et"/>
              </w:rPr>
              <w:t>0%</w:t>
            </w:r>
          </w:p>
        </w:tc>
        <w:tc>
          <w:tcPr>
            <w:tcW w:w="1853" w:type="pct"/>
            <w:vAlign w:val="center"/>
          </w:tcPr>
          <w:p w14:paraId="56186FA5" w14:textId="77777777" w:rsidR="00453251" w:rsidRPr="009461CC" w:rsidRDefault="00453251" w:rsidP="00AC7398">
            <w:pPr>
              <w:pStyle w:val="TableTextLeft"/>
              <w:rPr>
                <w:rFonts w:ascii="Times New Roman" w:hAnsi="Times New Roman" w:cs="Times New Roman"/>
                <w:b/>
                <w:bCs/>
              </w:rPr>
            </w:pPr>
            <w:bookmarkStart w:id="51" w:name="_Toc86391944"/>
            <w:bookmarkEnd w:id="51"/>
            <w:r>
              <w:rPr>
                <w:rFonts w:ascii="Times New Roman" w:hAnsi="Times New Roman" w:cs="Times New Roman"/>
                <w:iCs w:val="0"/>
                <w:lang w:val="et"/>
              </w:rPr>
              <w:t xml:space="preserve">Valu </w:t>
            </w:r>
            <w:r>
              <w:rPr>
                <w:rFonts w:ascii="Times New Roman" w:hAnsi="Times New Roman" w:cs="Times New Roman"/>
                <w:b/>
                <w:bCs/>
                <w:iCs w:val="0"/>
                <w:lang w:val="et"/>
              </w:rPr>
              <w:t>alla 0%</w:t>
            </w:r>
          </w:p>
        </w:tc>
        <w:bookmarkStart w:id="52" w:name="_Toc86391945"/>
        <w:bookmarkEnd w:id="52"/>
      </w:tr>
      <w:tr w:rsidR="00453251" w:rsidRPr="009461CC" w14:paraId="28252FD0" w14:textId="77777777" w:rsidTr="00283E95">
        <w:tc>
          <w:tcPr>
            <w:tcW w:w="1148" w:type="pct"/>
          </w:tcPr>
          <w:p w14:paraId="013547C7"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t"/>
              </w:rPr>
              <w:t>Üldine tüsistus</w:t>
            </w:r>
            <w:bookmarkStart w:id="53" w:name="_Toc86391946"/>
            <w:bookmarkEnd w:id="53"/>
          </w:p>
        </w:tc>
        <w:tc>
          <w:tcPr>
            <w:tcW w:w="997" w:type="pct"/>
            <w:vAlign w:val="center"/>
          </w:tcPr>
          <w:p w14:paraId="740F59E9"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t"/>
              </w:rPr>
              <w:t>0–5,2%</w:t>
            </w:r>
          </w:p>
        </w:tc>
        <w:tc>
          <w:tcPr>
            <w:tcW w:w="1003" w:type="pct"/>
            <w:vAlign w:val="center"/>
          </w:tcPr>
          <w:p w14:paraId="0BF92E76" w14:textId="77777777" w:rsidR="00453251" w:rsidRPr="009461CC" w:rsidRDefault="00453251" w:rsidP="00AC7398">
            <w:pPr>
              <w:pStyle w:val="TableTextLeft"/>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et"/>
              </w:rPr>
              <w:t>0–4%</w:t>
            </w:r>
          </w:p>
        </w:tc>
        <w:tc>
          <w:tcPr>
            <w:tcW w:w="1853" w:type="pct"/>
            <w:vAlign w:val="center"/>
          </w:tcPr>
          <w:p w14:paraId="71781E09" w14:textId="77777777" w:rsidR="00453251" w:rsidRPr="009461CC" w:rsidRDefault="00453251" w:rsidP="00AC7398">
            <w:pPr>
              <w:pStyle w:val="TableTextLeft"/>
              <w:rPr>
                <w:rFonts w:ascii="Times New Roman" w:hAnsi="Times New Roman" w:cs="Times New Roman"/>
              </w:rPr>
            </w:pPr>
            <w:bookmarkStart w:id="56" w:name="_Toc86391950"/>
            <w:bookmarkEnd w:id="56"/>
            <w:r>
              <w:rPr>
                <w:rFonts w:ascii="Times New Roman" w:hAnsi="Times New Roman" w:cs="Times New Roman"/>
                <w:iCs w:val="0"/>
                <w:lang w:val="et"/>
              </w:rPr>
              <w:t xml:space="preserve">Tüsistuste esinemissagedus </w:t>
            </w:r>
            <w:r>
              <w:rPr>
                <w:rFonts w:ascii="Times New Roman" w:hAnsi="Times New Roman" w:cs="Times New Roman"/>
                <w:b/>
                <w:bCs/>
                <w:iCs w:val="0"/>
                <w:lang w:val="et"/>
              </w:rPr>
              <w:t>alla 5,2%.</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b/>
                <w:bCs/>
                <w:iCs w:val="0"/>
                <w:lang w:val="et"/>
              </w:rPr>
              <w:t>Toimivus</w:t>
            </w:r>
          </w:p>
        </w:tc>
      </w:tr>
      <w:tr w:rsidR="00453251" w:rsidRPr="009461CC" w14:paraId="6F720CB6" w14:textId="77777777" w:rsidTr="00283E95">
        <w:tc>
          <w:tcPr>
            <w:tcW w:w="1148" w:type="pct"/>
            <w:vAlign w:val="center"/>
          </w:tcPr>
          <w:p w14:paraId="60785A5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et"/>
              </w:rPr>
              <w:t xml:space="preserve">Tehnilise edukuse määr </w:t>
            </w:r>
            <w:bookmarkStart w:id="58" w:name="_Toc86391954"/>
            <w:bookmarkEnd w:id="58"/>
          </w:p>
        </w:tc>
        <w:tc>
          <w:tcPr>
            <w:tcW w:w="997" w:type="pct"/>
            <w:vAlign w:val="center"/>
          </w:tcPr>
          <w:p w14:paraId="042F9BC6" w14:textId="77777777" w:rsidR="00453251" w:rsidRPr="009461CC" w:rsidDel="002D4462"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t"/>
              </w:rPr>
              <w:t>82,8–100%</w:t>
            </w:r>
          </w:p>
        </w:tc>
        <w:tc>
          <w:tcPr>
            <w:tcW w:w="1003" w:type="pct"/>
            <w:vAlign w:val="center"/>
          </w:tcPr>
          <w:p w14:paraId="3177A351" w14:textId="77777777" w:rsidR="00453251" w:rsidRPr="009461CC" w:rsidRDefault="00453251" w:rsidP="00AC7398">
            <w:pPr>
              <w:pStyle w:val="TableTextLeft"/>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et"/>
              </w:rPr>
              <w:t>82,0–100%</w:t>
            </w:r>
          </w:p>
        </w:tc>
        <w:tc>
          <w:tcPr>
            <w:tcW w:w="1853" w:type="pct"/>
            <w:vAlign w:val="center"/>
          </w:tcPr>
          <w:p w14:paraId="55C13098" w14:textId="77777777" w:rsidR="00453251" w:rsidRPr="009461CC" w:rsidRDefault="00453251" w:rsidP="00AC7398">
            <w:pPr>
              <w:pStyle w:val="TableTextLeft"/>
              <w:rPr>
                <w:rFonts w:ascii="Times New Roman" w:hAnsi="Times New Roman" w:cs="Times New Roman"/>
              </w:rPr>
            </w:pPr>
            <w:bookmarkStart w:id="61" w:name="_Toc86391958"/>
            <w:bookmarkEnd w:id="61"/>
            <w:r>
              <w:rPr>
                <w:rFonts w:ascii="Times New Roman" w:hAnsi="Times New Roman" w:cs="Times New Roman"/>
                <w:iCs w:val="0"/>
                <w:lang w:val="et"/>
              </w:rPr>
              <w:t xml:space="preserve">Tehniline edu </w:t>
            </w:r>
            <w:r>
              <w:rPr>
                <w:rFonts w:ascii="Times New Roman" w:hAnsi="Times New Roman" w:cs="Times New Roman"/>
                <w:b/>
                <w:bCs/>
                <w:iCs w:val="0"/>
                <w:lang w:val="et"/>
              </w:rPr>
              <w:t>üle 82,0%</w:t>
            </w:r>
          </w:p>
        </w:tc>
        <w:bookmarkStart w:id="62" w:name="_Toc86391959"/>
        <w:bookmarkEnd w:id="62"/>
      </w:tr>
      <w:tr w:rsidR="00453251" w:rsidRPr="009461CC" w14:paraId="4E839B51" w14:textId="77777777" w:rsidTr="00283E95">
        <w:tc>
          <w:tcPr>
            <w:tcW w:w="1148" w:type="pct"/>
            <w:vAlign w:val="center"/>
          </w:tcPr>
          <w:p w14:paraId="055E85A0"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et"/>
              </w:rPr>
              <w:t xml:space="preserve">Kliinilise edukuse määr </w:t>
            </w:r>
            <w:bookmarkStart w:id="63" w:name="_Toc86391960"/>
            <w:bookmarkEnd w:id="63"/>
          </w:p>
        </w:tc>
        <w:tc>
          <w:tcPr>
            <w:tcW w:w="997" w:type="pct"/>
            <w:vAlign w:val="center"/>
          </w:tcPr>
          <w:p w14:paraId="163906FF"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et"/>
              </w:rPr>
              <w:t>95,2–100%</w:t>
            </w:r>
          </w:p>
        </w:tc>
        <w:tc>
          <w:tcPr>
            <w:tcW w:w="1003" w:type="pct"/>
            <w:vAlign w:val="center"/>
          </w:tcPr>
          <w:p w14:paraId="24CE1D22" w14:textId="77777777" w:rsidR="00453251" w:rsidRPr="009461CC" w:rsidRDefault="00453251" w:rsidP="00AC7398">
            <w:pPr>
              <w:pStyle w:val="TableTextLeft"/>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et"/>
              </w:rPr>
              <w:t>92,3–100%</w:t>
            </w:r>
          </w:p>
        </w:tc>
        <w:tc>
          <w:tcPr>
            <w:tcW w:w="1853" w:type="pct"/>
            <w:vAlign w:val="center"/>
          </w:tcPr>
          <w:p w14:paraId="1240798C" w14:textId="77777777" w:rsidR="00453251" w:rsidRPr="009461CC" w:rsidRDefault="00453251" w:rsidP="00AC7398">
            <w:pPr>
              <w:pStyle w:val="TableTextLeft"/>
              <w:rPr>
                <w:rFonts w:ascii="Times New Roman" w:hAnsi="Times New Roman" w:cs="Times New Roman"/>
              </w:rPr>
            </w:pPr>
            <w:bookmarkStart w:id="66" w:name="_Toc86391964"/>
            <w:bookmarkEnd w:id="66"/>
            <w:r>
              <w:rPr>
                <w:rFonts w:ascii="Times New Roman" w:hAnsi="Times New Roman" w:cs="Times New Roman"/>
                <w:iCs w:val="0"/>
                <w:lang w:val="et"/>
              </w:rPr>
              <w:t xml:space="preserve">Kliiniline edu </w:t>
            </w:r>
            <w:r>
              <w:rPr>
                <w:rFonts w:ascii="Times New Roman" w:hAnsi="Times New Roman" w:cs="Times New Roman"/>
                <w:b/>
                <w:bCs/>
                <w:iCs w:val="0"/>
                <w:lang w:val="et"/>
              </w:rPr>
              <w:t>üle 92,3%</w:t>
            </w:r>
          </w:p>
        </w:tc>
        <w:bookmarkStart w:id="67" w:name="_Toc86391965"/>
        <w:bookmarkEnd w:id="67"/>
      </w:tr>
    </w:tbl>
    <w:p w14:paraId="47F3BE56" w14:textId="2280036D" w:rsidR="00941D63" w:rsidRPr="006C0F54" w:rsidRDefault="00941D63" w:rsidP="00941D63">
      <w:pPr>
        <w:spacing w:before="100" w:beforeAutospacing="1" w:line="240" w:lineRule="auto"/>
        <w:rPr>
          <w:rFonts w:eastAsia="Times New Roman" w:cs="Times New Roman"/>
          <w:szCs w:val="24"/>
          <w:lang w:val="et"/>
        </w:rPr>
      </w:pPr>
      <w:r>
        <w:rPr>
          <w:rFonts w:eastAsia="Times New Roman" w:cs="Times New Roman"/>
          <w:szCs w:val="24"/>
          <w:lang w:val="et"/>
        </w:rPr>
        <w:t>Vaskulaarsel silmusekomplektil Atrieve Snare on vastuvõetav riskiprofiil ilma vastuvõetamatuks liigitatud jääkriskideta. Patsiendile tekkivad võimalikud kahjustused, nagu verejooks, emboolia, infektsioon ja koekahjustus, on haruldased ja jäävad tööstusharu vastuvõetavate määrade piiresse. Levinud rikkeviisid, nagu komponendi irdumine või seadme takistus, on haruldased ja hästi kontrollitud.</w:t>
      </w:r>
    </w:p>
    <w:p w14:paraId="6CD9B2F8" w14:textId="27B9DB44"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et"/>
        </w:rPr>
        <w:t>Kõik tuvastatud riskid on käsitletud märgistuse, hoiatuste ja kasutusjuhendite abil. Üldine risk on võrreldav alternatiivsete ravimeetoditega ning seadme ohutu ja minimaalselt invasiivse võõrkeha eemaldamise eelised kaaluvad üles riskid. Turuletoomise järgse järelevalve käigus uusi riske ei tuvastatud.</w:t>
      </w:r>
    </w:p>
    <w:p w14:paraId="503092B6" w14:textId="15AAF628" w:rsidR="000F0AC2" w:rsidRPr="009461CC" w:rsidRDefault="008745ED" w:rsidP="001035F0">
      <w:pPr>
        <w:pStyle w:val="Heading1"/>
        <w:rPr>
          <w:rFonts w:cs="Times New Roman"/>
        </w:rPr>
      </w:pPr>
      <w:bookmarkStart w:id="68" w:name="_Toc222741322"/>
      <w:r>
        <w:rPr>
          <w:rFonts w:cs="Times New Roman"/>
          <w:bCs/>
          <w:lang w:val="et"/>
        </w:rPr>
        <w:t>Hoiatused ja ettevaatusabinõud</w:t>
      </w:r>
      <w:bookmarkEnd w:id="68"/>
    </w:p>
    <w:p w14:paraId="3AFFFB2C" w14:textId="24101F67" w:rsidR="00A030DC" w:rsidRPr="00283E95" w:rsidRDefault="00C64987" w:rsidP="006F12B6">
      <w:pPr>
        <w:spacing w:after="0" w:afterAutospacing="0" w:line="240" w:lineRule="auto"/>
        <w:ind w:left="792"/>
        <w:rPr>
          <w:rFonts w:cs="Times New Roman"/>
          <w:iCs/>
          <w:lang w:val="pt-BR"/>
        </w:rPr>
      </w:pPr>
      <w:r>
        <w:rPr>
          <w:rFonts w:cs="Times New Roman"/>
          <w:lang w:val="et"/>
        </w:rPr>
        <w:t xml:space="preserve">Kasutusjuhendi </w:t>
      </w:r>
      <w:r w:rsidR="00BC0CD8">
        <w:rPr>
          <w:rFonts w:cs="Times New Roman"/>
          <w:lang w:val="et"/>
        </w:rPr>
        <w:t xml:space="preserve">(IFU) </w:t>
      </w:r>
      <w:r>
        <w:rPr>
          <w:rFonts w:cs="Times New Roman"/>
          <w:lang w:val="et"/>
        </w:rPr>
        <w:t>viide</w:t>
      </w:r>
      <w:r w:rsidR="00BC0CD8">
        <w:rPr>
          <w:rFonts w:cs="Times New Roman"/>
          <w:lang w:val="et"/>
        </w:rPr>
        <w:t xml:space="preserve"> </w:t>
      </w:r>
      <w:r>
        <w:rPr>
          <w:rFonts w:cs="Times New Roman"/>
          <w:lang w:val="et"/>
        </w:rPr>
        <w:t>X9585730-0321-EU Rev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et"/>
        </w:rPr>
        <w:t>Hoiatused</w:t>
      </w:r>
    </w:p>
    <w:p w14:paraId="6D12BCC6" w14:textId="77777777" w:rsidR="00C13612" w:rsidRPr="006C0F54" w:rsidRDefault="00C13612" w:rsidP="00C13612">
      <w:pPr>
        <w:numPr>
          <w:ilvl w:val="0"/>
          <w:numId w:val="22"/>
        </w:numPr>
        <w:spacing w:after="0" w:afterAutospacing="0" w:line="240" w:lineRule="auto"/>
        <w:ind w:left="360"/>
        <w:contextualSpacing/>
        <w:jc w:val="both"/>
        <w:rPr>
          <w:rFonts w:eastAsia="Times New Roman" w:cs="Times New Roman"/>
          <w:szCs w:val="24"/>
          <w:lang w:val="et"/>
        </w:rPr>
      </w:pPr>
      <w:r>
        <w:rPr>
          <w:rFonts w:eastAsia="Times New Roman" w:cs="Times New Roman"/>
          <w:szCs w:val="24"/>
          <w:lang w:val="et"/>
        </w:rPr>
        <w:t>Seade on loodud, testitud ja toodetud ainult ühekordseks kasutamiseks. Selle seadme korduvkasutamine või ümbertöötlemine võib põhjustada selle rikke ja sellest tulenevalt patsiendi vigastuse. Selle seadme taastöötlemine ja/või uuesti steriliseerimine võib tekitada saastumis- ja patsiendi nakatumisohtu. Seda seadet ei tohi korduvalt kasutada, ümber töödelda ega korduvalt steriliseerida.</w:t>
      </w:r>
    </w:p>
    <w:p w14:paraId="02E0F1FE" w14:textId="77777777" w:rsidR="00C13612" w:rsidRPr="006C0F54"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et"/>
        </w:rPr>
        <w:t>Enne kasutamist kontrollige pakendi terviklikkust.</w:t>
      </w:r>
    </w:p>
    <w:p w14:paraId="0AB04CB5" w14:textId="77777777" w:rsidR="00C13612" w:rsidRPr="006C0F54"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et"/>
        </w:rPr>
        <w:t>Ärge kasutage, kui pakend on avatud või kahjustatud või kõlblikkusaeg on ületatud.</w:t>
      </w:r>
    </w:p>
    <w:p w14:paraId="287B6E69" w14:textId="77777777" w:rsidR="00C13612" w:rsidRPr="006C0F54"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et"/>
        </w:rPr>
        <w:t>Ärge jätkake kasutamist, kui mõni komponent on protseduuri ajal kahjustatud.</w:t>
      </w:r>
    </w:p>
    <w:p w14:paraId="22477486" w14:textId="77777777" w:rsidR="00C13612" w:rsidRPr="006C0F54"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et"/>
        </w:rPr>
        <w:t>Nitinool on nikli ja titaani sulam. Nikli suhtes ülitundlikel patsientidel võib tekkida reaktsioon.</w:t>
      </w:r>
    </w:p>
    <w:p w14:paraId="2A4E00BA" w14:textId="77777777" w:rsidR="00C13612" w:rsidRPr="006C0F54"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et"/>
        </w:rPr>
        <w:t>Patsientidel, kellel on plaatina suhtes ülitundlikkus, võib tekkida reaktsioon.</w:t>
      </w:r>
    </w:p>
    <w:p w14:paraId="0D7E98B5" w14:textId="77777777" w:rsidR="00C13612" w:rsidRPr="006C0F54"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lang w:val="de-DE"/>
        </w:rPr>
      </w:pPr>
      <w:r>
        <w:rPr>
          <w:rFonts w:eastAsia="Times New Roman" w:cs="Times New Roman"/>
          <w:szCs w:val="24"/>
          <w:lang w:val="et"/>
        </w:rPr>
        <w:t>Tuleks olla ettevaatlik, kui kasutada seda seadet suure fibriintupe eemaldamiseks, et minimeerida pulmonaaremboolia ohtu.</w:t>
      </w:r>
    </w:p>
    <w:p w14:paraId="4CB50B44" w14:textId="77777777" w:rsidR="00C13612" w:rsidRPr="006C0F54"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lang w:val="et"/>
        </w:rPr>
      </w:pPr>
      <w:r>
        <w:rPr>
          <w:rFonts w:eastAsia="Times New Roman" w:cs="Times New Roman"/>
          <w:szCs w:val="24"/>
          <w:lang w:val="et"/>
        </w:rPr>
        <w:lastRenderedPageBreak/>
        <w:t>Osade protseduuride ajal võib esineda veritsust läbi sisestuskateetri. Sisestuskateetrile võib kinnitada vajadusel või arsti ettekirjutusel hemostaasi ventiili (pole komplektis), et veritsust vähendada.</w:t>
      </w:r>
    </w:p>
    <w:p w14:paraId="7C5DC59D" w14:textId="77777777" w:rsidR="0084795E" w:rsidRPr="006C0F54" w:rsidRDefault="0084795E" w:rsidP="00FE6595">
      <w:pPr>
        <w:spacing w:after="0" w:afterAutospacing="0" w:line="240" w:lineRule="auto"/>
        <w:ind w:left="792"/>
        <w:rPr>
          <w:rFonts w:cs="Times New Roman"/>
          <w:iCs/>
          <w:lang w:val="et"/>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et"/>
        </w:rPr>
        <w:t>Ettevaatusabinõud</w:t>
      </w:r>
    </w:p>
    <w:p w14:paraId="043EE8E1" w14:textId="77777777" w:rsidR="00533C0A" w:rsidRPr="003C53D0" w:rsidRDefault="00533C0A" w:rsidP="00533C0A">
      <w:pPr>
        <w:numPr>
          <w:ilvl w:val="0"/>
          <w:numId w:val="23"/>
        </w:numPr>
        <w:spacing w:after="0" w:afterAutospacing="0" w:line="240" w:lineRule="auto"/>
        <w:contextualSpacing/>
        <w:jc w:val="both"/>
        <w:rPr>
          <w:rFonts w:eastAsia="Times New Roman" w:cs="Times New Roman"/>
          <w:szCs w:val="24"/>
          <w:lang w:val="et"/>
        </w:rPr>
      </w:pPr>
      <w:r>
        <w:rPr>
          <w:rFonts w:eastAsia="Times New Roman" w:cs="Times New Roman"/>
          <w:szCs w:val="24"/>
          <w:lang w:val="et"/>
        </w:rPr>
        <w:t>Fibriinist kateetrite eemaldamise ajal kateetritele rakendatavad tõmbejõud võivad kahjustada, venitada või purustada püsikateetreid, mille läbimõõt on 6 French või väiksem. Kateetrite, mille läbimõõt on 6 French või väiksem, fibriinümbrise eemaldamisel ärge kasutage liigset tõmbejõudu.</w:t>
      </w:r>
    </w:p>
    <w:p w14:paraId="7C78A400" w14:textId="77777777" w:rsidR="00533C0A" w:rsidRPr="003C53D0" w:rsidRDefault="00533C0A" w:rsidP="00533C0A">
      <w:pPr>
        <w:numPr>
          <w:ilvl w:val="0"/>
          <w:numId w:val="23"/>
        </w:numPr>
        <w:spacing w:after="0" w:afterAutospacing="0" w:line="240" w:lineRule="auto"/>
        <w:contextualSpacing/>
        <w:jc w:val="both"/>
        <w:rPr>
          <w:rFonts w:eastAsia="Times New Roman" w:cs="Times New Roman"/>
          <w:szCs w:val="24"/>
          <w:lang w:val="et"/>
        </w:rPr>
      </w:pPr>
      <w:r>
        <w:rPr>
          <w:rFonts w:eastAsia="Times New Roman" w:cs="Times New Roman"/>
          <w:szCs w:val="24"/>
          <w:lang w:val="et"/>
        </w:rPr>
        <w:t>Kateetri sisestamisel sisestaja kaudu ärge kasutage liigset jõudu.</w:t>
      </w:r>
    </w:p>
    <w:p w14:paraId="68E7CD6A" w14:textId="77777777" w:rsidR="009E4BE1" w:rsidRPr="003C53D0" w:rsidRDefault="009E4BE1" w:rsidP="00DB582A">
      <w:pPr>
        <w:spacing w:after="0" w:afterAutospacing="0" w:line="240" w:lineRule="auto"/>
        <w:rPr>
          <w:rFonts w:cs="Times New Roman"/>
          <w:b/>
          <w:bCs/>
          <w:iCs/>
          <w:lang w:val="et"/>
        </w:rPr>
      </w:pPr>
    </w:p>
    <w:p w14:paraId="1F2A8F23" w14:textId="7550D298" w:rsidR="00481A9E" w:rsidRPr="003C53D0" w:rsidRDefault="00481A9E" w:rsidP="00481A9E">
      <w:pPr>
        <w:spacing w:after="120" w:afterAutospacing="0" w:line="240" w:lineRule="auto"/>
        <w:ind w:firstLine="720"/>
        <w:jc w:val="both"/>
        <w:rPr>
          <w:rFonts w:eastAsia="Times New Roman" w:cs="Times New Roman"/>
          <w:b/>
          <w:szCs w:val="24"/>
          <w:lang w:val="et"/>
        </w:rPr>
      </w:pPr>
      <w:r>
        <w:rPr>
          <w:rFonts w:eastAsia="Times New Roman" w:cs="Times New Roman"/>
          <w:b/>
          <w:bCs/>
          <w:szCs w:val="24"/>
          <w:lang w:val="et"/>
        </w:rPr>
        <w:t xml:space="preserve">Riskid ja kõrvaltoimed </w:t>
      </w:r>
    </w:p>
    <w:p w14:paraId="3EC1F3BA" w14:textId="77777777" w:rsidR="00481A9E" w:rsidRPr="003C53D0" w:rsidRDefault="00481A9E" w:rsidP="00481A9E">
      <w:pPr>
        <w:spacing w:after="120" w:afterAutospacing="0" w:line="240" w:lineRule="auto"/>
        <w:jc w:val="both"/>
        <w:rPr>
          <w:rFonts w:eastAsia="Times New Roman" w:cs="Times New Roman"/>
          <w:szCs w:val="24"/>
          <w:lang w:val="et"/>
        </w:rPr>
      </w:pPr>
      <w:r>
        <w:rPr>
          <w:rFonts w:eastAsia="Times New Roman" w:cs="Times New Roman"/>
          <w:szCs w:val="24"/>
          <w:lang w:val="et"/>
        </w:rPr>
        <w:t>Võimalike tüsistuste hulka kuuluvad järgnevad, kuid pole nendega piiratud:</w:t>
      </w:r>
    </w:p>
    <w:p w14:paraId="31B00162"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t"/>
        </w:rPr>
        <w:t>Embolisatsioon</w:t>
      </w:r>
    </w:p>
    <w:p w14:paraId="4831EC23"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t"/>
        </w:rPr>
        <w:t>Insult</w:t>
      </w:r>
    </w:p>
    <w:p w14:paraId="3E3CC4E5"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t"/>
        </w:rPr>
        <w:t>Müokardiinfarkt (sõltuvalt paigutusest)</w:t>
      </w:r>
    </w:p>
    <w:p w14:paraId="3C5A584A"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t"/>
        </w:rPr>
        <w:t>Kopsuemboolia</w:t>
      </w:r>
    </w:p>
    <w:p w14:paraId="70F9D337"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t"/>
        </w:rPr>
        <w:t>Veresoone perforatsioon</w:t>
      </w:r>
    </w:p>
    <w:p w14:paraId="3B28D7FF"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t"/>
        </w:rPr>
        <w:t>Seadme kinnijäämine</w:t>
      </w:r>
    </w:p>
    <w:p w14:paraId="33ABECFB" w14:textId="77777777" w:rsidR="00D558E5" w:rsidRPr="009461CC" w:rsidRDefault="00481A9E" w:rsidP="00D558E5">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et"/>
        </w:rPr>
        <w:t>verejooks/veritsus;</w:t>
      </w:r>
    </w:p>
    <w:p w14:paraId="0A9BFD81" w14:textId="77777777" w:rsidR="00D558E5" w:rsidRPr="009461CC" w:rsidRDefault="00D558E5" w:rsidP="00D558E5">
      <w:pPr>
        <w:widowControl w:val="0"/>
        <w:spacing w:after="0" w:afterAutospacing="0" w:line="240" w:lineRule="auto"/>
        <w:contextualSpacing/>
        <w:jc w:val="both"/>
        <w:rPr>
          <w:rFonts w:eastAsia="Times New Roman" w:cs="Times New Roman"/>
          <w:szCs w:val="24"/>
        </w:rPr>
      </w:pPr>
    </w:p>
    <w:p w14:paraId="6EEBEC55" w14:textId="65AF2143" w:rsidR="00A80721" w:rsidRPr="009461CC" w:rsidRDefault="00A80721" w:rsidP="00D558E5">
      <w:pPr>
        <w:widowControl w:val="0"/>
        <w:spacing w:after="0" w:afterAutospacing="0" w:line="240" w:lineRule="auto"/>
        <w:contextualSpacing/>
        <w:jc w:val="both"/>
        <w:rPr>
          <w:rFonts w:eastAsia="Times New Roman" w:cs="Times New Roman"/>
          <w:szCs w:val="24"/>
        </w:rPr>
      </w:pPr>
      <w:r>
        <w:rPr>
          <w:rFonts w:eastAsia="Times New Roman" w:cs="Times New Roman"/>
          <w:szCs w:val="24"/>
          <w:lang w:val="et"/>
        </w:rPr>
        <w:t>Kliiniline kasu</w:t>
      </w:r>
    </w:p>
    <w:p w14:paraId="12CF44E5" w14:textId="19916BBE" w:rsidR="00481A9E" w:rsidRPr="009461CC" w:rsidRDefault="00A80721" w:rsidP="00A80721">
      <w:pPr>
        <w:spacing w:after="120" w:afterAutospacing="0" w:line="240" w:lineRule="auto"/>
        <w:jc w:val="both"/>
        <w:rPr>
          <w:rFonts w:eastAsia="Times New Roman" w:cs="Times New Roman"/>
          <w:szCs w:val="24"/>
        </w:rPr>
      </w:pPr>
      <w:r>
        <w:rPr>
          <w:rFonts w:eastAsia="Times New Roman" w:cs="Times New Roman"/>
          <w:szCs w:val="24"/>
          <w:lang w:val="et"/>
        </w:rPr>
        <w:t xml:space="preserve">Vaskulaarne silmusekomplekt Atrieve </w:t>
      </w:r>
      <w:r w:rsidR="001D7B25">
        <w:rPr>
          <w:rFonts w:eastAsia="Times New Roman" w:cs="Times New Roman"/>
          <w:szCs w:val="24"/>
          <w:lang w:val="et"/>
        </w:rPr>
        <w:t>S</w:t>
      </w:r>
      <w:r>
        <w:rPr>
          <w:rFonts w:eastAsia="Times New Roman" w:cs="Times New Roman"/>
          <w:szCs w:val="24"/>
          <w:lang w:val="et"/>
        </w:rPr>
        <w:t>nare pakub patsiendile otsest kasu võõrkehade perkutaanse eemaldamise ja manipuleerimise kaudu, vähendades tüsistusi ja riske võrreldes kirurgilise sekkumisega.</w:t>
      </w:r>
    </w:p>
    <w:p w14:paraId="5240AF40" w14:textId="7ADF09C6" w:rsidR="00042B91" w:rsidRPr="00BC0CD8" w:rsidRDefault="009141AE" w:rsidP="00A4616A">
      <w:pPr>
        <w:spacing w:after="0" w:afterAutospacing="0" w:line="240" w:lineRule="auto"/>
        <w:rPr>
          <w:rFonts w:cs="Times New Roman"/>
          <w:iCs/>
        </w:rPr>
      </w:pPr>
      <w:r>
        <w:rPr>
          <w:rFonts w:cs="Times New Roman"/>
          <w:lang w:val="et"/>
        </w:rPr>
        <w:t>Kestus/eluiga: a</w:t>
      </w:r>
      <w:r w:rsidR="00BB36B1">
        <w:rPr>
          <w:rFonts w:cs="Times New Roman"/>
          <w:lang w:val="et"/>
        </w:rPr>
        <w:t>jutine, vähem kui 60 minutit.</w:t>
      </w:r>
    </w:p>
    <w:p w14:paraId="393C5ED9" w14:textId="77777777" w:rsidR="00E14C97" w:rsidRPr="00BC0CD8" w:rsidRDefault="00E14C97" w:rsidP="00042B91">
      <w:pPr>
        <w:spacing w:after="0" w:afterAutospacing="0" w:line="240" w:lineRule="auto"/>
        <w:rPr>
          <w:rFonts w:cs="Times New Roman"/>
          <w:i/>
          <w:color w:val="FF0000"/>
        </w:rPr>
      </w:pPr>
    </w:p>
    <w:p w14:paraId="09A94B0F" w14:textId="4E664EE0" w:rsidR="00760400" w:rsidRPr="00BC0CD8" w:rsidRDefault="008745ED" w:rsidP="00042B91">
      <w:pPr>
        <w:pStyle w:val="Heading1"/>
        <w:rPr>
          <w:rFonts w:cs="Times New Roman"/>
        </w:rPr>
      </w:pPr>
      <w:bookmarkStart w:id="69" w:name="_Toc222741323"/>
      <w:r>
        <w:rPr>
          <w:rFonts w:cs="Times New Roman"/>
          <w:bCs/>
          <w:lang w:val="et"/>
        </w:rPr>
        <w:t>Muud ohutusega seotud olulised asjaolud, sh valdkonna ohutusalase parandusmeetmete (FSCA, sh FSN) kokkuvõte, kui see on asjakohane</w:t>
      </w:r>
      <w:bookmarkEnd w:id="69"/>
    </w:p>
    <w:p w14:paraId="65E21D1D" w14:textId="58A43005" w:rsidR="004F5057" w:rsidRPr="00BC0CD8" w:rsidRDefault="00FC52C8" w:rsidP="001F48BA">
      <w:pPr>
        <w:rPr>
          <w:rFonts w:cs="Times New Roman"/>
        </w:rPr>
      </w:pPr>
      <w:r>
        <w:rPr>
          <w:rFonts w:cs="Times New Roman"/>
          <w:lang w:val="et"/>
        </w:rPr>
        <w:t>Aruandeperioodil ei ole võetud ühtegi ohutusalast parandusmeedet (FSCA) ega tagasikutsumist.</w:t>
      </w:r>
    </w:p>
    <w:p w14:paraId="21FC0F42" w14:textId="6F4CDE71" w:rsidR="008745ED" w:rsidRPr="00BC0CD8" w:rsidRDefault="008745ED" w:rsidP="00283E95">
      <w:pPr>
        <w:pStyle w:val="Heading1"/>
        <w:numPr>
          <w:ilvl w:val="0"/>
          <w:numId w:val="2"/>
        </w:numPr>
        <w:spacing w:line="228" w:lineRule="auto"/>
        <w:rPr>
          <w:rFonts w:cs="Times New Roman"/>
        </w:rPr>
      </w:pPr>
      <w:bookmarkStart w:id="70" w:name="_Toc222741324"/>
      <w:r>
        <w:rPr>
          <w:rFonts w:cs="Times New Roman"/>
          <w:bCs/>
          <w:lang w:val="et"/>
        </w:rPr>
        <w:t>Kliinilise hindamise ja turustamisjärgse kliinilise järelkontrolli (PMCF) kokkuvõte</w:t>
      </w:r>
      <w:bookmarkEnd w:id="70"/>
    </w:p>
    <w:p w14:paraId="7CA310DE" w14:textId="5986E225" w:rsidR="00DA4404" w:rsidRPr="003C53D0" w:rsidRDefault="00DA4404" w:rsidP="00283E95">
      <w:pPr>
        <w:spacing w:line="228" w:lineRule="auto"/>
        <w:rPr>
          <w:rFonts w:cs="Times New Roman"/>
          <w:lang w:val="et"/>
        </w:rPr>
      </w:pPr>
      <w:r>
        <w:rPr>
          <w:rFonts w:cs="Times New Roman"/>
          <w:lang w:val="et"/>
        </w:rPr>
        <w:t>Kliinilise hindamise aruanne (CER-029 Rev B) kinnitab, et vaskulaarne silmusekomplekt Atrieve Snare on kliiniliselt ohutu ja tõhus võõrkehade leidmiseks ja käsitsemiseks südame-veresoonkonnas. Seda kasutavad peamiselt koolitatud meditsiinitöötajad minimaalselt invasiivsete protseduuride puhul.</w:t>
      </w:r>
    </w:p>
    <w:p w14:paraId="065C32D9" w14:textId="36044E92" w:rsidR="00DA4404" w:rsidRPr="003C53D0" w:rsidRDefault="00DA4404" w:rsidP="00283E95">
      <w:pPr>
        <w:spacing w:line="228" w:lineRule="auto"/>
        <w:rPr>
          <w:rFonts w:cs="Times New Roman"/>
          <w:lang w:val="et"/>
        </w:rPr>
      </w:pPr>
      <w:r>
        <w:rPr>
          <w:rFonts w:cs="Times New Roman"/>
          <w:lang w:val="et"/>
        </w:rPr>
        <w:t>Kirjanduse ülevaatel, kliinilisel kogemusel ja turustamisjärgsetel andmetel põhinev hindamine näitab kõrget tehnilise ja kliinilise edukuse määra. Tüsistused nagu verejooks, emboolia, infektsioon või allergilised reaktsioonid on haruldased ja jäävad kliinilistes piiridesse.</w:t>
      </w:r>
    </w:p>
    <w:p w14:paraId="0DAD67AD" w14:textId="4FF5EA89" w:rsidR="00DA4404" w:rsidRPr="003C53D0" w:rsidRDefault="00DA4404" w:rsidP="00283E95">
      <w:pPr>
        <w:spacing w:line="228" w:lineRule="auto"/>
        <w:rPr>
          <w:rFonts w:cs="Times New Roman"/>
          <w:lang w:val="et"/>
        </w:rPr>
      </w:pPr>
      <w:r>
        <w:rPr>
          <w:rFonts w:cs="Times New Roman"/>
          <w:lang w:val="et"/>
        </w:rPr>
        <w:t>Uusi ohutusprobleeme ega ootamatuid riske ei tuvastatud. Seade toimib võrreldavalt turul olevate sarnaste toodetega, säilitades ühtlase riski-kasu profiili.</w:t>
      </w:r>
    </w:p>
    <w:p w14:paraId="745B2F11" w14:textId="269E90F7" w:rsidR="00257EE2" w:rsidRPr="003C53D0" w:rsidRDefault="00DA4404" w:rsidP="00283E95">
      <w:pPr>
        <w:spacing w:line="228" w:lineRule="auto"/>
        <w:rPr>
          <w:rFonts w:cs="Times New Roman"/>
          <w:highlight w:val="yellow"/>
          <w:lang w:val="et"/>
        </w:rPr>
      </w:pPr>
      <w:r>
        <w:rPr>
          <w:rFonts w:cs="Times New Roman"/>
          <w:lang w:val="et"/>
        </w:rPr>
        <w:t>Kokkuvõtteks võib öelda, et vaskulaarne silmusekomplekt Atrieve Snare on usaldusväärse toimivusega ja sellel on tugevad ohutusalased näitajad, mis toetavad selle jätkuvat kasutamist kliinilistes tingimustes.</w:t>
      </w:r>
    </w:p>
    <w:p w14:paraId="491E112E" w14:textId="43F380B5" w:rsidR="005A5584" w:rsidRPr="003C53D0" w:rsidRDefault="005A5584" w:rsidP="00283E95">
      <w:pPr>
        <w:spacing w:line="228" w:lineRule="auto"/>
        <w:rPr>
          <w:rFonts w:cs="Times New Roman"/>
          <w:lang w:val="et"/>
        </w:rPr>
      </w:pPr>
      <w:r>
        <w:rPr>
          <w:rFonts w:cs="Times New Roman"/>
          <w:lang w:val="et"/>
        </w:rPr>
        <w:lastRenderedPageBreak/>
        <w:t>Atrieve'i turustamisjärgse kliinilise järelevalve kavas (PMCFP) kirjeldatakse struktureeritud lähenemisviisi ravimi ohutuse ja toimivuse jälgimiseks pärast turule laskmist. Neid III klassi seadmeid kasutatakse võõrkehade eemaldamiseks või käsitsemiseks südame-veresoonkonnas ja need on ette nähtud ajutiseks kasutamiseks.</w:t>
      </w:r>
    </w:p>
    <w:p w14:paraId="72FE8271" w14:textId="1E2827CD" w:rsidR="00042B91" w:rsidRPr="00283E95" w:rsidRDefault="005A5584" w:rsidP="00283E95">
      <w:pPr>
        <w:spacing w:line="228" w:lineRule="auto"/>
        <w:rPr>
          <w:rFonts w:cs="Times New Roman"/>
          <w:lang w:val="et"/>
        </w:rPr>
      </w:pPr>
      <w:r>
        <w:rPr>
          <w:rFonts w:cs="Times New Roman"/>
          <w:lang w:val="et"/>
        </w:rPr>
        <w:t xml:space="preserve">Turuletoomise järgse kliinilise järelvalve </w:t>
      </w:r>
      <w:r w:rsidR="00001734">
        <w:rPr>
          <w:rFonts w:cs="Times New Roman"/>
          <w:lang w:val="et"/>
        </w:rPr>
        <w:t xml:space="preserve">(PMCF) </w:t>
      </w:r>
      <w:r>
        <w:rPr>
          <w:rFonts w:cs="Times New Roman"/>
          <w:lang w:val="et"/>
        </w:rPr>
        <w:t>tegevused tuginevad üldistele meetoditele, sealhulgas iga-aastastele kirjanduse ülevaadetele, kõrvaltoimete andmebaasi jälgimisele (nt MAUDE) ja turustamisjärgse järelevalve aruannete analüüsile. Nende jõupingutuste eesmärk on kinnitada jätkuvat ohutust ja efektiivsust, tuvastada tekkivaid riske ja avastada näidustusevälist kasutamist. Sarnaste seadmete kliinilisi andmeid vaadatakse üle ka tulemuste võrdlemiseks.</w:t>
      </w:r>
    </w:p>
    <w:p w14:paraId="33785C59" w14:textId="7AB0634B" w:rsidR="008745ED" w:rsidRPr="009461CC" w:rsidRDefault="008745ED" w:rsidP="00042B91">
      <w:pPr>
        <w:pStyle w:val="Heading1"/>
        <w:rPr>
          <w:rFonts w:cs="Times New Roman"/>
        </w:rPr>
      </w:pPr>
      <w:bookmarkStart w:id="71" w:name="_Toc222741325"/>
      <w:r>
        <w:rPr>
          <w:rFonts w:cs="Times New Roman"/>
          <w:bCs/>
          <w:lang w:val="et"/>
        </w:rPr>
        <w:t>Samaväärse seadmega seotud kliiniliste andmete kokkuvõte selle olemasolul</w:t>
      </w:r>
      <w:bookmarkEnd w:id="71"/>
      <w:r>
        <w:rPr>
          <w:rFonts w:cs="Times New Roman"/>
          <w:bCs/>
          <w:lang w:val="et"/>
        </w:rPr>
        <w:t xml:space="preserve"> </w:t>
      </w:r>
    </w:p>
    <w:p w14:paraId="62C65035" w14:textId="2ED3F324" w:rsidR="00B763A0" w:rsidRPr="009461CC" w:rsidRDefault="00F24AE3" w:rsidP="00511B41">
      <w:pPr>
        <w:ind w:firstLine="360"/>
        <w:rPr>
          <w:rFonts w:cs="Times New Roman"/>
        </w:rPr>
      </w:pPr>
      <w:r>
        <w:rPr>
          <w:rFonts w:cs="Times New Roman"/>
          <w:lang w:val="et"/>
        </w:rPr>
        <w:t>See jaotis pole kohaldatav (P/K).</w:t>
      </w:r>
    </w:p>
    <w:p w14:paraId="46CE7D79" w14:textId="2B10E133" w:rsidR="008745ED" w:rsidRPr="009461CC" w:rsidRDefault="008745ED" w:rsidP="00042B91">
      <w:pPr>
        <w:pStyle w:val="Heading1"/>
        <w:rPr>
          <w:rFonts w:cs="Times New Roman"/>
        </w:rPr>
      </w:pPr>
      <w:bookmarkStart w:id="72" w:name="_Toc222741326"/>
      <w:r>
        <w:rPr>
          <w:rFonts w:cs="Times New Roman"/>
          <w:bCs/>
          <w:lang w:val="et"/>
        </w:rPr>
        <w:t>Seadmel enne CE-vastavusmärgist läbiviidud uuringutest pärit kliiniliste andmete kokkuvõte, kui see on asjakohane</w:t>
      </w:r>
      <w:bookmarkEnd w:id="72"/>
      <w:r>
        <w:rPr>
          <w:rFonts w:cs="Times New Roman"/>
          <w:bCs/>
          <w:lang w:val="et"/>
        </w:rPr>
        <w:t xml:space="preserve"> </w:t>
      </w:r>
    </w:p>
    <w:p w14:paraId="27B7D18D" w14:textId="3346219F" w:rsidR="004846A6" w:rsidRPr="009461CC" w:rsidRDefault="00F604C9" w:rsidP="00F24AE3">
      <w:pPr>
        <w:ind w:left="360"/>
        <w:rPr>
          <w:rFonts w:cs="Times New Roman"/>
        </w:rPr>
      </w:pPr>
      <w:bookmarkStart w:id="73" w:name="_Hlk196514030"/>
      <w:r>
        <w:rPr>
          <w:rFonts w:cs="Times New Roman"/>
          <w:lang w:val="et"/>
        </w:rPr>
        <w:t>See jaotis pole kohaldatav (P/K).</w:t>
      </w:r>
    </w:p>
    <w:p w14:paraId="7A896071" w14:textId="00061818" w:rsidR="008745ED" w:rsidRPr="009461CC" w:rsidRDefault="008745ED" w:rsidP="00042B91">
      <w:pPr>
        <w:pStyle w:val="Heading1"/>
        <w:rPr>
          <w:rFonts w:cs="Times New Roman"/>
        </w:rPr>
      </w:pPr>
      <w:bookmarkStart w:id="74" w:name="_Toc222741327"/>
      <w:bookmarkEnd w:id="73"/>
      <w:r>
        <w:rPr>
          <w:rFonts w:cs="Times New Roman"/>
          <w:bCs/>
          <w:lang w:val="et"/>
        </w:rPr>
        <w:t>Muudest allikatest pärit kliiniliste andmete kokkuvõte, kui see on asjakohane</w:t>
      </w:r>
      <w:bookmarkEnd w:id="74"/>
      <w:r>
        <w:rPr>
          <w:rFonts w:cs="Times New Roman"/>
          <w:bCs/>
          <w:lang w:val="et"/>
        </w:rPr>
        <w:t xml:space="preserve"> </w:t>
      </w:r>
    </w:p>
    <w:p w14:paraId="3F1ED76E" w14:textId="5FADBA51" w:rsidR="006C2B68" w:rsidRPr="009461CC" w:rsidRDefault="0037599D" w:rsidP="00283E95">
      <w:pPr>
        <w:spacing w:before="100" w:beforeAutospacing="1" w:line="228" w:lineRule="auto"/>
        <w:rPr>
          <w:rFonts w:eastAsia="Times New Roman" w:cs="Times New Roman"/>
          <w:szCs w:val="24"/>
        </w:rPr>
      </w:pPr>
      <w:r>
        <w:rPr>
          <w:rFonts w:eastAsia="Times New Roman" w:cs="Times New Roman"/>
          <w:szCs w:val="24"/>
          <w:lang w:val="et"/>
        </w:rPr>
        <w:t>CER-029 Rev B-d toetab põhjalik väliste kliiniliste andmete ülevaade, sealhulgas:</w:t>
      </w:r>
    </w:p>
    <w:p w14:paraId="421058D0" w14:textId="26D1A572" w:rsidR="00FB1FDD" w:rsidRPr="003C53D0" w:rsidRDefault="00FC5667" w:rsidP="00283E95">
      <w:pPr>
        <w:spacing w:before="100" w:beforeAutospacing="1" w:line="228" w:lineRule="auto"/>
        <w:rPr>
          <w:rFonts w:cs="Times New Roman"/>
          <w:lang w:val="et"/>
        </w:rPr>
      </w:pPr>
      <w:r>
        <w:rPr>
          <w:rFonts w:cs="Times New Roman"/>
          <w:szCs w:val="24"/>
          <w:lang w:val="et"/>
        </w:rPr>
        <w:t>Praegune olukord (SOA): 579 artikli süstemaatiline ülevaade tuvastas 16 asjakohast uuringut sarnaste seadmete ja protseduuride kohta. Need uuringud näitasid kõrget tehnilise edukuse määra (≥91,2%) ja madalat tüsistuste määra (≤1,1%), mis on ohutuse ja toimivuse võrdlusalused.</w:t>
      </w:r>
      <w:r>
        <w:rPr>
          <w:rFonts w:cs="Times New Roman"/>
          <w:lang w:val="et"/>
        </w:rPr>
        <w:t xml:space="preserve"> </w:t>
      </w:r>
    </w:p>
    <w:p w14:paraId="7C6B59FC" w14:textId="77777777" w:rsidR="00FB1FDD" w:rsidRPr="003C53D0" w:rsidRDefault="00D23267" w:rsidP="00283E95">
      <w:pPr>
        <w:spacing w:before="100" w:beforeAutospacing="1" w:line="228" w:lineRule="auto"/>
        <w:rPr>
          <w:rFonts w:cs="Times New Roman"/>
          <w:lang w:val="et"/>
        </w:rPr>
      </w:pPr>
      <w:r>
        <w:rPr>
          <w:rFonts w:cs="Times New Roman"/>
          <w:szCs w:val="24"/>
          <w:lang w:val="et"/>
        </w:rPr>
        <w:t>Konkurentide seadmete kirjandus: Kaheksa võrreldavate seadmete (nt EN Snare, GooseNeck, CloverSnare) uuringut kinnitasid sarnaseid ohutus- ja efektiivsusprofiile, mis tugevdas vaskulaarsete lõksude ravi standardstaatust.</w:t>
      </w:r>
      <w:r>
        <w:rPr>
          <w:rFonts w:cs="Times New Roman"/>
          <w:lang w:val="et"/>
        </w:rPr>
        <w:t xml:space="preserve"> </w:t>
      </w:r>
    </w:p>
    <w:p w14:paraId="2910073B" w14:textId="4049ACE7" w:rsidR="004846A6" w:rsidRPr="003C53D0" w:rsidRDefault="009B4453" w:rsidP="00283E95">
      <w:pPr>
        <w:spacing w:before="100" w:beforeAutospacing="1" w:line="228" w:lineRule="auto"/>
        <w:rPr>
          <w:rFonts w:eastAsia="Times New Roman" w:cs="Times New Roman"/>
          <w:szCs w:val="24"/>
          <w:lang w:val="et"/>
        </w:rPr>
      </w:pPr>
      <w:r>
        <w:rPr>
          <w:rFonts w:eastAsia="Times New Roman" w:cs="Times New Roman"/>
          <w:szCs w:val="24"/>
          <w:lang w:val="et"/>
        </w:rPr>
        <w:t>Kliinilised juhised: Erialaseltside (nt SIR, ESC, KDOQI) soovitused toetavad perkutaansete eemaldamismeetodite, sh silmuste, kasutamist esmavaliku ravina võõrkeha eemaldamiseks kardiovaskulaarsüsteemist.</w:t>
      </w:r>
    </w:p>
    <w:p w14:paraId="661EF380" w14:textId="29BB1CA1" w:rsidR="00516D79" w:rsidRPr="003C53D0" w:rsidRDefault="00516D79" w:rsidP="00283E95">
      <w:pPr>
        <w:spacing w:before="100" w:beforeAutospacing="1" w:line="228" w:lineRule="auto"/>
        <w:rPr>
          <w:rFonts w:eastAsia="Times New Roman" w:cs="Times New Roman"/>
          <w:szCs w:val="24"/>
          <w:lang w:val="et"/>
        </w:rPr>
      </w:pPr>
      <w:r>
        <w:rPr>
          <w:rFonts w:eastAsia="Times New Roman" w:cs="Times New Roman"/>
          <w:szCs w:val="24"/>
          <w:lang w:val="et"/>
        </w:rPr>
        <w:t>Seadmeid käsitlev kirjandus: kolmteist Atrieve'i käsitlevat publikatsiooni (sh juhtumiuuringud ja retrospektiivsed uuringud) kinnitasid 100% tehnilist edu ja 94,5% kliinilist edu, minimaalsete kõrvaltoimetega. Mõned tulemusnäitajad jäid SOA võrdlusalustest veidi maha, kuid jäid vastuvõetavatesse kliinilistesse vahemikesse.</w:t>
      </w:r>
    </w:p>
    <w:p w14:paraId="66F22352" w14:textId="28F3CCF3" w:rsidR="004846A6" w:rsidRPr="003C53D0" w:rsidRDefault="004846A6" w:rsidP="00283E95">
      <w:pPr>
        <w:spacing w:before="100" w:beforeAutospacing="1" w:line="228" w:lineRule="auto"/>
        <w:rPr>
          <w:rFonts w:eastAsia="Times New Roman" w:cs="Times New Roman"/>
          <w:szCs w:val="24"/>
          <w:lang w:val="et"/>
        </w:rPr>
      </w:pPr>
      <w:r>
        <w:rPr>
          <w:rFonts w:eastAsia="Times New Roman" w:cs="Times New Roman"/>
          <w:szCs w:val="24"/>
          <w:lang w:val="et"/>
        </w:rPr>
        <w:t>Lisaks integreerib aruanne Atrieve'i toote turustamisjärgse järelevalve (PMS) andmed, mis on kogutud struktureeritud järelevalvekavade kaudu. See hõlmab kaebuste ja kõrvaltoimete jälgimist viie aasta jooksul ning parandusmeetmeid. Vaatamata suurele ülemaailmsele müügimahule ei näidanud PMS-i andmed uusi ohutusalaseid suundumusi ega ettenägematuid riske, mis kinnitas seadmete ohutusprofiili reaalsetes tingimustes.</w:t>
      </w:r>
    </w:p>
    <w:p w14:paraId="6527D03E" w14:textId="0484DB8A" w:rsidR="004846A6" w:rsidRPr="003C53D0" w:rsidRDefault="004846A6" w:rsidP="00283E95">
      <w:pPr>
        <w:spacing w:before="100" w:beforeAutospacing="1" w:line="228" w:lineRule="auto"/>
        <w:rPr>
          <w:rFonts w:eastAsia="Times New Roman" w:cs="Times New Roman"/>
          <w:szCs w:val="24"/>
          <w:lang w:val="et"/>
        </w:rPr>
      </w:pPr>
      <w:r>
        <w:rPr>
          <w:rFonts w:eastAsia="Times New Roman" w:cs="Times New Roman"/>
          <w:szCs w:val="24"/>
          <w:lang w:val="et"/>
        </w:rPr>
        <w:lastRenderedPageBreak/>
        <w:t xml:space="preserve">Lõpuks näitavad mittekliinilised andmed, sealhulgas laboratoorsed testid ja biosobivuse hindamised, et seadmed vastavad kõigile disaini- ja regulatiivsetele standarditele. Kuigi nende seadmetega ei ole kliinilisi uuringuid läbi viidud, põhjendati seda kirjandusest, turustamisjärgsetest allikatest ja vanemate seadmete kasutamisest saadud põhjalike andmetega. Kokkuvõttes toetavad need erinevad andmeallikad seadmete ohutust ja tõhusust kooskõlas ELi </w:t>
      </w:r>
      <w:r w:rsidR="00BC0CD8">
        <w:rPr>
          <w:rFonts w:eastAsia="Times New Roman" w:cs="Times New Roman"/>
          <w:szCs w:val="24"/>
          <w:lang w:val="et"/>
        </w:rPr>
        <w:t xml:space="preserve">(EU) </w:t>
      </w:r>
      <w:r>
        <w:rPr>
          <w:rFonts w:eastAsia="Times New Roman" w:cs="Times New Roman"/>
          <w:szCs w:val="24"/>
          <w:lang w:val="et"/>
        </w:rPr>
        <w:t>MDR-i nõuetega.</w:t>
      </w:r>
    </w:p>
    <w:p w14:paraId="0F01E5AD" w14:textId="2BD461FF" w:rsidR="008745ED" w:rsidRPr="009461CC" w:rsidRDefault="008745ED" w:rsidP="00042B91">
      <w:pPr>
        <w:pStyle w:val="Heading1"/>
        <w:rPr>
          <w:rFonts w:cs="Times New Roman"/>
        </w:rPr>
      </w:pPr>
      <w:bookmarkStart w:id="75" w:name="_Toc222741328"/>
      <w:r>
        <w:rPr>
          <w:rFonts w:cs="Times New Roman"/>
          <w:bCs/>
          <w:lang w:val="et"/>
        </w:rPr>
        <w:t>Kliinilise toimivuse ja ohutuse üldkokkuvõte</w:t>
      </w:r>
      <w:bookmarkEnd w:id="75"/>
      <w:r>
        <w:rPr>
          <w:rFonts w:cs="Times New Roman"/>
          <w:bCs/>
          <w:lang w:val="et"/>
        </w:rPr>
        <w:t xml:space="preserve"> </w:t>
      </w:r>
    </w:p>
    <w:p w14:paraId="7C1B956B" w14:textId="77777777" w:rsidR="009977D7" w:rsidRPr="009461CC" w:rsidRDefault="009977D7" w:rsidP="00D52DF8">
      <w:pPr>
        <w:spacing w:after="0" w:afterAutospacing="0" w:line="240" w:lineRule="auto"/>
        <w:rPr>
          <w:rFonts w:eastAsia="Times New Roman" w:cs="Times New Roman"/>
          <w:iCs/>
          <w:szCs w:val="24"/>
        </w:rPr>
      </w:pPr>
    </w:p>
    <w:p w14:paraId="068544DB" w14:textId="22D08049" w:rsidR="00D52DF8" w:rsidRPr="009461CC" w:rsidRDefault="00D52DF8" w:rsidP="00D52DF8">
      <w:pPr>
        <w:spacing w:after="0" w:afterAutospacing="0" w:line="240" w:lineRule="auto"/>
        <w:rPr>
          <w:rFonts w:eastAsia="Times New Roman" w:cs="Times New Roman"/>
          <w:iCs/>
          <w:szCs w:val="24"/>
        </w:rPr>
      </w:pPr>
      <w:r>
        <w:rPr>
          <w:rFonts w:eastAsia="Times New Roman" w:cs="Times New Roman"/>
          <w:szCs w:val="24"/>
          <w:lang w:val="et"/>
        </w:rPr>
        <w:t>Vaskulaarsel silmusekomplekti Atrieve Snare dokumentide X9585730-0321-EU Rev A ja CER-029 Rev B põhjal on seadme üldine kliiniline toimivus ja ohutusprofiil soodne ning vastab kavandatud kasutuse ootustele.</w:t>
      </w:r>
    </w:p>
    <w:p w14:paraId="3508FD3D" w14:textId="77777777" w:rsidR="002E59B4" w:rsidRPr="009461CC" w:rsidRDefault="002E59B4" w:rsidP="00D52DF8">
      <w:pPr>
        <w:spacing w:after="0" w:afterAutospacing="0" w:line="240" w:lineRule="auto"/>
        <w:rPr>
          <w:rFonts w:eastAsia="Times New Roman" w:cs="Times New Roman"/>
          <w:iCs/>
          <w:szCs w:val="24"/>
        </w:rPr>
      </w:pPr>
    </w:p>
    <w:p w14:paraId="0A303358" w14:textId="24357A0A" w:rsidR="00C361CA" w:rsidRPr="003C53D0" w:rsidRDefault="005C642C" w:rsidP="00C97841">
      <w:pPr>
        <w:spacing w:after="0" w:afterAutospacing="0" w:line="240" w:lineRule="auto"/>
        <w:rPr>
          <w:rFonts w:cs="Times New Roman"/>
          <w:lang w:val="et"/>
        </w:rPr>
      </w:pPr>
      <w:r>
        <w:rPr>
          <w:rFonts w:cs="Times New Roman"/>
          <w:lang w:val="et"/>
        </w:rPr>
        <w:t xml:space="preserve">Seade on loodud selleks, et </w:t>
      </w:r>
      <w:r>
        <w:rPr>
          <w:rStyle w:val="Strong"/>
          <w:rFonts w:cs="Times New Roman"/>
          <w:lang w:val="et"/>
        </w:rPr>
        <w:t>võõrkehade perkutaanne eemaldamine ja manipuleerimine</w:t>
      </w:r>
      <w:r>
        <w:rPr>
          <w:rFonts w:cs="Times New Roman"/>
          <w:lang w:val="et"/>
        </w:rPr>
        <w:t xml:space="preserve"> kardiovaskulaarsüsteemis või õõnes siseorganites. Peamised kliinilised eelised hõlmavad minimaalselt invasiivset eemaldamist, vähenenud patsiendiriski ja madalamat tüsistuste esinemissagedust võrreldes kirurgiliste alternatiividega.</w:t>
      </w:r>
    </w:p>
    <w:p w14:paraId="0DE0B963" w14:textId="77777777" w:rsidR="005C642C" w:rsidRPr="003C53D0" w:rsidRDefault="005C642C" w:rsidP="00C97841">
      <w:pPr>
        <w:spacing w:after="0" w:afterAutospacing="0" w:line="240" w:lineRule="auto"/>
        <w:rPr>
          <w:rFonts w:eastAsia="Times New Roman" w:cs="Times New Roman"/>
          <w:iCs/>
          <w:szCs w:val="24"/>
          <w:lang w:val="et"/>
        </w:rPr>
      </w:pPr>
    </w:p>
    <w:p w14:paraId="2DA4A118" w14:textId="58FE2B84" w:rsidR="00C97841" w:rsidRPr="003C53D0" w:rsidRDefault="00B26297" w:rsidP="00C97841">
      <w:pPr>
        <w:spacing w:after="0" w:afterAutospacing="0" w:line="240" w:lineRule="auto"/>
        <w:rPr>
          <w:rFonts w:eastAsia="Times New Roman" w:cs="Times New Roman"/>
          <w:iCs/>
          <w:szCs w:val="24"/>
          <w:lang w:val="et"/>
        </w:rPr>
      </w:pPr>
      <w:r>
        <w:rPr>
          <w:rFonts w:eastAsia="Times New Roman" w:cs="Times New Roman"/>
          <w:szCs w:val="24"/>
          <w:lang w:val="et"/>
        </w:rPr>
        <w:t>Kliinilises hinnangus määratletakse järgmised tulemusnäitajad:</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283E95">
            <w:pPr>
              <w:spacing w:after="0" w:afterAutospacing="0" w:line="216" w:lineRule="auto"/>
              <w:jc w:val="center"/>
              <w:rPr>
                <w:rFonts w:eastAsia="Times New Roman" w:cs="Times New Roman"/>
                <w:b/>
                <w:bCs/>
              </w:rPr>
            </w:pPr>
            <w:r>
              <w:rPr>
                <w:rFonts w:eastAsia="Times New Roman" w:cs="Times New Roman"/>
                <w:b/>
                <w:bCs/>
                <w:lang w:val="et"/>
              </w:rPr>
              <w:t>Toimivuse mõõdik</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283E95">
            <w:pPr>
              <w:spacing w:after="0" w:afterAutospacing="0" w:line="216" w:lineRule="auto"/>
              <w:jc w:val="center"/>
              <w:rPr>
                <w:rFonts w:eastAsia="Times New Roman" w:cs="Times New Roman"/>
                <w:b/>
                <w:bCs/>
              </w:rPr>
            </w:pPr>
            <w:r>
              <w:rPr>
                <w:rFonts w:eastAsia="Times New Roman" w:cs="Times New Roman"/>
                <w:b/>
                <w:bCs/>
                <w:lang w:val="et"/>
              </w:rPr>
              <w:t>Võrreldavad mõõdikud</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283E95">
            <w:pPr>
              <w:spacing w:after="0" w:afterAutospacing="0" w:line="216" w:lineRule="auto"/>
              <w:jc w:val="center"/>
              <w:rPr>
                <w:rFonts w:eastAsia="Times New Roman" w:cs="Times New Roman"/>
                <w:b/>
                <w:bCs/>
              </w:rPr>
            </w:pPr>
            <w:r>
              <w:rPr>
                <w:rFonts w:eastAsia="Times New Roman" w:cs="Times New Roman"/>
                <w:b/>
                <w:bCs/>
                <w:lang w:val="et"/>
              </w:rPr>
              <w:t>Määratlus</w:t>
            </w:r>
          </w:p>
        </w:tc>
      </w:tr>
      <w:tr w:rsidR="00942C1E" w:rsidRPr="009461CC"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283E95">
            <w:pPr>
              <w:spacing w:after="0" w:afterAutospacing="0" w:line="216" w:lineRule="auto"/>
              <w:jc w:val="center"/>
              <w:rPr>
                <w:rFonts w:eastAsia="Times New Roman" w:cs="Times New Roman"/>
              </w:rPr>
            </w:pPr>
            <w:r>
              <w:rPr>
                <w:rFonts w:eastAsia="Times New Roman" w:cs="Times New Roman"/>
                <w:b/>
                <w:bCs/>
                <w:lang w:val="et"/>
              </w:rPr>
              <w:t>Tehnilise edukuse määr</w:t>
            </w:r>
          </w:p>
        </w:tc>
        <w:tc>
          <w:tcPr>
            <w:tcW w:w="3514" w:type="pct"/>
            <w:tcMar>
              <w:top w:w="120" w:type="dxa"/>
              <w:left w:w="180" w:type="dxa"/>
              <w:bottom w:w="105" w:type="dxa"/>
              <w:right w:w="120" w:type="dxa"/>
            </w:tcMar>
            <w:hideMark/>
          </w:tcPr>
          <w:p w14:paraId="55E25C25" w14:textId="77777777" w:rsidR="00942C1E" w:rsidRPr="009461CC" w:rsidRDefault="00942C1E" w:rsidP="00283E95">
            <w:pPr>
              <w:spacing w:after="0" w:afterAutospacing="0" w:line="216" w:lineRule="auto"/>
              <w:jc w:val="center"/>
              <w:rPr>
                <w:rFonts w:eastAsia="Times New Roman" w:cs="Times New Roman"/>
              </w:rPr>
            </w:pPr>
            <w:r>
              <w:rPr>
                <w:rFonts w:eastAsia="Times New Roman" w:cs="Times New Roman"/>
                <w:lang w:val="et"/>
              </w:rPr>
              <w:t>Võõrkehade edukas eemaldamine/manipuleerimine</w:t>
            </w:r>
          </w:p>
        </w:tc>
      </w:tr>
      <w:tr w:rsidR="00942C1E" w:rsidRPr="009461C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283E95">
            <w:pPr>
              <w:spacing w:after="0" w:afterAutospacing="0" w:line="216" w:lineRule="auto"/>
              <w:jc w:val="center"/>
              <w:rPr>
                <w:rFonts w:eastAsia="Times New Roman" w:cs="Times New Roman"/>
              </w:rPr>
            </w:pPr>
            <w:r>
              <w:rPr>
                <w:rFonts w:eastAsia="Times New Roman" w:cs="Times New Roman"/>
                <w:b/>
                <w:bCs/>
                <w:lang w:val="et"/>
              </w:rPr>
              <w:t>Kliinilise edukuse määr</w:t>
            </w:r>
          </w:p>
        </w:tc>
        <w:tc>
          <w:tcPr>
            <w:tcW w:w="3514" w:type="pct"/>
            <w:tcMar>
              <w:top w:w="120" w:type="dxa"/>
              <w:left w:w="180" w:type="dxa"/>
              <w:bottom w:w="90" w:type="dxa"/>
              <w:right w:w="120" w:type="dxa"/>
            </w:tcMar>
            <w:hideMark/>
          </w:tcPr>
          <w:p w14:paraId="01FCEBA5" w14:textId="77777777" w:rsidR="00942C1E" w:rsidRPr="009461CC" w:rsidRDefault="00942C1E" w:rsidP="00283E95">
            <w:pPr>
              <w:spacing w:after="0" w:afterAutospacing="0" w:line="216" w:lineRule="auto"/>
              <w:jc w:val="center"/>
              <w:rPr>
                <w:rFonts w:eastAsia="Times New Roman" w:cs="Times New Roman"/>
              </w:rPr>
            </w:pPr>
            <w:r>
              <w:rPr>
                <w:rFonts w:eastAsia="Times New Roman" w:cs="Times New Roman"/>
                <w:lang w:val="et"/>
              </w:rPr>
              <w:t>Edukas otsimine/manipuleerimine ilma protseduuriliste tüsistusteta</w:t>
            </w:r>
          </w:p>
        </w:tc>
      </w:tr>
    </w:tbl>
    <w:p w14:paraId="6CABCDF2" w14:textId="77777777" w:rsidR="004F7F77" w:rsidRPr="009461CC" w:rsidRDefault="004F7F77" w:rsidP="00283E95">
      <w:pPr>
        <w:spacing w:after="0" w:afterAutospacing="0" w:line="216" w:lineRule="auto"/>
        <w:rPr>
          <w:rFonts w:eastAsia="Times New Roman" w:cs="Times New Roman"/>
          <w:iCs/>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6"/>
        <w:gridCol w:w="7814"/>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283E95">
            <w:pPr>
              <w:spacing w:after="0" w:afterAutospacing="0" w:line="216" w:lineRule="auto"/>
              <w:jc w:val="center"/>
              <w:rPr>
                <w:rFonts w:eastAsia="Times New Roman" w:cs="Times New Roman"/>
                <w:b/>
                <w:bCs/>
              </w:rPr>
            </w:pPr>
            <w:r>
              <w:rPr>
                <w:rFonts w:eastAsia="Times New Roman" w:cs="Times New Roman"/>
                <w:b/>
                <w:bCs/>
                <w:lang w:val="et"/>
              </w:rPr>
              <w:t>Ohutusmeetmed</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283E95">
            <w:pPr>
              <w:spacing w:after="0" w:afterAutospacing="0" w:line="216" w:lineRule="auto"/>
              <w:jc w:val="center"/>
              <w:rPr>
                <w:rFonts w:eastAsia="Times New Roman" w:cs="Times New Roman"/>
                <w:b/>
                <w:bCs/>
              </w:rPr>
            </w:pPr>
            <w:r>
              <w:rPr>
                <w:rFonts w:eastAsia="Times New Roman" w:cs="Times New Roman"/>
                <w:b/>
                <w:bCs/>
                <w:lang w:val="et"/>
              </w:rPr>
              <w:t>Võrreldavad mõõdikud</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283E95">
            <w:pPr>
              <w:spacing w:after="0" w:afterAutospacing="0" w:line="216" w:lineRule="auto"/>
              <w:jc w:val="center"/>
              <w:rPr>
                <w:rFonts w:eastAsia="Times New Roman" w:cs="Times New Roman"/>
                <w:b/>
                <w:bCs/>
              </w:rPr>
            </w:pPr>
            <w:r>
              <w:rPr>
                <w:rFonts w:eastAsia="Times New Roman" w:cs="Times New Roman"/>
                <w:b/>
                <w:bCs/>
                <w:lang w:val="et"/>
              </w:rPr>
              <w:t>Määratlus</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283E95">
            <w:pPr>
              <w:spacing w:after="0" w:afterAutospacing="0" w:line="216" w:lineRule="auto"/>
              <w:jc w:val="center"/>
              <w:rPr>
                <w:rFonts w:eastAsia="Times New Roman" w:cs="Times New Roman"/>
              </w:rPr>
            </w:pPr>
            <w:r>
              <w:rPr>
                <w:rFonts w:eastAsia="Times New Roman" w:cs="Times New Roman"/>
                <w:b/>
                <w:bCs/>
                <w:lang w:val="et"/>
              </w:rPr>
              <w:t>Võimalikud tüsistused</w:t>
            </w:r>
          </w:p>
        </w:tc>
        <w:tc>
          <w:tcPr>
            <w:tcW w:w="0" w:type="auto"/>
            <w:tcMar>
              <w:top w:w="120" w:type="dxa"/>
              <w:left w:w="180" w:type="dxa"/>
              <w:bottom w:w="105" w:type="dxa"/>
              <w:right w:w="120" w:type="dxa"/>
            </w:tcMar>
            <w:hideMark/>
          </w:tcPr>
          <w:p w14:paraId="5EFFAF53" w14:textId="77777777" w:rsidR="00607046" w:rsidRPr="009461CC" w:rsidRDefault="00607046" w:rsidP="00283E95">
            <w:pPr>
              <w:spacing w:after="0" w:afterAutospacing="0" w:line="216" w:lineRule="auto"/>
              <w:jc w:val="center"/>
              <w:rPr>
                <w:rFonts w:eastAsia="Times New Roman" w:cs="Times New Roman"/>
              </w:rPr>
            </w:pPr>
            <w:r>
              <w:rPr>
                <w:rFonts w:eastAsia="Times New Roman" w:cs="Times New Roman"/>
                <w:lang w:val="et"/>
              </w:rPr>
              <w:t>Sisaldab verejooksu, perforatsiooni, embooliat, infektsiooni, allergilist reaktsiooni, valu</w:t>
            </w:r>
          </w:p>
        </w:tc>
      </w:tr>
      <w:tr w:rsidR="00607046" w:rsidRPr="009461CC"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283E95">
            <w:pPr>
              <w:spacing w:after="0" w:afterAutospacing="0" w:line="216" w:lineRule="auto"/>
              <w:jc w:val="center"/>
              <w:rPr>
                <w:rFonts w:eastAsia="Times New Roman" w:cs="Times New Roman"/>
              </w:rPr>
            </w:pPr>
            <w:r>
              <w:rPr>
                <w:rFonts w:eastAsia="Times New Roman" w:cs="Times New Roman"/>
                <w:b/>
                <w:bCs/>
                <w:lang w:val="et"/>
              </w:rPr>
              <w:t>Üldine tüsistuste määr</w:t>
            </w:r>
          </w:p>
        </w:tc>
        <w:tc>
          <w:tcPr>
            <w:tcW w:w="0" w:type="auto"/>
            <w:tcMar>
              <w:top w:w="120" w:type="dxa"/>
              <w:left w:w="180" w:type="dxa"/>
              <w:bottom w:w="90" w:type="dxa"/>
              <w:right w:w="120" w:type="dxa"/>
            </w:tcMar>
            <w:hideMark/>
          </w:tcPr>
          <w:p w14:paraId="2D2E84BE" w14:textId="77777777" w:rsidR="00607046" w:rsidRPr="009461CC" w:rsidRDefault="00607046" w:rsidP="00283E95">
            <w:pPr>
              <w:spacing w:after="0" w:afterAutospacing="0" w:line="216" w:lineRule="auto"/>
              <w:jc w:val="center"/>
              <w:rPr>
                <w:rFonts w:eastAsia="Times New Roman" w:cs="Times New Roman"/>
              </w:rPr>
            </w:pPr>
            <w:r>
              <w:rPr>
                <w:rFonts w:eastAsia="Times New Roman" w:cs="Times New Roman"/>
                <w:lang w:val="et"/>
              </w:rPr>
              <w:t>Kõigi kõrvaltoimete kombineeritud esinemissagedus protseduuri ajal või pärast seda</w:t>
            </w:r>
          </w:p>
        </w:tc>
      </w:tr>
    </w:tbl>
    <w:p w14:paraId="4A64B2C8" w14:textId="77777777" w:rsidR="00607046" w:rsidRPr="009461CC" w:rsidRDefault="00607046" w:rsidP="00C97841">
      <w:pPr>
        <w:spacing w:after="0" w:afterAutospacing="0" w:line="240" w:lineRule="auto"/>
        <w:rPr>
          <w:rFonts w:eastAsia="Times New Roman" w:cs="Times New Roman"/>
          <w:iCs/>
          <w:szCs w:val="24"/>
        </w:rPr>
      </w:pPr>
    </w:p>
    <w:p w14:paraId="10E95C55" w14:textId="33D63FB8" w:rsidR="00050F24" w:rsidRPr="009461CC" w:rsidRDefault="00050F24" w:rsidP="00050F24">
      <w:pPr>
        <w:spacing w:after="0" w:afterAutospacing="0" w:line="240" w:lineRule="auto"/>
        <w:rPr>
          <w:rFonts w:eastAsia="Times New Roman" w:cs="Times New Roman"/>
          <w:iCs/>
          <w:szCs w:val="24"/>
        </w:rPr>
      </w:pPr>
      <w:r>
        <w:rPr>
          <w:rFonts w:eastAsia="Times New Roman" w:cs="Times New Roman"/>
          <w:szCs w:val="24"/>
          <w:lang w:val="et"/>
        </w:rPr>
        <w:t>Vaskulaarse silmusekomplekti Atrieve Snare tulemusnäitajate edukuse määrade kokkuvõte:</w:t>
      </w:r>
    </w:p>
    <w:p w14:paraId="5B675D80" w14:textId="77777777" w:rsidR="00EE18FA" w:rsidRPr="009461CC" w:rsidRDefault="00EE18FA" w:rsidP="00050F24">
      <w:pPr>
        <w:spacing w:after="0" w:afterAutospacing="0" w:line="240" w:lineRule="auto"/>
        <w:rPr>
          <w:rFonts w:eastAsia="Times New Roman" w:cs="Times New Roman"/>
          <w:iCs/>
          <w:szCs w:val="24"/>
        </w:rPr>
      </w:pPr>
    </w:p>
    <w:p w14:paraId="6387EAAA" w14:textId="6A98A9F8"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et"/>
        </w:rPr>
        <w:t>Tehniline edu oli suurepärane, 100%.</w:t>
      </w:r>
    </w:p>
    <w:p w14:paraId="70426807" w14:textId="6A68FCB6" w:rsidR="00050F24" w:rsidRPr="003C53D0" w:rsidRDefault="00050F24" w:rsidP="00050F24">
      <w:pPr>
        <w:pStyle w:val="ListParagraph"/>
        <w:numPr>
          <w:ilvl w:val="0"/>
          <w:numId w:val="27"/>
        </w:numPr>
        <w:spacing w:after="0" w:afterAutospacing="0" w:line="240" w:lineRule="auto"/>
        <w:rPr>
          <w:rFonts w:eastAsia="Times New Roman" w:cs="Times New Roman"/>
          <w:iCs/>
          <w:szCs w:val="24"/>
          <w:lang w:val="fr-FR"/>
        </w:rPr>
      </w:pPr>
      <w:r>
        <w:rPr>
          <w:rFonts w:eastAsia="Times New Roman" w:cs="Times New Roman"/>
          <w:szCs w:val="24"/>
          <w:lang w:val="et"/>
        </w:rPr>
        <w:t>Kliiniline edu oli 94,5%, mis on veidi alla 97,4% läve.</w:t>
      </w:r>
    </w:p>
    <w:p w14:paraId="3E9DC071" w14:textId="055EE80D" w:rsidR="00050F24" w:rsidRPr="003C53D0" w:rsidRDefault="00050F24" w:rsidP="00050F24">
      <w:pPr>
        <w:pStyle w:val="ListParagraph"/>
        <w:numPr>
          <w:ilvl w:val="0"/>
          <w:numId w:val="27"/>
        </w:numPr>
        <w:spacing w:after="0" w:afterAutospacing="0" w:line="240" w:lineRule="auto"/>
        <w:rPr>
          <w:rFonts w:eastAsia="Times New Roman" w:cs="Times New Roman"/>
          <w:iCs/>
          <w:szCs w:val="24"/>
          <w:lang w:val="fr-FR"/>
        </w:rPr>
      </w:pPr>
      <w:r>
        <w:rPr>
          <w:rFonts w:eastAsia="Times New Roman" w:cs="Times New Roman"/>
          <w:szCs w:val="24"/>
          <w:lang w:val="et"/>
        </w:rPr>
        <w:t>Üldine tüsistuste määr, perforatsioon/koekahjustus ja kliiniline edu ei vastanud vastuvõtukriteeriumidele.</w:t>
      </w:r>
    </w:p>
    <w:p w14:paraId="44EC781B" w14:textId="7DA02325" w:rsidR="00050F24" w:rsidRPr="00283E95" w:rsidRDefault="00050F24" w:rsidP="00050F24">
      <w:pPr>
        <w:pStyle w:val="ListParagraph"/>
        <w:numPr>
          <w:ilvl w:val="0"/>
          <w:numId w:val="27"/>
        </w:numPr>
        <w:spacing w:after="0" w:afterAutospacing="0" w:line="240" w:lineRule="auto"/>
        <w:rPr>
          <w:rFonts w:eastAsia="Times New Roman" w:cs="Times New Roman"/>
          <w:iCs/>
          <w:szCs w:val="24"/>
          <w:lang w:val="fr-FR"/>
        </w:rPr>
      </w:pPr>
      <w:r>
        <w:rPr>
          <w:rFonts w:eastAsia="Times New Roman" w:cs="Times New Roman"/>
          <w:szCs w:val="24"/>
          <w:lang w:val="et"/>
        </w:rPr>
        <w:t>Emboolia, valu ja suremuse määr oli 0% ja vastas kriteeriumidele.</w:t>
      </w:r>
    </w:p>
    <w:p w14:paraId="05E37DDA" w14:textId="77777777" w:rsidR="00EE18FA" w:rsidRPr="00283E95" w:rsidRDefault="00EE18FA" w:rsidP="00EE18FA">
      <w:pPr>
        <w:pStyle w:val="ListParagraph"/>
        <w:spacing w:after="0" w:afterAutospacing="0" w:line="240" w:lineRule="auto"/>
        <w:rPr>
          <w:rFonts w:eastAsia="Times New Roman" w:cs="Times New Roman"/>
          <w:iCs/>
          <w:szCs w:val="24"/>
          <w:lang w:val="fr-FR"/>
        </w:rPr>
      </w:pPr>
    </w:p>
    <w:p w14:paraId="3F2FC7C2" w14:textId="2808A8DE" w:rsidR="00050F24" w:rsidRPr="00283E95" w:rsidRDefault="00050F24" w:rsidP="00283E95">
      <w:pPr>
        <w:spacing w:after="0" w:afterAutospacing="0" w:line="228" w:lineRule="auto"/>
        <w:rPr>
          <w:rFonts w:eastAsia="Times New Roman" w:cs="Times New Roman"/>
          <w:iCs/>
          <w:szCs w:val="24"/>
          <w:lang w:val="fr-FR"/>
        </w:rPr>
      </w:pPr>
      <w:r>
        <w:rPr>
          <w:rFonts w:eastAsia="Times New Roman" w:cs="Times New Roman"/>
          <w:szCs w:val="24"/>
          <w:lang w:val="et"/>
        </w:rPr>
        <w:t>Vaatamata mõnedele ohutusnäitajatele, mis ületasid läviväärtusi, jäi kasu-riski profiil soodsaks tänu suurele tehnilisele edule ja kergetele tüsistustele.</w:t>
      </w:r>
    </w:p>
    <w:p w14:paraId="2F8EAFF0" w14:textId="77777777" w:rsidR="00AA7F1D" w:rsidRPr="00283E95" w:rsidRDefault="00AA7F1D" w:rsidP="00283E95">
      <w:pPr>
        <w:spacing w:after="0" w:afterAutospacing="0" w:line="228" w:lineRule="auto"/>
        <w:rPr>
          <w:rFonts w:eastAsia="Times New Roman" w:cs="Times New Roman"/>
          <w:iCs/>
          <w:sz w:val="18"/>
          <w:szCs w:val="18"/>
          <w:lang w:val="fr-FR"/>
        </w:rPr>
      </w:pPr>
    </w:p>
    <w:p w14:paraId="7A0B3597" w14:textId="3F8A5424" w:rsidR="00D47200" w:rsidRPr="00283E95" w:rsidRDefault="00AA7F1D" w:rsidP="00283E95">
      <w:pPr>
        <w:spacing w:after="0" w:afterAutospacing="0" w:line="228" w:lineRule="auto"/>
        <w:rPr>
          <w:rFonts w:eastAsia="Times New Roman" w:cs="Times New Roman"/>
          <w:iCs/>
          <w:szCs w:val="24"/>
          <w:lang w:val="fr-FR"/>
        </w:rPr>
      </w:pPr>
      <w:r>
        <w:rPr>
          <w:rFonts w:eastAsia="Times New Roman" w:cs="Times New Roman"/>
          <w:szCs w:val="24"/>
          <w:lang w:val="et"/>
        </w:rPr>
        <w:t>Kliinilised väited kasutusjuhendis</w:t>
      </w:r>
      <w:r w:rsidR="00BC0CD8">
        <w:rPr>
          <w:rFonts w:eastAsia="Times New Roman" w:cs="Times New Roman"/>
          <w:szCs w:val="24"/>
          <w:lang w:val="et"/>
        </w:rPr>
        <w:t xml:space="preserve"> (IFU)</w:t>
      </w:r>
      <w:r>
        <w:rPr>
          <w:rFonts w:eastAsia="Times New Roman" w:cs="Times New Roman"/>
          <w:szCs w:val="24"/>
          <w:lang w:val="et"/>
        </w:rPr>
        <w:t xml:space="preserve"> ja turundusmaterjalides</w:t>
      </w:r>
    </w:p>
    <w:p w14:paraId="7DADA029" w14:textId="6C6ECAD3" w:rsidR="001F48BA" w:rsidRPr="00283E95" w:rsidRDefault="00C01A53" w:rsidP="00283E95">
      <w:pPr>
        <w:spacing w:after="0" w:afterAutospacing="0" w:line="228" w:lineRule="auto"/>
        <w:rPr>
          <w:rFonts w:cs="Times New Roman"/>
          <w:iCs/>
          <w:szCs w:val="24"/>
          <w:lang w:val="fr-FR"/>
        </w:rPr>
      </w:pPr>
      <w:r>
        <w:rPr>
          <w:rFonts w:cs="Times New Roman"/>
          <w:szCs w:val="24"/>
          <w:lang w:val="et"/>
        </w:rPr>
        <w:t>Kliiniline hinnang toetab järgmisi väiteid:</w:t>
      </w:r>
    </w:p>
    <w:p w14:paraId="19E8DAE4" w14:textId="77777777" w:rsidR="00EE18FA" w:rsidRPr="00283E95" w:rsidRDefault="00EE18FA" w:rsidP="00D52DF8">
      <w:pPr>
        <w:spacing w:after="0" w:afterAutospacing="0" w:line="240" w:lineRule="auto"/>
        <w:rPr>
          <w:rFonts w:cs="Times New Roman"/>
          <w:iCs/>
          <w:sz w:val="12"/>
          <w:szCs w:val="12"/>
          <w:lang w:val="fr-FR"/>
        </w:rPr>
      </w:pPr>
    </w:p>
    <w:p w14:paraId="7925D059" w14:textId="1A5A89DA" w:rsidR="003859AF" w:rsidRPr="00283E95" w:rsidRDefault="003859AF" w:rsidP="00283E95">
      <w:pPr>
        <w:pStyle w:val="ListParagraph"/>
        <w:numPr>
          <w:ilvl w:val="0"/>
          <w:numId w:val="28"/>
        </w:numPr>
        <w:spacing w:after="0" w:afterAutospacing="0" w:line="228" w:lineRule="auto"/>
        <w:rPr>
          <w:rFonts w:cs="Times New Roman"/>
          <w:iCs/>
          <w:szCs w:val="24"/>
          <w:lang w:val="fr-FR"/>
        </w:rPr>
      </w:pPr>
      <w:r>
        <w:rPr>
          <w:rFonts w:cs="Times New Roman"/>
          <w:szCs w:val="24"/>
          <w:lang w:val="et"/>
        </w:rPr>
        <w:t>Võõrkehade perkutaanne eemaldamine/manipuleerimine – kirjanduses on 100% tehniline edu toetatud.</w:t>
      </w:r>
    </w:p>
    <w:p w14:paraId="3AB6E45D" w14:textId="783809AA" w:rsidR="003859AF" w:rsidRPr="00283E95" w:rsidRDefault="003859AF" w:rsidP="00283E95">
      <w:pPr>
        <w:pStyle w:val="ListParagraph"/>
        <w:numPr>
          <w:ilvl w:val="0"/>
          <w:numId w:val="28"/>
        </w:numPr>
        <w:spacing w:after="0" w:afterAutospacing="0" w:line="228" w:lineRule="auto"/>
        <w:rPr>
          <w:rFonts w:cs="Times New Roman"/>
          <w:iCs/>
          <w:szCs w:val="24"/>
          <w:lang w:val="fr-FR"/>
        </w:rPr>
      </w:pPr>
      <w:r>
        <w:rPr>
          <w:rFonts w:cs="Times New Roman"/>
          <w:szCs w:val="24"/>
          <w:lang w:val="et"/>
        </w:rPr>
        <w:t>Madalam tüsistuste määr kui kirurgilisel sekkumisel – toetatud võrdleva kirjanduse ja tipptasemel analüüsi abil.</w:t>
      </w:r>
    </w:p>
    <w:p w14:paraId="15638B58" w14:textId="335CFE86" w:rsidR="003859AF" w:rsidRPr="00283E95" w:rsidRDefault="003859AF" w:rsidP="00283E95">
      <w:pPr>
        <w:pStyle w:val="ListParagraph"/>
        <w:numPr>
          <w:ilvl w:val="0"/>
          <w:numId w:val="28"/>
        </w:numPr>
        <w:spacing w:after="0" w:afterAutospacing="0" w:line="228" w:lineRule="auto"/>
        <w:rPr>
          <w:rFonts w:cs="Times New Roman"/>
          <w:iCs/>
          <w:szCs w:val="24"/>
          <w:lang w:val="fr-FR"/>
        </w:rPr>
      </w:pPr>
      <w:r>
        <w:rPr>
          <w:rFonts w:cs="Times New Roman"/>
          <w:szCs w:val="24"/>
          <w:lang w:val="et"/>
        </w:rPr>
        <w:t>Kasutamine täiendavates protseduurides (nt fibriinkanga eemaldamine, kateetri ümberpaigutamine) – Toetatud kliiniliste juhtumikirjelduste ja protseduuriliste juhistega.</w:t>
      </w:r>
    </w:p>
    <w:p w14:paraId="351D383E" w14:textId="7EB46C62" w:rsidR="00C01A53" w:rsidRPr="00283E95" w:rsidRDefault="003859AF" w:rsidP="00283E95">
      <w:pPr>
        <w:pStyle w:val="ListParagraph"/>
        <w:numPr>
          <w:ilvl w:val="0"/>
          <w:numId w:val="28"/>
        </w:numPr>
        <w:spacing w:after="0" w:afterAutospacing="0" w:line="228" w:lineRule="auto"/>
        <w:rPr>
          <w:rFonts w:cs="Times New Roman"/>
          <w:iCs/>
          <w:szCs w:val="24"/>
          <w:lang w:val="fr-FR"/>
        </w:rPr>
      </w:pPr>
      <w:r>
        <w:rPr>
          <w:rFonts w:cs="Times New Roman"/>
          <w:szCs w:val="24"/>
          <w:lang w:val="et"/>
        </w:rPr>
        <w:t>Ohutu kasutada täiskasvanutel – toetavad turustamisjärgne järelevalve ja kirjandusandmed.</w:t>
      </w:r>
    </w:p>
    <w:p w14:paraId="68D32F33" w14:textId="77777777" w:rsidR="005D424F" w:rsidRPr="00283E95" w:rsidRDefault="005D424F" w:rsidP="005D424F">
      <w:pPr>
        <w:spacing w:after="0" w:afterAutospacing="0" w:line="240" w:lineRule="auto"/>
        <w:rPr>
          <w:rFonts w:cs="Times New Roman"/>
          <w:iCs/>
          <w:szCs w:val="24"/>
          <w:lang w:val="fr-FR"/>
        </w:rPr>
      </w:pPr>
    </w:p>
    <w:p w14:paraId="76063689" w14:textId="3D574F75" w:rsidR="005D424F" w:rsidRPr="009461CC" w:rsidRDefault="005D424F" w:rsidP="005D424F">
      <w:pPr>
        <w:spacing w:after="0" w:afterAutospacing="0" w:line="240" w:lineRule="auto"/>
        <w:rPr>
          <w:rFonts w:cs="Times New Roman"/>
          <w:iCs/>
          <w:szCs w:val="24"/>
        </w:rPr>
      </w:pPr>
      <w:r>
        <w:rPr>
          <w:rFonts w:cs="Times New Roman"/>
          <w:szCs w:val="24"/>
          <w:lang w:val="et"/>
        </w:rPr>
        <w:t>Vaskulaarse silmusekomplekti Atrieve Snare silmustel on soodne kasu-riski profiil, neid iseloomustab tugev kliiniline toimivus ja ohutus, mida toetavad kirjandus, testid ja turustamisjärgsed andmed. Need vastavad regulatiivsetele standarditele ja sobivad jätkuvaks kliiniliseks kasutamiseks.</w:t>
      </w:r>
    </w:p>
    <w:p w14:paraId="653883C0" w14:textId="77777777" w:rsidR="003859AF" w:rsidRPr="009461CC" w:rsidRDefault="003859AF" w:rsidP="003859AF">
      <w:pPr>
        <w:spacing w:after="0" w:afterAutospacing="0" w:line="240" w:lineRule="auto"/>
        <w:rPr>
          <w:rFonts w:cs="Times New Roman"/>
          <w:iCs/>
          <w:szCs w:val="24"/>
        </w:rPr>
      </w:pPr>
    </w:p>
    <w:p w14:paraId="6DCFA27A" w14:textId="12CF0A2D" w:rsidR="00C91927" w:rsidRPr="009461CC" w:rsidRDefault="008745ED" w:rsidP="00C91927">
      <w:pPr>
        <w:pStyle w:val="Heading1"/>
        <w:rPr>
          <w:rFonts w:cs="Times New Roman"/>
          <w:color w:val="auto"/>
        </w:rPr>
      </w:pPr>
      <w:bookmarkStart w:id="76" w:name="_Toc222741329"/>
      <w:r>
        <w:rPr>
          <w:rFonts w:cs="Times New Roman"/>
          <w:bCs/>
          <w:color w:val="auto"/>
          <w:lang w:val="et"/>
        </w:rPr>
        <w:t>Pooleliolev või plaanitud turustamisjärgne kliiniline järelkontroll</w:t>
      </w:r>
      <w:bookmarkEnd w:id="76"/>
    </w:p>
    <w:p w14:paraId="494CEDC3" w14:textId="59901EA2" w:rsidR="0094476E" w:rsidRPr="003C53D0" w:rsidRDefault="003B4C77" w:rsidP="00C91927">
      <w:pPr>
        <w:spacing w:line="240" w:lineRule="auto"/>
        <w:rPr>
          <w:rFonts w:cs="Times New Roman"/>
          <w:highlight w:val="yellow"/>
          <w:lang w:val="et"/>
        </w:rPr>
      </w:pPr>
      <w:r>
        <w:rPr>
          <w:rFonts w:cs="Times New Roman"/>
          <w:lang w:val="et"/>
        </w:rPr>
        <w:t xml:space="preserve">Vaskulaarse silmusekomplekti Atrieve Snare turustamisjärgne kliiniline järelkontroll viiakse läbi vastavalt standardile PMCFP-029 Rev C ja selles järgitakse MDR-i lisa XIV B-osa nõudeid. Turulelaskmisjärgne kliiniline järelkontroll </w:t>
      </w:r>
      <w:r w:rsidR="00A50EB2">
        <w:rPr>
          <w:rFonts w:cs="Times New Roman"/>
          <w:lang w:val="et"/>
        </w:rPr>
        <w:t xml:space="preserve">(PMCF) </w:t>
      </w:r>
      <w:r>
        <w:rPr>
          <w:rFonts w:cs="Times New Roman"/>
          <w:lang w:val="et"/>
        </w:rPr>
        <w:t>on kavandatud selliselt, et ennetavalt kinnitada seadme ohutust ja toimivust tavapärases kliinilises praktikas, tuvastada tekkivad riskid ja kontrollida, kasu ja riski suhe jääb vastuvõetavaks.</w:t>
      </w:r>
    </w:p>
    <w:p w14:paraId="58642C16" w14:textId="276C8BA1" w:rsidR="00E541DE" w:rsidRPr="003C53D0" w:rsidRDefault="00E541DE" w:rsidP="00E541DE">
      <w:pPr>
        <w:pStyle w:val="NormalWeb"/>
        <w:rPr>
          <w:lang w:val="et"/>
        </w:rPr>
      </w:pPr>
      <w:r>
        <w:rPr>
          <w:rStyle w:val="Strong"/>
          <w:lang w:val="et"/>
        </w:rPr>
        <w:t>Käimasolevad PMCF-i tegevused</w:t>
      </w:r>
      <w:r>
        <w:rPr>
          <w:lang w:val="et"/>
        </w:rPr>
        <w:br/>
        <w:t>Seadme elutsükli jooksul on kavas läbi viia järgmised tegevused:</w:t>
      </w:r>
    </w:p>
    <w:p w14:paraId="15FC3A69" w14:textId="31C9D895" w:rsidR="00E541DE" w:rsidRPr="003C53D0" w:rsidRDefault="00DE3CC0" w:rsidP="00283E95">
      <w:pPr>
        <w:pStyle w:val="NormalWeb"/>
        <w:numPr>
          <w:ilvl w:val="0"/>
          <w:numId w:val="29"/>
        </w:numPr>
        <w:spacing w:line="228" w:lineRule="auto"/>
        <w:rPr>
          <w:lang w:val="et"/>
        </w:rPr>
      </w:pPr>
      <w:r>
        <w:rPr>
          <w:rStyle w:val="Strong"/>
          <w:b w:val="0"/>
          <w:bCs w:val="0"/>
          <w:lang w:val="et"/>
        </w:rPr>
        <w:t>Iga-aastane süstemaatiline kirjanduse ülevaade:</w:t>
      </w:r>
      <w:r>
        <w:rPr>
          <w:lang w:val="et"/>
        </w:rPr>
        <w:t xml:space="preserve"> Uute andmete leidmiseks ohutuse, toimivuse, kliiniliste tehnikate või tekkivate riskide kohta viiakse läbi veresoonte lõksude ja sarnaste seadmetega seotud avaldatud kliiniliste tõendite struktureeritud ülevaade.</w:t>
      </w:r>
    </w:p>
    <w:p w14:paraId="08598FA3" w14:textId="6BDEE605" w:rsidR="00E541DE" w:rsidRPr="003C53D0" w:rsidRDefault="00DE3CC0" w:rsidP="00283E95">
      <w:pPr>
        <w:pStyle w:val="NormalWeb"/>
        <w:numPr>
          <w:ilvl w:val="0"/>
          <w:numId w:val="29"/>
        </w:numPr>
        <w:spacing w:line="228" w:lineRule="auto"/>
        <w:rPr>
          <w:lang w:val="et"/>
        </w:rPr>
      </w:pPr>
      <w:r>
        <w:rPr>
          <w:rStyle w:val="Strong"/>
          <w:b w:val="0"/>
          <w:bCs w:val="0"/>
          <w:lang w:val="et"/>
        </w:rPr>
        <w:t>Iga-aastane tipptaseme (SOA) ülevaade:</w:t>
      </w:r>
      <w:r>
        <w:rPr>
          <w:lang w:val="et"/>
        </w:rPr>
        <w:t xml:space="preserve"> Kliinilise praktika suuniste, rahvusvaheliste standardite ja konkureerivate tehnoloogiate hindamine viiakse läbi, et tagada jätkuv kooskõla praeguse kliinilise ja tehnilise praktikaga.</w:t>
      </w:r>
    </w:p>
    <w:p w14:paraId="6EE80A3F" w14:textId="77777777" w:rsidR="00E541DE" w:rsidRPr="003C53D0" w:rsidRDefault="00E541DE" w:rsidP="00283E95">
      <w:pPr>
        <w:pStyle w:val="NormalWeb"/>
        <w:numPr>
          <w:ilvl w:val="0"/>
          <w:numId w:val="29"/>
        </w:numPr>
        <w:spacing w:line="228" w:lineRule="auto"/>
        <w:rPr>
          <w:lang w:val="et"/>
        </w:rPr>
      </w:pPr>
      <w:r>
        <w:rPr>
          <w:rStyle w:val="Strong"/>
          <w:b w:val="0"/>
          <w:bCs w:val="0"/>
          <w:lang w:val="et"/>
        </w:rPr>
        <w:t>Kaebuste ja kõrvaltoimete andmete pidev läbivaatamine:</w:t>
      </w:r>
      <w:r>
        <w:rPr>
          <w:lang w:val="et"/>
        </w:rPr>
        <w:t xml:space="preserve"> Kuigi see on pigem PMS-tegevus kui PMCF, hinnatakse PMCF-protsessi käigus peamisi leide, et teha kindlaks, kas on vaja täiendavat kliinilist järelkontrolli.</w:t>
      </w:r>
    </w:p>
    <w:p w14:paraId="39597E9A" w14:textId="08F4129C" w:rsidR="009E1EBB" w:rsidRPr="003C53D0" w:rsidRDefault="009E1EBB" w:rsidP="00283E95">
      <w:pPr>
        <w:pStyle w:val="NormalWeb"/>
        <w:spacing w:line="228" w:lineRule="auto"/>
        <w:rPr>
          <w:lang w:val="et"/>
        </w:rPr>
      </w:pPr>
      <w:r>
        <w:rPr>
          <w:rStyle w:val="Strong"/>
          <w:lang w:val="et"/>
        </w:rPr>
        <w:t xml:space="preserve">Kavandatud turulelaskmisjärgse kliinilise järelkontrolli </w:t>
      </w:r>
      <w:r w:rsidR="002D6AD2">
        <w:rPr>
          <w:rStyle w:val="Strong"/>
          <w:lang w:val="et"/>
        </w:rPr>
        <w:t>(</w:t>
      </w:r>
      <w:r w:rsidR="002D6AD2" w:rsidRPr="00283E95">
        <w:rPr>
          <w:rStyle w:val="Strong"/>
          <w:lang w:val="et"/>
        </w:rPr>
        <w:t xml:space="preserve">PMCF) </w:t>
      </w:r>
      <w:r>
        <w:rPr>
          <w:rStyle w:val="Strong"/>
          <w:lang w:val="et"/>
        </w:rPr>
        <w:t>tegevused</w:t>
      </w:r>
      <w:r>
        <w:rPr>
          <w:lang w:val="et"/>
        </w:rPr>
        <w:br/>
        <w:t>Vaskulaarse silmusekomplekti Atrieve Snare kohta sihipäraste reaalsete tõendite kogumiseks on kavandatud järgmine tegevus:</w:t>
      </w:r>
    </w:p>
    <w:p w14:paraId="395AA027" w14:textId="77777777" w:rsidR="009E1EBB" w:rsidRPr="003C53D0" w:rsidRDefault="009E1EBB" w:rsidP="00283E95">
      <w:pPr>
        <w:pStyle w:val="NormalWeb"/>
        <w:numPr>
          <w:ilvl w:val="0"/>
          <w:numId w:val="32"/>
        </w:numPr>
        <w:spacing w:line="228" w:lineRule="auto"/>
        <w:rPr>
          <w:lang w:val="et"/>
        </w:rPr>
      </w:pPr>
      <w:r>
        <w:rPr>
          <w:rStyle w:val="Strong"/>
          <w:lang w:val="et"/>
        </w:rPr>
        <w:t>PMCF-i arstide uuring:</w:t>
      </w:r>
      <w:r>
        <w:rPr>
          <w:lang w:val="et"/>
        </w:rPr>
        <w:br/>
        <w:t xml:space="preserve">Kliiniliste kasutajate seas viiakse läbi struktureeritud uuring, et saada teada nende kogemustest seadmega, hinnata selle toimivust igapäevases praktikas ja tuvastada kõik täheldatud tüsistused või ootamatud sündmused. Uuringu tulemusi analüüsitakse ja need lisatakse PMCF-i </w:t>
      </w:r>
      <w:r>
        <w:rPr>
          <w:lang w:val="et"/>
        </w:rPr>
        <w:lastRenderedPageBreak/>
        <w:t>hindamisaruandesse. Tulemused aitavad teha otsuseid täiendavate PMCF-tegevuste või kliinilise hindamise aruande (CER) ja riskijuhtimise aruande (RMR) ajakohastamise vajaduse kohta.</w:t>
      </w:r>
    </w:p>
    <w:p w14:paraId="1DED8B40" w14:textId="77293F75" w:rsidR="00DE0007" w:rsidRPr="003C53D0" w:rsidRDefault="00DE0007" w:rsidP="00DE0007">
      <w:pPr>
        <w:pStyle w:val="NormalWeb"/>
        <w:rPr>
          <w:lang w:val="et"/>
        </w:rPr>
      </w:pPr>
      <w:r>
        <w:rPr>
          <w:rStyle w:val="Strong"/>
          <w:lang w:val="et"/>
        </w:rPr>
        <w:t>PMCF-lähenemisviisi põhjendus</w:t>
      </w:r>
      <w:r>
        <w:rPr>
          <w:lang w:val="et"/>
        </w:rPr>
        <w:br/>
        <w:t>Praeguse kliinilise hinnangu, kirjanduslike tõendite ja turustamisjärgse kogemuse põhjal ei ole tuvastatud uusi ega tekkivaid riske, mis nõuaksid seadmespetsiifilist kliinilist uuringut. Olemasolevaid turulelaskmisjärgse kliinilise järelkontroll</w:t>
      </w:r>
      <w:r w:rsidR="00153AD9">
        <w:rPr>
          <w:lang w:val="et"/>
        </w:rPr>
        <w:t>i (PMCF)</w:t>
      </w:r>
      <w:r>
        <w:rPr>
          <w:lang w:val="et"/>
        </w:rPr>
        <w:t xml:space="preserve"> tegevusi, iga-aastast kirjanduse ja tehnika taseme </w:t>
      </w:r>
      <w:r w:rsidR="00EC7E67">
        <w:rPr>
          <w:lang w:val="et"/>
        </w:rPr>
        <w:t xml:space="preserve">(SOA) </w:t>
      </w:r>
      <w:r>
        <w:rPr>
          <w:lang w:val="et"/>
        </w:rPr>
        <w:t>ülevaateid, mida toetab sihipärane arstide tagasiside, peetakse piisavaks, et kinnitada selle hästi toimiva III klassi pärandseadme Atrieve Snare jätkuvat ohutust ja toimivust.</w:t>
      </w:r>
    </w:p>
    <w:p w14:paraId="3DA3C9CA" w14:textId="77777777" w:rsidR="005B4422" w:rsidRPr="003C53D0" w:rsidRDefault="005B4422" w:rsidP="005B4422">
      <w:pPr>
        <w:pStyle w:val="NormalWeb"/>
        <w:spacing w:before="0" w:beforeAutospacing="0" w:after="0" w:afterAutospacing="0"/>
        <w:rPr>
          <w:lang w:val="et"/>
        </w:rPr>
      </w:pPr>
      <w:r>
        <w:rPr>
          <w:rStyle w:val="Strong"/>
          <w:lang w:val="et"/>
        </w:rPr>
        <w:t>PMCF-i aruanne</w:t>
      </w:r>
    </w:p>
    <w:p w14:paraId="5C389055" w14:textId="14E4D114" w:rsidR="0094476E" w:rsidRPr="003C53D0" w:rsidRDefault="00B04139" w:rsidP="007002E4">
      <w:pPr>
        <w:pStyle w:val="NormalWeb"/>
        <w:spacing w:before="0" w:beforeAutospacing="0" w:after="0" w:afterAutospacing="0"/>
        <w:rPr>
          <w:lang w:val="et"/>
        </w:rPr>
      </w:pPr>
      <w:r>
        <w:rPr>
          <w:lang w:val="et"/>
        </w:rPr>
        <w:t>PMCF-aruanne koostatakse kindlaksmääratud ajavahemike järel ja alati, kui ilmneb uut teavet, mis võib mõjutada kasu-riski profiili. Kõik PMCF-i tulemused kajastuvad kliinilise hindamise aruandes (CER), riskijuhtimise aruandes (RMR) ja muudes turustamisjärgsetes protsessides vastavalt vajadusele.</w:t>
      </w:r>
    </w:p>
    <w:p w14:paraId="09D946B7" w14:textId="77777777" w:rsidR="007002E4" w:rsidRPr="003C53D0" w:rsidRDefault="007002E4" w:rsidP="007002E4">
      <w:pPr>
        <w:pStyle w:val="NormalWeb"/>
        <w:spacing w:before="0" w:beforeAutospacing="0" w:after="0" w:afterAutospacing="0"/>
        <w:rPr>
          <w:lang w:val="et"/>
        </w:rPr>
      </w:pPr>
    </w:p>
    <w:p w14:paraId="748C3FE5" w14:textId="1D19292C" w:rsidR="00760400" w:rsidRPr="009461CC" w:rsidRDefault="00760400" w:rsidP="00F67A0E">
      <w:pPr>
        <w:pStyle w:val="Heading1"/>
        <w:numPr>
          <w:ilvl w:val="0"/>
          <w:numId w:val="2"/>
        </w:numPr>
        <w:rPr>
          <w:rFonts w:cs="Times New Roman"/>
        </w:rPr>
      </w:pPr>
      <w:bookmarkStart w:id="77" w:name="_Toc222741330"/>
      <w:r>
        <w:rPr>
          <w:rFonts w:cs="Times New Roman"/>
          <w:bCs/>
          <w:lang w:val="et"/>
        </w:rPr>
        <w:t>Võimalikud alternatiivid diagnostikaks ja raviks</w:t>
      </w:r>
      <w:bookmarkEnd w:id="77"/>
      <w:r>
        <w:rPr>
          <w:rFonts w:cs="Times New Roman"/>
          <w:bCs/>
          <w:lang w:val="et"/>
        </w:rPr>
        <w:t xml:space="preserve"> </w:t>
      </w:r>
    </w:p>
    <w:p w14:paraId="60C316BA" w14:textId="4177FF86" w:rsidR="00042B91" w:rsidRPr="003C53D0" w:rsidRDefault="008373C6" w:rsidP="00AB04FB">
      <w:pPr>
        <w:rPr>
          <w:rFonts w:cs="Times New Roman"/>
          <w:lang w:val="et"/>
        </w:rPr>
      </w:pPr>
      <w:r>
        <w:rPr>
          <w:rFonts w:cs="Times New Roman"/>
          <w:lang w:val="et"/>
        </w:rPr>
        <w:t>CER-029 Rev B kohaselt on välja toodud kolm peamist alternatiivi võõrkeha (FB) eemaldamiseks kardiovaskulaarsüsteemist. Konservatiivset ravi on soovitatav asümptomaatiliste või kõrge riskiga kirurgilistel patsientidel, tuginedes hoolikale jälgimisele ja pildistamisele, kui sekkumine võib kujutada endast suuremat riski. Eelistatuim lähenemisviis on minimaalselt invasiivsed tehnikad, kusjuures nii standardsete kui ka keerukate otsimiste jaoks kasutatakse laialdaselt aaspüüniseid, eriti hanekaelaga püüniseid. Tangid tagavad täpse haarde ja sobivad keeruliste juhtumite, näiteks murdunud või kinnitunud seadmete jaoks. Kirurgiline eemaldamine, näiteks torakotoomia või sternotoomia, on viimane abinõu oma invasiivse olemuse ja suurema patsiendiriski tõttu. Üldiselt jääb endovaskulaarne eemaldamine ravi standardiks, kusjuures ravi kohandatakse patsiendi seisundile ja võõrkeha omadustele.</w:t>
      </w:r>
    </w:p>
    <w:p w14:paraId="2CDE6FBF" w14:textId="77777777" w:rsidR="00042B91" w:rsidRPr="009461CC" w:rsidRDefault="00042B91" w:rsidP="00F67A0E">
      <w:pPr>
        <w:pStyle w:val="Heading1"/>
        <w:numPr>
          <w:ilvl w:val="0"/>
          <w:numId w:val="2"/>
        </w:numPr>
        <w:rPr>
          <w:rFonts w:cs="Times New Roman"/>
        </w:rPr>
      </w:pPr>
      <w:bookmarkStart w:id="78" w:name="_Toc222741331"/>
      <w:r>
        <w:rPr>
          <w:rFonts w:cs="Times New Roman"/>
          <w:bCs/>
          <w:lang w:val="et"/>
        </w:rPr>
        <w:t>Kasutajate soovituslik profiil ja väljaõpe</w:t>
      </w:r>
      <w:bookmarkEnd w:id="78"/>
    </w:p>
    <w:p w14:paraId="35173865" w14:textId="0C72FD3E" w:rsidR="00042B91" w:rsidRPr="009461CC" w:rsidRDefault="00A5239F" w:rsidP="00042B91">
      <w:pPr>
        <w:spacing w:after="0" w:afterAutospacing="0" w:line="240" w:lineRule="auto"/>
        <w:rPr>
          <w:rFonts w:eastAsia="Calibri" w:cs="Times New Roman"/>
          <w:szCs w:val="24"/>
        </w:rPr>
      </w:pPr>
      <w:r>
        <w:rPr>
          <w:rFonts w:eastAsia="Calibri" w:cs="Times New Roman"/>
          <w:szCs w:val="24"/>
          <w:lang w:val="et"/>
        </w:rPr>
        <w:t>Toodet tohib kasutada ainult vastavat metoodikat tundev kvalifitseeritud personal.</w:t>
      </w:r>
    </w:p>
    <w:p w14:paraId="21A7D581" w14:textId="77777777" w:rsidR="00A5239F" w:rsidRPr="009461CC" w:rsidRDefault="00A5239F" w:rsidP="00042B91">
      <w:pPr>
        <w:spacing w:after="0" w:afterAutospacing="0" w:line="240" w:lineRule="auto"/>
        <w:rPr>
          <w:rFonts w:cs="Times New Roman"/>
          <w:i/>
          <w:color w:val="FF0000"/>
          <w:highlight w:val="yellow"/>
        </w:rPr>
      </w:pPr>
    </w:p>
    <w:p w14:paraId="7848B753" w14:textId="692785D6" w:rsidR="0037316E" w:rsidRPr="009461CC" w:rsidRDefault="00760400" w:rsidP="00F67A0E">
      <w:pPr>
        <w:pStyle w:val="Heading1"/>
        <w:numPr>
          <w:ilvl w:val="0"/>
          <w:numId w:val="2"/>
        </w:numPr>
        <w:rPr>
          <w:rFonts w:cs="Times New Roman"/>
        </w:rPr>
      </w:pPr>
      <w:bookmarkStart w:id="79" w:name="_Toc222741332"/>
      <w:r>
        <w:rPr>
          <w:rFonts w:cs="Times New Roman"/>
          <w:bCs/>
          <w:lang w:val="et"/>
        </w:rPr>
        <w:t>Harmoneeritud standardid / ühised tehnilised andmed</w:t>
      </w:r>
      <w:bookmarkEnd w:id="79"/>
    </w:p>
    <w:tbl>
      <w:tblPr>
        <w:tblStyle w:val="TableGrid"/>
        <w:tblW w:w="4959" w:type="pct"/>
        <w:tblLook w:val="04A0" w:firstRow="1" w:lastRow="0" w:firstColumn="1" w:lastColumn="0" w:noHBand="0" w:noVBand="1"/>
      </w:tblPr>
      <w:tblGrid>
        <w:gridCol w:w="2686"/>
        <w:gridCol w:w="7658"/>
      </w:tblGrid>
      <w:tr w:rsidR="0094168A" w:rsidRPr="009461CC" w14:paraId="04F3E487" w14:textId="77777777" w:rsidTr="00293453">
        <w:trPr>
          <w:tblHeader/>
        </w:trPr>
        <w:tc>
          <w:tcPr>
            <w:tcW w:w="1129" w:type="pct"/>
          </w:tcPr>
          <w:p w14:paraId="5EEB168D" w14:textId="77777777" w:rsidR="0094168A" w:rsidRPr="009461CC" w:rsidRDefault="0094168A" w:rsidP="00293453">
            <w:pPr>
              <w:spacing w:after="0" w:afterAutospacing="0"/>
              <w:jc w:val="center"/>
              <w:rPr>
                <w:rFonts w:cs="Times New Roman"/>
                <w:b/>
                <w:bCs/>
                <w:sz w:val="22"/>
              </w:rPr>
            </w:pPr>
            <w:r>
              <w:rPr>
                <w:rFonts w:cs="Times New Roman"/>
                <w:b/>
                <w:bCs/>
                <w:sz w:val="22"/>
                <w:lang w:val="et"/>
              </w:rPr>
              <w:t>Argoni vastavuskuupäev/versioon</w:t>
            </w:r>
          </w:p>
        </w:tc>
        <w:tc>
          <w:tcPr>
            <w:tcW w:w="3871" w:type="pct"/>
          </w:tcPr>
          <w:p w14:paraId="7BCD1036" w14:textId="77777777" w:rsidR="0094168A" w:rsidRPr="009461CC" w:rsidRDefault="0094168A" w:rsidP="00293453">
            <w:pPr>
              <w:spacing w:after="0" w:afterAutospacing="0"/>
              <w:jc w:val="center"/>
              <w:rPr>
                <w:rFonts w:cs="Times New Roman"/>
                <w:b/>
                <w:bCs/>
                <w:sz w:val="22"/>
              </w:rPr>
            </w:pPr>
            <w:r>
              <w:rPr>
                <w:rFonts w:cs="Times New Roman"/>
                <w:b/>
                <w:bCs/>
                <w:sz w:val="22"/>
                <w:lang w:val="et"/>
              </w:rPr>
              <w:t>Standardite pealkiri</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93453">
            <w:pPr>
              <w:spacing w:after="0" w:afterAutospacing="0"/>
              <w:jc w:val="center"/>
              <w:rPr>
                <w:rFonts w:cs="Times New Roman"/>
                <w:b/>
                <w:bCs/>
                <w:sz w:val="22"/>
              </w:rPr>
            </w:pPr>
            <w:r>
              <w:rPr>
                <w:rFonts w:cs="Times New Roman"/>
                <w:b/>
                <w:bCs/>
                <w:sz w:val="22"/>
                <w:lang w:val="et"/>
              </w:rPr>
              <w:t>Märgistamine</w:t>
            </w:r>
          </w:p>
        </w:tc>
      </w:tr>
      <w:tr w:rsidR="0094168A" w:rsidRPr="009461CC" w14:paraId="25DF072C" w14:textId="77777777" w:rsidTr="00293453">
        <w:tc>
          <w:tcPr>
            <w:tcW w:w="1129" w:type="pct"/>
          </w:tcPr>
          <w:p w14:paraId="434B73AC" w14:textId="77777777" w:rsidR="0094168A" w:rsidRPr="009461CC" w:rsidRDefault="0094168A" w:rsidP="00293453">
            <w:pPr>
              <w:spacing w:after="0" w:afterAutospacing="0"/>
              <w:rPr>
                <w:rFonts w:cs="Times New Roman"/>
                <w:sz w:val="22"/>
              </w:rPr>
            </w:pPr>
            <w:r>
              <w:rPr>
                <w:rFonts w:eastAsia="Times New Roman" w:cs="Times New Roman"/>
                <w:sz w:val="22"/>
                <w:lang w:val="et"/>
              </w:rPr>
              <w:t>EN ISO 15223-1:2021</w:t>
            </w:r>
          </w:p>
        </w:tc>
        <w:tc>
          <w:tcPr>
            <w:tcW w:w="3871" w:type="pct"/>
          </w:tcPr>
          <w:p w14:paraId="40A15B1C" w14:textId="77777777" w:rsidR="0094168A" w:rsidRPr="009461CC" w:rsidRDefault="0094168A" w:rsidP="00293453">
            <w:pPr>
              <w:spacing w:after="0" w:afterAutospacing="0"/>
              <w:rPr>
                <w:rFonts w:cs="Times New Roman"/>
                <w:sz w:val="22"/>
              </w:rPr>
            </w:pPr>
            <w:r>
              <w:rPr>
                <w:rFonts w:cs="Times New Roman"/>
                <w:sz w:val="22"/>
                <w:lang w:val="et"/>
              </w:rPr>
              <w:t xml:space="preserve">Meditsiiniseadmed. Meditsiiniseadme märgisel, märgistusel </w:t>
            </w:r>
          </w:p>
          <w:p w14:paraId="093121E8" w14:textId="77777777" w:rsidR="0094168A" w:rsidRPr="009461CC" w:rsidRDefault="0094168A" w:rsidP="00293453">
            <w:pPr>
              <w:spacing w:after="0" w:afterAutospacing="0"/>
              <w:rPr>
                <w:rFonts w:cs="Times New Roman"/>
                <w:sz w:val="22"/>
              </w:rPr>
            </w:pPr>
            <w:r>
              <w:rPr>
                <w:rFonts w:cs="Times New Roman"/>
                <w:sz w:val="22"/>
                <w:lang w:val="et"/>
              </w:rPr>
              <w:t xml:space="preserve">ning kaasuvas teabes kasutatavad tingmärgid - 1. osa: Üldnõuded. </w:t>
            </w:r>
          </w:p>
          <w:p w14:paraId="3CEE87DD" w14:textId="77777777" w:rsidR="0094168A" w:rsidRPr="009461CC" w:rsidRDefault="0094168A" w:rsidP="00293453">
            <w:pPr>
              <w:spacing w:after="0" w:afterAutospacing="0"/>
              <w:rPr>
                <w:rFonts w:cs="Times New Roman"/>
                <w:sz w:val="22"/>
              </w:rPr>
            </w:pPr>
          </w:p>
        </w:tc>
      </w:tr>
      <w:tr w:rsidR="0094168A" w:rsidRPr="009461CC" w14:paraId="13723641" w14:textId="77777777" w:rsidTr="00293453">
        <w:tc>
          <w:tcPr>
            <w:tcW w:w="1129" w:type="pct"/>
          </w:tcPr>
          <w:p w14:paraId="7822ED4F" w14:textId="77777777" w:rsidR="0094168A" w:rsidRPr="009461CC" w:rsidRDefault="0094168A" w:rsidP="00293453">
            <w:pPr>
              <w:spacing w:after="0" w:afterAutospacing="0"/>
              <w:rPr>
                <w:rFonts w:cs="Times New Roman"/>
                <w:sz w:val="22"/>
              </w:rPr>
            </w:pPr>
            <w:r>
              <w:rPr>
                <w:rFonts w:cs="Times New Roman"/>
                <w:sz w:val="22"/>
                <w:lang w:val="et"/>
              </w:rPr>
              <w:t>EN ISO 20417:2021</w:t>
            </w:r>
          </w:p>
        </w:tc>
        <w:tc>
          <w:tcPr>
            <w:tcW w:w="3871" w:type="pct"/>
          </w:tcPr>
          <w:p w14:paraId="6EF6F718" w14:textId="77777777" w:rsidR="0094168A" w:rsidRPr="009461CC" w:rsidRDefault="0094168A" w:rsidP="00293453">
            <w:pPr>
              <w:spacing w:after="0" w:afterAutospacing="0"/>
              <w:rPr>
                <w:rFonts w:cs="Times New Roman"/>
                <w:sz w:val="22"/>
              </w:rPr>
            </w:pPr>
            <w:r>
              <w:rPr>
                <w:rFonts w:cs="Times New Roman"/>
                <w:sz w:val="22"/>
                <w:lang w:val="et"/>
              </w:rPr>
              <w:t>Meditsiiniseadmetega kaasasolev terminoloogia, sümbolid ja teave: tootja antav meditsiiniseadmetega kaasasolev teave</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93453">
            <w:pPr>
              <w:spacing w:after="0" w:afterAutospacing="0"/>
              <w:jc w:val="center"/>
              <w:rPr>
                <w:rFonts w:cs="Times New Roman"/>
                <w:b/>
                <w:bCs/>
                <w:sz w:val="22"/>
              </w:rPr>
            </w:pPr>
            <w:r>
              <w:rPr>
                <w:rFonts w:cs="Times New Roman"/>
                <w:b/>
                <w:bCs/>
                <w:sz w:val="22"/>
                <w:lang w:val="et"/>
              </w:rPr>
              <w:t>Üldstandardid – steriliseerimine</w:t>
            </w:r>
          </w:p>
        </w:tc>
      </w:tr>
      <w:tr w:rsidR="0094168A" w:rsidRPr="009461CC" w14:paraId="7C28E0D3" w14:textId="77777777" w:rsidTr="00293453">
        <w:tc>
          <w:tcPr>
            <w:tcW w:w="1129" w:type="pct"/>
          </w:tcPr>
          <w:p w14:paraId="0416000A" w14:textId="77777777" w:rsidR="0094168A" w:rsidRPr="009461CC" w:rsidRDefault="0094168A" w:rsidP="00293453">
            <w:pPr>
              <w:spacing w:after="0" w:afterAutospacing="0"/>
              <w:rPr>
                <w:rFonts w:cs="Times New Roman"/>
                <w:sz w:val="22"/>
              </w:rPr>
            </w:pPr>
            <w:r>
              <w:rPr>
                <w:rFonts w:cs="Times New Roman"/>
                <w:sz w:val="22"/>
                <w:lang w:val="et"/>
              </w:rPr>
              <w:t>ISO 10555-1:2013</w:t>
            </w:r>
          </w:p>
        </w:tc>
        <w:tc>
          <w:tcPr>
            <w:tcW w:w="3871" w:type="pct"/>
          </w:tcPr>
          <w:p w14:paraId="5B0C265F" w14:textId="77777777" w:rsidR="0094168A" w:rsidRPr="009461CC" w:rsidRDefault="0094168A" w:rsidP="00293453">
            <w:pPr>
              <w:spacing w:after="0" w:afterAutospacing="0"/>
              <w:rPr>
                <w:rFonts w:cs="Times New Roman"/>
                <w:sz w:val="22"/>
              </w:rPr>
            </w:pPr>
            <w:r>
              <w:rPr>
                <w:rFonts w:cs="Times New Roman"/>
                <w:sz w:val="22"/>
                <w:lang w:val="et"/>
              </w:rPr>
              <w:t>Intravaskulaarsed kateetrid – steriilsed ja ühekordselt kasutatavad kateetrid. Osa 1. Üldnõuded</w:t>
            </w:r>
          </w:p>
        </w:tc>
      </w:tr>
      <w:tr w:rsidR="0094168A" w:rsidRPr="009461CC" w14:paraId="088E27B4" w14:textId="77777777" w:rsidTr="00293453">
        <w:tc>
          <w:tcPr>
            <w:tcW w:w="1129" w:type="pct"/>
          </w:tcPr>
          <w:p w14:paraId="47460872" w14:textId="77777777" w:rsidR="0094168A" w:rsidRPr="009461CC" w:rsidRDefault="0094168A" w:rsidP="00293453">
            <w:pPr>
              <w:spacing w:after="0" w:afterAutospacing="0"/>
              <w:rPr>
                <w:rFonts w:cs="Times New Roman"/>
                <w:sz w:val="22"/>
              </w:rPr>
            </w:pPr>
            <w:r>
              <w:rPr>
                <w:rFonts w:cs="Times New Roman"/>
                <w:sz w:val="22"/>
                <w:lang w:val="et"/>
              </w:rPr>
              <w:t>EN 556-1:2024</w:t>
            </w:r>
          </w:p>
        </w:tc>
        <w:tc>
          <w:tcPr>
            <w:tcW w:w="3871" w:type="pct"/>
          </w:tcPr>
          <w:p w14:paraId="64BED8C0" w14:textId="77777777" w:rsidR="0094168A" w:rsidRPr="009461CC" w:rsidRDefault="0094168A" w:rsidP="00293453">
            <w:pPr>
              <w:spacing w:after="0" w:afterAutospacing="0"/>
              <w:rPr>
                <w:rFonts w:cs="Times New Roman"/>
                <w:sz w:val="22"/>
              </w:rPr>
            </w:pPr>
            <w:r>
              <w:rPr>
                <w:rFonts w:cs="Times New Roman"/>
                <w:sz w:val="22"/>
                <w:lang w:val="et"/>
              </w:rPr>
              <w:t>Meditsiiniseadmete steriliseerimine. Nõuded meditsiiniseadmetele, mis on märgistatud sõnaga „STERIILNE”. Nõuded lõplikult steriliseeritud meditsiiniseadmetele</w:t>
            </w:r>
          </w:p>
        </w:tc>
      </w:tr>
      <w:tr w:rsidR="0094168A" w:rsidRPr="009461CC" w14:paraId="4DEE0525" w14:textId="77777777" w:rsidTr="00293453">
        <w:tc>
          <w:tcPr>
            <w:tcW w:w="1129" w:type="pct"/>
          </w:tcPr>
          <w:p w14:paraId="5095D1B9" w14:textId="77777777" w:rsidR="0094168A" w:rsidRPr="009461CC" w:rsidRDefault="0094168A" w:rsidP="00293453">
            <w:pPr>
              <w:spacing w:after="0" w:afterAutospacing="0"/>
              <w:rPr>
                <w:rFonts w:cs="Times New Roman"/>
                <w:sz w:val="22"/>
              </w:rPr>
            </w:pPr>
            <w:r>
              <w:rPr>
                <w:rFonts w:cs="Times New Roman"/>
                <w:sz w:val="22"/>
                <w:lang w:val="et"/>
              </w:rPr>
              <w:lastRenderedPageBreak/>
              <w:t>EN ISO 11135:2019</w:t>
            </w:r>
          </w:p>
        </w:tc>
        <w:tc>
          <w:tcPr>
            <w:tcW w:w="3871" w:type="pct"/>
          </w:tcPr>
          <w:p w14:paraId="1E9B7BED" w14:textId="77777777" w:rsidR="0094168A" w:rsidRPr="009461CC" w:rsidRDefault="0094168A" w:rsidP="00293453">
            <w:pPr>
              <w:spacing w:after="0" w:afterAutospacing="0"/>
              <w:rPr>
                <w:rFonts w:cs="Times New Roman"/>
                <w:sz w:val="22"/>
              </w:rPr>
            </w:pPr>
            <w:r>
              <w:rPr>
                <w:rFonts w:cs="Times New Roman"/>
                <w:sz w:val="22"/>
                <w:lang w:val="et"/>
              </w:rPr>
              <w:t>Meditsiiniseadmete steriliseerimine — Etüleenoksiid — Osa 1. Nõuded meditsiiniseadmete steriliseerimisprotsessi väljatöötamiseks, valideerimiseks ja rutiinseks kontrollimiseks</w:t>
            </w:r>
          </w:p>
        </w:tc>
      </w:tr>
      <w:tr w:rsidR="0094168A" w:rsidRPr="009461CC" w14:paraId="6B89F042" w14:textId="77777777" w:rsidTr="00293453">
        <w:tc>
          <w:tcPr>
            <w:tcW w:w="1129" w:type="pct"/>
          </w:tcPr>
          <w:p w14:paraId="3F48324F" w14:textId="77777777" w:rsidR="0094168A" w:rsidRPr="009461CC" w:rsidRDefault="0094168A" w:rsidP="00293453">
            <w:pPr>
              <w:spacing w:after="0" w:afterAutospacing="0"/>
              <w:rPr>
                <w:rFonts w:cs="Times New Roman"/>
                <w:sz w:val="22"/>
              </w:rPr>
            </w:pPr>
            <w:r>
              <w:rPr>
                <w:rFonts w:cs="Times New Roman"/>
                <w:sz w:val="22"/>
                <w:lang w:val="et"/>
              </w:rPr>
              <w:t>AAMI TIR28:2016</w:t>
            </w:r>
          </w:p>
          <w:p w14:paraId="4FBEE0AF" w14:textId="77777777" w:rsidR="0094168A" w:rsidRPr="009461CC" w:rsidRDefault="0094168A" w:rsidP="00293453">
            <w:pPr>
              <w:spacing w:after="0" w:afterAutospacing="0"/>
              <w:jc w:val="center"/>
              <w:rPr>
                <w:rFonts w:cs="Times New Roman"/>
                <w:sz w:val="22"/>
              </w:rPr>
            </w:pPr>
          </w:p>
        </w:tc>
        <w:tc>
          <w:tcPr>
            <w:tcW w:w="3871" w:type="pct"/>
          </w:tcPr>
          <w:p w14:paraId="68BE6733" w14:textId="77777777" w:rsidR="0094168A" w:rsidRPr="009461CC" w:rsidRDefault="0094168A" w:rsidP="00293453">
            <w:pPr>
              <w:spacing w:after="0" w:afterAutospacing="0"/>
              <w:rPr>
                <w:rFonts w:cs="Times New Roman"/>
                <w:sz w:val="22"/>
              </w:rPr>
            </w:pPr>
            <w:r>
              <w:rPr>
                <w:rFonts w:cs="Times New Roman"/>
                <w:sz w:val="22"/>
                <w:lang w:val="et"/>
              </w:rPr>
              <w:t>Toote kasutuselevõtt ja protsessi samaväärsus etüleenoksiidiga steriliseerimisel</w:t>
            </w:r>
          </w:p>
        </w:tc>
      </w:tr>
      <w:tr w:rsidR="0094168A" w:rsidRPr="009461CC" w14:paraId="1E1CCCD6" w14:textId="77777777" w:rsidTr="00293453">
        <w:tc>
          <w:tcPr>
            <w:tcW w:w="1129" w:type="pct"/>
          </w:tcPr>
          <w:p w14:paraId="25D300ED" w14:textId="77777777" w:rsidR="0094168A" w:rsidRPr="009461CC" w:rsidRDefault="0094168A" w:rsidP="00293453">
            <w:pPr>
              <w:spacing w:after="0" w:afterAutospacing="0"/>
              <w:jc w:val="center"/>
              <w:rPr>
                <w:rFonts w:cs="Times New Roman"/>
                <w:sz w:val="22"/>
              </w:rPr>
            </w:pPr>
            <w:r>
              <w:rPr>
                <w:rFonts w:cs="Times New Roman"/>
                <w:sz w:val="22"/>
                <w:lang w:val="et"/>
              </w:rPr>
              <w:t>EN ISO 14644-1:2015</w:t>
            </w:r>
          </w:p>
        </w:tc>
        <w:tc>
          <w:tcPr>
            <w:tcW w:w="3871" w:type="pct"/>
          </w:tcPr>
          <w:p w14:paraId="2AD73BC5" w14:textId="77777777" w:rsidR="0094168A" w:rsidRPr="009461CC" w:rsidRDefault="0094168A" w:rsidP="00293453">
            <w:pPr>
              <w:spacing w:after="0" w:afterAutospacing="0"/>
              <w:rPr>
                <w:rFonts w:cs="Times New Roman"/>
                <w:sz w:val="22"/>
              </w:rPr>
            </w:pPr>
            <w:r>
              <w:rPr>
                <w:rFonts w:cs="Times New Roman"/>
                <w:sz w:val="22"/>
                <w:lang w:val="et"/>
              </w:rPr>
              <w:t>Õhu puhtuse, puhasruumide ja nendega seotud kontrollitud keskkondade klassifikatsioon. Osa 1. Õhu puhtuse klassifikatsioon</w:t>
            </w:r>
          </w:p>
        </w:tc>
      </w:tr>
      <w:tr w:rsidR="0094168A" w:rsidRPr="009461CC" w14:paraId="27E7EE41" w14:textId="77777777" w:rsidTr="00293453">
        <w:trPr>
          <w:trHeight w:val="1097"/>
        </w:trPr>
        <w:tc>
          <w:tcPr>
            <w:tcW w:w="1129" w:type="pct"/>
          </w:tcPr>
          <w:p w14:paraId="51EAE02B" w14:textId="77777777" w:rsidR="0094168A" w:rsidRPr="009461CC" w:rsidRDefault="0094168A" w:rsidP="00293453">
            <w:pPr>
              <w:spacing w:after="0" w:afterAutospacing="0"/>
              <w:jc w:val="center"/>
              <w:rPr>
                <w:rFonts w:cs="Times New Roman"/>
                <w:sz w:val="22"/>
              </w:rPr>
            </w:pPr>
            <w:r>
              <w:rPr>
                <w:rFonts w:cs="Times New Roman"/>
                <w:sz w:val="22"/>
                <w:lang w:val="et"/>
              </w:rPr>
              <w:t>EN ISO 14644-2:2015</w:t>
            </w:r>
          </w:p>
        </w:tc>
        <w:tc>
          <w:tcPr>
            <w:tcW w:w="3871" w:type="pct"/>
          </w:tcPr>
          <w:p w14:paraId="3AA6B4D4" w14:textId="77777777" w:rsidR="0094168A" w:rsidRPr="003C53D0" w:rsidRDefault="0094168A" w:rsidP="00293453">
            <w:pPr>
              <w:spacing w:after="0" w:afterAutospacing="0"/>
              <w:rPr>
                <w:rFonts w:cs="Times New Roman"/>
                <w:sz w:val="22"/>
                <w:lang w:val="et"/>
              </w:rPr>
            </w:pPr>
            <w:r>
              <w:rPr>
                <w:rFonts w:cs="Times New Roman"/>
                <w:sz w:val="22"/>
                <w:lang w:val="et"/>
              </w:rPr>
              <w:t xml:space="preserve">Puhasruumid ja nendega seotud kontrollitud keskkonnad. Osa 2. Jälgimine tõendite saamiseks puhasruumi </w:t>
            </w:r>
          </w:p>
          <w:p w14:paraId="2873EF60" w14:textId="77777777" w:rsidR="0094168A" w:rsidRPr="003C53D0" w:rsidRDefault="0094168A" w:rsidP="00293453">
            <w:pPr>
              <w:spacing w:after="0" w:afterAutospacing="0"/>
              <w:rPr>
                <w:rFonts w:cs="Times New Roman"/>
                <w:sz w:val="22"/>
                <w:lang w:val="et"/>
              </w:rPr>
            </w:pPr>
            <w:r>
              <w:rPr>
                <w:rFonts w:cs="Times New Roman"/>
                <w:sz w:val="22"/>
                <w:lang w:val="et"/>
              </w:rPr>
              <w:t xml:space="preserve">toimivuse kohta seoses õhu puhtusega osakeste </w:t>
            </w:r>
          </w:p>
          <w:p w14:paraId="02B2FEDC" w14:textId="77777777" w:rsidR="0094168A" w:rsidRPr="009461CC" w:rsidRDefault="0094168A" w:rsidP="00293453">
            <w:pPr>
              <w:spacing w:after="0" w:afterAutospacing="0"/>
              <w:rPr>
                <w:rFonts w:cs="Times New Roman"/>
                <w:sz w:val="22"/>
              </w:rPr>
            </w:pPr>
            <w:r>
              <w:rPr>
                <w:rFonts w:cs="Times New Roman"/>
                <w:sz w:val="22"/>
                <w:lang w:val="et"/>
              </w:rPr>
              <w:t>kontsentratsiooni alusel</w:t>
            </w:r>
          </w:p>
        </w:tc>
      </w:tr>
      <w:tr w:rsidR="0094168A" w:rsidRPr="009461CC"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293453">
            <w:pPr>
              <w:spacing w:after="0" w:afterAutospacing="0"/>
              <w:jc w:val="center"/>
              <w:rPr>
                <w:rFonts w:cs="Times New Roman"/>
                <w:sz w:val="22"/>
              </w:rPr>
            </w:pPr>
            <w:r>
              <w:rPr>
                <w:rFonts w:eastAsia="Times New Roman" w:cs="Times New Roman"/>
                <w:sz w:val="22"/>
                <w:lang w:val="et"/>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9461CC" w:rsidRDefault="0094168A" w:rsidP="00293453">
            <w:pPr>
              <w:spacing w:after="0" w:afterAutospacing="0"/>
              <w:rPr>
                <w:rFonts w:cs="Times New Roman"/>
                <w:sz w:val="22"/>
              </w:rPr>
            </w:pPr>
            <w:r>
              <w:rPr>
                <w:rFonts w:eastAsia="Times New Roman" w:cs="Times New Roman"/>
                <w:sz w:val="22"/>
                <w:lang w:val="et"/>
              </w:rPr>
              <w:t>Tervishoiutoodete steriliseerimine – Mikrobioloogilised meetodid – Osa 1. Mikroobse populatsiooni määramine toodetel</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293453">
            <w:pPr>
              <w:spacing w:after="0" w:afterAutospacing="0"/>
              <w:jc w:val="center"/>
              <w:rPr>
                <w:rFonts w:cs="Times New Roman"/>
                <w:sz w:val="22"/>
              </w:rPr>
            </w:pPr>
            <w:r>
              <w:rPr>
                <w:rFonts w:eastAsia="Times New Roman" w:cs="Times New Roman"/>
                <w:sz w:val="22"/>
                <w:lang w:val="et"/>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293453">
            <w:pPr>
              <w:spacing w:after="0" w:afterAutospacing="0"/>
              <w:rPr>
                <w:rFonts w:cs="Times New Roman"/>
                <w:sz w:val="22"/>
              </w:rPr>
            </w:pPr>
            <w:r>
              <w:rPr>
                <w:rFonts w:eastAsia="Times New Roman" w:cs="Times New Roman"/>
                <w:sz w:val="22"/>
                <w:lang w:val="et"/>
              </w:rPr>
              <w:t>Meditsiiniseadmete bioloogiline hindamine. Jäägid etüleenoksiidiga steriliseerimisest</w:t>
            </w:r>
          </w:p>
        </w:tc>
      </w:tr>
      <w:tr w:rsidR="0094168A" w:rsidRPr="009461CC" w14:paraId="255576C7" w14:textId="77777777" w:rsidTr="00293453">
        <w:tc>
          <w:tcPr>
            <w:tcW w:w="1129" w:type="pct"/>
          </w:tcPr>
          <w:p w14:paraId="3E855248" w14:textId="77777777" w:rsidR="0094168A" w:rsidRPr="009461CC" w:rsidRDefault="0094168A" w:rsidP="00293453">
            <w:pPr>
              <w:spacing w:after="0" w:afterAutospacing="0"/>
              <w:rPr>
                <w:rFonts w:cs="Times New Roman"/>
                <w:sz w:val="22"/>
              </w:rPr>
            </w:pPr>
            <w:r>
              <w:rPr>
                <w:rFonts w:cs="Times New Roman"/>
                <w:sz w:val="22"/>
                <w:lang w:val="et"/>
              </w:rPr>
              <w:t>NSI/AAMI ST72:2019</w:t>
            </w:r>
          </w:p>
        </w:tc>
        <w:tc>
          <w:tcPr>
            <w:tcW w:w="3871" w:type="pct"/>
          </w:tcPr>
          <w:p w14:paraId="1BB2618F" w14:textId="77777777" w:rsidR="0094168A" w:rsidRPr="009461CC" w:rsidRDefault="0094168A" w:rsidP="00293453">
            <w:pPr>
              <w:spacing w:after="0" w:afterAutospacing="0"/>
              <w:rPr>
                <w:rFonts w:cs="Times New Roman"/>
                <w:sz w:val="22"/>
              </w:rPr>
            </w:pPr>
            <w:r>
              <w:rPr>
                <w:rFonts w:cs="Times New Roman"/>
                <w:sz w:val="22"/>
                <w:lang w:val="et"/>
              </w:rPr>
              <w:t>Bakteriaalsete endotoksiinide test</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93453">
            <w:pPr>
              <w:spacing w:after="0" w:afterAutospacing="0"/>
              <w:jc w:val="center"/>
              <w:rPr>
                <w:rFonts w:cs="Times New Roman"/>
                <w:b/>
                <w:bCs/>
                <w:sz w:val="22"/>
              </w:rPr>
            </w:pPr>
            <w:r>
              <w:rPr>
                <w:rFonts w:cs="Times New Roman"/>
                <w:b/>
                <w:bCs/>
                <w:sz w:val="22"/>
                <w:lang w:val="et"/>
              </w:rPr>
              <w:t>Üldstandardid – kvaliteedisüsteemid</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93453">
            <w:pPr>
              <w:spacing w:after="0" w:afterAutospacing="0"/>
              <w:rPr>
                <w:rFonts w:cs="Times New Roman"/>
                <w:sz w:val="22"/>
              </w:rPr>
            </w:pPr>
            <w:r>
              <w:rPr>
                <w:rFonts w:eastAsia="Times New Roman" w:cs="Times New Roman"/>
                <w:sz w:val="22"/>
                <w:lang w:val="et"/>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293453">
            <w:pPr>
              <w:spacing w:after="0" w:afterAutospacing="0"/>
              <w:rPr>
                <w:rFonts w:cs="Times New Roman"/>
                <w:sz w:val="22"/>
              </w:rPr>
            </w:pPr>
            <w:r>
              <w:rPr>
                <w:rFonts w:eastAsia="Times New Roman" w:cs="Times New Roman"/>
                <w:sz w:val="22"/>
                <w:lang w:val="et"/>
              </w:rPr>
              <w:t>Meditsiiniseadmed. Kvaliteedijuhtimissüsteem. Normatiivsed nõuded</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93453">
            <w:pPr>
              <w:spacing w:after="0" w:afterAutospacing="0"/>
              <w:jc w:val="center"/>
              <w:rPr>
                <w:rFonts w:cs="Times New Roman"/>
                <w:b/>
                <w:bCs/>
                <w:sz w:val="22"/>
              </w:rPr>
            </w:pPr>
            <w:r>
              <w:rPr>
                <w:rFonts w:cs="Times New Roman"/>
                <w:b/>
                <w:bCs/>
                <w:sz w:val="22"/>
                <w:lang w:val="et"/>
              </w:rPr>
              <w:t>Riskijuhtimine</w:t>
            </w:r>
          </w:p>
        </w:tc>
      </w:tr>
      <w:tr w:rsidR="0094168A" w:rsidRPr="009461CC" w14:paraId="75307B89" w14:textId="77777777" w:rsidTr="00293453">
        <w:tc>
          <w:tcPr>
            <w:tcW w:w="1129" w:type="pct"/>
          </w:tcPr>
          <w:p w14:paraId="653BDB44" w14:textId="77777777" w:rsidR="0094168A" w:rsidRPr="009461CC" w:rsidRDefault="0094168A" w:rsidP="00293453">
            <w:pPr>
              <w:spacing w:after="0" w:afterAutospacing="0"/>
              <w:rPr>
                <w:rFonts w:cs="Times New Roman"/>
                <w:sz w:val="22"/>
              </w:rPr>
            </w:pPr>
            <w:r>
              <w:rPr>
                <w:rFonts w:cs="Times New Roman"/>
                <w:sz w:val="22"/>
                <w:lang w:val="et"/>
              </w:rPr>
              <w:t>EN ISO 14971:2019</w:t>
            </w:r>
          </w:p>
        </w:tc>
        <w:tc>
          <w:tcPr>
            <w:tcW w:w="3871" w:type="pct"/>
          </w:tcPr>
          <w:p w14:paraId="4457BE68" w14:textId="77777777" w:rsidR="0094168A" w:rsidRPr="009461CC" w:rsidRDefault="0094168A" w:rsidP="00293453">
            <w:pPr>
              <w:spacing w:after="0" w:afterAutospacing="0"/>
              <w:rPr>
                <w:rFonts w:cs="Times New Roman"/>
                <w:sz w:val="22"/>
              </w:rPr>
            </w:pPr>
            <w:r>
              <w:rPr>
                <w:rFonts w:cs="Times New Roman"/>
                <w:sz w:val="22"/>
                <w:lang w:val="et"/>
              </w:rPr>
              <w:t>Meditsiinivahendid. Riskijuhtimise rakendamine meditsiinivahenditele</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93453">
            <w:pPr>
              <w:spacing w:after="0" w:afterAutospacing="0"/>
              <w:jc w:val="center"/>
              <w:rPr>
                <w:rFonts w:cs="Times New Roman"/>
                <w:sz w:val="22"/>
              </w:rPr>
            </w:pPr>
            <w:r>
              <w:rPr>
                <w:rFonts w:eastAsia="Arial" w:cs="Times New Roman"/>
                <w:b/>
                <w:bCs/>
                <w:sz w:val="22"/>
                <w:lang w:val="et"/>
              </w:rPr>
              <w:t>Bioloogiline ohutus</w:t>
            </w:r>
          </w:p>
        </w:tc>
      </w:tr>
      <w:tr w:rsidR="0094168A" w:rsidRPr="00BC0CD8"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93453">
            <w:pPr>
              <w:spacing w:after="0" w:afterAutospacing="0"/>
              <w:rPr>
                <w:rFonts w:cs="Times New Roman"/>
                <w:bCs/>
                <w:sz w:val="22"/>
              </w:rPr>
            </w:pPr>
            <w:r>
              <w:rPr>
                <w:rFonts w:eastAsia="Arial" w:cs="Times New Roman"/>
                <w:sz w:val="22"/>
                <w:lang w:val="et"/>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3C53D0" w:rsidRDefault="0094168A" w:rsidP="00293453">
            <w:pPr>
              <w:spacing w:after="14" w:afterAutospacing="0"/>
              <w:rPr>
                <w:rFonts w:cs="Times New Roman"/>
                <w:sz w:val="22"/>
                <w:lang w:val="de-DE"/>
              </w:rPr>
            </w:pPr>
            <w:r>
              <w:rPr>
                <w:rFonts w:eastAsia="Arial" w:cs="Times New Roman"/>
                <w:sz w:val="22"/>
                <w:lang w:val="et"/>
              </w:rPr>
              <w:t xml:space="preserve">Meditsiiniseadmete bioloogiline hindamine – Osa 1. </w:t>
            </w:r>
          </w:p>
          <w:p w14:paraId="1D869305" w14:textId="77777777" w:rsidR="0094168A" w:rsidRPr="003C53D0" w:rsidRDefault="0094168A" w:rsidP="00293453">
            <w:pPr>
              <w:tabs>
                <w:tab w:val="left" w:pos="1320"/>
              </w:tabs>
              <w:spacing w:after="0" w:afterAutospacing="0"/>
              <w:rPr>
                <w:rFonts w:cs="Times New Roman"/>
                <w:sz w:val="22"/>
                <w:lang w:val="de-DE"/>
              </w:rPr>
            </w:pPr>
            <w:r>
              <w:rPr>
                <w:rFonts w:eastAsia="Arial" w:cs="Times New Roman"/>
                <w:sz w:val="22"/>
                <w:lang w:val="et"/>
              </w:rPr>
              <w:t xml:space="preserve">Hindamine ja katsed  </w:t>
            </w:r>
          </w:p>
        </w:tc>
      </w:tr>
      <w:tr w:rsidR="0094168A" w:rsidRPr="009461C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93453">
            <w:pPr>
              <w:spacing w:after="0" w:afterAutospacing="0"/>
              <w:rPr>
                <w:rFonts w:cs="Times New Roman"/>
                <w:bCs/>
                <w:sz w:val="22"/>
              </w:rPr>
            </w:pPr>
            <w:r>
              <w:rPr>
                <w:rFonts w:eastAsia="Arial" w:cs="Times New Roman"/>
                <w:sz w:val="22"/>
                <w:lang w:val="et"/>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9461CC" w:rsidRDefault="0094168A" w:rsidP="00293453">
            <w:pPr>
              <w:spacing w:after="0" w:afterAutospacing="0"/>
              <w:rPr>
                <w:rFonts w:cs="Times New Roman"/>
                <w:sz w:val="22"/>
              </w:rPr>
            </w:pPr>
            <w:r>
              <w:rPr>
                <w:rFonts w:eastAsia="Arial" w:cs="Times New Roman"/>
                <w:sz w:val="22"/>
                <w:lang w:val="et"/>
              </w:rPr>
              <w:t xml:space="preserve">Meditsiiniseadmete bioloogiline hindamine – Osa 3. Testid geenitoksiliste, kantserogeensete ja reproduktiivsete toksiinide määramiseks </w:t>
            </w:r>
          </w:p>
        </w:tc>
      </w:tr>
      <w:tr w:rsidR="0094168A" w:rsidRPr="009461CC"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93453">
            <w:pPr>
              <w:spacing w:after="0" w:afterAutospacing="0"/>
              <w:rPr>
                <w:rFonts w:cs="Times New Roman"/>
                <w:bCs/>
                <w:sz w:val="22"/>
              </w:rPr>
            </w:pPr>
            <w:r>
              <w:rPr>
                <w:rFonts w:eastAsia="Arial" w:cs="Times New Roman"/>
                <w:sz w:val="22"/>
                <w:lang w:val="et"/>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9461CC" w:rsidRDefault="0094168A" w:rsidP="00293453">
            <w:pPr>
              <w:spacing w:after="0" w:afterAutospacing="0"/>
              <w:rPr>
                <w:rFonts w:cs="Times New Roman"/>
                <w:sz w:val="22"/>
              </w:rPr>
            </w:pPr>
            <w:r>
              <w:rPr>
                <w:rFonts w:eastAsia="Arial" w:cs="Times New Roman"/>
                <w:sz w:val="22"/>
                <w:lang w:val="et"/>
              </w:rPr>
              <w:t xml:space="preserve">Meditsiiniseadmete bioloogiline hindamine. Osa 4. Vastasmõjude hindamiseks läbiviidavad valikkatsed verega </w:t>
            </w:r>
          </w:p>
        </w:tc>
      </w:tr>
      <w:tr w:rsidR="0094168A" w:rsidRPr="009461C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93453">
            <w:pPr>
              <w:spacing w:after="0" w:afterAutospacing="0"/>
              <w:rPr>
                <w:rFonts w:cs="Times New Roman"/>
                <w:bCs/>
                <w:sz w:val="22"/>
              </w:rPr>
            </w:pPr>
            <w:r>
              <w:rPr>
                <w:rFonts w:eastAsia="Arial" w:cs="Times New Roman"/>
                <w:sz w:val="22"/>
                <w:lang w:val="et"/>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9461CC" w:rsidRDefault="0094168A" w:rsidP="00293453">
            <w:pPr>
              <w:spacing w:after="0" w:afterAutospacing="0"/>
              <w:rPr>
                <w:rFonts w:cs="Times New Roman"/>
                <w:sz w:val="22"/>
              </w:rPr>
            </w:pPr>
            <w:r>
              <w:rPr>
                <w:rFonts w:eastAsia="Arial" w:cs="Times New Roman"/>
                <w:sz w:val="22"/>
                <w:lang w:val="et"/>
              </w:rPr>
              <w:t xml:space="preserve">Meditsiiniseadmete bioloogiline hindamine. Osa 5. Katsed tsütotoksilisuse hindamiseks – </w:t>
            </w:r>
            <w:r>
              <w:rPr>
                <w:rFonts w:eastAsia="Arial" w:cs="Times New Roman"/>
                <w:i/>
                <w:iCs/>
                <w:sz w:val="22"/>
                <w:lang w:val="et"/>
              </w:rPr>
              <w:t>in vitro</w:t>
            </w:r>
            <w:r>
              <w:rPr>
                <w:rFonts w:eastAsia="Arial" w:cs="Times New Roman"/>
                <w:sz w:val="22"/>
                <w:lang w:val="et"/>
              </w:rPr>
              <w:t xml:space="preserve"> meetodid </w:t>
            </w:r>
          </w:p>
        </w:tc>
      </w:tr>
      <w:tr w:rsidR="0094168A" w:rsidRPr="009461CC"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93453">
            <w:pPr>
              <w:spacing w:after="0" w:afterAutospacing="0"/>
              <w:rPr>
                <w:rFonts w:cs="Times New Roman"/>
                <w:bCs/>
                <w:sz w:val="22"/>
              </w:rPr>
            </w:pPr>
            <w:r>
              <w:rPr>
                <w:rFonts w:eastAsia="Arial" w:cs="Times New Roman"/>
                <w:sz w:val="22"/>
                <w:lang w:val="et"/>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9461CC" w:rsidRDefault="0094168A" w:rsidP="00293453">
            <w:pPr>
              <w:spacing w:after="0" w:afterAutospacing="0"/>
              <w:rPr>
                <w:rFonts w:cs="Times New Roman"/>
                <w:sz w:val="22"/>
              </w:rPr>
            </w:pPr>
            <w:r>
              <w:rPr>
                <w:rFonts w:eastAsia="Arial" w:cs="Times New Roman"/>
                <w:sz w:val="22"/>
                <w:lang w:val="et"/>
              </w:rPr>
              <w:t xml:space="preserve">Meditsiiniseadmete bioloogiline hindamine. Osa 10. Nahaärrituse ja ülitundlikkuse testid </w:t>
            </w:r>
          </w:p>
        </w:tc>
      </w:tr>
      <w:tr w:rsidR="0094168A" w:rsidRPr="009461CC"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93453">
            <w:pPr>
              <w:spacing w:after="0" w:afterAutospacing="0"/>
              <w:rPr>
                <w:rFonts w:cs="Times New Roman"/>
                <w:bCs/>
                <w:sz w:val="22"/>
              </w:rPr>
            </w:pPr>
            <w:r>
              <w:rPr>
                <w:rFonts w:eastAsia="Arial" w:cs="Times New Roman"/>
                <w:sz w:val="22"/>
                <w:lang w:val="et"/>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9461CC" w:rsidRDefault="0094168A" w:rsidP="00293453">
            <w:pPr>
              <w:spacing w:after="0" w:afterAutospacing="0"/>
              <w:rPr>
                <w:rFonts w:cs="Times New Roman"/>
                <w:sz w:val="22"/>
              </w:rPr>
            </w:pPr>
            <w:r>
              <w:rPr>
                <w:rFonts w:eastAsia="Arial" w:cs="Times New Roman"/>
                <w:sz w:val="22"/>
                <w:lang w:val="et"/>
              </w:rPr>
              <w:t xml:space="preserve">Meditsiiniseadmete bioloogiline hindamine. Osa 11. Katsed süsteemse toksilisuse hindamiseks </w:t>
            </w:r>
          </w:p>
        </w:tc>
      </w:tr>
      <w:tr w:rsidR="0094168A" w:rsidRPr="009461CC"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93453">
            <w:pPr>
              <w:spacing w:after="0" w:afterAutospacing="0"/>
              <w:rPr>
                <w:rFonts w:cs="Times New Roman"/>
                <w:bCs/>
                <w:sz w:val="22"/>
              </w:rPr>
            </w:pPr>
            <w:r>
              <w:rPr>
                <w:rFonts w:eastAsia="Arial" w:cs="Times New Roman"/>
                <w:sz w:val="22"/>
                <w:lang w:val="et"/>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9461CC" w:rsidRDefault="0094168A" w:rsidP="00293453">
            <w:pPr>
              <w:spacing w:after="0" w:afterAutospacing="0"/>
              <w:rPr>
                <w:rFonts w:cs="Times New Roman"/>
                <w:sz w:val="22"/>
              </w:rPr>
            </w:pPr>
            <w:r>
              <w:rPr>
                <w:rFonts w:eastAsia="Arial" w:cs="Times New Roman"/>
                <w:sz w:val="22"/>
                <w:lang w:val="et"/>
              </w:rPr>
              <w:t xml:space="preserve">Meditsiiniseadmete bioloogiline hindamine – Osa 12. Proovieksemplari ettevalmistamine ja etalonained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586415">
            <w:pPr>
              <w:spacing w:after="0" w:afterAutospacing="0"/>
              <w:rPr>
                <w:rFonts w:eastAsia="Arial" w:cs="Times New Roman"/>
                <w:bCs/>
                <w:sz w:val="22"/>
              </w:rPr>
            </w:pPr>
            <w:r>
              <w:rPr>
                <w:rFonts w:eastAsia="Arial" w:cs="Times New Roman"/>
                <w:sz w:val="22"/>
                <w:lang w:val="et"/>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586415">
            <w:pPr>
              <w:spacing w:after="0" w:afterAutospacing="0"/>
              <w:rPr>
                <w:rFonts w:eastAsia="Arial" w:cs="Times New Roman"/>
                <w:sz w:val="22"/>
              </w:rPr>
            </w:pPr>
            <w:r>
              <w:rPr>
                <w:rFonts w:eastAsia="Arial" w:cs="Times New Roman"/>
                <w:sz w:val="22"/>
                <w:lang w:val="et"/>
              </w:rPr>
              <w:t>Meditsiiniseadmete koostisosade toksikoloogilise riski hindamine</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586415">
            <w:pPr>
              <w:spacing w:after="0" w:afterAutospacing="0"/>
              <w:jc w:val="center"/>
              <w:rPr>
                <w:rFonts w:cs="Times New Roman"/>
                <w:sz w:val="22"/>
              </w:rPr>
            </w:pPr>
            <w:r>
              <w:rPr>
                <w:rFonts w:eastAsia="Arial" w:cs="Times New Roman"/>
                <w:b/>
                <w:bCs/>
                <w:sz w:val="22"/>
                <w:lang w:val="et"/>
              </w:rPr>
              <w:t>Kliiniline hindamine</w:t>
            </w:r>
          </w:p>
        </w:tc>
      </w:tr>
      <w:tr w:rsidR="00586415" w:rsidRPr="00BC0CD8" w14:paraId="1F26EC64" w14:textId="77777777" w:rsidTr="00293453">
        <w:tc>
          <w:tcPr>
            <w:tcW w:w="1129" w:type="pct"/>
          </w:tcPr>
          <w:p w14:paraId="5AF3269C" w14:textId="77777777" w:rsidR="00586415" w:rsidRPr="009461CC" w:rsidRDefault="00586415" w:rsidP="00586415">
            <w:pPr>
              <w:spacing w:after="0" w:afterAutospacing="0"/>
              <w:rPr>
                <w:rFonts w:cs="Times New Roman"/>
                <w:bCs/>
                <w:sz w:val="22"/>
              </w:rPr>
            </w:pPr>
            <w:r>
              <w:rPr>
                <w:rFonts w:eastAsia="Arial" w:cs="Times New Roman"/>
                <w:sz w:val="22"/>
                <w:lang w:val="et"/>
              </w:rPr>
              <w:t>MEDDEV 2.7/1 Rev4</w:t>
            </w:r>
          </w:p>
        </w:tc>
        <w:tc>
          <w:tcPr>
            <w:tcW w:w="3871" w:type="pct"/>
          </w:tcPr>
          <w:p w14:paraId="3D1D1121" w14:textId="77777777" w:rsidR="00586415" w:rsidRPr="003C53D0" w:rsidRDefault="00586415" w:rsidP="00586415">
            <w:pPr>
              <w:spacing w:after="0" w:afterAutospacing="0"/>
              <w:rPr>
                <w:rFonts w:cs="Times New Roman"/>
                <w:sz w:val="22"/>
                <w:lang w:val="de-DE"/>
              </w:rPr>
            </w:pPr>
            <w:r>
              <w:rPr>
                <w:rFonts w:cs="Times New Roman"/>
                <w:sz w:val="22"/>
                <w:lang w:val="et"/>
              </w:rPr>
              <w:t>Kliiniline hindamine: juhend tootjatele ja teavitatud asutustele</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586415">
            <w:pPr>
              <w:spacing w:after="0" w:afterAutospacing="0"/>
              <w:jc w:val="center"/>
              <w:rPr>
                <w:rFonts w:cs="Times New Roman"/>
                <w:sz w:val="22"/>
              </w:rPr>
            </w:pPr>
            <w:r>
              <w:rPr>
                <w:rFonts w:eastAsia="Arial" w:cs="Times New Roman"/>
                <w:b/>
                <w:bCs/>
                <w:sz w:val="22"/>
                <w:lang w:val="et"/>
              </w:rPr>
              <w:t>Projekteerimiskontroll</w:t>
            </w:r>
          </w:p>
        </w:tc>
      </w:tr>
      <w:tr w:rsidR="00586415" w:rsidRPr="009461CC" w14:paraId="54F49ECD" w14:textId="77777777" w:rsidTr="00293453">
        <w:tc>
          <w:tcPr>
            <w:tcW w:w="1129" w:type="pct"/>
          </w:tcPr>
          <w:p w14:paraId="4795B615" w14:textId="77777777" w:rsidR="00586415" w:rsidRPr="009461CC" w:rsidRDefault="00586415" w:rsidP="00586415">
            <w:pPr>
              <w:spacing w:after="0" w:afterAutospacing="0"/>
              <w:rPr>
                <w:rFonts w:cs="Times New Roman"/>
                <w:sz w:val="22"/>
              </w:rPr>
            </w:pPr>
            <w:r>
              <w:rPr>
                <w:rFonts w:cs="Times New Roman"/>
                <w:sz w:val="22"/>
                <w:lang w:val="et"/>
              </w:rPr>
              <w:t>EN ISO 14971</w:t>
            </w:r>
          </w:p>
        </w:tc>
        <w:tc>
          <w:tcPr>
            <w:tcW w:w="3871" w:type="pct"/>
          </w:tcPr>
          <w:p w14:paraId="55771886" w14:textId="77777777" w:rsidR="00586415" w:rsidRPr="009461CC" w:rsidRDefault="00586415" w:rsidP="00586415">
            <w:pPr>
              <w:spacing w:after="0" w:afterAutospacing="0"/>
              <w:rPr>
                <w:rFonts w:cs="Times New Roman"/>
                <w:sz w:val="22"/>
              </w:rPr>
            </w:pPr>
            <w:r>
              <w:rPr>
                <w:rFonts w:cs="Times New Roman"/>
                <w:sz w:val="22"/>
                <w:lang w:val="et"/>
              </w:rPr>
              <w:t>Riskijuhtimise rakendamine meditsiinivahenditele</w:t>
            </w:r>
          </w:p>
        </w:tc>
      </w:tr>
      <w:tr w:rsidR="00586415" w:rsidRPr="009461CC" w14:paraId="48F71F50" w14:textId="77777777" w:rsidTr="00293453">
        <w:tc>
          <w:tcPr>
            <w:tcW w:w="1129" w:type="pct"/>
          </w:tcPr>
          <w:p w14:paraId="477CFB4F" w14:textId="77777777" w:rsidR="00586415" w:rsidRPr="009461CC" w:rsidRDefault="00586415" w:rsidP="00586415">
            <w:pPr>
              <w:spacing w:after="0" w:afterAutospacing="0"/>
              <w:jc w:val="center"/>
              <w:rPr>
                <w:rFonts w:cs="Times New Roman"/>
                <w:sz w:val="22"/>
              </w:rPr>
            </w:pPr>
          </w:p>
        </w:tc>
        <w:tc>
          <w:tcPr>
            <w:tcW w:w="3871" w:type="pct"/>
          </w:tcPr>
          <w:p w14:paraId="20C1E190" w14:textId="77777777" w:rsidR="00586415" w:rsidRPr="009461CC" w:rsidRDefault="00586415" w:rsidP="00586415">
            <w:pPr>
              <w:spacing w:after="0" w:afterAutospacing="0"/>
              <w:rPr>
                <w:rFonts w:cs="Times New Roman"/>
                <w:sz w:val="22"/>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586415">
            <w:pPr>
              <w:spacing w:after="0" w:afterAutospacing="0"/>
              <w:jc w:val="center"/>
              <w:rPr>
                <w:rFonts w:cs="Times New Roman"/>
                <w:b/>
                <w:bCs/>
                <w:sz w:val="22"/>
              </w:rPr>
            </w:pPr>
            <w:r>
              <w:rPr>
                <w:rFonts w:cs="Times New Roman"/>
                <w:b/>
                <w:bCs/>
                <w:sz w:val="22"/>
                <w:lang w:val="et"/>
              </w:rPr>
              <w:t>Kasutatavus</w:t>
            </w:r>
          </w:p>
        </w:tc>
      </w:tr>
      <w:tr w:rsidR="00586415" w:rsidRPr="009461CC" w14:paraId="29A23DD2" w14:textId="77777777" w:rsidTr="00293453">
        <w:tc>
          <w:tcPr>
            <w:tcW w:w="1129" w:type="pct"/>
          </w:tcPr>
          <w:p w14:paraId="38C30B53" w14:textId="77777777" w:rsidR="00586415" w:rsidRPr="009461CC" w:rsidRDefault="00586415" w:rsidP="00586415">
            <w:pPr>
              <w:spacing w:after="0" w:afterAutospacing="0"/>
              <w:rPr>
                <w:rFonts w:cs="Times New Roman"/>
                <w:sz w:val="22"/>
              </w:rPr>
            </w:pPr>
            <w:r>
              <w:rPr>
                <w:rFonts w:cs="Times New Roman"/>
                <w:sz w:val="22"/>
                <w:lang w:val="et"/>
              </w:rPr>
              <w:t>IEC 62366-1:2015 ja</w:t>
            </w:r>
          </w:p>
          <w:p w14:paraId="2D964E3D" w14:textId="77777777" w:rsidR="00586415" w:rsidRPr="009461CC" w:rsidRDefault="00586415" w:rsidP="00586415">
            <w:pPr>
              <w:spacing w:after="0" w:afterAutospacing="0"/>
              <w:rPr>
                <w:rFonts w:cs="Times New Roman"/>
                <w:sz w:val="22"/>
              </w:rPr>
            </w:pPr>
            <w:r>
              <w:rPr>
                <w:rFonts w:cs="Times New Roman"/>
                <w:sz w:val="22"/>
                <w:lang w:val="et"/>
              </w:rPr>
              <w:t>IEC 62366-1:2015/ COR1:2016</w:t>
            </w:r>
          </w:p>
        </w:tc>
        <w:tc>
          <w:tcPr>
            <w:tcW w:w="3871" w:type="pct"/>
          </w:tcPr>
          <w:p w14:paraId="7A444F47" w14:textId="77777777" w:rsidR="00586415" w:rsidRPr="009461CC" w:rsidRDefault="00586415" w:rsidP="00586415">
            <w:pPr>
              <w:spacing w:after="0" w:afterAutospacing="0"/>
              <w:rPr>
                <w:rFonts w:cs="Times New Roman"/>
                <w:sz w:val="22"/>
              </w:rPr>
            </w:pPr>
            <w:r>
              <w:rPr>
                <w:rFonts w:cs="Times New Roman"/>
                <w:sz w:val="22"/>
                <w:lang w:val="et"/>
              </w:rPr>
              <w:t>Meditsiiniseadmed – Meditsiiniseadmete kasutussobivuse rakendamine</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586415">
            <w:pPr>
              <w:spacing w:after="0" w:afterAutospacing="0"/>
              <w:jc w:val="center"/>
              <w:rPr>
                <w:rFonts w:cs="Times New Roman"/>
                <w:b/>
                <w:bCs/>
                <w:sz w:val="22"/>
              </w:rPr>
            </w:pPr>
            <w:r>
              <w:rPr>
                <w:rFonts w:cs="Times New Roman"/>
                <w:b/>
                <w:bCs/>
                <w:sz w:val="22"/>
                <w:lang w:val="et"/>
              </w:rPr>
              <w:lastRenderedPageBreak/>
              <w:t>Pakendamine</w:t>
            </w:r>
          </w:p>
        </w:tc>
      </w:tr>
      <w:tr w:rsidR="00586415" w:rsidRPr="009461CC"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586415">
            <w:pPr>
              <w:spacing w:after="0" w:afterAutospacing="0"/>
              <w:rPr>
                <w:rFonts w:cs="Times New Roman"/>
                <w:bCs/>
                <w:sz w:val="22"/>
              </w:rPr>
            </w:pPr>
            <w:r>
              <w:rPr>
                <w:rFonts w:eastAsia="Arial" w:cs="Times New Roman"/>
                <w:sz w:val="22"/>
                <w:lang w:val="et"/>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9461CC" w:rsidRDefault="00586415" w:rsidP="00586415">
            <w:pPr>
              <w:spacing w:after="0" w:afterAutospacing="0"/>
              <w:rPr>
                <w:rFonts w:cs="Times New Roman"/>
                <w:sz w:val="22"/>
              </w:rPr>
            </w:pPr>
            <w:r>
              <w:rPr>
                <w:rFonts w:eastAsia="Arial" w:cs="Times New Roman"/>
                <w:sz w:val="22"/>
                <w:lang w:val="et"/>
              </w:rPr>
              <w:t xml:space="preserve">Lõplikult steriliseeritud meditsiiniseadmete pakendamine. Osa 1. Nõuded materjalile, steriilsele barjäärile ja pakendusele. </w:t>
            </w:r>
          </w:p>
        </w:tc>
      </w:tr>
      <w:tr w:rsidR="00586415" w:rsidRPr="009461CC"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586415">
            <w:pPr>
              <w:spacing w:after="16" w:afterAutospacing="0"/>
              <w:ind w:left="1"/>
              <w:rPr>
                <w:rFonts w:cs="Times New Roman"/>
                <w:bCs/>
                <w:sz w:val="22"/>
              </w:rPr>
            </w:pPr>
            <w:r>
              <w:rPr>
                <w:rFonts w:eastAsia="Arial" w:cs="Times New Roman"/>
                <w:sz w:val="22"/>
                <w:lang w:val="et"/>
              </w:rPr>
              <w:t>EN ISO 11607-2:2020</w:t>
            </w:r>
          </w:p>
          <w:p w14:paraId="2A1BCB5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9461CC" w:rsidRDefault="00586415" w:rsidP="00586415">
            <w:pPr>
              <w:spacing w:after="0" w:afterAutospacing="0"/>
              <w:rPr>
                <w:rFonts w:cs="Times New Roman"/>
                <w:sz w:val="22"/>
              </w:rPr>
            </w:pPr>
            <w:r>
              <w:rPr>
                <w:rFonts w:eastAsia="Arial" w:cs="Times New Roman"/>
                <w:sz w:val="22"/>
                <w:lang w:val="et"/>
              </w:rPr>
              <w:t xml:space="preserve">Lõplikult steriliseeritud meditsiiniseadmete pakendamine. Osa 2. Valideerimisnõuded vormimis-, hermetiseerimis- ja koosteprotsessile </w:t>
            </w:r>
          </w:p>
        </w:tc>
      </w:tr>
      <w:tr w:rsidR="00586415" w:rsidRPr="009461CC"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586415">
            <w:pPr>
              <w:spacing w:after="14" w:afterAutospacing="0"/>
              <w:ind w:left="1"/>
              <w:rPr>
                <w:rFonts w:cs="Times New Roman"/>
                <w:bCs/>
                <w:sz w:val="22"/>
              </w:rPr>
            </w:pPr>
            <w:r>
              <w:rPr>
                <w:rFonts w:eastAsia="Arial" w:cs="Times New Roman"/>
                <w:sz w:val="22"/>
                <w:lang w:val="et"/>
              </w:rPr>
              <w:t>EN ISO 2233:2001</w:t>
            </w:r>
          </w:p>
          <w:p w14:paraId="3F44F0A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9461CC" w:rsidRDefault="00586415" w:rsidP="00586415">
            <w:pPr>
              <w:spacing w:after="0" w:afterAutospacing="0"/>
              <w:rPr>
                <w:rFonts w:cs="Times New Roman"/>
                <w:sz w:val="22"/>
              </w:rPr>
            </w:pPr>
            <w:r>
              <w:rPr>
                <w:rFonts w:eastAsia="Arial" w:cs="Times New Roman"/>
                <w:sz w:val="22"/>
                <w:lang w:val="et"/>
              </w:rPr>
              <w:t xml:space="preserve">Pakendamine – Täidetud ja terviklikud transpordipakendid ning veoseüksused – Testimiseks ettevalmistamine </w:t>
            </w:r>
          </w:p>
        </w:tc>
      </w:tr>
      <w:tr w:rsidR="00586415" w:rsidRPr="00BC0CD8"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586415">
            <w:pPr>
              <w:spacing w:after="0" w:afterAutospacing="0"/>
              <w:rPr>
                <w:rFonts w:cs="Times New Roman"/>
                <w:bCs/>
                <w:sz w:val="22"/>
              </w:rPr>
            </w:pPr>
            <w:hyperlink r:id="rId14">
              <w:r>
                <w:rPr>
                  <w:rFonts w:eastAsia="Arial" w:cs="Times New Roman"/>
                  <w:sz w:val="22"/>
                  <w:lang w:val="et"/>
                </w:rPr>
                <w:t xml:space="preserve">ASTM D4169 </w:t>
              </w:r>
            </w:hyperlink>
            <w:r>
              <w:rPr>
                <w:rFonts w:eastAsia="Arial" w:cs="Times New Roman"/>
                <w:sz w:val="22"/>
                <w:lang w:val="et"/>
              </w:rPr>
              <w:t>:2022</w:t>
            </w:r>
            <w:hyperlink r:id="rId15">
              <w:r>
                <w:rPr>
                  <w:rFonts w:eastAsia="Arial" w:cs="Times New Roman"/>
                  <w:sz w:val="22"/>
                  <w:lang w:val="e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3C53D0" w:rsidRDefault="00586415" w:rsidP="00586415">
            <w:pPr>
              <w:spacing w:after="0" w:afterAutospacing="0"/>
              <w:rPr>
                <w:rFonts w:cs="Times New Roman"/>
                <w:sz w:val="22"/>
                <w:lang w:val="de-DE"/>
              </w:rPr>
            </w:pPr>
            <w:r>
              <w:rPr>
                <w:rFonts w:eastAsia="Arial" w:cs="Times New Roman"/>
                <w:sz w:val="22"/>
                <w:lang w:val="et"/>
              </w:rPr>
              <w:t xml:space="preserve">Veokonteinerite ja -süsteemide toimivuskatsete tavapraktika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586415">
            <w:pPr>
              <w:spacing w:after="0" w:afterAutospacing="0"/>
              <w:rPr>
                <w:rFonts w:cs="Times New Roman"/>
                <w:bCs/>
                <w:sz w:val="22"/>
              </w:rPr>
            </w:pPr>
            <w:hyperlink r:id="rId16">
              <w:r>
                <w:rPr>
                  <w:rFonts w:eastAsia="Arial" w:cs="Times New Roman"/>
                  <w:sz w:val="22"/>
                  <w:lang w:val="et"/>
                </w:rPr>
                <w:t xml:space="preserve">ASTM F2096 </w:t>
              </w:r>
            </w:hyperlink>
            <w:hyperlink r:id="rId17">
              <w:r>
                <w:rPr>
                  <w:rFonts w:eastAsia="Arial" w:cs="Times New Roman"/>
                  <w:sz w:val="22"/>
                  <w:lang w:val="et"/>
                </w:rPr>
                <w:t xml:space="preserve">– </w:t>
              </w:r>
            </w:hyperlink>
            <w:r>
              <w:rPr>
                <w:rFonts w:eastAsia="Arial" w:cs="Times New Roman"/>
                <w:sz w:val="22"/>
                <w:lang w:val="et"/>
              </w:rPr>
              <w:t>20</w:t>
            </w:r>
            <w:hyperlink r:id="rId18">
              <w:r>
                <w:rPr>
                  <w:rFonts w:eastAsia="Arial" w:cs="Times New Roman"/>
                  <w:sz w:val="22"/>
                  <w:lang w:val="et"/>
                </w:rPr>
                <w:t xml:space="preserve">11 (R2019) </w:t>
              </w:r>
            </w:hyperlink>
            <w:hyperlink r:id="rId19">
              <w:r>
                <w:rPr>
                  <w:rFonts w:eastAsia="Arial" w:cs="Times New Roman"/>
                  <w:sz w:val="22"/>
                  <w:lang w:val="e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9461CC" w:rsidRDefault="00586415" w:rsidP="00586415">
            <w:pPr>
              <w:spacing w:after="14" w:afterAutospacing="0"/>
              <w:rPr>
                <w:rFonts w:cs="Times New Roman"/>
                <w:sz w:val="22"/>
              </w:rPr>
            </w:pPr>
            <w:r>
              <w:rPr>
                <w:rFonts w:eastAsia="Arial" w:cs="Times New Roman"/>
                <w:sz w:val="22"/>
                <w:lang w:val="et"/>
              </w:rPr>
              <w:t xml:space="preserve">Standardne katsemeetod suurte lekete tuvastamiseks </w:t>
            </w:r>
          </w:p>
          <w:p w14:paraId="403EB0FF" w14:textId="77777777" w:rsidR="00586415" w:rsidRPr="009461CC" w:rsidRDefault="00586415" w:rsidP="00586415">
            <w:pPr>
              <w:spacing w:after="16" w:afterAutospacing="0"/>
              <w:rPr>
                <w:rFonts w:cs="Times New Roman"/>
                <w:sz w:val="22"/>
              </w:rPr>
            </w:pPr>
            <w:r>
              <w:rPr>
                <w:rFonts w:eastAsia="Arial" w:cs="Times New Roman"/>
                <w:sz w:val="22"/>
                <w:lang w:val="et"/>
              </w:rPr>
              <w:t xml:space="preserve">meditsiinilistes pakendites sisemise survestamise abil (mullikatse) </w:t>
            </w:r>
          </w:p>
          <w:p w14:paraId="401902E0" w14:textId="77777777" w:rsidR="00586415" w:rsidRPr="009461CC" w:rsidRDefault="00586415" w:rsidP="00586415">
            <w:pPr>
              <w:spacing w:after="0" w:afterAutospacing="0"/>
              <w:rPr>
                <w:rFonts w:cs="Times New Roman"/>
                <w:sz w:val="22"/>
              </w:rPr>
            </w:pPr>
            <w:r>
              <w:rPr>
                <w:rFonts w:eastAsia="Arial" w:cs="Times New Roman"/>
                <w:sz w:val="22"/>
                <w:lang w:val="et"/>
              </w:rPr>
              <w:t xml:space="preserve">- ASTM F 2096-11 (2019) </w:t>
            </w:r>
          </w:p>
        </w:tc>
      </w:tr>
      <w:tr w:rsidR="00586415" w:rsidRPr="009461C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586415">
            <w:pPr>
              <w:spacing w:after="0" w:afterAutospacing="0"/>
              <w:rPr>
                <w:rFonts w:cs="Times New Roman"/>
                <w:bCs/>
                <w:sz w:val="22"/>
              </w:rPr>
            </w:pPr>
            <w:hyperlink r:id="rId20">
              <w:r>
                <w:rPr>
                  <w:rFonts w:eastAsia="Arial" w:cs="Times New Roman"/>
                  <w:sz w:val="22"/>
                  <w:lang w:val="et"/>
                </w:rPr>
                <w:t xml:space="preserve">ASTM F1929 </w:t>
              </w:r>
            </w:hyperlink>
            <w:hyperlink r:id="rId21">
              <w:r>
                <w:rPr>
                  <w:rFonts w:eastAsia="Arial" w:cs="Times New Roman"/>
                  <w:sz w:val="22"/>
                  <w:lang w:val="et"/>
                </w:rPr>
                <w:t xml:space="preserve">- </w:t>
              </w:r>
            </w:hyperlink>
            <w:hyperlink r:id="rId22">
              <w:r>
                <w:rPr>
                  <w:rFonts w:eastAsia="Arial" w:cs="Times New Roman"/>
                  <w:sz w:val="22"/>
                  <w:lang w:val="et"/>
                </w:rPr>
                <w:t xml:space="preserve">15 </w:t>
              </w:r>
            </w:hyperlink>
            <w:hyperlink r:id="rId23">
              <w:r>
                <w:rPr>
                  <w:rFonts w:eastAsia="Arial" w:cs="Times New Roman"/>
                  <w:sz w:val="22"/>
                  <w:lang w:val="e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9461CC" w:rsidRDefault="00586415" w:rsidP="00586415">
            <w:pPr>
              <w:spacing w:after="14" w:afterAutospacing="0"/>
              <w:rPr>
                <w:rFonts w:cs="Times New Roman"/>
                <w:sz w:val="22"/>
              </w:rPr>
            </w:pPr>
            <w:r>
              <w:rPr>
                <w:rFonts w:eastAsia="Arial" w:cs="Times New Roman"/>
                <w:sz w:val="22"/>
                <w:lang w:val="et"/>
              </w:rPr>
              <w:t xml:space="preserve">Standardne katsemeetod tihendilekete tuvastamiseks poorsetes </w:t>
            </w:r>
          </w:p>
          <w:p w14:paraId="1449B41C" w14:textId="77777777" w:rsidR="00586415" w:rsidRPr="009461CC" w:rsidRDefault="00586415" w:rsidP="00586415">
            <w:pPr>
              <w:spacing w:after="0" w:afterAutospacing="0"/>
              <w:rPr>
                <w:rFonts w:cs="Times New Roman"/>
                <w:sz w:val="22"/>
              </w:rPr>
            </w:pPr>
            <w:r>
              <w:rPr>
                <w:rFonts w:eastAsia="Arial" w:cs="Times New Roman"/>
                <w:sz w:val="22"/>
                <w:lang w:val="et"/>
              </w:rPr>
              <w:t xml:space="preserve">meditsiinilistes pakendites värvaine läbitungimise abil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586415">
            <w:pPr>
              <w:spacing w:after="0" w:afterAutospacing="0"/>
              <w:rPr>
                <w:rFonts w:cs="Times New Roman"/>
                <w:bCs/>
                <w:sz w:val="22"/>
              </w:rPr>
            </w:pPr>
            <w:hyperlink r:id="rId24">
              <w:r>
                <w:rPr>
                  <w:rFonts w:eastAsia="Arial" w:cs="Times New Roman"/>
                  <w:sz w:val="22"/>
                  <w:lang w:val="et"/>
                </w:rPr>
                <w:t xml:space="preserve">ASTM F88 / F88M </w:t>
              </w:r>
            </w:hyperlink>
            <w:hyperlink r:id="rId25">
              <w:r>
                <w:rPr>
                  <w:rFonts w:eastAsia="Arial" w:cs="Times New Roman"/>
                  <w:sz w:val="22"/>
                  <w:lang w:val="et"/>
                </w:rPr>
                <w:t xml:space="preserve">- </w:t>
              </w:r>
            </w:hyperlink>
            <w:r>
              <w:rPr>
                <w:rFonts w:eastAsia="Arial" w:cs="Times New Roman"/>
                <w:sz w:val="22"/>
                <w:lang w:val="et"/>
              </w:rPr>
              <w:t>2021</w:t>
            </w:r>
            <w:hyperlink r:id="rId26">
              <w:r>
                <w:rPr>
                  <w:rFonts w:eastAsia="Arial" w:cs="Times New Roman"/>
                  <w:sz w:val="22"/>
                  <w:lang w:val="e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586415">
            <w:pPr>
              <w:spacing w:after="0" w:afterAutospacing="0"/>
              <w:rPr>
                <w:rFonts w:cs="Times New Roman"/>
                <w:sz w:val="22"/>
              </w:rPr>
            </w:pPr>
            <w:r>
              <w:rPr>
                <w:rFonts w:eastAsia="Arial" w:cs="Times New Roman"/>
                <w:sz w:val="22"/>
                <w:lang w:val="et"/>
              </w:rPr>
              <w:t xml:space="preserve">Paindlike barjäärimaterjalide tihendustugevuse standardne katsemeetod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586415">
            <w:pPr>
              <w:spacing w:after="0" w:afterAutospacing="0"/>
              <w:rPr>
                <w:rFonts w:cs="Times New Roman"/>
                <w:bCs/>
                <w:sz w:val="22"/>
              </w:rPr>
            </w:pPr>
            <w:hyperlink r:id="rId27">
              <w:r>
                <w:rPr>
                  <w:rFonts w:eastAsia="Arial" w:cs="Times New Roman"/>
                  <w:sz w:val="22"/>
                  <w:lang w:val="et"/>
                </w:rPr>
                <w:t xml:space="preserve">ASTM F1980 </w:t>
              </w:r>
            </w:hyperlink>
            <w:hyperlink r:id="rId28">
              <w:r>
                <w:rPr>
                  <w:rFonts w:eastAsia="Arial" w:cs="Times New Roman"/>
                  <w:sz w:val="22"/>
                  <w:lang w:val="et"/>
                </w:rPr>
                <w:t xml:space="preserve">- </w:t>
              </w:r>
            </w:hyperlink>
            <w:r>
              <w:rPr>
                <w:rFonts w:eastAsia="Arial" w:cs="Times New Roman"/>
                <w:sz w:val="22"/>
                <w:lang w:val="et"/>
              </w:rPr>
              <w:t>2021</w:t>
            </w:r>
            <w:hyperlink r:id="rId29">
              <w:r>
                <w:rPr>
                  <w:rFonts w:eastAsia="Arial" w:cs="Times New Roman"/>
                  <w:sz w:val="22"/>
                  <w:lang w:val="et"/>
                </w:rPr>
                <w:t xml:space="preserve"> </w:t>
              </w:r>
            </w:hyperlink>
            <w:hyperlink r:id="rId30">
              <w:r>
                <w:rPr>
                  <w:rFonts w:eastAsia="Arial" w:cs="Times New Roman"/>
                  <w:sz w:val="22"/>
                  <w:lang w:val="et"/>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586415">
            <w:pPr>
              <w:spacing w:after="0" w:afterAutospacing="0"/>
              <w:rPr>
                <w:rFonts w:cs="Times New Roman"/>
                <w:sz w:val="22"/>
              </w:rPr>
            </w:pPr>
            <w:r>
              <w:rPr>
                <w:rFonts w:eastAsia="Arial" w:cs="Times New Roman"/>
                <w:sz w:val="22"/>
                <w:lang w:val="et"/>
              </w:rPr>
              <w:t xml:space="preserve">Meditsiiniseadmete steriilsete barjäärisüsteemide kiirendatud vanandamise standardjuhend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586415">
            <w:pPr>
              <w:spacing w:after="0" w:afterAutospacing="0"/>
              <w:jc w:val="center"/>
              <w:rPr>
                <w:rFonts w:cs="Times New Roman"/>
                <w:b/>
                <w:bCs/>
                <w:sz w:val="22"/>
              </w:rPr>
            </w:pPr>
            <w:r>
              <w:rPr>
                <w:rFonts w:cs="Times New Roman"/>
                <w:b/>
                <w:bCs/>
                <w:sz w:val="22"/>
                <w:lang w:val="et"/>
              </w:rPr>
              <w:t>Turustamisjärgne kliiniline järelkontroll</w:t>
            </w:r>
          </w:p>
        </w:tc>
      </w:tr>
      <w:tr w:rsidR="00586415" w:rsidRPr="009461CC" w14:paraId="72BDA171" w14:textId="77777777" w:rsidTr="00293453">
        <w:tc>
          <w:tcPr>
            <w:tcW w:w="1129" w:type="pct"/>
          </w:tcPr>
          <w:p w14:paraId="4A2D9F88" w14:textId="77777777" w:rsidR="00586415" w:rsidRPr="009461CC" w:rsidRDefault="00586415" w:rsidP="00586415">
            <w:pPr>
              <w:spacing w:after="0" w:afterAutospacing="0"/>
              <w:jc w:val="center"/>
              <w:rPr>
                <w:rFonts w:cs="Times New Roman"/>
                <w:sz w:val="22"/>
              </w:rPr>
            </w:pPr>
            <w:r>
              <w:rPr>
                <w:rFonts w:cs="Times New Roman"/>
                <w:sz w:val="22"/>
                <w:lang w:val="et"/>
              </w:rPr>
              <w:t>MEDDEV 2.12/2 Rev2</w:t>
            </w:r>
          </w:p>
        </w:tc>
        <w:tc>
          <w:tcPr>
            <w:tcW w:w="3871" w:type="pct"/>
          </w:tcPr>
          <w:p w14:paraId="534E025E" w14:textId="77777777" w:rsidR="00586415" w:rsidRPr="009461CC" w:rsidRDefault="00586415" w:rsidP="00586415">
            <w:pPr>
              <w:spacing w:after="0" w:afterAutospacing="0"/>
              <w:rPr>
                <w:rFonts w:cs="Times New Roman"/>
                <w:sz w:val="22"/>
              </w:rPr>
            </w:pPr>
            <w:r>
              <w:rPr>
                <w:rFonts w:cs="Times New Roman"/>
                <w:sz w:val="22"/>
                <w:lang w:val="et"/>
              </w:rPr>
              <w:t>Turustamisjärgse kliinilise järelkontrolli uuringud</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586415">
            <w:pPr>
              <w:spacing w:after="0" w:afterAutospacing="0"/>
              <w:jc w:val="center"/>
              <w:rPr>
                <w:rFonts w:cs="Times New Roman"/>
                <w:b/>
                <w:bCs/>
                <w:sz w:val="22"/>
              </w:rPr>
            </w:pPr>
            <w:r>
              <w:rPr>
                <w:rFonts w:cs="Times New Roman"/>
                <w:b/>
                <w:bCs/>
                <w:sz w:val="22"/>
                <w:lang w:val="et"/>
              </w:rPr>
              <w:t>Valvsus</w:t>
            </w:r>
          </w:p>
        </w:tc>
      </w:tr>
      <w:tr w:rsidR="00586415" w:rsidRPr="009461CC" w14:paraId="577ABEC8" w14:textId="77777777" w:rsidTr="00283E95">
        <w:tc>
          <w:tcPr>
            <w:tcW w:w="1129" w:type="pct"/>
          </w:tcPr>
          <w:p w14:paraId="403A7E80" w14:textId="77777777" w:rsidR="00586415" w:rsidRPr="009461CC" w:rsidRDefault="00586415" w:rsidP="00586415">
            <w:pPr>
              <w:spacing w:after="0" w:afterAutospacing="0"/>
              <w:jc w:val="center"/>
              <w:rPr>
                <w:rFonts w:cs="Times New Roman"/>
                <w:sz w:val="22"/>
              </w:rPr>
            </w:pPr>
            <w:r>
              <w:rPr>
                <w:rFonts w:cs="Times New Roman"/>
                <w:sz w:val="22"/>
                <w:lang w:val="et"/>
              </w:rPr>
              <w:t>MEDDEV 2.12/1 Rev8</w:t>
            </w:r>
          </w:p>
        </w:tc>
        <w:tc>
          <w:tcPr>
            <w:tcW w:w="3871" w:type="pct"/>
            <w:vAlign w:val="center"/>
          </w:tcPr>
          <w:p w14:paraId="1F13D90E" w14:textId="77777777" w:rsidR="00586415" w:rsidRPr="009461CC" w:rsidRDefault="00586415" w:rsidP="00EE1B51">
            <w:pPr>
              <w:spacing w:after="0" w:afterAutospacing="0"/>
              <w:rPr>
                <w:rFonts w:cs="Times New Roman"/>
                <w:sz w:val="22"/>
              </w:rPr>
            </w:pPr>
            <w:r>
              <w:rPr>
                <w:rFonts w:cs="Times New Roman"/>
                <w:sz w:val="22"/>
                <w:lang w:val="et"/>
              </w:rPr>
              <w:t>Juhised meditsiiniseadmete valvsussüsteemi kohta</w:t>
            </w:r>
          </w:p>
        </w:tc>
      </w:tr>
    </w:tbl>
    <w:p w14:paraId="06B25AF7" w14:textId="77777777" w:rsidR="00582286" w:rsidRPr="009461CC" w:rsidRDefault="00582286" w:rsidP="000A23CB">
      <w:pPr>
        <w:spacing w:after="0" w:afterAutospacing="0" w:line="240" w:lineRule="auto"/>
        <w:rPr>
          <w:rFonts w:cs="Times New Roman"/>
        </w:rPr>
      </w:pPr>
    </w:p>
    <w:p w14:paraId="6F757B16" w14:textId="77777777" w:rsidR="00601F87" w:rsidRPr="009461CC" w:rsidRDefault="00601F87" w:rsidP="000A23CB">
      <w:pPr>
        <w:spacing w:after="0" w:afterAutospacing="0" w:line="240" w:lineRule="auto"/>
        <w:rPr>
          <w:rFonts w:cs="Times New Roman"/>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22741333"/>
      <w:r>
        <w:rPr>
          <w:rFonts w:cs="Times New Roman"/>
          <w:bCs/>
          <w:lang w:val="et"/>
        </w:rPr>
        <w:t>Muudatuste ajalugu</w:t>
      </w:r>
      <w:bookmarkEnd w:id="80"/>
      <w:bookmarkEnd w:id="81"/>
    </w:p>
    <w:tbl>
      <w:tblPr>
        <w:tblStyle w:val="TableGrid"/>
        <w:tblW w:w="5000" w:type="pct"/>
        <w:tblLook w:val="04A0" w:firstRow="1" w:lastRow="0" w:firstColumn="1" w:lastColumn="0" w:noHBand="0" w:noVBand="1"/>
      </w:tblPr>
      <w:tblGrid>
        <w:gridCol w:w="1197"/>
        <w:gridCol w:w="1512"/>
        <w:gridCol w:w="4817"/>
        <w:gridCol w:w="2904"/>
      </w:tblGrid>
      <w:tr w:rsidR="00601F87" w:rsidRPr="009461CC" w14:paraId="5B6BFC55" w14:textId="77777777" w:rsidTr="00293453">
        <w:tc>
          <w:tcPr>
            <w:tcW w:w="575" w:type="pct"/>
          </w:tcPr>
          <w:p w14:paraId="2E035377" w14:textId="77777777" w:rsidR="00601F87" w:rsidRPr="009461CC" w:rsidRDefault="00601F87" w:rsidP="00293453">
            <w:pPr>
              <w:spacing w:after="0" w:afterAutospacing="0"/>
              <w:rPr>
                <w:rFonts w:cs="Times New Roman"/>
                <w:b/>
                <w:sz w:val="22"/>
              </w:rPr>
            </w:pPr>
            <w:r>
              <w:rPr>
                <w:rFonts w:cs="Times New Roman"/>
                <w:b/>
                <w:bCs/>
                <w:sz w:val="22"/>
                <w:lang w:val="et"/>
              </w:rPr>
              <w:t>Muudatus</w:t>
            </w:r>
          </w:p>
        </w:tc>
        <w:tc>
          <w:tcPr>
            <w:tcW w:w="722" w:type="pct"/>
          </w:tcPr>
          <w:p w14:paraId="50A5C536" w14:textId="77777777" w:rsidR="00601F87" w:rsidRPr="009461CC" w:rsidRDefault="00601F87" w:rsidP="00293453">
            <w:pPr>
              <w:spacing w:after="0" w:afterAutospacing="0"/>
              <w:rPr>
                <w:rFonts w:cs="Times New Roman"/>
                <w:b/>
                <w:sz w:val="22"/>
              </w:rPr>
            </w:pPr>
            <w:r>
              <w:rPr>
                <w:rFonts w:cs="Times New Roman"/>
                <w:b/>
                <w:bCs/>
                <w:sz w:val="22"/>
                <w:lang w:val="et"/>
              </w:rPr>
              <w:t>Väljaandmise kuupäev</w:t>
            </w:r>
          </w:p>
        </w:tc>
        <w:tc>
          <w:tcPr>
            <w:tcW w:w="2310" w:type="pct"/>
          </w:tcPr>
          <w:p w14:paraId="028B7F50" w14:textId="77777777" w:rsidR="00601F87" w:rsidRPr="009461CC" w:rsidRDefault="00601F87" w:rsidP="00293453">
            <w:pPr>
              <w:spacing w:after="0" w:afterAutospacing="0"/>
              <w:rPr>
                <w:rFonts w:cs="Times New Roman"/>
                <w:b/>
                <w:sz w:val="22"/>
              </w:rPr>
            </w:pPr>
            <w:r>
              <w:rPr>
                <w:rFonts w:cs="Times New Roman"/>
                <w:b/>
                <w:bCs/>
                <w:sz w:val="22"/>
                <w:lang w:val="et"/>
              </w:rPr>
              <w:t>Muudatuse kirjeldus</w:t>
            </w:r>
          </w:p>
        </w:tc>
        <w:tc>
          <w:tcPr>
            <w:tcW w:w="1393" w:type="pct"/>
          </w:tcPr>
          <w:p w14:paraId="3C9FD99C" w14:textId="77777777" w:rsidR="00601F87" w:rsidRPr="009461CC" w:rsidRDefault="00601F87" w:rsidP="00293453">
            <w:pPr>
              <w:spacing w:after="0" w:afterAutospacing="0"/>
              <w:rPr>
                <w:rFonts w:cs="Times New Roman"/>
                <w:b/>
                <w:sz w:val="22"/>
              </w:rPr>
            </w:pPr>
            <w:r>
              <w:rPr>
                <w:rFonts w:cs="Times New Roman"/>
                <w:b/>
                <w:bCs/>
                <w:sz w:val="22"/>
                <w:lang w:val="et"/>
              </w:rPr>
              <w:t>Kas redaktsioon on teavitatud asutuse poolt kinnitatud?</w:t>
            </w:r>
          </w:p>
        </w:tc>
      </w:tr>
      <w:tr w:rsidR="00601F87" w:rsidRPr="009461CC" w14:paraId="16EC10C7" w14:textId="77777777" w:rsidTr="00293453">
        <w:tc>
          <w:tcPr>
            <w:tcW w:w="575" w:type="pct"/>
          </w:tcPr>
          <w:p w14:paraId="58BC1E5F" w14:textId="77777777" w:rsidR="00601F87" w:rsidRPr="009461CC" w:rsidRDefault="00601F87" w:rsidP="00293453">
            <w:pPr>
              <w:spacing w:after="0" w:afterAutospacing="0"/>
              <w:rPr>
                <w:rFonts w:cs="Times New Roman"/>
                <w:sz w:val="22"/>
              </w:rPr>
            </w:pPr>
            <w:r>
              <w:rPr>
                <w:rFonts w:cs="Times New Roman"/>
                <w:sz w:val="22"/>
                <w:lang w:val="et"/>
              </w:rPr>
              <w:t>A</w:t>
            </w:r>
          </w:p>
        </w:tc>
        <w:tc>
          <w:tcPr>
            <w:tcW w:w="722" w:type="pct"/>
          </w:tcPr>
          <w:p w14:paraId="6A81A9AF" w14:textId="0474754D" w:rsidR="00601F87" w:rsidRPr="009461CC" w:rsidRDefault="002069F1" w:rsidP="00293453">
            <w:pPr>
              <w:spacing w:after="0" w:afterAutospacing="0"/>
              <w:rPr>
                <w:rFonts w:cs="Times New Roman"/>
                <w:iCs/>
                <w:sz w:val="22"/>
              </w:rPr>
            </w:pPr>
            <w:r>
              <w:rPr>
                <w:rFonts w:cs="Times New Roman"/>
                <w:sz w:val="22"/>
                <w:lang w:val="et"/>
              </w:rPr>
              <w:t>22. mai 2022</w:t>
            </w:r>
          </w:p>
        </w:tc>
        <w:tc>
          <w:tcPr>
            <w:tcW w:w="2310" w:type="pct"/>
          </w:tcPr>
          <w:p w14:paraId="0B577D70" w14:textId="77777777" w:rsidR="00601F87" w:rsidRPr="003C53D0" w:rsidRDefault="00601F87" w:rsidP="00293453">
            <w:pPr>
              <w:spacing w:after="0" w:afterAutospacing="0"/>
              <w:rPr>
                <w:rFonts w:cs="Times New Roman"/>
                <w:sz w:val="22"/>
                <w:lang w:val="pt-BR"/>
              </w:rPr>
            </w:pPr>
            <w:r>
              <w:rPr>
                <w:rFonts w:cs="Times New Roman"/>
                <w:sz w:val="22"/>
                <w:lang w:val="et"/>
              </w:rPr>
              <w:t>Algne sisemine väljalase – BSI poolt valideerimata</w:t>
            </w:r>
          </w:p>
        </w:tc>
        <w:tc>
          <w:tcPr>
            <w:tcW w:w="1393" w:type="pct"/>
          </w:tcPr>
          <w:p w14:paraId="3673E384" w14:textId="77777777" w:rsidR="00601F87" w:rsidRPr="009461CC" w:rsidRDefault="00000000" w:rsidP="00293453">
            <w:pPr>
              <w:spacing w:after="0" w:afterAutospacing="0"/>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sidR="00C43C0B">
                  <w:rPr>
                    <w:rFonts w:ascii="Segoe UI Symbol" w:eastAsia="MS Gothic" w:hAnsi="Segoe UI Symbol" w:cs="Segoe UI Symbol"/>
                    <w:sz w:val="22"/>
                    <w:lang w:val="et"/>
                  </w:rPr>
                  <w:t>☒</w:t>
                </w:r>
              </w:sdtContent>
            </w:sdt>
            <w:r w:rsidR="00C43C0B">
              <w:rPr>
                <w:rFonts w:eastAsia="MS Gothic"/>
                <w:sz w:val="22"/>
                <w:lang w:val="et"/>
              </w:rPr>
              <w:t xml:space="preserve"> Ainult sisemiseks kasutamiseks</w:t>
            </w:r>
          </w:p>
        </w:tc>
      </w:tr>
      <w:tr w:rsidR="00601F87" w:rsidRPr="009461CC" w14:paraId="253ED939" w14:textId="77777777" w:rsidTr="00293453">
        <w:tc>
          <w:tcPr>
            <w:tcW w:w="575" w:type="pct"/>
          </w:tcPr>
          <w:p w14:paraId="794C6341" w14:textId="77777777" w:rsidR="00601F87" w:rsidRPr="009461CC" w:rsidRDefault="00601F87" w:rsidP="00293453">
            <w:pPr>
              <w:spacing w:after="0" w:afterAutospacing="0"/>
              <w:rPr>
                <w:rFonts w:cs="Times New Roman"/>
                <w:sz w:val="22"/>
              </w:rPr>
            </w:pPr>
            <w:r>
              <w:rPr>
                <w:rFonts w:cs="Times New Roman"/>
                <w:sz w:val="22"/>
                <w:lang w:val="et"/>
              </w:rPr>
              <w:t xml:space="preserve">B </w:t>
            </w:r>
          </w:p>
        </w:tc>
        <w:tc>
          <w:tcPr>
            <w:tcW w:w="722" w:type="pct"/>
          </w:tcPr>
          <w:p w14:paraId="4E93CA05" w14:textId="47A5412E" w:rsidR="00601F87" w:rsidRPr="009461CC" w:rsidRDefault="00624761" w:rsidP="00293453">
            <w:pPr>
              <w:spacing w:after="0" w:afterAutospacing="0"/>
              <w:rPr>
                <w:rFonts w:cs="Times New Roman"/>
                <w:iCs/>
                <w:sz w:val="22"/>
              </w:rPr>
            </w:pPr>
            <w:r>
              <w:rPr>
                <w:rFonts w:cs="Times New Roman"/>
                <w:sz w:val="22"/>
                <w:lang w:val="et"/>
              </w:rPr>
              <w:t xml:space="preserve">15. september 2025 </w:t>
            </w:r>
          </w:p>
          <w:p w14:paraId="76ECF0BB" w14:textId="21F4F941" w:rsidR="00601F87" w:rsidRPr="009461CC" w:rsidRDefault="00601F87" w:rsidP="00293453">
            <w:pPr>
              <w:spacing w:after="0" w:afterAutospacing="0"/>
              <w:rPr>
                <w:rFonts w:cs="Times New Roman"/>
                <w:iCs/>
                <w:sz w:val="22"/>
              </w:rPr>
            </w:pPr>
          </w:p>
        </w:tc>
        <w:tc>
          <w:tcPr>
            <w:tcW w:w="2310" w:type="pct"/>
          </w:tcPr>
          <w:p w14:paraId="7ADC2C3E" w14:textId="77777777" w:rsidR="00601F87" w:rsidRPr="009461CC" w:rsidRDefault="00601F87" w:rsidP="00293453">
            <w:pPr>
              <w:spacing w:after="0" w:afterAutospacing="0"/>
              <w:rPr>
                <w:rFonts w:cs="Times New Roman"/>
                <w:sz w:val="22"/>
              </w:rPr>
            </w:pPr>
            <w:r>
              <w:rPr>
                <w:rFonts w:cs="Times New Roman"/>
                <w:sz w:val="22"/>
                <w:lang w:val="et"/>
              </w:rPr>
              <w:t>Algne esitamine BSI-le läbivaatamiseks</w:t>
            </w:r>
          </w:p>
          <w:p w14:paraId="17842BBC" w14:textId="53FA9776" w:rsidR="00601F87" w:rsidRPr="009461CC" w:rsidRDefault="00601F87" w:rsidP="00293453">
            <w:pPr>
              <w:spacing w:after="0" w:afterAutospacing="0"/>
              <w:rPr>
                <w:rFonts w:cs="Times New Roman"/>
                <w:sz w:val="22"/>
              </w:rPr>
            </w:pPr>
            <w:r>
              <w:rPr>
                <w:rFonts w:cs="Times New Roman"/>
                <w:sz w:val="22"/>
                <w:lang w:val="et"/>
              </w:rPr>
              <w:t xml:space="preserve"> </w:t>
            </w:r>
          </w:p>
        </w:tc>
        <w:tc>
          <w:tcPr>
            <w:tcW w:w="1393" w:type="pct"/>
          </w:tcPr>
          <w:p w14:paraId="0FC9FC92" w14:textId="465431A0" w:rsidR="006D6EA3" w:rsidRPr="009461CC" w:rsidRDefault="00000000" w:rsidP="006D6EA3">
            <w:pPr>
              <w:spacing w:after="0" w:afterAutospacing="0"/>
              <w:rPr>
                <w:rFonts w:cs="Times New Roman"/>
                <w:sz w:val="22"/>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sidR="00C43C0B">
                  <w:rPr>
                    <w:rFonts w:ascii="Segoe UI Symbol" w:eastAsia="MS Gothic" w:hAnsi="Segoe UI Symbol" w:cs="Segoe UI Symbol"/>
                    <w:sz w:val="22"/>
                    <w:lang w:val="et"/>
                  </w:rPr>
                  <w:t>☒</w:t>
                </w:r>
              </w:sdtContent>
            </w:sdt>
            <w:r w:rsidR="00C43C0B">
              <w:rPr>
                <w:rFonts w:eastAsia="MS Gothic"/>
                <w:sz w:val="22"/>
                <w:lang w:val="et"/>
              </w:rPr>
              <w:t xml:space="preserve"> Jah </w:t>
            </w:r>
          </w:p>
          <w:p w14:paraId="52EB2E13" w14:textId="77777777" w:rsidR="006D6EA3" w:rsidRPr="009461CC" w:rsidRDefault="006D6EA3" w:rsidP="006D6EA3">
            <w:pPr>
              <w:spacing w:after="0" w:afterAutospacing="0"/>
              <w:rPr>
                <w:rFonts w:cs="Times New Roman"/>
                <w:sz w:val="22"/>
              </w:rPr>
            </w:pPr>
            <w:r>
              <w:rPr>
                <w:rFonts w:cs="Times New Roman"/>
                <w:sz w:val="22"/>
                <w:lang w:val="et"/>
              </w:rPr>
              <w:t xml:space="preserve">Kinnitamise keel: </w:t>
            </w:r>
          </w:p>
          <w:p w14:paraId="293F45BE" w14:textId="789551FE" w:rsidR="00CA46B0" w:rsidRPr="009461CC" w:rsidRDefault="006D6EA3" w:rsidP="006D6EA3">
            <w:pPr>
              <w:spacing w:after="0" w:afterAutospacing="0"/>
              <w:rPr>
                <w:rFonts w:cs="Times New Roman"/>
                <w:sz w:val="22"/>
              </w:rPr>
            </w:pPr>
            <w:r>
              <w:rPr>
                <w:rFonts w:cs="Times New Roman"/>
                <w:sz w:val="22"/>
                <w:lang w:val="et"/>
              </w:rPr>
              <w:t>Eesti</w:t>
            </w:r>
          </w:p>
          <w:p w14:paraId="2C6B2388" w14:textId="3512D480" w:rsidR="00601F87" w:rsidRPr="009461CC" w:rsidRDefault="006D6EA3" w:rsidP="006D6EA3">
            <w:pPr>
              <w:spacing w:after="0" w:afterAutospacing="0"/>
              <w:rPr>
                <w:rFonts w:cs="Times New Roman"/>
                <w:sz w:val="22"/>
                <w:highlight w:val="yellow"/>
              </w:rPr>
            </w:pPr>
            <w:r>
              <w:rPr>
                <w:rFonts w:ascii="Segoe UI Symbol" w:hAnsi="Segoe UI Symbol"/>
                <w:sz w:val="22"/>
                <w:lang w:val="et"/>
              </w:rPr>
              <w:t>☐</w:t>
            </w:r>
            <w:r>
              <w:rPr>
                <w:sz w:val="22"/>
                <w:lang w:val="et"/>
              </w:rPr>
              <w:t xml:space="preserve"> Ei (kehtib ainult IIa klassi või mõne IIb klassi siirdatava seadme puhul, mille ohutuse ja kliinilise toimivuse kokkuvõte </w:t>
            </w:r>
            <w:r w:rsidR="00423B76">
              <w:rPr>
                <w:sz w:val="22"/>
                <w:lang w:val="et"/>
              </w:rPr>
              <w:t xml:space="preserve">(SSCP) </w:t>
            </w:r>
            <w:r>
              <w:rPr>
                <w:sz w:val="22"/>
                <w:lang w:val="et"/>
              </w:rPr>
              <w:t xml:space="preserve">pole veel teavitava asutuse </w:t>
            </w:r>
            <w:r w:rsidR="00423B76">
              <w:rPr>
                <w:sz w:val="22"/>
                <w:lang w:val="et"/>
              </w:rPr>
              <w:t xml:space="preserve">(NB) </w:t>
            </w:r>
            <w:r>
              <w:rPr>
                <w:sz w:val="22"/>
                <w:lang w:val="et"/>
              </w:rPr>
              <w:t>poolt kinnitatud)</w:t>
            </w:r>
          </w:p>
        </w:tc>
      </w:tr>
    </w:tbl>
    <w:p w14:paraId="05B94FC3" w14:textId="73ABFCCD" w:rsidR="00601F87" w:rsidRPr="009461CC" w:rsidRDefault="00601F87" w:rsidP="00601F87">
      <w:pPr>
        <w:tabs>
          <w:tab w:val="left" w:pos="3633"/>
        </w:tabs>
        <w:rPr>
          <w:rFonts w:cs="Times New Roman"/>
        </w:rPr>
      </w:pPr>
    </w:p>
    <w:sectPr w:rsidR="00601F87" w:rsidRPr="009461CC" w:rsidSect="008018FA">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A567" w14:textId="77777777" w:rsidR="002A5C7F" w:rsidRDefault="002A5C7F" w:rsidP="009855C3">
      <w:r>
        <w:separator/>
      </w:r>
    </w:p>
  </w:endnote>
  <w:endnote w:type="continuationSeparator" w:id="0">
    <w:p w14:paraId="3C1A6938" w14:textId="77777777" w:rsidR="002A5C7F" w:rsidRDefault="002A5C7F"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42C8154E" w:rsidR="00BE3D15" w:rsidRPr="00F44E82" w:rsidRDefault="003036AD" w:rsidP="009855C3">
    <w:pPr>
      <w:pStyle w:val="Footer"/>
      <w:rPr>
        <w:szCs w:val="24"/>
      </w:rPr>
    </w:pPr>
    <w:r>
      <w:rPr>
        <w:b/>
        <w:bCs/>
        <w:sz w:val="18"/>
        <w:szCs w:val="18"/>
        <w:lang w:val="et"/>
      </w:rPr>
      <w:t xml:space="preserve">CAQ-QA-025-F1 </w:t>
    </w:r>
    <w:r>
      <w:rPr>
        <w:b/>
        <w:bCs/>
        <w:sz w:val="18"/>
        <w:szCs w:val="18"/>
        <w:lang w:val="et"/>
      </w:rPr>
      <w:t xml:space="preserve">Rev </w:t>
    </w:r>
    <w:r w:rsidR="004226BB">
      <w:rPr>
        <w:b/>
        <w:bCs/>
        <w:sz w:val="18"/>
        <w:szCs w:val="18"/>
        <w:lang w:val="et"/>
      </w:rPr>
      <w:t>G</w:t>
    </w:r>
    <w:r>
      <w:rPr>
        <w:b/>
        <w:bCs/>
        <w:sz w:val="18"/>
        <w:szCs w:val="18"/>
        <w:lang w:val="et"/>
      </w:rPr>
      <w:t>: Ohutuse ja kliinilise toimivuse kokkuvõte (SSCP)</w:t>
    </w:r>
    <w:r>
      <w:rPr>
        <w:lang w:val="et"/>
      </w:rPr>
      <w:t xml:space="preserve"> </w:t>
    </w:r>
    <w:r>
      <w:rPr>
        <w:lang w:val="et"/>
      </w:rPr>
      <w:tab/>
      <w:t xml:space="preserve">Lk </w:t>
    </w:r>
    <w:r>
      <w:rPr>
        <w:lang w:val="et"/>
      </w:rPr>
      <w:fldChar w:fldCharType="begin"/>
    </w:r>
    <w:r>
      <w:rPr>
        <w:lang w:val="et"/>
      </w:rPr>
      <w:instrText xml:space="preserve"> PAGE  \* Arabic </w:instrText>
    </w:r>
    <w:r>
      <w:rPr>
        <w:lang w:val="et"/>
      </w:rPr>
      <w:fldChar w:fldCharType="separate"/>
    </w:r>
    <w:r>
      <w:rPr>
        <w:lang w:val="et"/>
      </w:rPr>
      <w:t>0</w:t>
    </w:r>
    <w:r>
      <w:rPr>
        <w:lang w:val="et"/>
      </w:rPr>
      <w:fldChar w:fldCharType="end"/>
    </w:r>
    <w:r>
      <w:rPr>
        <w:lang w:val="et"/>
      </w:rPr>
      <w:t>/</w:t>
    </w:r>
    <w:r>
      <w:fldChar w:fldCharType="begin"/>
    </w:r>
    <w:r>
      <w:instrText xml:space="preserve"> NUMPAGES  </w:instrText>
    </w:r>
    <w:r>
      <w:fldChar w:fldCharType="separate"/>
    </w:r>
    <w:r>
      <w:rPr>
        <w:lang w:val="et"/>
      </w:rPr>
      <w:t>12</w:t>
    </w:r>
    <w:r>
      <w:rPr>
        <w:lang w:val="et"/>
      </w:rPr>
      <w:fldChar w:fldCharType="end"/>
    </w:r>
    <w:r>
      <w:rPr>
        <w:lang w:val="et"/>
      </w:rPr>
      <w:t xml:space="preserve">  </w:t>
    </w:r>
    <w:r>
      <w:rPr>
        <w:lang w:val="et"/>
      </w:rPr>
      <w:tab/>
    </w:r>
    <w:r>
      <w:rPr>
        <w:lang w:val="e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7664" w14:textId="77777777" w:rsidR="002A5C7F" w:rsidRDefault="002A5C7F" w:rsidP="009855C3">
      <w:r>
        <w:separator/>
      </w:r>
    </w:p>
  </w:footnote>
  <w:footnote w:type="continuationSeparator" w:id="0">
    <w:p w14:paraId="23AD893C" w14:textId="77777777" w:rsidR="002A5C7F" w:rsidRDefault="002A5C7F"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et"/>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et"/>
            </w:rPr>
            <w:t>Ohutuse ja kliinilise toimivuse kokkuvõte (SSCP)</w:t>
          </w:r>
        </w:p>
        <w:p w14:paraId="3BB3B2B1" w14:textId="3421CAC7" w:rsidR="009F5769" w:rsidRPr="00283E95" w:rsidRDefault="009F5769" w:rsidP="009F5769">
          <w:pPr>
            <w:spacing w:after="0" w:afterAutospacing="0"/>
            <w:rPr>
              <w:rFonts w:ascii="Arial" w:hAnsi="Arial" w:cs="Arial"/>
              <w:sz w:val="18"/>
              <w:szCs w:val="18"/>
              <w:lang w:val="de-DE"/>
            </w:rPr>
          </w:pPr>
          <w:r>
            <w:rPr>
              <w:rFonts w:ascii="Arial" w:hAnsi="Arial" w:cs="Arial"/>
              <w:b/>
              <w:bCs/>
              <w:sz w:val="18"/>
              <w:szCs w:val="18"/>
              <w:lang w:val="et"/>
            </w:rPr>
            <w:t xml:space="preserve">SSCP-0006: </w:t>
          </w:r>
          <w:bookmarkStart w:id="82" w:name="_Hlk196721157"/>
          <w:r>
            <w:rPr>
              <w:rFonts w:ascii="Arial" w:hAnsi="Arial" w:cs="Arial"/>
              <w:sz w:val="18"/>
              <w:szCs w:val="18"/>
              <w:lang w:val="et"/>
            </w:rPr>
            <w:t>vaskulaarne silmusekomplekt Atrieve Snare</w:t>
          </w:r>
          <w:bookmarkEnd w:id="82"/>
        </w:p>
        <w:p w14:paraId="32066318" w14:textId="5996CDC6" w:rsidR="005450DC" w:rsidRPr="00283E95" w:rsidRDefault="005450DC" w:rsidP="005450DC">
          <w:pPr>
            <w:spacing w:after="0" w:afterAutospacing="0"/>
            <w:rPr>
              <w:rFonts w:ascii="Arial" w:hAnsi="Arial" w:cs="Arial"/>
              <w:sz w:val="18"/>
              <w:szCs w:val="18"/>
              <w:lang w:val="de-DE"/>
            </w:rPr>
          </w:pPr>
          <w:r>
            <w:rPr>
              <w:rFonts w:ascii="Arial" w:hAnsi="Arial" w:cs="Arial"/>
              <w:sz w:val="18"/>
              <w:szCs w:val="18"/>
              <w:lang w:val="et"/>
            </w:rPr>
            <w:t>Redaktsioon: B</w:t>
          </w:r>
        </w:p>
        <w:p w14:paraId="2F5F8390" w14:textId="0ABFBBD1" w:rsidR="005450DC" w:rsidRPr="00B62140" w:rsidRDefault="005450DC" w:rsidP="005450DC">
          <w:pPr>
            <w:pStyle w:val="Header"/>
            <w:jc w:val="left"/>
            <w:rPr>
              <w:rFonts w:ascii="Arial" w:hAnsi="Arial" w:cs="Arial"/>
              <w:sz w:val="18"/>
            </w:rPr>
          </w:pPr>
          <w:r>
            <w:rPr>
              <w:rFonts w:ascii="Calibri" w:eastAsiaTheme="minorHAnsi" w:hAnsi="Calibri" w:cs="Calibri"/>
              <w:sz w:val="18"/>
              <w:szCs w:val="18"/>
              <w:lang w:val="et"/>
            </w:rPr>
            <w:t>Argoni asukoht: kõik asukohad</w:t>
          </w:r>
        </w:p>
      </w:tc>
    </w:tr>
  </w:tbl>
  <w:p w14:paraId="0BD58B4F" w14:textId="7DA38D57" w:rsidR="00B62140" w:rsidRDefault="00B62140"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1734"/>
    <w:rsid w:val="00006459"/>
    <w:rsid w:val="00011045"/>
    <w:rsid w:val="00012E12"/>
    <w:rsid w:val="000167B6"/>
    <w:rsid w:val="00017BF4"/>
    <w:rsid w:val="00021D6F"/>
    <w:rsid w:val="00021E83"/>
    <w:rsid w:val="0002755B"/>
    <w:rsid w:val="00034879"/>
    <w:rsid w:val="000379B4"/>
    <w:rsid w:val="00042B91"/>
    <w:rsid w:val="00047250"/>
    <w:rsid w:val="000508D2"/>
    <w:rsid w:val="00050F24"/>
    <w:rsid w:val="0005411A"/>
    <w:rsid w:val="00057D5B"/>
    <w:rsid w:val="000628F7"/>
    <w:rsid w:val="00063367"/>
    <w:rsid w:val="00076AE4"/>
    <w:rsid w:val="00076F70"/>
    <w:rsid w:val="000774DD"/>
    <w:rsid w:val="00080FF8"/>
    <w:rsid w:val="000857E5"/>
    <w:rsid w:val="000920E7"/>
    <w:rsid w:val="000975C6"/>
    <w:rsid w:val="000A1236"/>
    <w:rsid w:val="000A23CB"/>
    <w:rsid w:val="000A25FA"/>
    <w:rsid w:val="000A5EBD"/>
    <w:rsid w:val="000A6E93"/>
    <w:rsid w:val="000B3E80"/>
    <w:rsid w:val="000B6CF0"/>
    <w:rsid w:val="000C41AC"/>
    <w:rsid w:val="000C5F93"/>
    <w:rsid w:val="000C633A"/>
    <w:rsid w:val="000C71C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33FE3"/>
    <w:rsid w:val="00142B70"/>
    <w:rsid w:val="00142D15"/>
    <w:rsid w:val="001440E1"/>
    <w:rsid w:val="001475A8"/>
    <w:rsid w:val="00151F01"/>
    <w:rsid w:val="001533A4"/>
    <w:rsid w:val="00153AD9"/>
    <w:rsid w:val="00154AAA"/>
    <w:rsid w:val="00155220"/>
    <w:rsid w:val="0015690A"/>
    <w:rsid w:val="00156CF3"/>
    <w:rsid w:val="00162917"/>
    <w:rsid w:val="00162923"/>
    <w:rsid w:val="00165A00"/>
    <w:rsid w:val="001861C6"/>
    <w:rsid w:val="00187CF5"/>
    <w:rsid w:val="001919D6"/>
    <w:rsid w:val="00191ED2"/>
    <w:rsid w:val="001A3916"/>
    <w:rsid w:val="001A7EA5"/>
    <w:rsid w:val="001B4005"/>
    <w:rsid w:val="001B6D13"/>
    <w:rsid w:val="001C4303"/>
    <w:rsid w:val="001C43C6"/>
    <w:rsid w:val="001D1887"/>
    <w:rsid w:val="001D7B25"/>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BDB"/>
    <w:rsid w:val="00221CEF"/>
    <w:rsid w:val="00226C45"/>
    <w:rsid w:val="002277B9"/>
    <w:rsid w:val="00230011"/>
    <w:rsid w:val="002351E5"/>
    <w:rsid w:val="00235AAE"/>
    <w:rsid w:val="00237870"/>
    <w:rsid w:val="00242075"/>
    <w:rsid w:val="00243417"/>
    <w:rsid w:val="00250077"/>
    <w:rsid w:val="002538C9"/>
    <w:rsid w:val="00257EE2"/>
    <w:rsid w:val="002669BD"/>
    <w:rsid w:val="00272B97"/>
    <w:rsid w:val="00272DEA"/>
    <w:rsid w:val="00273413"/>
    <w:rsid w:val="00275A67"/>
    <w:rsid w:val="00277426"/>
    <w:rsid w:val="00280A53"/>
    <w:rsid w:val="00283E95"/>
    <w:rsid w:val="002849C4"/>
    <w:rsid w:val="00290AFE"/>
    <w:rsid w:val="002914F4"/>
    <w:rsid w:val="00291A3E"/>
    <w:rsid w:val="00297A62"/>
    <w:rsid w:val="002A1AF1"/>
    <w:rsid w:val="002A24E8"/>
    <w:rsid w:val="002A5C7F"/>
    <w:rsid w:val="002A75DC"/>
    <w:rsid w:val="002B2F38"/>
    <w:rsid w:val="002D4833"/>
    <w:rsid w:val="002D4C43"/>
    <w:rsid w:val="002D6103"/>
    <w:rsid w:val="002D6725"/>
    <w:rsid w:val="002D6AD2"/>
    <w:rsid w:val="002E59B4"/>
    <w:rsid w:val="002F199B"/>
    <w:rsid w:val="002F2571"/>
    <w:rsid w:val="002F344E"/>
    <w:rsid w:val="002F37BF"/>
    <w:rsid w:val="002F39DB"/>
    <w:rsid w:val="00300E25"/>
    <w:rsid w:val="00300FC0"/>
    <w:rsid w:val="003036AD"/>
    <w:rsid w:val="003074B3"/>
    <w:rsid w:val="00314ACD"/>
    <w:rsid w:val="0032368A"/>
    <w:rsid w:val="0032597E"/>
    <w:rsid w:val="003326A4"/>
    <w:rsid w:val="00335020"/>
    <w:rsid w:val="00335181"/>
    <w:rsid w:val="0033663C"/>
    <w:rsid w:val="0034308B"/>
    <w:rsid w:val="0034606E"/>
    <w:rsid w:val="003513E0"/>
    <w:rsid w:val="00354365"/>
    <w:rsid w:val="003663A1"/>
    <w:rsid w:val="0037316E"/>
    <w:rsid w:val="00375370"/>
    <w:rsid w:val="0037599D"/>
    <w:rsid w:val="00375CFE"/>
    <w:rsid w:val="00376A92"/>
    <w:rsid w:val="00376AAD"/>
    <w:rsid w:val="00380316"/>
    <w:rsid w:val="00383678"/>
    <w:rsid w:val="00384B21"/>
    <w:rsid w:val="003859AF"/>
    <w:rsid w:val="003859DA"/>
    <w:rsid w:val="00386F47"/>
    <w:rsid w:val="003912E5"/>
    <w:rsid w:val="00392D5B"/>
    <w:rsid w:val="00394151"/>
    <w:rsid w:val="003951DC"/>
    <w:rsid w:val="00395788"/>
    <w:rsid w:val="00395FDB"/>
    <w:rsid w:val="003966BD"/>
    <w:rsid w:val="00397AE0"/>
    <w:rsid w:val="003A26B9"/>
    <w:rsid w:val="003A3A2E"/>
    <w:rsid w:val="003A3DB1"/>
    <w:rsid w:val="003B4C77"/>
    <w:rsid w:val="003B5B28"/>
    <w:rsid w:val="003B70D7"/>
    <w:rsid w:val="003C53D0"/>
    <w:rsid w:val="003D14D1"/>
    <w:rsid w:val="003D4104"/>
    <w:rsid w:val="003D63DA"/>
    <w:rsid w:val="003E5476"/>
    <w:rsid w:val="003F2EB4"/>
    <w:rsid w:val="003F3F3C"/>
    <w:rsid w:val="003F5F86"/>
    <w:rsid w:val="004065D7"/>
    <w:rsid w:val="00416CD4"/>
    <w:rsid w:val="004226BB"/>
    <w:rsid w:val="004235A7"/>
    <w:rsid w:val="00423B76"/>
    <w:rsid w:val="004241FB"/>
    <w:rsid w:val="004263BF"/>
    <w:rsid w:val="0043056A"/>
    <w:rsid w:val="004329F3"/>
    <w:rsid w:val="00433305"/>
    <w:rsid w:val="00441215"/>
    <w:rsid w:val="0044138A"/>
    <w:rsid w:val="00442087"/>
    <w:rsid w:val="004430BE"/>
    <w:rsid w:val="004433FD"/>
    <w:rsid w:val="00446152"/>
    <w:rsid w:val="004466ED"/>
    <w:rsid w:val="00453251"/>
    <w:rsid w:val="00453B44"/>
    <w:rsid w:val="00454296"/>
    <w:rsid w:val="0045431D"/>
    <w:rsid w:val="004553D9"/>
    <w:rsid w:val="00465F4B"/>
    <w:rsid w:val="00466071"/>
    <w:rsid w:val="00466981"/>
    <w:rsid w:val="004673EB"/>
    <w:rsid w:val="004678A7"/>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27D9"/>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075DB"/>
    <w:rsid w:val="005104CC"/>
    <w:rsid w:val="0051131D"/>
    <w:rsid w:val="00511B41"/>
    <w:rsid w:val="0051305A"/>
    <w:rsid w:val="00516D79"/>
    <w:rsid w:val="00522664"/>
    <w:rsid w:val="00524D41"/>
    <w:rsid w:val="00525377"/>
    <w:rsid w:val="005257E7"/>
    <w:rsid w:val="0052695A"/>
    <w:rsid w:val="00533C0A"/>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76F6"/>
    <w:rsid w:val="005F1F10"/>
    <w:rsid w:val="005F2B16"/>
    <w:rsid w:val="005F46EE"/>
    <w:rsid w:val="00601F73"/>
    <w:rsid w:val="00601F87"/>
    <w:rsid w:val="00602115"/>
    <w:rsid w:val="006027B7"/>
    <w:rsid w:val="00605BF2"/>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4185"/>
    <w:rsid w:val="00683D4A"/>
    <w:rsid w:val="00686D39"/>
    <w:rsid w:val="00692CDD"/>
    <w:rsid w:val="0069398D"/>
    <w:rsid w:val="006962F2"/>
    <w:rsid w:val="00696541"/>
    <w:rsid w:val="006A4B34"/>
    <w:rsid w:val="006A5C21"/>
    <w:rsid w:val="006B14EA"/>
    <w:rsid w:val="006B2504"/>
    <w:rsid w:val="006B3C71"/>
    <w:rsid w:val="006C0F54"/>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3AC2"/>
    <w:rsid w:val="00725BB8"/>
    <w:rsid w:val="007263BF"/>
    <w:rsid w:val="0072643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1AD8"/>
    <w:rsid w:val="007A2AD5"/>
    <w:rsid w:val="007A47F1"/>
    <w:rsid w:val="007A5226"/>
    <w:rsid w:val="007B0F04"/>
    <w:rsid w:val="007B2D5F"/>
    <w:rsid w:val="007B72EE"/>
    <w:rsid w:val="007C7E15"/>
    <w:rsid w:val="007D1C7D"/>
    <w:rsid w:val="007D5088"/>
    <w:rsid w:val="007D708F"/>
    <w:rsid w:val="007F42BD"/>
    <w:rsid w:val="008002AB"/>
    <w:rsid w:val="008018FA"/>
    <w:rsid w:val="0080432B"/>
    <w:rsid w:val="00804949"/>
    <w:rsid w:val="00805DD8"/>
    <w:rsid w:val="008103FA"/>
    <w:rsid w:val="00812092"/>
    <w:rsid w:val="008170F8"/>
    <w:rsid w:val="0083288A"/>
    <w:rsid w:val="00832C94"/>
    <w:rsid w:val="00832EBC"/>
    <w:rsid w:val="008373C6"/>
    <w:rsid w:val="0084795E"/>
    <w:rsid w:val="00864E1E"/>
    <w:rsid w:val="00873051"/>
    <w:rsid w:val="008730A7"/>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2DA2"/>
    <w:rsid w:val="008C5C2C"/>
    <w:rsid w:val="008C7623"/>
    <w:rsid w:val="008C78ED"/>
    <w:rsid w:val="008D473C"/>
    <w:rsid w:val="008D7F1C"/>
    <w:rsid w:val="008F6E85"/>
    <w:rsid w:val="00900933"/>
    <w:rsid w:val="0090367B"/>
    <w:rsid w:val="00905F56"/>
    <w:rsid w:val="00914027"/>
    <w:rsid w:val="009140CD"/>
    <w:rsid w:val="009141AE"/>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4BA3"/>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26FC"/>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0EB2"/>
    <w:rsid w:val="00A521FD"/>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01D3"/>
    <w:rsid w:val="00AF2584"/>
    <w:rsid w:val="00AF608E"/>
    <w:rsid w:val="00B0012D"/>
    <w:rsid w:val="00B01620"/>
    <w:rsid w:val="00B0256A"/>
    <w:rsid w:val="00B02731"/>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04E0"/>
    <w:rsid w:val="00B9692A"/>
    <w:rsid w:val="00BA7D3E"/>
    <w:rsid w:val="00BB10A1"/>
    <w:rsid w:val="00BB36B1"/>
    <w:rsid w:val="00BB79B1"/>
    <w:rsid w:val="00BC0CD8"/>
    <w:rsid w:val="00BC0CE0"/>
    <w:rsid w:val="00BC3DD7"/>
    <w:rsid w:val="00BD1913"/>
    <w:rsid w:val="00BD7F46"/>
    <w:rsid w:val="00BE0727"/>
    <w:rsid w:val="00BE09C5"/>
    <w:rsid w:val="00BE3D15"/>
    <w:rsid w:val="00BE7E3B"/>
    <w:rsid w:val="00BF13AC"/>
    <w:rsid w:val="00BF53FD"/>
    <w:rsid w:val="00BF7DE6"/>
    <w:rsid w:val="00C00243"/>
    <w:rsid w:val="00C01A53"/>
    <w:rsid w:val="00C0200E"/>
    <w:rsid w:val="00C02BC0"/>
    <w:rsid w:val="00C134BC"/>
    <w:rsid w:val="00C13612"/>
    <w:rsid w:val="00C1549E"/>
    <w:rsid w:val="00C16423"/>
    <w:rsid w:val="00C16D85"/>
    <w:rsid w:val="00C3050A"/>
    <w:rsid w:val="00C361CA"/>
    <w:rsid w:val="00C3745E"/>
    <w:rsid w:val="00C43C0B"/>
    <w:rsid w:val="00C46C3A"/>
    <w:rsid w:val="00C47B0F"/>
    <w:rsid w:val="00C536DC"/>
    <w:rsid w:val="00C53F71"/>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5997"/>
    <w:rsid w:val="00CD6594"/>
    <w:rsid w:val="00CD6EF2"/>
    <w:rsid w:val="00CD76E0"/>
    <w:rsid w:val="00CE3EA4"/>
    <w:rsid w:val="00CE6144"/>
    <w:rsid w:val="00CE7154"/>
    <w:rsid w:val="00CF0AF4"/>
    <w:rsid w:val="00CF6BEB"/>
    <w:rsid w:val="00CF7C5F"/>
    <w:rsid w:val="00D04D39"/>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600D7"/>
    <w:rsid w:val="00D62E8E"/>
    <w:rsid w:val="00D63EAA"/>
    <w:rsid w:val="00D64EA5"/>
    <w:rsid w:val="00D728AE"/>
    <w:rsid w:val="00D75384"/>
    <w:rsid w:val="00D75D87"/>
    <w:rsid w:val="00D760D8"/>
    <w:rsid w:val="00D76341"/>
    <w:rsid w:val="00D82C89"/>
    <w:rsid w:val="00D91CDB"/>
    <w:rsid w:val="00D94089"/>
    <w:rsid w:val="00D96F6A"/>
    <w:rsid w:val="00D979CC"/>
    <w:rsid w:val="00DA4404"/>
    <w:rsid w:val="00DA5FD1"/>
    <w:rsid w:val="00DA6381"/>
    <w:rsid w:val="00DB020C"/>
    <w:rsid w:val="00DB582A"/>
    <w:rsid w:val="00DB74A8"/>
    <w:rsid w:val="00DD13F4"/>
    <w:rsid w:val="00DD54B4"/>
    <w:rsid w:val="00DD7650"/>
    <w:rsid w:val="00DE0007"/>
    <w:rsid w:val="00DE2118"/>
    <w:rsid w:val="00DE3CC0"/>
    <w:rsid w:val="00DE6313"/>
    <w:rsid w:val="00DE6327"/>
    <w:rsid w:val="00DE7FD7"/>
    <w:rsid w:val="00DF0617"/>
    <w:rsid w:val="00DF62DC"/>
    <w:rsid w:val="00E03D31"/>
    <w:rsid w:val="00E11D92"/>
    <w:rsid w:val="00E1442F"/>
    <w:rsid w:val="00E14C97"/>
    <w:rsid w:val="00E213E0"/>
    <w:rsid w:val="00E23984"/>
    <w:rsid w:val="00E269CF"/>
    <w:rsid w:val="00E3060B"/>
    <w:rsid w:val="00E3332E"/>
    <w:rsid w:val="00E352B4"/>
    <w:rsid w:val="00E407A5"/>
    <w:rsid w:val="00E409AE"/>
    <w:rsid w:val="00E41C44"/>
    <w:rsid w:val="00E46137"/>
    <w:rsid w:val="00E479FB"/>
    <w:rsid w:val="00E529DC"/>
    <w:rsid w:val="00E535E2"/>
    <w:rsid w:val="00E541DE"/>
    <w:rsid w:val="00E6379E"/>
    <w:rsid w:val="00E67DD4"/>
    <w:rsid w:val="00E7114E"/>
    <w:rsid w:val="00E714ED"/>
    <w:rsid w:val="00E818B5"/>
    <w:rsid w:val="00E87974"/>
    <w:rsid w:val="00E91403"/>
    <w:rsid w:val="00E950A1"/>
    <w:rsid w:val="00E9587C"/>
    <w:rsid w:val="00EA0589"/>
    <w:rsid w:val="00EA2539"/>
    <w:rsid w:val="00EA2A12"/>
    <w:rsid w:val="00EA34B1"/>
    <w:rsid w:val="00EA386A"/>
    <w:rsid w:val="00EA3F04"/>
    <w:rsid w:val="00EB05F3"/>
    <w:rsid w:val="00EB3CE1"/>
    <w:rsid w:val="00EB4EEE"/>
    <w:rsid w:val="00EB5323"/>
    <w:rsid w:val="00EB55F4"/>
    <w:rsid w:val="00EC009B"/>
    <w:rsid w:val="00EC09EF"/>
    <w:rsid w:val="00EC0A5C"/>
    <w:rsid w:val="00EC0F3C"/>
    <w:rsid w:val="00EC7E67"/>
    <w:rsid w:val="00ED2006"/>
    <w:rsid w:val="00ED2C52"/>
    <w:rsid w:val="00ED57DD"/>
    <w:rsid w:val="00ED6077"/>
    <w:rsid w:val="00ED60E5"/>
    <w:rsid w:val="00EE0A93"/>
    <w:rsid w:val="00EE18FA"/>
    <w:rsid w:val="00EE1B51"/>
    <w:rsid w:val="00EE3541"/>
    <w:rsid w:val="00EF2775"/>
    <w:rsid w:val="00F0588E"/>
    <w:rsid w:val="00F07DD1"/>
    <w:rsid w:val="00F12143"/>
    <w:rsid w:val="00F12464"/>
    <w:rsid w:val="00F12AB9"/>
    <w:rsid w:val="00F1562A"/>
    <w:rsid w:val="00F1569C"/>
    <w:rsid w:val="00F20DD6"/>
    <w:rsid w:val="00F24AE3"/>
    <w:rsid w:val="00F32C32"/>
    <w:rsid w:val="00F332F1"/>
    <w:rsid w:val="00F343C3"/>
    <w:rsid w:val="00F347FB"/>
    <w:rsid w:val="00F3731D"/>
    <w:rsid w:val="00F37F87"/>
    <w:rsid w:val="00F44E82"/>
    <w:rsid w:val="00F501B1"/>
    <w:rsid w:val="00F52353"/>
    <w:rsid w:val="00F56303"/>
    <w:rsid w:val="00F604C9"/>
    <w:rsid w:val="00F63689"/>
    <w:rsid w:val="00F66077"/>
    <w:rsid w:val="00F66E1F"/>
    <w:rsid w:val="00F67A0E"/>
    <w:rsid w:val="00F67D06"/>
    <w:rsid w:val="00F7558C"/>
    <w:rsid w:val="00F761EC"/>
    <w:rsid w:val="00F81CD5"/>
    <w:rsid w:val="00F86E3F"/>
    <w:rsid w:val="00F9112F"/>
    <w:rsid w:val="00FA1D26"/>
    <w:rsid w:val="00FB05F7"/>
    <w:rsid w:val="00FB0A38"/>
    <w:rsid w:val="00FB14AD"/>
    <w:rsid w:val="00FB1FDD"/>
    <w:rsid w:val="00FB59FD"/>
    <w:rsid w:val="00FC52C8"/>
    <w:rsid w:val="00FC5667"/>
    <w:rsid w:val="00FC6DBB"/>
    <w:rsid w:val="00FC7AAE"/>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3C53D0"/>
    <w:pPr>
      <w:widowControl/>
      <w:autoSpaceDE/>
      <w:autoSpaceDN/>
      <w:spacing w:after="100" w:afterAutospacing="1"/>
    </w:pPr>
    <w:rPr>
      <w:rFonts w:ascii="Times New Roman" w:eastAsiaTheme="minorHAnsi" w:hAnsi="Times New Roman" w:cstheme="minorBidi"/>
      <w:b/>
      <w:bCs/>
      <w:lang w:eastAsia="en-GB"/>
    </w:rPr>
  </w:style>
  <w:style w:type="character" w:customStyle="1" w:styleId="CommentSubjectChar">
    <w:name w:val="Comment Subject Char"/>
    <w:basedOn w:val="CommentTextChar"/>
    <w:link w:val="CommentSubject"/>
    <w:uiPriority w:val="99"/>
    <w:semiHidden/>
    <w:rsid w:val="003C53D0"/>
    <w:rPr>
      <w:rFonts w:ascii="Times New Roman" w:eastAsia="Arial" w:hAnsi="Times New Roman"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3.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4.xml><?xml version="1.0" encoding="utf-8"?>
<ds:datastoreItem xmlns:ds="http://schemas.openxmlformats.org/officeDocument/2006/customXml" ds:itemID="{4DB36AD9-7C49-4C9F-8758-EEFFA6AB49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4405</Words>
  <Characters>25110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3</cp:revision>
  <cp:lastPrinted>2026-02-23T12:14:00Z</cp:lastPrinted>
  <dcterms:created xsi:type="dcterms:W3CDTF">2026-02-25T20:39:00Z</dcterms:created>
  <dcterms:modified xsi:type="dcterms:W3CDTF">2026-02-25T22:20:00Z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