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AFE1" w14:textId="77777777" w:rsidR="00175362" w:rsidRDefault="00175362">
      <w:pPr>
        <w:pStyle w:val="BodyText3"/>
        <w:spacing w:after="0" w:afterAutospacing="0"/>
        <w:rPr>
          <w:sz w:val="24"/>
        </w:rPr>
      </w:pPr>
    </w:p>
    <w:p w14:paraId="763409AD" w14:textId="77777777" w:rsidR="00175362" w:rsidRDefault="0059412C">
      <w:pPr>
        <w:pStyle w:val="BodyText3"/>
        <w:spacing w:after="0" w:afterAutospacing="0"/>
      </w:pPr>
      <w:r>
        <w:rPr>
          <w:noProof/>
        </w:rPr>
        <mc:AlternateContent>
          <mc:Choice Requires="wps">
            <w:drawing>
              <wp:anchor distT="25400" distB="35560" distL="25400" distR="41275" simplePos="0" relativeHeight="16" behindDoc="0" locked="0" layoutInCell="1" allowOverlap="1" wp14:anchorId="6FC0C8B7" wp14:editId="78841A03">
                <wp:simplePos x="0" y="0"/>
                <wp:positionH relativeFrom="column">
                  <wp:posOffset>-191135</wp:posOffset>
                </wp:positionH>
                <wp:positionV relativeFrom="paragraph">
                  <wp:posOffset>69215</wp:posOffset>
                </wp:positionV>
                <wp:extent cx="6448425" cy="1285875"/>
                <wp:effectExtent l="29210" t="29210" r="27940" b="27940"/>
                <wp:wrapNone/>
                <wp:docPr id="1" name="Text Box 2"/>
                <wp:cNvGraphicFramePr/>
                <a:graphic xmlns:a="http://schemas.openxmlformats.org/drawingml/2006/main">
                  <a:graphicData uri="http://schemas.microsoft.com/office/word/2010/wordprocessingShape">
                    <wps:wsp>
                      <wps:cNvSpPr/>
                      <wps:spPr>
                        <a:xfrm>
                          <a:off x="0" y="0"/>
                          <a:ext cx="6448320" cy="1285920"/>
                        </a:xfrm>
                        <a:prstGeom prst="rect">
                          <a:avLst/>
                        </a:prstGeom>
                        <a:solidFill>
                          <a:srgbClr val="FFFFFF"/>
                        </a:solidFill>
                        <a:ln w="57150">
                          <a:solidFill>
                            <a:srgbClr val="000000"/>
                          </a:solidFill>
                          <a:miter/>
                        </a:ln>
                      </wps:spPr>
                      <wps:style>
                        <a:lnRef idx="0">
                          <a:scrgbClr r="0" g="0" b="0"/>
                        </a:lnRef>
                        <a:fillRef idx="0">
                          <a:scrgbClr r="0" g="0" b="0"/>
                        </a:fillRef>
                        <a:effectRef idx="0">
                          <a:scrgbClr r="0" g="0" b="0"/>
                        </a:effectRef>
                        <a:fontRef idx="minor"/>
                      </wps:style>
                      <wps:txbx>
                        <w:txbxContent>
                          <w:p w14:paraId="7AD61BF2" w14:textId="77777777" w:rsidR="00175362" w:rsidRDefault="0059412C">
                            <w:pPr>
                              <w:pStyle w:val="Heading7"/>
                              <w:spacing w:after="0" w:afterAutospacing="0"/>
                              <w:rPr>
                                <w:sz w:val="32"/>
                                <w:szCs w:val="32"/>
                              </w:rPr>
                            </w:pPr>
                            <w:r>
                              <w:rPr>
                                <w:bCs/>
                                <w:sz w:val="32"/>
                                <w:szCs w:val="32"/>
                                <w:lang w:val="fi-FI"/>
                              </w:rPr>
                              <w:t>TIIVISTELMÄ LAITTEEN TURVALLISUUDESTA JA KLIINISESTÄ SUORITUSKYVYSTÄ (SSCP)</w:t>
                            </w:r>
                          </w:p>
                          <w:p w14:paraId="02FAFED1" w14:textId="77777777" w:rsidR="00175362" w:rsidRDefault="0059412C">
                            <w:pPr>
                              <w:pStyle w:val="Heading7"/>
                              <w:spacing w:after="0" w:afterAutospacing="0"/>
                              <w:rPr>
                                <w:sz w:val="32"/>
                                <w:szCs w:val="32"/>
                              </w:rPr>
                            </w:pPr>
                            <w:r>
                              <w:rPr>
                                <w:bCs/>
                                <w:sz w:val="32"/>
                                <w:szCs w:val="32"/>
                                <w:lang w:val="fi-FI"/>
                              </w:rPr>
                              <w:t>SSCP-0006</w:t>
                            </w:r>
                          </w:p>
                          <w:p w14:paraId="720E3A9D" w14:textId="7AC290A5" w:rsidR="00175362" w:rsidRDefault="0059412C">
                            <w:pPr>
                              <w:pStyle w:val="Heading7"/>
                              <w:spacing w:after="0" w:afterAutospacing="0"/>
                              <w:rPr>
                                <w:sz w:val="32"/>
                                <w:szCs w:val="32"/>
                              </w:rPr>
                            </w:pPr>
                            <w:r>
                              <w:rPr>
                                <w:bCs/>
                                <w:sz w:val="32"/>
                                <w:szCs w:val="32"/>
                                <w:lang w:val="fi-FI"/>
                              </w:rPr>
                              <w:t>Atrieve</w:t>
                            </w:r>
                            <w:r>
                              <w:rPr>
                                <w:bCs/>
                                <w:sz w:val="32"/>
                                <w:szCs w:val="32"/>
                                <w:vertAlign w:val="superscript"/>
                                <w:lang w:val="fi-FI"/>
                              </w:rPr>
                              <w:t>TM</w:t>
                            </w:r>
                            <w:r>
                              <w:rPr>
                                <w:bCs/>
                                <w:sz w:val="32"/>
                                <w:szCs w:val="32"/>
                                <w:lang w:val="fi-FI"/>
                              </w:rPr>
                              <w:t xml:space="preserve"> Vaskulaarinen Snare -tarvikesarja</w:t>
                            </w:r>
                          </w:p>
                          <w:p w14:paraId="26EB9D10" w14:textId="77777777" w:rsidR="00175362" w:rsidRDefault="0059412C">
                            <w:pPr>
                              <w:pStyle w:val="FrameContents"/>
                              <w:spacing w:afterAutospacing="0"/>
                              <w:jc w:val="center"/>
                              <w:rPr>
                                <w:b/>
                                <w:bCs/>
                                <w:sz w:val="32"/>
                                <w:szCs w:val="32"/>
                              </w:rPr>
                            </w:pPr>
                            <w:r>
                              <w:rPr>
                                <w:b/>
                                <w:bCs/>
                                <w:sz w:val="32"/>
                                <w:szCs w:val="32"/>
                                <w:lang w:val="fi-FI"/>
                              </w:rPr>
                              <w:t>DHF-82248</w:t>
                            </w:r>
                          </w:p>
                          <w:p w14:paraId="37F53B51" w14:textId="77777777" w:rsidR="00175362" w:rsidRDefault="00175362">
                            <w:pPr>
                              <w:pStyle w:val="FrameContents"/>
                              <w:spacing w:after="280"/>
                            </w:pPr>
                          </w:p>
                          <w:p w14:paraId="55F1575C" w14:textId="77777777" w:rsidR="00175362" w:rsidRDefault="0059412C">
                            <w:pPr>
                              <w:pStyle w:val="FrameContents"/>
                              <w:spacing w:after="280"/>
                            </w:pPr>
                            <w:r>
                              <w:rPr>
                                <w:lang w:val="fi-FI"/>
                              </w:rPr>
                              <w:t>[PVM]</w:t>
                            </w:r>
                          </w:p>
                        </w:txbxContent>
                      </wps:txbx>
                      <wps:bodyPr anchor="t" upright="1">
                        <a:noAutofit/>
                      </wps:bodyPr>
                    </wps:wsp>
                  </a:graphicData>
                </a:graphic>
              </wp:anchor>
            </w:drawing>
          </mc:Choice>
          <mc:Fallback>
            <w:pict>
              <v:rect w14:anchorId="6FC0C8B7" id="Text Box 2" o:spid="_x0000_s1026" style="position:absolute;left:0;text-align:left;margin-left:-15.05pt;margin-top:5.45pt;width:507.75pt;height:101.25pt;z-index:16;visibility:visible;mso-wrap-style:square;mso-wrap-distance-left:2pt;mso-wrap-distance-top:2pt;mso-wrap-distance-right:3.25pt;mso-wrap-distance-bottom:2.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" strokeweight="4.5pt">
                <v:textbox>
                  <w:txbxContent>
                    <w:p w14:paraId="7AD61BF2" w14:textId="77777777" w:rsidR="00175362" w:rsidRDefault="0059412C">
                      <w:pPr>
                        <w:pStyle w:val="Heading7"/>
                        <w:spacing w:after="0" w:afterAutospacing="0"/>
                        <w:rPr>
                          <w:sz w:val="32"/>
                          <w:szCs w:val="32"/>
                        </w:rPr>
                      </w:pPr>
                      <w:r>
                        <w:rPr>
                          <w:bCs/>
                          <w:sz w:val="32"/>
                          <w:szCs w:val="32"/>
                          <w:lang w:val="fi-FI"/>
                        </w:rPr>
                        <w:t>TIIVISTELMÄ LAITTEEN TURVALLISUUDESTA JA KLIINISESTÄ SUORITUSKYVYSTÄ (SSCP)</w:t>
                      </w:r>
                    </w:p>
                    <w:p w14:paraId="02FAFED1" w14:textId="77777777" w:rsidR="00175362" w:rsidRDefault="0059412C">
                      <w:pPr>
                        <w:pStyle w:val="Heading7"/>
                        <w:spacing w:after="0" w:afterAutospacing="0"/>
                        <w:rPr>
                          <w:sz w:val="32"/>
                          <w:szCs w:val="32"/>
                        </w:rPr>
                      </w:pPr>
                      <w:r>
                        <w:rPr>
                          <w:bCs/>
                          <w:sz w:val="32"/>
                          <w:szCs w:val="32"/>
                          <w:lang w:val="fi-FI"/>
                        </w:rPr>
                        <w:t>SSCP-0006</w:t>
                      </w:r>
                    </w:p>
                    <w:p w14:paraId="720E3A9D" w14:textId="7AC290A5" w:rsidR="00175362" w:rsidRDefault="0059412C">
                      <w:pPr>
                        <w:pStyle w:val="Heading7"/>
                        <w:spacing w:after="0" w:afterAutospacing="0"/>
                        <w:rPr>
                          <w:sz w:val="32"/>
                          <w:szCs w:val="32"/>
                        </w:rPr>
                      </w:pPr>
                      <w:r>
                        <w:rPr>
                          <w:bCs/>
                          <w:sz w:val="32"/>
                          <w:szCs w:val="32"/>
                          <w:lang w:val="fi-FI"/>
                        </w:rPr>
                        <w:t>Atrieve</w:t>
                      </w:r>
                      <w:r>
                        <w:rPr>
                          <w:bCs/>
                          <w:sz w:val="32"/>
                          <w:szCs w:val="32"/>
                          <w:vertAlign w:val="superscript"/>
                          <w:lang w:val="fi-FI"/>
                        </w:rPr>
                        <w:t>TM</w:t>
                      </w:r>
                      <w:r>
                        <w:rPr>
                          <w:bCs/>
                          <w:sz w:val="32"/>
                          <w:szCs w:val="32"/>
                          <w:lang w:val="fi-FI"/>
                        </w:rPr>
                        <w:t xml:space="preserve"> Vaskulaarinen Snare -tarvikesarja</w:t>
                      </w:r>
                    </w:p>
                    <w:p w14:paraId="26EB9D10" w14:textId="77777777" w:rsidR="00175362" w:rsidRDefault="0059412C">
                      <w:pPr>
                        <w:pStyle w:val="FrameContents"/>
                        <w:spacing w:afterAutospacing="0"/>
                        <w:jc w:val="center"/>
                        <w:rPr>
                          <w:b/>
                          <w:bCs/>
                          <w:sz w:val="32"/>
                          <w:szCs w:val="32"/>
                        </w:rPr>
                      </w:pPr>
                      <w:r>
                        <w:rPr>
                          <w:b/>
                          <w:bCs/>
                          <w:sz w:val="32"/>
                          <w:szCs w:val="32"/>
                          <w:lang w:val="fi-FI"/>
                        </w:rPr>
                        <w:t>DHF-82248</w:t>
                      </w:r>
                    </w:p>
                    <w:p w14:paraId="37F53B51" w14:textId="77777777" w:rsidR="00175362" w:rsidRDefault="00175362">
                      <w:pPr>
                        <w:pStyle w:val="FrameContents"/>
                        <w:spacing w:after="280"/>
                      </w:pPr>
                    </w:p>
                    <w:p w14:paraId="55F1575C" w14:textId="77777777" w:rsidR="00175362" w:rsidRDefault="0059412C">
                      <w:pPr>
                        <w:pStyle w:val="FrameContents"/>
                        <w:spacing w:after="280"/>
                      </w:pPr>
                      <w:r>
                        <w:rPr>
                          <w:lang w:val="fi-FI"/>
                        </w:rPr>
                        <w:t>[PVM]</w:t>
                      </w:r>
                    </w:p>
                  </w:txbxContent>
                </v:textbox>
              </v:rect>
            </w:pict>
          </mc:Fallback>
        </mc:AlternateContent>
      </w:r>
    </w:p>
    <w:p w14:paraId="26B14275" w14:textId="77777777" w:rsidR="00175362" w:rsidRDefault="00175362">
      <w:pPr>
        <w:pStyle w:val="BodyText3"/>
        <w:spacing w:after="0" w:afterAutospacing="0"/>
      </w:pPr>
    </w:p>
    <w:p w14:paraId="794F5AC4" w14:textId="77777777" w:rsidR="00175362" w:rsidRDefault="00175362">
      <w:pPr>
        <w:pStyle w:val="BodyText3"/>
        <w:spacing w:after="0" w:afterAutospacing="0"/>
      </w:pPr>
    </w:p>
    <w:p w14:paraId="745A105B" w14:textId="77777777" w:rsidR="00175362" w:rsidRDefault="00175362">
      <w:pPr>
        <w:pStyle w:val="BodyText3"/>
        <w:spacing w:after="0" w:afterAutospacing="0"/>
      </w:pPr>
    </w:p>
    <w:p w14:paraId="3E325657" w14:textId="77777777" w:rsidR="00175362" w:rsidRDefault="00175362">
      <w:pPr>
        <w:spacing w:afterAutospacing="0" w:line="240" w:lineRule="auto"/>
        <w:rPr>
          <w:rFonts w:cs="Times New Roman"/>
        </w:rPr>
      </w:pPr>
    </w:p>
    <w:p w14:paraId="2C271502" w14:textId="77777777" w:rsidR="00175362" w:rsidRDefault="00175362">
      <w:pPr>
        <w:spacing w:afterAutospacing="0" w:line="240" w:lineRule="auto"/>
        <w:rPr>
          <w:rFonts w:cs="Times New Roman"/>
        </w:rPr>
      </w:pPr>
    </w:p>
    <w:p w14:paraId="725DB98D" w14:textId="77777777" w:rsidR="00175362" w:rsidRDefault="00175362">
      <w:pPr>
        <w:spacing w:afterAutospacing="0" w:line="240" w:lineRule="auto"/>
        <w:rPr>
          <w:rFonts w:cs="Times New Roman"/>
        </w:rPr>
      </w:pPr>
    </w:p>
    <w:p w14:paraId="10A44F89" w14:textId="77777777" w:rsidR="00175362" w:rsidRDefault="00175362">
      <w:pPr>
        <w:spacing w:afterAutospacing="0" w:line="240" w:lineRule="auto"/>
        <w:rPr>
          <w:rFonts w:cs="Times New Roman"/>
        </w:rPr>
      </w:pPr>
    </w:p>
    <w:p w14:paraId="0A8BF13F" w14:textId="77777777" w:rsidR="00175362" w:rsidRDefault="00175362">
      <w:pPr>
        <w:spacing w:afterAutospacing="0" w:line="240" w:lineRule="auto"/>
        <w:rPr>
          <w:rFonts w:cs="Times New Roman"/>
        </w:rPr>
      </w:pPr>
    </w:p>
    <w:p w14:paraId="35B2B363" w14:textId="77777777" w:rsidR="00175362" w:rsidRDefault="0059412C">
      <w:pPr>
        <w:spacing w:afterAutospacing="0" w:line="240" w:lineRule="auto"/>
        <w:rPr>
          <w:rFonts w:cs="Times New Roman"/>
        </w:rPr>
      </w:pPr>
      <w:r>
        <w:rPr>
          <w:rFonts w:cs="Times New Roman"/>
          <w:lang w:val="fi-FI"/>
        </w:rPr>
        <w:t>Julkaistavaksi Eudamedissa</w:t>
      </w:r>
    </w:p>
    <w:p w14:paraId="2398AAF8" w14:textId="77777777" w:rsidR="00175362" w:rsidRDefault="00175362">
      <w:pPr>
        <w:spacing w:afterAutospacing="0" w:line="240" w:lineRule="auto"/>
        <w:rPr>
          <w:rFonts w:cs="Times New Roman"/>
        </w:rPr>
      </w:pPr>
    </w:p>
    <w:tbl>
      <w:tblPr>
        <w:tblW w:w="9949" w:type="dxa"/>
        <w:tblInd w:w="-32" w:type="dxa"/>
        <w:tblLayout w:type="fixed"/>
        <w:tblLook w:val="01E0" w:firstRow="1" w:lastRow="1" w:firstColumn="1" w:lastColumn="1" w:noHBand="0" w:noVBand="0"/>
      </w:tblPr>
      <w:tblGrid>
        <w:gridCol w:w="1125"/>
        <w:gridCol w:w="1625"/>
        <w:gridCol w:w="7199"/>
      </w:tblGrid>
      <w:tr w:rsidR="00175362" w14:paraId="1B098294" w14:textId="77777777" w:rsidTr="003165A1">
        <w:tc>
          <w:tcPr>
            <w:tcW w:w="1125" w:type="dxa"/>
            <w:tcBorders>
              <w:top w:val="single" w:sz="18" w:space="0" w:color="000000"/>
              <w:left w:val="single" w:sz="18" w:space="0" w:color="000000"/>
              <w:bottom w:val="double" w:sz="4" w:space="0" w:color="000000"/>
              <w:right w:val="single" w:sz="6" w:space="0" w:color="000000"/>
            </w:tcBorders>
            <w:shd w:val="clear" w:color="auto" w:fill="E0E0E0"/>
          </w:tcPr>
          <w:p w14:paraId="32E3A2F1" w14:textId="77777777" w:rsidR="00175362" w:rsidRDefault="0059412C">
            <w:pPr>
              <w:jc w:val="center"/>
              <w:rPr>
                <w:rFonts w:cs="Times New Roman"/>
                <w:b/>
                <w:szCs w:val="24"/>
              </w:rPr>
            </w:pPr>
            <w:r>
              <w:rPr>
                <w:rFonts w:cs="Times New Roman"/>
                <w:b/>
                <w:bCs/>
                <w:szCs w:val="24"/>
                <w:lang w:val="fi-FI"/>
              </w:rPr>
              <w:t>ROOLI</w:t>
            </w:r>
          </w:p>
        </w:tc>
        <w:tc>
          <w:tcPr>
            <w:tcW w:w="1625" w:type="dxa"/>
            <w:tcBorders>
              <w:top w:val="single" w:sz="18" w:space="0" w:color="000000"/>
              <w:left w:val="single" w:sz="6" w:space="0" w:color="000000"/>
              <w:bottom w:val="double" w:sz="4" w:space="0" w:color="000000"/>
              <w:right w:val="single" w:sz="6" w:space="0" w:color="000000"/>
            </w:tcBorders>
            <w:shd w:val="clear" w:color="auto" w:fill="E0E0E0"/>
          </w:tcPr>
          <w:p w14:paraId="61EECFE4" w14:textId="77777777" w:rsidR="00175362" w:rsidRDefault="0059412C">
            <w:pPr>
              <w:jc w:val="center"/>
              <w:rPr>
                <w:rFonts w:cs="Times New Roman"/>
                <w:b/>
                <w:szCs w:val="24"/>
              </w:rPr>
            </w:pPr>
            <w:r>
              <w:rPr>
                <w:rFonts w:cs="Times New Roman"/>
                <w:b/>
                <w:bCs/>
                <w:szCs w:val="24"/>
                <w:lang w:val="fi-FI"/>
              </w:rPr>
              <w:t>OSASTO</w:t>
            </w:r>
          </w:p>
        </w:tc>
        <w:tc>
          <w:tcPr>
            <w:tcW w:w="7199" w:type="dxa"/>
            <w:tcBorders>
              <w:top w:val="single" w:sz="18" w:space="0" w:color="000000"/>
              <w:left w:val="single" w:sz="6" w:space="0" w:color="000000"/>
              <w:bottom w:val="double" w:sz="4" w:space="0" w:color="000000"/>
              <w:right w:val="single" w:sz="18" w:space="0" w:color="000000"/>
            </w:tcBorders>
            <w:shd w:val="clear" w:color="auto" w:fill="E0E0E0"/>
          </w:tcPr>
          <w:p w14:paraId="21AA3D97" w14:textId="77777777" w:rsidR="00175362" w:rsidRDefault="0059412C">
            <w:pPr>
              <w:jc w:val="center"/>
              <w:rPr>
                <w:rFonts w:cs="Times New Roman"/>
                <w:b/>
                <w:szCs w:val="24"/>
              </w:rPr>
            </w:pPr>
            <w:r>
              <w:rPr>
                <w:rFonts w:cs="Times New Roman"/>
                <w:b/>
                <w:bCs/>
                <w:szCs w:val="24"/>
                <w:lang w:val="fi-FI"/>
              </w:rPr>
              <w:t>NIMI/TITTELI</w:t>
            </w:r>
          </w:p>
        </w:tc>
      </w:tr>
      <w:tr w:rsidR="00175362" w14:paraId="6DEBB438" w14:textId="77777777" w:rsidTr="003165A1">
        <w:trPr>
          <w:trHeight w:val="582"/>
        </w:trPr>
        <w:tc>
          <w:tcPr>
            <w:tcW w:w="1125" w:type="dxa"/>
            <w:tcBorders>
              <w:top w:val="double" w:sz="4" w:space="0" w:color="000000"/>
              <w:left w:val="single" w:sz="18" w:space="0" w:color="000000"/>
              <w:bottom w:val="single" w:sz="18" w:space="0" w:color="000000"/>
              <w:right w:val="single" w:sz="18" w:space="0" w:color="000000"/>
            </w:tcBorders>
            <w:vAlign w:val="center"/>
          </w:tcPr>
          <w:p w14:paraId="56E32E7F" w14:textId="77777777" w:rsidR="00175362" w:rsidRDefault="0059412C">
            <w:pPr>
              <w:jc w:val="center"/>
              <w:rPr>
                <w:rFonts w:cs="Times New Roman"/>
                <w:b/>
                <w:szCs w:val="24"/>
              </w:rPr>
            </w:pPr>
            <w:r>
              <w:rPr>
                <w:rFonts w:cs="Times New Roman"/>
                <w:b/>
                <w:bCs/>
                <w:szCs w:val="24"/>
                <w:lang w:val="fi-FI"/>
              </w:rPr>
              <w:t>Laatinut</w:t>
            </w:r>
          </w:p>
        </w:tc>
        <w:tc>
          <w:tcPr>
            <w:tcW w:w="1625" w:type="dxa"/>
            <w:tcBorders>
              <w:top w:val="double" w:sz="4" w:space="0" w:color="000000"/>
              <w:left w:val="single" w:sz="18" w:space="0" w:color="000000"/>
              <w:bottom w:val="single" w:sz="18" w:space="0" w:color="000000"/>
              <w:right w:val="single" w:sz="18" w:space="0" w:color="000000"/>
            </w:tcBorders>
            <w:vAlign w:val="center"/>
          </w:tcPr>
          <w:p w14:paraId="647BA9F5" w14:textId="77777777" w:rsidR="00175362" w:rsidRDefault="0059412C">
            <w:pPr>
              <w:jc w:val="center"/>
              <w:rPr>
                <w:rFonts w:cs="Times New Roman"/>
                <w:szCs w:val="24"/>
              </w:rPr>
            </w:pPr>
            <w:r>
              <w:rPr>
                <w:rFonts w:cs="Times New Roman"/>
                <w:szCs w:val="24"/>
                <w:lang w:val="fi-FI"/>
              </w:rPr>
              <w:t>Sääntelyasiat</w:t>
            </w:r>
          </w:p>
        </w:tc>
        <w:tc>
          <w:tcPr>
            <w:tcW w:w="7199" w:type="dxa"/>
            <w:tcBorders>
              <w:top w:val="double" w:sz="4" w:space="0" w:color="000000"/>
              <w:left w:val="single" w:sz="18" w:space="0" w:color="000000"/>
              <w:bottom w:val="single" w:sz="18" w:space="0" w:color="000000"/>
              <w:right w:val="single" w:sz="18" w:space="0" w:color="000000"/>
            </w:tcBorders>
          </w:tcPr>
          <w:p w14:paraId="77340473" w14:textId="77777777" w:rsidR="00175362" w:rsidRDefault="0059412C">
            <w:pPr>
              <w:spacing w:afterAutospacing="0"/>
              <w:jc w:val="center"/>
              <w:rPr>
                <w:rFonts w:cs="Times New Roman"/>
                <w:szCs w:val="24"/>
              </w:rPr>
            </w:pPr>
            <w:r>
              <w:rPr>
                <w:rFonts w:cs="Times New Roman"/>
                <w:szCs w:val="24"/>
                <w:lang w:val="fi-FI"/>
              </w:rPr>
              <w:t>Nadira Lotus</w:t>
            </w:r>
          </w:p>
          <w:p w14:paraId="219BB7ED" w14:textId="77777777" w:rsidR="00175362" w:rsidRDefault="0059412C">
            <w:pPr>
              <w:jc w:val="center"/>
              <w:rPr>
                <w:rFonts w:cs="Times New Roman"/>
                <w:szCs w:val="24"/>
              </w:rPr>
            </w:pPr>
            <w:r>
              <w:rPr>
                <w:rFonts w:cs="Times New Roman"/>
                <w:szCs w:val="24"/>
                <w:lang w:val="fi-FI"/>
              </w:rPr>
              <w:t>Johtaja, markkinoille saattamisen jälkeinen seuranta</w:t>
            </w:r>
          </w:p>
        </w:tc>
      </w:tr>
    </w:tbl>
    <w:p w14:paraId="066DC03C" w14:textId="77777777" w:rsidR="00175362" w:rsidRDefault="00175362">
      <w:pPr>
        <w:spacing w:after="280"/>
        <w:jc w:val="center"/>
        <w:rPr>
          <w:rFonts w:cs="Times New Roman"/>
          <w:b/>
        </w:rPr>
      </w:pPr>
    </w:p>
    <w:p w14:paraId="3B7462E3" w14:textId="77777777" w:rsidR="00175362" w:rsidRDefault="0059412C">
      <w:pPr>
        <w:tabs>
          <w:tab w:val="center" w:pos="5220"/>
          <w:tab w:val="right" w:pos="10440"/>
        </w:tabs>
        <w:spacing w:after="280"/>
        <w:rPr>
          <w:rFonts w:cs="Times New Roman"/>
          <w:b/>
          <w:lang w:val="fi-FI"/>
        </w:rPr>
      </w:pPr>
      <w:r>
        <w:rPr>
          <w:rFonts w:cs="Times New Roman"/>
          <w:lang w:val="fi-FI"/>
        </w:rPr>
        <w:tab/>
      </w:r>
      <w:r>
        <w:rPr>
          <w:rFonts w:cs="Times New Roman"/>
          <w:b/>
          <w:bCs/>
          <w:lang w:val="fi-FI"/>
        </w:rPr>
        <w:t>Allekirjoituksen hyväksymismatriisi</w:t>
      </w:r>
      <w:r>
        <w:rPr>
          <w:rFonts w:cs="Times New Roman"/>
          <w:lang w:val="fi-FI"/>
        </w:rPr>
        <w:tab/>
      </w:r>
    </w:p>
    <w:p w14:paraId="7B0274EE" w14:textId="77777777" w:rsidR="00175362" w:rsidRDefault="0059412C">
      <w:pPr>
        <w:spacing w:after="60"/>
        <w:ind w:right="274"/>
        <w:rPr>
          <w:rFonts w:cs="Times New Roman"/>
          <w:sz w:val="20"/>
          <w:szCs w:val="20"/>
          <w:lang w:val="fi-FI"/>
        </w:rPr>
      </w:pPr>
      <w:r>
        <w:rPr>
          <w:rFonts w:cs="Times New Roman"/>
          <w:sz w:val="20"/>
          <w:szCs w:val="20"/>
          <w:lang w:val="fi-FI"/>
        </w:rPr>
        <w:t>Kaikkien alla lueteltujen henkilöiden tai heidän valtuutettujen edustajien tulee tarkastaa ja hyväksyä tämä asiakirja.</w:t>
      </w:r>
    </w:p>
    <w:tbl>
      <w:tblPr>
        <w:tblW w:w="9949" w:type="dxa"/>
        <w:tblInd w:w="-32" w:type="dxa"/>
        <w:tblLayout w:type="fixed"/>
        <w:tblLook w:val="01E0" w:firstRow="1" w:lastRow="1" w:firstColumn="1" w:lastColumn="1" w:noHBand="0" w:noVBand="0"/>
      </w:tblPr>
      <w:tblGrid>
        <w:gridCol w:w="1442"/>
        <w:gridCol w:w="1299"/>
        <w:gridCol w:w="7208"/>
      </w:tblGrid>
      <w:tr w:rsidR="00175362" w14:paraId="508076AA" w14:textId="77777777">
        <w:trPr>
          <w:trHeight w:val="279"/>
        </w:trPr>
        <w:tc>
          <w:tcPr>
            <w:tcW w:w="1442" w:type="dxa"/>
            <w:tcBorders>
              <w:top w:val="single" w:sz="18" w:space="0" w:color="000000"/>
              <w:left w:val="single" w:sz="18" w:space="0" w:color="000000"/>
              <w:bottom w:val="double" w:sz="4" w:space="0" w:color="000000"/>
              <w:right w:val="single" w:sz="6" w:space="0" w:color="000000"/>
            </w:tcBorders>
            <w:shd w:val="clear" w:color="auto" w:fill="E0E0E0"/>
          </w:tcPr>
          <w:p w14:paraId="284CBFD4" w14:textId="77777777" w:rsidR="00175362" w:rsidRDefault="0059412C">
            <w:pPr>
              <w:jc w:val="center"/>
              <w:rPr>
                <w:rFonts w:cs="Times New Roman"/>
                <w:b/>
                <w:szCs w:val="24"/>
              </w:rPr>
            </w:pPr>
            <w:r>
              <w:rPr>
                <w:rFonts w:cs="Times New Roman"/>
                <w:b/>
                <w:bCs/>
                <w:szCs w:val="24"/>
                <w:lang w:val="fi-FI"/>
              </w:rPr>
              <w:t>ROOLI</w:t>
            </w:r>
          </w:p>
        </w:tc>
        <w:tc>
          <w:tcPr>
            <w:tcW w:w="1299" w:type="dxa"/>
            <w:tcBorders>
              <w:top w:val="single" w:sz="18" w:space="0" w:color="000000"/>
              <w:left w:val="single" w:sz="6" w:space="0" w:color="000000"/>
              <w:bottom w:val="double" w:sz="4" w:space="0" w:color="000000"/>
              <w:right w:val="single" w:sz="6" w:space="0" w:color="000000"/>
            </w:tcBorders>
            <w:shd w:val="clear" w:color="auto" w:fill="E0E0E0"/>
          </w:tcPr>
          <w:p w14:paraId="2367FB1D" w14:textId="77777777" w:rsidR="00175362" w:rsidRDefault="0059412C">
            <w:pPr>
              <w:jc w:val="center"/>
              <w:rPr>
                <w:rFonts w:cs="Times New Roman"/>
                <w:b/>
                <w:szCs w:val="24"/>
              </w:rPr>
            </w:pPr>
            <w:r>
              <w:rPr>
                <w:rFonts w:cs="Times New Roman"/>
                <w:b/>
                <w:bCs/>
                <w:szCs w:val="24"/>
                <w:lang w:val="fi-FI"/>
              </w:rPr>
              <w:t>OSASTO</w:t>
            </w:r>
          </w:p>
        </w:tc>
        <w:tc>
          <w:tcPr>
            <w:tcW w:w="7208" w:type="dxa"/>
            <w:tcBorders>
              <w:top w:val="single" w:sz="18" w:space="0" w:color="000000"/>
              <w:left w:val="single" w:sz="6" w:space="0" w:color="000000"/>
              <w:bottom w:val="double" w:sz="4" w:space="0" w:color="000000"/>
              <w:right w:val="single" w:sz="18" w:space="0" w:color="000000"/>
            </w:tcBorders>
            <w:shd w:val="clear" w:color="auto" w:fill="E0E0E0"/>
          </w:tcPr>
          <w:p w14:paraId="67194BDE" w14:textId="77777777" w:rsidR="00175362" w:rsidRDefault="0059412C">
            <w:pPr>
              <w:jc w:val="center"/>
              <w:rPr>
                <w:rFonts w:cs="Times New Roman"/>
                <w:b/>
                <w:szCs w:val="24"/>
              </w:rPr>
            </w:pPr>
            <w:r>
              <w:rPr>
                <w:rFonts w:cs="Times New Roman"/>
                <w:b/>
                <w:bCs/>
                <w:szCs w:val="24"/>
                <w:lang w:val="fi-FI"/>
              </w:rPr>
              <w:t>NIMI/TITTELI</w:t>
            </w:r>
          </w:p>
        </w:tc>
      </w:tr>
      <w:tr w:rsidR="00175362" w14:paraId="654E882E" w14:textId="77777777">
        <w:trPr>
          <w:trHeight w:val="606"/>
        </w:trPr>
        <w:tc>
          <w:tcPr>
            <w:tcW w:w="1442" w:type="dxa"/>
            <w:tcBorders>
              <w:top w:val="single" w:sz="6" w:space="0" w:color="000000"/>
              <w:left w:val="single" w:sz="18" w:space="0" w:color="000000"/>
              <w:bottom w:val="single" w:sz="6" w:space="0" w:color="000000"/>
              <w:right w:val="single" w:sz="6" w:space="0" w:color="000000"/>
            </w:tcBorders>
            <w:vAlign w:val="center"/>
          </w:tcPr>
          <w:p w14:paraId="6B552AA0" w14:textId="77777777" w:rsidR="00175362" w:rsidRDefault="0059412C">
            <w:pPr>
              <w:jc w:val="center"/>
              <w:rPr>
                <w:rFonts w:cs="Times New Roman"/>
                <w:b/>
                <w:szCs w:val="24"/>
              </w:rPr>
            </w:pPr>
            <w:r>
              <w:rPr>
                <w:rFonts w:cs="Times New Roman"/>
                <w:b/>
                <w:bCs/>
                <w:szCs w:val="24"/>
                <w:lang w:val="fi-FI"/>
              </w:rPr>
              <w:t>Hyväksyntä</w:t>
            </w:r>
          </w:p>
        </w:tc>
        <w:tc>
          <w:tcPr>
            <w:tcW w:w="1299" w:type="dxa"/>
            <w:tcBorders>
              <w:top w:val="single" w:sz="6" w:space="0" w:color="000000"/>
              <w:left w:val="single" w:sz="6" w:space="0" w:color="000000"/>
              <w:bottom w:val="single" w:sz="6" w:space="0" w:color="000000"/>
              <w:right w:val="single" w:sz="6" w:space="0" w:color="000000"/>
            </w:tcBorders>
            <w:vAlign w:val="center"/>
          </w:tcPr>
          <w:p w14:paraId="3D513848" w14:textId="77777777" w:rsidR="00175362" w:rsidRDefault="0059412C">
            <w:pPr>
              <w:jc w:val="center"/>
              <w:rPr>
                <w:rFonts w:cs="Times New Roman"/>
                <w:szCs w:val="24"/>
              </w:rPr>
            </w:pPr>
            <w:r>
              <w:rPr>
                <w:rFonts w:cs="Times New Roman"/>
                <w:szCs w:val="24"/>
                <w:lang w:val="fi-FI"/>
              </w:rPr>
              <w:t>Kliiniset asiat</w:t>
            </w:r>
          </w:p>
        </w:tc>
        <w:tc>
          <w:tcPr>
            <w:tcW w:w="7208" w:type="dxa"/>
            <w:tcBorders>
              <w:top w:val="single" w:sz="6" w:space="0" w:color="000000"/>
              <w:left w:val="single" w:sz="6" w:space="0" w:color="000000"/>
              <w:bottom w:val="single" w:sz="6" w:space="0" w:color="000000"/>
              <w:right w:val="single" w:sz="18" w:space="0" w:color="000000"/>
            </w:tcBorders>
            <w:vAlign w:val="center"/>
          </w:tcPr>
          <w:p w14:paraId="6FE8FB3E" w14:textId="77777777" w:rsidR="00175362" w:rsidRDefault="0059412C">
            <w:pPr>
              <w:spacing w:afterAutospacing="0"/>
              <w:jc w:val="center"/>
              <w:rPr>
                <w:rFonts w:cs="Times New Roman"/>
                <w:szCs w:val="24"/>
              </w:rPr>
            </w:pPr>
            <w:r>
              <w:rPr>
                <w:rFonts w:cs="Times New Roman"/>
                <w:szCs w:val="24"/>
                <w:lang w:val="fi-FI"/>
              </w:rPr>
              <w:t>Danyel Carr</w:t>
            </w:r>
          </w:p>
          <w:p w14:paraId="57FB789A" w14:textId="77777777" w:rsidR="00175362" w:rsidRDefault="0059412C">
            <w:pPr>
              <w:jc w:val="center"/>
              <w:rPr>
                <w:rFonts w:cs="Times New Roman"/>
                <w:szCs w:val="24"/>
              </w:rPr>
            </w:pPr>
            <w:r>
              <w:rPr>
                <w:rFonts w:cs="Times New Roman"/>
                <w:szCs w:val="24"/>
                <w:lang w:val="fi-FI"/>
              </w:rPr>
              <w:t>Vanhempi johtaja, kliiniset asiat</w:t>
            </w:r>
          </w:p>
        </w:tc>
      </w:tr>
      <w:tr w:rsidR="00175362" w14:paraId="55B3C917" w14:textId="77777777">
        <w:trPr>
          <w:trHeight w:val="624"/>
        </w:trPr>
        <w:tc>
          <w:tcPr>
            <w:tcW w:w="1442" w:type="dxa"/>
            <w:tcBorders>
              <w:top w:val="single" w:sz="6" w:space="0" w:color="000000"/>
              <w:left w:val="single" w:sz="18" w:space="0" w:color="000000"/>
              <w:bottom w:val="single" w:sz="6" w:space="0" w:color="000000"/>
              <w:right w:val="single" w:sz="6" w:space="0" w:color="000000"/>
            </w:tcBorders>
            <w:vAlign w:val="center"/>
          </w:tcPr>
          <w:p w14:paraId="10CB3D8E" w14:textId="77777777" w:rsidR="00175362" w:rsidRDefault="0059412C">
            <w:pPr>
              <w:jc w:val="center"/>
              <w:rPr>
                <w:rFonts w:cs="Times New Roman"/>
                <w:b/>
                <w:szCs w:val="24"/>
              </w:rPr>
            </w:pPr>
            <w:r>
              <w:rPr>
                <w:rFonts w:cs="Times New Roman"/>
                <w:b/>
                <w:bCs/>
                <w:szCs w:val="24"/>
                <w:lang w:val="fi-FI"/>
              </w:rPr>
              <w:t>Hyväksyntä</w:t>
            </w:r>
          </w:p>
        </w:tc>
        <w:tc>
          <w:tcPr>
            <w:tcW w:w="1299" w:type="dxa"/>
            <w:tcBorders>
              <w:top w:val="single" w:sz="6" w:space="0" w:color="000000"/>
              <w:left w:val="single" w:sz="6" w:space="0" w:color="000000"/>
              <w:bottom w:val="single" w:sz="6" w:space="0" w:color="000000"/>
              <w:right w:val="single" w:sz="6" w:space="0" w:color="000000"/>
            </w:tcBorders>
            <w:vAlign w:val="center"/>
          </w:tcPr>
          <w:p w14:paraId="60053931" w14:textId="77777777" w:rsidR="00175362" w:rsidRDefault="0059412C">
            <w:pPr>
              <w:jc w:val="center"/>
              <w:rPr>
                <w:rFonts w:cs="Times New Roman"/>
                <w:szCs w:val="24"/>
              </w:rPr>
            </w:pPr>
            <w:r>
              <w:rPr>
                <w:rFonts w:cs="Times New Roman"/>
                <w:szCs w:val="24"/>
                <w:lang w:val="fi-FI"/>
              </w:rPr>
              <w:t xml:space="preserve">Laatu </w:t>
            </w:r>
          </w:p>
        </w:tc>
        <w:tc>
          <w:tcPr>
            <w:tcW w:w="7208" w:type="dxa"/>
            <w:tcBorders>
              <w:top w:val="single" w:sz="6" w:space="0" w:color="000000"/>
              <w:left w:val="single" w:sz="6" w:space="0" w:color="000000"/>
              <w:bottom w:val="single" w:sz="6" w:space="0" w:color="000000"/>
              <w:right w:val="single" w:sz="18" w:space="0" w:color="000000"/>
            </w:tcBorders>
            <w:vAlign w:val="center"/>
          </w:tcPr>
          <w:p w14:paraId="436FE704" w14:textId="77777777" w:rsidR="00175362" w:rsidRDefault="0059412C">
            <w:pPr>
              <w:spacing w:afterAutospacing="0"/>
              <w:jc w:val="center"/>
              <w:rPr>
                <w:rFonts w:cs="Times New Roman"/>
                <w:szCs w:val="24"/>
              </w:rPr>
            </w:pPr>
            <w:r>
              <w:rPr>
                <w:rFonts w:cs="Times New Roman"/>
                <w:szCs w:val="24"/>
                <w:lang w:val="fi-FI"/>
              </w:rPr>
              <w:t xml:space="preserve">James Stephens </w:t>
            </w:r>
          </w:p>
          <w:p w14:paraId="36FE529B" w14:textId="77777777" w:rsidR="00175362" w:rsidRDefault="0059412C">
            <w:pPr>
              <w:spacing w:afterAutospacing="0"/>
              <w:jc w:val="center"/>
              <w:rPr>
                <w:rFonts w:cs="Times New Roman"/>
                <w:szCs w:val="24"/>
              </w:rPr>
            </w:pPr>
            <w:r>
              <w:rPr>
                <w:rFonts w:cs="Times New Roman"/>
                <w:szCs w:val="24"/>
                <w:lang w:val="fi-FI"/>
              </w:rPr>
              <w:t>Laadunvalvonnan vanhempi johtaja</w:t>
            </w:r>
          </w:p>
        </w:tc>
      </w:tr>
      <w:tr w:rsidR="00175362" w14:paraId="77991579" w14:textId="77777777">
        <w:trPr>
          <w:trHeight w:val="624"/>
        </w:trPr>
        <w:tc>
          <w:tcPr>
            <w:tcW w:w="1442" w:type="dxa"/>
            <w:tcBorders>
              <w:top w:val="single" w:sz="6" w:space="0" w:color="000000"/>
              <w:left w:val="single" w:sz="18" w:space="0" w:color="000000"/>
              <w:bottom w:val="single" w:sz="18" w:space="0" w:color="000000"/>
              <w:right w:val="single" w:sz="6" w:space="0" w:color="000000"/>
            </w:tcBorders>
            <w:vAlign w:val="center"/>
          </w:tcPr>
          <w:p w14:paraId="6D366DD1" w14:textId="77777777" w:rsidR="00175362" w:rsidRDefault="0059412C">
            <w:pPr>
              <w:jc w:val="center"/>
              <w:rPr>
                <w:rFonts w:cs="Times New Roman"/>
                <w:b/>
                <w:szCs w:val="24"/>
              </w:rPr>
            </w:pPr>
            <w:r>
              <w:rPr>
                <w:rFonts w:cs="Times New Roman"/>
                <w:b/>
                <w:bCs/>
                <w:szCs w:val="24"/>
                <w:lang w:val="fi-FI"/>
              </w:rPr>
              <w:t>Hyväksyntä</w:t>
            </w:r>
          </w:p>
        </w:tc>
        <w:tc>
          <w:tcPr>
            <w:tcW w:w="1299" w:type="dxa"/>
            <w:tcBorders>
              <w:top w:val="single" w:sz="6" w:space="0" w:color="000000"/>
              <w:left w:val="single" w:sz="6" w:space="0" w:color="000000"/>
              <w:bottom w:val="single" w:sz="18" w:space="0" w:color="000000"/>
              <w:right w:val="single" w:sz="6" w:space="0" w:color="000000"/>
            </w:tcBorders>
            <w:vAlign w:val="center"/>
          </w:tcPr>
          <w:p w14:paraId="5C1FCB6F" w14:textId="77777777" w:rsidR="00175362" w:rsidRDefault="0059412C">
            <w:pPr>
              <w:jc w:val="center"/>
              <w:rPr>
                <w:rFonts w:cs="Times New Roman"/>
                <w:szCs w:val="24"/>
              </w:rPr>
            </w:pPr>
            <w:r>
              <w:rPr>
                <w:rFonts w:cs="Times New Roman"/>
                <w:szCs w:val="24"/>
                <w:lang w:val="fi-FI"/>
              </w:rPr>
              <w:t xml:space="preserve">Sääntely </w:t>
            </w:r>
          </w:p>
        </w:tc>
        <w:tc>
          <w:tcPr>
            <w:tcW w:w="7208" w:type="dxa"/>
            <w:tcBorders>
              <w:top w:val="single" w:sz="6" w:space="0" w:color="000000"/>
              <w:left w:val="single" w:sz="6" w:space="0" w:color="000000"/>
              <w:bottom w:val="single" w:sz="18" w:space="0" w:color="000000"/>
              <w:right w:val="single" w:sz="18" w:space="0" w:color="000000"/>
            </w:tcBorders>
            <w:vAlign w:val="center"/>
          </w:tcPr>
          <w:p w14:paraId="4ACC395D" w14:textId="77777777" w:rsidR="00175362" w:rsidRDefault="0059412C">
            <w:pPr>
              <w:spacing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fi-FI"/>
              </w:rPr>
              <w:t>Scott Bishop</w:t>
            </w:r>
          </w:p>
          <w:p w14:paraId="17C18F09" w14:textId="77777777" w:rsidR="00175362" w:rsidRDefault="0059412C">
            <w:pPr>
              <w:jc w:val="center"/>
              <w:rPr>
                <w:rFonts w:cs="Times New Roman"/>
                <w:szCs w:val="24"/>
              </w:rPr>
            </w:pPr>
            <w:r>
              <w:rPr>
                <w:rFonts w:eastAsia="Times New Roman" w:cs="Times New Roman"/>
                <w:color w:val="000000" w:themeColor="text1"/>
                <w:szCs w:val="24"/>
                <w:lang w:val="fi-FI"/>
              </w:rPr>
              <w:t>Varapääjohtaja, maailmanlaajuiset sääntelyasiat ja laadunvarmistus</w:t>
            </w:r>
          </w:p>
        </w:tc>
      </w:tr>
    </w:tbl>
    <w:p w14:paraId="46D9AE8E" w14:textId="77777777" w:rsidR="00175362" w:rsidRDefault="0059412C">
      <w:pPr>
        <w:spacing w:after="280"/>
        <w:jc w:val="center"/>
        <w:rPr>
          <w:rFonts w:cs="Times New Roman"/>
          <w:b/>
        </w:rPr>
      </w:pPr>
      <w:r>
        <w:rPr>
          <w:rFonts w:cs="Times New Roman"/>
          <w:b/>
          <w:bCs/>
          <w:lang w:val="fi-FI"/>
        </w:rPr>
        <w:t>Tarkistushistoria</w:t>
      </w:r>
    </w:p>
    <w:tbl>
      <w:tblPr>
        <w:tblW w:w="9787" w:type="dxa"/>
        <w:tblInd w:w="130" w:type="dxa"/>
        <w:tblLayout w:type="fixed"/>
        <w:tblLook w:val="01E0" w:firstRow="1" w:lastRow="1" w:firstColumn="1" w:lastColumn="1" w:noHBand="0" w:noVBand="0"/>
      </w:tblPr>
      <w:tblGrid>
        <w:gridCol w:w="1211"/>
        <w:gridCol w:w="1456"/>
        <w:gridCol w:w="1114"/>
        <w:gridCol w:w="4217"/>
        <w:gridCol w:w="1789"/>
      </w:tblGrid>
      <w:tr w:rsidR="00175362" w14:paraId="5EAAFCC6" w14:textId="77777777">
        <w:tc>
          <w:tcPr>
            <w:tcW w:w="1211" w:type="dxa"/>
            <w:tcBorders>
              <w:top w:val="single" w:sz="18" w:space="0" w:color="000000"/>
              <w:left w:val="single" w:sz="18" w:space="0" w:color="000000"/>
              <w:bottom w:val="double" w:sz="4" w:space="0" w:color="000000"/>
              <w:right w:val="single" w:sz="6" w:space="0" w:color="000000"/>
            </w:tcBorders>
            <w:shd w:val="clear" w:color="auto" w:fill="E0E0E0"/>
          </w:tcPr>
          <w:p w14:paraId="280A5122" w14:textId="77777777" w:rsidR="00175362" w:rsidRDefault="0059412C">
            <w:pPr>
              <w:jc w:val="center"/>
              <w:rPr>
                <w:rFonts w:cs="Times New Roman"/>
                <w:b/>
                <w:szCs w:val="24"/>
              </w:rPr>
            </w:pPr>
            <w:r>
              <w:rPr>
                <w:rFonts w:cs="Times New Roman"/>
                <w:b/>
                <w:bCs/>
                <w:szCs w:val="24"/>
                <w:lang w:val="fi-FI"/>
              </w:rPr>
              <w:t>Tarkistus</w:t>
            </w:r>
          </w:p>
        </w:tc>
        <w:tc>
          <w:tcPr>
            <w:tcW w:w="1456" w:type="dxa"/>
            <w:tcBorders>
              <w:top w:val="single" w:sz="18" w:space="0" w:color="000000"/>
              <w:left w:val="single" w:sz="6" w:space="0" w:color="000000"/>
              <w:bottom w:val="double" w:sz="4" w:space="0" w:color="000000"/>
              <w:right w:val="single" w:sz="6" w:space="0" w:color="000000"/>
            </w:tcBorders>
            <w:shd w:val="clear" w:color="auto" w:fill="E0E0E0"/>
          </w:tcPr>
          <w:p w14:paraId="2ED74D22" w14:textId="77777777" w:rsidR="00175362" w:rsidRDefault="0059412C">
            <w:pPr>
              <w:jc w:val="center"/>
              <w:rPr>
                <w:rFonts w:cs="Times New Roman"/>
                <w:b/>
                <w:szCs w:val="24"/>
              </w:rPr>
            </w:pPr>
            <w:r>
              <w:rPr>
                <w:rFonts w:cs="Times New Roman"/>
                <w:b/>
                <w:bCs/>
                <w:szCs w:val="24"/>
                <w:lang w:val="fi-FI"/>
              </w:rPr>
              <w:t>Päivämäärä</w:t>
            </w:r>
          </w:p>
        </w:tc>
        <w:tc>
          <w:tcPr>
            <w:tcW w:w="1114" w:type="dxa"/>
            <w:tcBorders>
              <w:top w:val="single" w:sz="18" w:space="0" w:color="000000"/>
              <w:left w:val="single" w:sz="6" w:space="0" w:color="000000"/>
              <w:bottom w:val="double" w:sz="4" w:space="0" w:color="000000"/>
              <w:right w:val="single" w:sz="6" w:space="0" w:color="000000"/>
            </w:tcBorders>
            <w:shd w:val="clear" w:color="auto" w:fill="E0E0E0"/>
          </w:tcPr>
          <w:p w14:paraId="14B6EBA5" w14:textId="77777777" w:rsidR="00175362" w:rsidRDefault="0059412C">
            <w:pPr>
              <w:jc w:val="center"/>
              <w:rPr>
                <w:rFonts w:cs="Times New Roman"/>
                <w:b/>
                <w:szCs w:val="24"/>
              </w:rPr>
            </w:pPr>
            <w:r>
              <w:rPr>
                <w:rFonts w:cs="Times New Roman"/>
                <w:b/>
                <w:bCs/>
                <w:szCs w:val="24"/>
                <w:lang w:val="fi-FI"/>
              </w:rPr>
              <w:t>Osiot</w:t>
            </w:r>
          </w:p>
        </w:tc>
        <w:tc>
          <w:tcPr>
            <w:tcW w:w="4217" w:type="dxa"/>
            <w:tcBorders>
              <w:top w:val="single" w:sz="18" w:space="0" w:color="000000"/>
              <w:left w:val="single" w:sz="6" w:space="0" w:color="000000"/>
              <w:bottom w:val="double" w:sz="4" w:space="0" w:color="000000"/>
              <w:right w:val="single" w:sz="6" w:space="0" w:color="000000"/>
            </w:tcBorders>
            <w:shd w:val="clear" w:color="auto" w:fill="E0E0E0"/>
          </w:tcPr>
          <w:p w14:paraId="487AC7B2" w14:textId="77777777" w:rsidR="00175362" w:rsidRDefault="0059412C">
            <w:pPr>
              <w:jc w:val="center"/>
              <w:rPr>
                <w:rFonts w:cs="Times New Roman"/>
                <w:b/>
                <w:szCs w:val="24"/>
              </w:rPr>
            </w:pPr>
            <w:r>
              <w:rPr>
                <w:rFonts w:cs="Times New Roman"/>
                <w:b/>
                <w:bCs/>
                <w:szCs w:val="24"/>
                <w:lang w:val="fi-FI"/>
              </w:rPr>
              <w:t>Tarkistuksen kuvaus</w:t>
            </w:r>
          </w:p>
        </w:tc>
        <w:tc>
          <w:tcPr>
            <w:tcW w:w="1789" w:type="dxa"/>
            <w:tcBorders>
              <w:top w:val="single" w:sz="18" w:space="0" w:color="000000"/>
              <w:left w:val="single" w:sz="6" w:space="0" w:color="000000"/>
              <w:bottom w:val="double" w:sz="4" w:space="0" w:color="000000"/>
              <w:right w:val="single" w:sz="18" w:space="0" w:color="000000"/>
            </w:tcBorders>
            <w:shd w:val="clear" w:color="auto" w:fill="E0E0E0"/>
          </w:tcPr>
          <w:p w14:paraId="294BDEB1" w14:textId="77777777" w:rsidR="00175362" w:rsidRDefault="0059412C">
            <w:pPr>
              <w:tabs>
                <w:tab w:val="left" w:pos="465"/>
              </w:tabs>
              <w:jc w:val="center"/>
              <w:rPr>
                <w:rFonts w:cs="Times New Roman"/>
                <w:b/>
                <w:szCs w:val="24"/>
              </w:rPr>
            </w:pPr>
            <w:r>
              <w:rPr>
                <w:rFonts w:cs="Times New Roman"/>
                <w:b/>
                <w:bCs/>
                <w:szCs w:val="24"/>
                <w:lang w:val="fi-FI"/>
              </w:rPr>
              <w:t>Muutospyyntö #</w:t>
            </w:r>
          </w:p>
        </w:tc>
      </w:tr>
      <w:tr w:rsidR="00175362" w14:paraId="271BCE32" w14:textId="77777777">
        <w:tc>
          <w:tcPr>
            <w:tcW w:w="1211" w:type="dxa"/>
            <w:tcBorders>
              <w:top w:val="double" w:sz="4" w:space="0" w:color="000000"/>
              <w:left w:val="single" w:sz="18" w:space="0" w:color="000000"/>
              <w:bottom w:val="single" w:sz="4" w:space="0" w:color="000000"/>
              <w:right w:val="single" w:sz="6" w:space="0" w:color="000000"/>
            </w:tcBorders>
          </w:tcPr>
          <w:p w14:paraId="60B014EA" w14:textId="77777777" w:rsidR="00175362" w:rsidRDefault="0059412C">
            <w:pPr>
              <w:jc w:val="center"/>
              <w:rPr>
                <w:rFonts w:cs="Times New Roman"/>
                <w:szCs w:val="24"/>
              </w:rPr>
            </w:pPr>
            <w:r>
              <w:rPr>
                <w:rFonts w:cs="Times New Roman"/>
                <w:szCs w:val="24"/>
                <w:lang w:val="fi-FI"/>
              </w:rPr>
              <w:t>A</w:t>
            </w:r>
          </w:p>
        </w:tc>
        <w:tc>
          <w:tcPr>
            <w:tcW w:w="1456" w:type="dxa"/>
            <w:tcBorders>
              <w:top w:val="double" w:sz="4" w:space="0" w:color="000000"/>
              <w:left w:val="single" w:sz="6" w:space="0" w:color="000000"/>
              <w:bottom w:val="single" w:sz="4" w:space="0" w:color="000000"/>
              <w:right w:val="single" w:sz="6" w:space="0" w:color="000000"/>
            </w:tcBorders>
          </w:tcPr>
          <w:p w14:paraId="5E1F3ECE" w14:textId="77777777" w:rsidR="00175362" w:rsidRDefault="0059412C">
            <w:pPr>
              <w:jc w:val="center"/>
              <w:rPr>
                <w:rFonts w:cs="Times New Roman"/>
                <w:szCs w:val="24"/>
              </w:rPr>
            </w:pPr>
            <w:r>
              <w:rPr>
                <w:rFonts w:cs="Times New Roman"/>
                <w:szCs w:val="24"/>
                <w:lang w:val="fi-FI"/>
              </w:rPr>
              <w:t>22.5.2022</w:t>
            </w:r>
          </w:p>
        </w:tc>
        <w:tc>
          <w:tcPr>
            <w:tcW w:w="1114" w:type="dxa"/>
            <w:tcBorders>
              <w:top w:val="double" w:sz="4" w:space="0" w:color="000000"/>
              <w:left w:val="single" w:sz="6" w:space="0" w:color="000000"/>
              <w:bottom w:val="single" w:sz="4" w:space="0" w:color="000000"/>
              <w:right w:val="single" w:sz="6" w:space="0" w:color="000000"/>
            </w:tcBorders>
          </w:tcPr>
          <w:p w14:paraId="6FB950F4" w14:textId="77777777" w:rsidR="00175362" w:rsidRDefault="0059412C">
            <w:pPr>
              <w:jc w:val="center"/>
              <w:rPr>
                <w:rFonts w:cs="Times New Roman"/>
                <w:szCs w:val="24"/>
              </w:rPr>
            </w:pPr>
            <w:r>
              <w:rPr>
                <w:rFonts w:cs="Times New Roman"/>
                <w:szCs w:val="24"/>
                <w:lang w:val="fi-FI"/>
              </w:rPr>
              <w:t>Kaikki</w:t>
            </w:r>
          </w:p>
        </w:tc>
        <w:tc>
          <w:tcPr>
            <w:tcW w:w="4217" w:type="dxa"/>
            <w:tcBorders>
              <w:top w:val="double" w:sz="4" w:space="0" w:color="000000"/>
              <w:left w:val="single" w:sz="6" w:space="0" w:color="000000"/>
              <w:bottom w:val="single" w:sz="4" w:space="0" w:color="000000"/>
              <w:right w:val="single" w:sz="6" w:space="0" w:color="000000"/>
            </w:tcBorders>
          </w:tcPr>
          <w:p w14:paraId="3363A4F7" w14:textId="77777777" w:rsidR="00175362" w:rsidRDefault="0059412C">
            <w:pPr>
              <w:rPr>
                <w:rFonts w:cs="Times New Roman"/>
                <w:szCs w:val="24"/>
                <w:lang w:val="it-IT"/>
              </w:rPr>
            </w:pPr>
            <w:r>
              <w:rPr>
                <w:rFonts w:cs="Times New Roman"/>
                <w:szCs w:val="24"/>
                <w:lang w:val="fi-FI"/>
              </w:rPr>
              <w:t>Alustava raportti vain sisäiseen käyttöön</w:t>
            </w:r>
          </w:p>
        </w:tc>
        <w:tc>
          <w:tcPr>
            <w:tcW w:w="1789" w:type="dxa"/>
            <w:tcBorders>
              <w:top w:val="double" w:sz="4" w:space="0" w:color="000000"/>
              <w:left w:val="single" w:sz="6" w:space="0" w:color="000000"/>
              <w:bottom w:val="single" w:sz="4" w:space="0" w:color="000000"/>
              <w:right w:val="single" w:sz="18" w:space="0" w:color="000000"/>
            </w:tcBorders>
          </w:tcPr>
          <w:p w14:paraId="10BC692E" w14:textId="77777777" w:rsidR="00175362" w:rsidRDefault="0059412C">
            <w:pPr>
              <w:rPr>
                <w:rFonts w:cs="Times New Roman"/>
                <w:szCs w:val="24"/>
              </w:rPr>
            </w:pPr>
            <w:r>
              <w:rPr>
                <w:rFonts w:cs="Times New Roman"/>
                <w:szCs w:val="24"/>
                <w:lang w:val="fi-FI"/>
              </w:rPr>
              <w:t>-</w:t>
            </w:r>
          </w:p>
        </w:tc>
      </w:tr>
      <w:tr w:rsidR="00175362" w14:paraId="3495E4FF" w14:textId="77777777">
        <w:tc>
          <w:tcPr>
            <w:tcW w:w="1211" w:type="dxa"/>
            <w:tcBorders>
              <w:top w:val="single" w:sz="4" w:space="0" w:color="000000"/>
              <w:left w:val="single" w:sz="18" w:space="0" w:color="000000"/>
              <w:bottom w:val="single" w:sz="12" w:space="0" w:color="000000"/>
              <w:right w:val="single" w:sz="6" w:space="0" w:color="000000"/>
            </w:tcBorders>
          </w:tcPr>
          <w:p w14:paraId="70C22EC0" w14:textId="77777777" w:rsidR="00175362" w:rsidRDefault="0059412C">
            <w:pPr>
              <w:jc w:val="center"/>
              <w:rPr>
                <w:rFonts w:cs="Times New Roman"/>
                <w:szCs w:val="24"/>
              </w:rPr>
            </w:pPr>
            <w:r>
              <w:rPr>
                <w:rFonts w:cs="Times New Roman"/>
                <w:szCs w:val="24"/>
                <w:lang w:val="fi-FI"/>
              </w:rPr>
              <w:t>B</w:t>
            </w:r>
          </w:p>
        </w:tc>
        <w:tc>
          <w:tcPr>
            <w:tcW w:w="1456" w:type="dxa"/>
            <w:tcBorders>
              <w:top w:val="single" w:sz="4" w:space="0" w:color="000000"/>
              <w:left w:val="single" w:sz="6" w:space="0" w:color="000000"/>
              <w:bottom w:val="single" w:sz="12" w:space="0" w:color="000000"/>
              <w:right w:val="single" w:sz="6" w:space="0" w:color="000000"/>
            </w:tcBorders>
          </w:tcPr>
          <w:p w14:paraId="64886CBD" w14:textId="77777777" w:rsidR="00175362" w:rsidRDefault="0059412C">
            <w:pPr>
              <w:jc w:val="center"/>
              <w:rPr>
                <w:rFonts w:cs="Times New Roman"/>
                <w:szCs w:val="24"/>
              </w:rPr>
            </w:pPr>
            <w:r>
              <w:rPr>
                <w:rFonts w:cs="Times New Roman"/>
                <w:szCs w:val="24"/>
                <w:lang w:val="fi-FI"/>
              </w:rPr>
              <w:t>15.12.2025</w:t>
            </w:r>
          </w:p>
        </w:tc>
        <w:tc>
          <w:tcPr>
            <w:tcW w:w="1114" w:type="dxa"/>
            <w:tcBorders>
              <w:top w:val="single" w:sz="4" w:space="0" w:color="000000"/>
              <w:left w:val="single" w:sz="6" w:space="0" w:color="000000"/>
              <w:bottom w:val="single" w:sz="12" w:space="0" w:color="000000"/>
              <w:right w:val="single" w:sz="6" w:space="0" w:color="000000"/>
            </w:tcBorders>
          </w:tcPr>
          <w:p w14:paraId="60C08B90" w14:textId="77777777" w:rsidR="00175362" w:rsidRDefault="0059412C">
            <w:pPr>
              <w:jc w:val="center"/>
              <w:rPr>
                <w:rFonts w:cs="Times New Roman"/>
                <w:szCs w:val="24"/>
              </w:rPr>
            </w:pPr>
            <w:r>
              <w:rPr>
                <w:rFonts w:cs="Times New Roman"/>
                <w:szCs w:val="24"/>
                <w:lang w:val="fi-FI"/>
              </w:rPr>
              <w:t>Kaikki</w:t>
            </w:r>
          </w:p>
        </w:tc>
        <w:tc>
          <w:tcPr>
            <w:tcW w:w="4217" w:type="dxa"/>
            <w:tcBorders>
              <w:top w:val="single" w:sz="4" w:space="0" w:color="000000"/>
              <w:left w:val="single" w:sz="6" w:space="0" w:color="000000"/>
              <w:bottom w:val="single" w:sz="12" w:space="0" w:color="000000"/>
              <w:right w:val="single" w:sz="6" w:space="0" w:color="000000"/>
            </w:tcBorders>
          </w:tcPr>
          <w:p w14:paraId="55B70BA5" w14:textId="77777777" w:rsidR="00175362" w:rsidRDefault="0059412C">
            <w:pPr>
              <w:rPr>
                <w:rFonts w:cs="Times New Roman"/>
                <w:szCs w:val="24"/>
              </w:rPr>
            </w:pPr>
            <w:r>
              <w:rPr>
                <w:rFonts w:cs="Times New Roman"/>
                <w:szCs w:val="24"/>
                <w:lang w:val="fi-FI"/>
              </w:rPr>
              <w:t>EU:n lääkintälaiteasetuksen (MDR) mukainen lähetys</w:t>
            </w:r>
          </w:p>
        </w:tc>
        <w:tc>
          <w:tcPr>
            <w:tcW w:w="1789" w:type="dxa"/>
            <w:tcBorders>
              <w:top w:val="single" w:sz="4" w:space="0" w:color="000000"/>
              <w:left w:val="single" w:sz="6" w:space="0" w:color="000000"/>
              <w:bottom w:val="single" w:sz="12" w:space="0" w:color="000000"/>
              <w:right w:val="single" w:sz="18" w:space="0" w:color="000000"/>
            </w:tcBorders>
          </w:tcPr>
          <w:p w14:paraId="6A46AE34" w14:textId="77777777" w:rsidR="00175362" w:rsidRDefault="0059412C">
            <w:pPr>
              <w:rPr>
                <w:rFonts w:cs="Times New Roman"/>
                <w:szCs w:val="24"/>
              </w:rPr>
            </w:pPr>
            <w:r>
              <w:rPr>
                <w:rFonts w:cs="Times New Roman"/>
                <w:szCs w:val="24"/>
                <w:lang w:val="fi-FI"/>
              </w:rPr>
              <w:t>07919</w:t>
            </w:r>
          </w:p>
        </w:tc>
      </w:tr>
    </w:tbl>
    <w:p w14:paraId="757ED7E3" w14:textId="77777777" w:rsidR="00175362" w:rsidRDefault="0059412C">
      <w:pPr>
        <w:spacing w:after="280"/>
        <w:jc w:val="center"/>
        <w:rPr>
          <w:rFonts w:cs="Times New Roman"/>
        </w:rPr>
      </w:pPr>
      <w:r>
        <w:rPr>
          <w:rFonts w:cs="Times New Roman"/>
          <w:i/>
          <w:iCs/>
          <w:lang w:val="fi-FI"/>
        </w:rPr>
        <w:t>Huomio: Hyväksynnät tallennetaan asiaan liittyvien muutospyyntöjen kautta.</w:t>
      </w:r>
      <w:r>
        <w:br w:type="page"/>
      </w:r>
    </w:p>
    <w:p w14:paraId="1E2D03B9" w14:textId="77777777" w:rsidR="00175362" w:rsidRDefault="0059412C">
      <w:pPr>
        <w:spacing w:afterAutospacing="0" w:line="240" w:lineRule="auto"/>
        <w:rPr>
          <w:rFonts w:cs="Times New Roman"/>
        </w:rPr>
      </w:pPr>
      <w:r>
        <w:rPr>
          <w:rFonts w:cs="Times New Roman"/>
          <w:lang w:val="fi-FI"/>
        </w:rPr>
        <w:lastRenderedPageBreak/>
        <w:t>Sisällysluettelo</w:t>
      </w:r>
    </w:p>
    <w:sdt>
      <w:sdtPr>
        <w:id w:val="-213735635"/>
        <w:docPartObj>
          <w:docPartGallery w:val="Table of Contents"/>
          <w:docPartUnique/>
        </w:docPartObj>
      </w:sdtPr>
      <w:sdtContent>
        <w:p w14:paraId="3FF4852F" w14:textId="77777777" w:rsidR="00175362" w:rsidRDefault="0059412C">
          <w:pPr>
            <w:pStyle w:val="TOC1"/>
            <w:rPr>
              <w:rFonts w:asciiTheme="minorHAnsi" w:eastAsiaTheme="minorEastAsia" w:hAnsiTheme="minorHAnsi" w:cstheme="minorBidi"/>
              <w:kern w:val="2"/>
              <w:lang w:eastAsia="zh-CN"/>
              <w14:ligatures w14:val="standardContextual"/>
            </w:rPr>
          </w:pPr>
          <w:r>
            <w:fldChar w:fldCharType="begin"/>
          </w:r>
          <w:r>
            <w:rPr>
              <w:rStyle w:val="IndexLink"/>
              <w:webHidden/>
            </w:rPr>
            <w:instrText xml:space="preserve"> TOC \z \o "1-3" \u \h</w:instrText>
          </w:r>
          <w:r>
            <w:rPr>
              <w:rStyle w:val="IndexLink"/>
            </w:rPr>
            <w:fldChar w:fldCharType="separate"/>
          </w:r>
          <w:hyperlink w:anchor="_Toc222741334">
            <w:r>
              <w:rPr>
                <w:rStyle w:val="IndexLink"/>
                <w:webHidden/>
              </w:rPr>
              <w:t>1.</w:t>
            </w:r>
            <w:r>
              <w:rPr>
                <w:rStyle w:val="IndexLink"/>
                <w:rFonts w:asciiTheme="minorHAnsi" w:eastAsiaTheme="minorEastAsia" w:hAnsiTheme="minorHAnsi" w:cstheme="minorBidi"/>
                <w:kern w:val="2"/>
                <w:lang w:eastAsia="zh-CN"/>
                <w14:ligatures w14:val="standardContextual"/>
              </w:rPr>
              <w:tab/>
            </w:r>
            <w:r>
              <w:rPr>
                <w:rStyle w:val="IndexLink"/>
                <w:bCs/>
                <w:lang w:val="fi-FI"/>
              </w:rPr>
              <w:t>Tämän turvallisuutta ja kliinistä suorituskykyä koskevan tiivistelmän (SSCP) laajuus:</w:t>
            </w:r>
            <w:r>
              <w:rPr>
                <w:webHidden/>
              </w:rPr>
              <w:fldChar w:fldCharType="begin"/>
            </w:r>
            <w:r>
              <w:rPr>
                <w:webHidden/>
              </w:rPr>
              <w:instrText>PAGEREF _Toc222741334 \h</w:instrText>
            </w:r>
            <w:r>
              <w:rPr>
                <w:webHidden/>
              </w:rPr>
            </w:r>
            <w:r>
              <w:rPr>
                <w:webHidden/>
              </w:rPr>
              <w:fldChar w:fldCharType="separate"/>
            </w:r>
            <w:r>
              <w:rPr>
                <w:rStyle w:val="IndexLink"/>
              </w:rPr>
              <w:tab/>
              <w:t>3</w:t>
            </w:r>
            <w:r>
              <w:rPr>
                <w:webHidden/>
              </w:rPr>
              <w:fldChar w:fldCharType="end"/>
            </w:r>
          </w:hyperlink>
        </w:p>
        <w:p w14:paraId="22A61FA9" w14:textId="77777777" w:rsidR="00175362" w:rsidRDefault="0059412C">
          <w:pPr>
            <w:pStyle w:val="TOC1"/>
            <w:rPr>
              <w:rFonts w:asciiTheme="minorHAnsi" w:eastAsiaTheme="minorEastAsia" w:hAnsiTheme="minorHAnsi" w:cstheme="minorBidi"/>
              <w:kern w:val="2"/>
              <w:lang w:eastAsia="zh-CN"/>
              <w14:ligatures w14:val="standardContextual"/>
            </w:rPr>
          </w:pPr>
          <w:hyperlink w:anchor="_Toc222741335">
            <w:r>
              <w:rPr>
                <w:rStyle w:val="IndexLink"/>
                <w:webHidden/>
              </w:rPr>
              <w:t>1.1.</w:t>
            </w:r>
            <w:r>
              <w:rPr>
                <w:rStyle w:val="IndexLink"/>
                <w:rFonts w:asciiTheme="minorHAnsi" w:eastAsiaTheme="minorEastAsia" w:hAnsiTheme="minorHAnsi" w:cstheme="minorBidi"/>
                <w:kern w:val="2"/>
                <w:lang w:eastAsia="zh-CN"/>
                <w14:ligatures w14:val="standardContextual"/>
              </w:rPr>
              <w:tab/>
            </w:r>
            <w:r>
              <w:rPr>
                <w:rStyle w:val="IndexLink"/>
                <w:bCs/>
                <w:lang w:val="fi-FI"/>
              </w:rPr>
              <w:t>Laitteen kauppanimi:</w:t>
            </w:r>
            <w:r>
              <w:rPr>
                <w:webHidden/>
              </w:rPr>
              <w:fldChar w:fldCharType="begin"/>
            </w:r>
            <w:r>
              <w:rPr>
                <w:webHidden/>
              </w:rPr>
              <w:instrText>PAGEREF _Toc222741335 \h</w:instrText>
            </w:r>
            <w:r>
              <w:rPr>
                <w:webHidden/>
              </w:rPr>
            </w:r>
            <w:r>
              <w:rPr>
                <w:webHidden/>
              </w:rPr>
              <w:fldChar w:fldCharType="separate"/>
            </w:r>
            <w:r>
              <w:rPr>
                <w:rStyle w:val="IndexLink"/>
              </w:rPr>
              <w:tab/>
              <w:t>3</w:t>
            </w:r>
            <w:r>
              <w:rPr>
                <w:webHidden/>
              </w:rPr>
              <w:fldChar w:fldCharType="end"/>
            </w:r>
          </w:hyperlink>
        </w:p>
        <w:p w14:paraId="5A196A17" w14:textId="1BB37AA6" w:rsidR="00175362" w:rsidRDefault="0059412C">
          <w:pPr>
            <w:pStyle w:val="TOC1"/>
            <w:rPr>
              <w:rFonts w:asciiTheme="minorHAnsi" w:eastAsiaTheme="minorEastAsia" w:hAnsiTheme="minorHAnsi" w:cstheme="minorBidi"/>
              <w:kern w:val="2"/>
              <w:lang w:eastAsia="zh-CN"/>
              <w14:ligatures w14:val="standardContextual"/>
            </w:rPr>
          </w:pPr>
          <w:hyperlink w:anchor="_Toc222741336">
            <w:r>
              <w:rPr>
                <w:rStyle w:val="IndexLink"/>
                <w:webHidden/>
              </w:rPr>
              <w:t>1.2.</w:t>
            </w:r>
            <w:r>
              <w:rPr>
                <w:rStyle w:val="IndexLink"/>
                <w:rFonts w:asciiTheme="minorHAnsi" w:eastAsiaTheme="minorEastAsia" w:hAnsiTheme="minorHAnsi" w:cstheme="minorBidi"/>
                <w:kern w:val="2"/>
                <w:lang w:eastAsia="zh-CN"/>
                <w14:ligatures w14:val="standardContextual"/>
              </w:rPr>
              <w:tab/>
            </w:r>
            <w:r>
              <w:rPr>
                <w:rStyle w:val="IndexLink"/>
                <w:bCs/>
                <w:lang w:val="fi-FI"/>
              </w:rPr>
              <w:t>Laitteen kuvaus, perus-UDI-DI ja EU-luokitus:</w:t>
            </w:r>
            <w:r>
              <w:rPr>
                <w:webHidden/>
              </w:rPr>
              <w:fldChar w:fldCharType="begin"/>
            </w:r>
            <w:r>
              <w:rPr>
                <w:webHidden/>
              </w:rPr>
              <w:instrText>PAGEREF _Toc222741336 \h</w:instrText>
            </w:r>
            <w:r>
              <w:rPr>
                <w:webHidden/>
              </w:rPr>
            </w:r>
            <w:r>
              <w:rPr>
                <w:webHidden/>
              </w:rPr>
              <w:fldChar w:fldCharType="separate"/>
            </w:r>
            <w:r>
              <w:rPr>
                <w:rStyle w:val="IndexLink"/>
              </w:rPr>
              <w:tab/>
              <w:t>3</w:t>
            </w:r>
            <w:r>
              <w:rPr>
                <w:webHidden/>
              </w:rPr>
              <w:fldChar w:fldCharType="end"/>
            </w:r>
          </w:hyperlink>
        </w:p>
        <w:p w14:paraId="1C07CA13" w14:textId="4F74F85D" w:rsidR="00175362" w:rsidRDefault="00DE0C6B">
          <w:pPr>
            <w:pStyle w:val="TOC1"/>
            <w:rPr>
              <w:rFonts w:asciiTheme="minorHAnsi" w:eastAsiaTheme="minorEastAsia" w:hAnsiTheme="minorHAnsi" w:cstheme="minorBidi"/>
              <w:kern w:val="2"/>
              <w:lang w:eastAsia="zh-CN"/>
              <w14:ligatures w14:val="standardContextual"/>
            </w:rPr>
          </w:pPr>
          <w:hyperlink w:anchor="_Toc222741337">
            <w:r>
              <w:rPr>
                <w:rStyle w:val="IndexLink"/>
                <w:webHidden/>
              </w:rPr>
              <w:t>1.3.</w:t>
            </w:r>
            <w:r>
              <w:rPr>
                <w:rStyle w:val="IndexLink"/>
                <w:rFonts w:asciiTheme="minorHAnsi" w:eastAsiaTheme="minorEastAsia" w:hAnsiTheme="minorHAnsi" w:cstheme="minorBidi"/>
                <w:kern w:val="2"/>
                <w:lang w:eastAsia="zh-CN"/>
                <w14:ligatures w14:val="standardContextual"/>
              </w:rPr>
              <w:tab/>
            </w:r>
            <w:r>
              <w:rPr>
                <w:rStyle w:val="IndexLink"/>
                <w:bCs/>
                <w:lang w:val="fi-FI"/>
              </w:rPr>
              <w:t>Vuosi, jona laitteelle myönnettiin ensimmäinen (CE) todistus:</w:t>
            </w:r>
            <w:r>
              <w:rPr>
                <w:webHidden/>
              </w:rPr>
              <w:fldChar w:fldCharType="begin"/>
            </w:r>
            <w:r>
              <w:rPr>
                <w:webHidden/>
              </w:rPr>
              <w:instrText>PAGEREF _Toc222741337 \h</w:instrText>
            </w:r>
            <w:r>
              <w:rPr>
                <w:webHidden/>
              </w:rPr>
            </w:r>
            <w:r>
              <w:rPr>
                <w:webHidden/>
              </w:rPr>
              <w:fldChar w:fldCharType="separate"/>
            </w:r>
            <w:r>
              <w:rPr>
                <w:rStyle w:val="IndexLink"/>
              </w:rPr>
              <w:tab/>
              <w:t>3</w:t>
            </w:r>
            <w:r>
              <w:rPr>
                <w:webHidden/>
              </w:rPr>
              <w:fldChar w:fldCharType="end"/>
            </w:r>
          </w:hyperlink>
        </w:p>
        <w:p w14:paraId="71E00CF2" w14:textId="77777777" w:rsidR="00175362" w:rsidRDefault="0059412C">
          <w:pPr>
            <w:pStyle w:val="TOC1"/>
            <w:rPr>
              <w:rFonts w:asciiTheme="minorHAnsi" w:eastAsiaTheme="minorEastAsia" w:hAnsiTheme="minorHAnsi" w:cstheme="minorBidi"/>
              <w:kern w:val="2"/>
              <w:lang w:eastAsia="zh-CN"/>
              <w14:ligatures w14:val="standardContextual"/>
            </w:rPr>
          </w:pPr>
          <w:hyperlink w:anchor="_Toc222741338">
            <w:r>
              <w:rPr>
                <w:rStyle w:val="IndexLink"/>
                <w:webHidden/>
              </w:rPr>
              <w:t>1.4.</w:t>
            </w:r>
            <w:r>
              <w:rPr>
                <w:rStyle w:val="IndexLink"/>
                <w:rFonts w:asciiTheme="minorHAnsi" w:eastAsiaTheme="minorEastAsia" w:hAnsiTheme="minorHAnsi" w:cstheme="minorBidi"/>
                <w:kern w:val="2"/>
                <w:lang w:eastAsia="zh-CN"/>
                <w14:ligatures w14:val="standardContextual"/>
              </w:rPr>
              <w:tab/>
            </w:r>
            <w:r>
              <w:rPr>
                <w:rStyle w:val="IndexLink"/>
                <w:bCs/>
                <w:lang w:val="fi-FI"/>
              </w:rPr>
              <w:t>Valmistajan nimi, osoite ja SRN-numero:</w:t>
            </w:r>
            <w:r>
              <w:rPr>
                <w:webHidden/>
              </w:rPr>
              <w:fldChar w:fldCharType="begin"/>
            </w:r>
            <w:r>
              <w:rPr>
                <w:webHidden/>
              </w:rPr>
              <w:instrText>PAGEREF _Toc222741338 \h</w:instrText>
            </w:r>
            <w:r>
              <w:rPr>
                <w:webHidden/>
              </w:rPr>
            </w:r>
            <w:r>
              <w:rPr>
                <w:webHidden/>
              </w:rPr>
              <w:fldChar w:fldCharType="separate"/>
            </w:r>
            <w:r>
              <w:rPr>
                <w:rStyle w:val="IndexLink"/>
              </w:rPr>
              <w:tab/>
              <w:t>4</w:t>
            </w:r>
            <w:r>
              <w:rPr>
                <w:webHidden/>
              </w:rPr>
              <w:fldChar w:fldCharType="end"/>
            </w:r>
          </w:hyperlink>
        </w:p>
        <w:p w14:paraId="3B5D9C25" w14:textId="77777777" w:rsidR="00175362" w:rsidRDefault="0059412C">
          <w:pPr>
            <w:pStyle w:val="TOC1"/>
            <w:rPr>
              <w:rFonts w:asciiTheme="minorHAnsi" w:eastAsiaTheme="minorEastAsia" w:hAnsiTheme="minorHAnsi" w:cstheme="minorBidi"/>
              <w:kern w:val="2"/>
              <w:lang w:eastAsia="zh-CN"/>
              <w14:ligatures w14:val="standardContextual"/>
            </w:rPr>
          </w:pPr>
          <w:hyperlink w:anchor="_Toc222741339">
            <w:r>
              <w:rPr>
                <w:rStyle w:val="IndexLink"/>
                <w:webHidden/>
              </w:rPr>
              <w:t>1.5.</w:t>
            </w:r>
            <w:r>
              <w:rPr>
                <w:rStyle w:val="IndexLink"/>
                <w:rFonts w:asciiTheme="minorHAnsi" w:eastAsiaTheme="minorEastAsia" w:hAnsiTheme="minorHAnsi" w:cstheme="minorBidi"/>
                <w:kern w:val="2"/>
                <w:lang w:eastAsia="zh-CN"/>
                <w14:ligatures w14:val="standardContextual"/>
              </w:rPr>
              <w:tab/>
            </w:r>
            <w:r>
              <w:rPr>
                <w:rStyle w:val="IndexLink"/>
                <w:bCs/>
                <w:lang w:val="fi-FI"/>
              </w:rPr>
              <w:t>Valtuutetun edustajan nimi ja SRN:</w:t>
            </w:r>
            <w:r>
              <w:rPr>
                <w:webHidden/>
              </w:rPr>
              <w:fldChar w:fldCharType="begin"/>
            </w:r>
            <w:r>
              <w:rPr>
                <w:webHidden/>
              </w:rPr>
              <w:instrText>PAGEREF _Toc222741339 \h</w:instrText>
            </w:r>
            <w:r>
              <w:rPr>
                <w:webHidden/>
              </w:rPr>
            </w:r>
            <w:r>
              <w:rPr>
                <w:webHidden/>
              </w:rPr>
              <w:fldChar w:fldCharType="separate"/>
            </w:r>
            <w:r>
              <w:rPr>
                <w:rStyle w:val="IndexLink"/>
              </w:rPr>
              <w:tab/>
              <w:t>4</w:t>
            </w:r>
            <w:r>
              <w:rPr>
                <w:webHidden/>
              </w:rPr>
              <w:fldChar w:fldCharType="end"/>
            </w:r>
          </w:hyperlink>
        </w:p>
        <w:p w14:paraId="113C1794" w14:textId="77777777" w:rsidR="00175362" w:rsidRDefault="0059412C">
          <w:pPr>
            <w:pStyle w:val="TOC1"/>
            <w:rPr>
              <w:rFonts w:asciiTheme="minorHAnsi" w:eastAsiaTheme="minorEastAsia" w:hAnsiTheme="minorHAnsi" w:cstheme="minorBidi"/>
              <w:kern w:val="2"/>
              <w:lang w:eastAsia="zh-CN"/>
              <w14:ligatures w14:val="standardContextual"/>
            </w:rPr>
          </w:pPr>
          <w:hyperlink w:anchor="_Toc222741340">
            <w:r>
              <w:rPr>
                <w:rStyle w:val="IndexLink"/>
                <w:webHidden/>
              </w:rPr>
              <w:t>1.6.</w:t>
            </w:r>
            <w:r>
              <w:rPr>
                <w:rStyle w:val="IndexLink"/>
                <w:rFonts w:asciiTheme="minorHAnsi" w:eastAsiaTheme="minorEastAsia" w:hAnsiTheme="minorHAnsi" w:cstheme="minorBidi"/>
                <w:kern w:val="2"/>
                <w:lang w:eastAsia="zh-CN"/>
                <w14:ligatures w14:val="standardContextual"/>
              </w:rPr>
              <w:tab/>
            </w:r>
            <w:r>
              <w:rPr>
                <w:rStyle w:val="IndexLink"/>
                <w:bCs/>
                <w:lang w:val="fi-FI"/>
              </w:rPr>
              <w:t>Ilmoitetun laitoksen nimi ja yksilöllinen tunnistenumero:</w:t>
            </w:r>
            <w:r>
              <w:rPr>
                <w:webHidden/>
              </w:rPr>
              <w:fldChar w:fldCharType="begin"/>
            </w:r>
            <w:r>
              <w:rPr>
                <w:webHidden/>
              </w:rPr>
              <w:instrText>PAGEREF _Toc222741340 \h</w:instrText>
            </w:r>
            <w:r>
              <w:rPr>
                <w:webHidden/>
              </w:rPr>
            </w:r>
            <w:r>
              <w:rPr>
                <w:webHidden/>
              </w:rPr>
              <w:fldChar w:fldCharType="separate"/>
            </w:r>
            <w:r>
              <w:rPr>
                <w:rStyle w:val="IndexLink"/>
              </w:rPr>
              <w:tab/>
              <w:t>4</w:t>
            </w:r>
            <w:r>
              <w:rPr>
                <w:webHidden/>
              </w:rPr>
              <w:fldChar w:fldCharType="end"/>
            </w:r>
          </w:hyperlink>
        </w:p>
        <w:p w14:paraId="49613DF7" w14:textId="5568DB41" w:rsidR="00175362" w:rsidRDefault="00DE0C6B">
          <w:pPr>
            <w:pStyle w:val="TOC1"/>
            <w:rPr>
              <w:rFonts w:asciiTheme="minorHAnsi" w:eastAsiaTheme="minorEastAsia" w:hAnsiTheme="minorHAnsi" w:cstheme="minorBidi"/>
              <w:kern w:val="2"/>
              <w:lang w:eastAsia="zh-CN"/>
              <w14:ligatures w14:val="standardContextual"/>
            </w:rPr>
          </w:pPr>
          <w:hyperlink w:anchor="_Toc222741341">
            <w:r>
              <w:rPr>
                <w:rStyle w:val="IndexLink"/>
                <w:webHidden/>
              </w:rPr>
              <w:t>2.</w:t>
            </w:r>
            <w:r>
              <w:rPr>
                <w:rStyle w:val="IndexLink"/>
                <w:rFonts w:asciiTheme="minorHAnsi" w:eastAsiaTheme="minorEastAsia" w:hAnsiTheme="minorHAnsi" w:cstheme="minorBidi"/>
                <w:kern w:val="2"/>
                <w:lang w:eastAsia="zh-CN"/>
                <w14:ligatures w14:val="standardContextual"/>
              </w:rPr>
              <w:tab/>
            </w:r>
            <w:r>
              <w:rPr>
                <w:rStyle w:val="IndexLink"/>
                <w:bCs/>
                <w:lang w:val="fi-FI"/>
              </w:rPr>
              <w:t>Laitteen käyttötarkoitus / käyttöaihe</w:t>
            </w:r>
            <w:r>
              <w:rPr>
                <w:webHidden/>
              </w:rPr>
              <w:fldChar w:fldCharType="begin"/>
            </w:r>
            <w:r>
              <w:rPr>
                <w:webHidden/>
              </w:rPr>
              <w:instrText>PAGEREF _Toc222741341 \h</w:instrText>
            </w:r>
            <w:r>
              <w:rPr>
                <w:webHidden/>
              </w:rPr>
            </w:r>
            <w:r>
              <w:rPr>
                <w:webHidden/>
              </w:rPr>
              <w:fldChar w:fldCharType="separate"/>
            </w:r>
            <w:r>
              <w:rPr>
                <w:rStyle w:val="IndexLink"/>
              </w:rPr>
              <w:tab/>
              <w:t>4</w:t>
            </w:r>
            <w:r>
              <w:rPr>
                <w:webHidden/>
              </w:rPr>
              <w:fldChar w:fldCharType="end"/>
            </w:r>
          </w:hyperlink>
        </w:p>
        <w:p w14:paraId="32930539" w14:textId="32B033CA" w:rsidR="00175362" w:rsidRDefault="00DE0C6B">
          <w:pPr>
            <w:pStyle w:val="TOC1"/>
            <w:rPr>
              <w:rFonts w:asciiTheme="minorHAnsi" w:eastAsiaTheme="minorEastAsia" w:hAnsiTheme="minorHAnsi" w:cstheme="minorBidi"/>
              <w:kern w:val="2"/>
              <w:lang w:eastAsia="zh-CN"/>
              <w14:ligatures w14:val="standardContextual"/>
            </w:rPr>
          </w:pPr>
          <w:hyperlink w:anchor="_Toc222741342">
            <w:r>
              <w:rPr>
                <w:rStyle w:val="IndexLink"/>
                <w:webHidden/>
              </w:rPr>
              <w:t>2.1.</w:t>
            </w:r>
            <w:r>
              <w:rPr>
                <w:rStyle w:val="IndexLink"/>
                <w:rFonts w:asciiTheme="minorHAnsi" w:eastAsiaTheme="minorEastAsia" w:hAnsiTheme="minorHAnsi" w:cstheme="minorBidi"/>
                <w:kern w:val="2"/>
                <w:lang w:eastAsia="zh-CN"/>
                <w14:ligatures w14:val="standardContextual"/>
              </w:rPr>
              <w:tab/>
            </w:r>
            <w:r>
              <w:rPr>
                <w:rStyle w:val="IndexLink"/>
                <w:bCs/>
                <w:lang w:val="fi-FI"/>
              </w:rPr>
              <w:t>Käyttötarkoitus / Käyttöaihe</w:t>
            </w:r>
            <w:r>
              <w:rPr>
                <w:webHidden/>
              </w:rPr>
              <w:fldChar w:fldCharType="begin"/>
            </w:r>
            <w:r>
              <w:rPr>
                <w:webHidden/>
              </w:rPr>
              <w:instrText>PAGEREF _Toc222741342 \h</w:instrText>
            </w:r>
            <w:r>
              <w:rPr>
                <w:webHidden/>
              </w:rPr>
            </w:r>
            <w:r>
              <w:rPr>
                <w:webHidden/>
              </w:rPr>
              <w:fldChar w:fldCharType="separate"/>
            </w:r>
            <w:r>
              <w:rPr>
                <w:rStyle w:val="IndexLink"/>
              </w:rPr>
              <w:tab/>
              <w:t>4</w:t>
            </w:r>
            <w:r>
              <w:rPr>
                <w:webHidden/>
              </w:rPr>
              <w:fldChar w:fldCharType="end"/>
            </w:r>
          </w:hyperlink>
        </w:p>
        <w:p w14:paraId="4D3C230A" w14:textId="2CBFAACB" w:rsidR="00175362" w:rsidRDefault="00DE0C6B">
          <w:pPr>
            <w:pStyle w:val="TOC1"/>
            <w:rPr>
              <w:rFonts w:asciiTheme="minorHAnsi" w:eastAsiaTheme="minorEastAsia" w:hAnsiTheme="minorHAnsi" w:cstheme="minorBidi"/>
              <w:kern w:val="2"/>
              <w:lang w:eastAsia="zh-CN"/>
              <w14:ligatures w14:val="standardContextual"/>
            </w:rPr>
          </w:pPr>
          <w:hyperlink w:anchor="_Toc222741343">
            <w:r>
              <w:rPr>
                <w:rStyle w:val="IndexLink"/>
                <w:webHidden/>
              </w:rPr>
              <w:t>2.2.</w:t>
            </w:r>
            <w:r>
              <w:rPr>
                <w:rStyle w:val="IndexLink"/>
                <w:rFonts w:asciiTheme="minorHAnsi" w:eastAsiaTheme="minorEastAsia" w:hAnsiTheme="minorHAnsi" w:cstheme="minorBidi"/>
                <w:kern w:val="2"/>
                <w:lang w:eastAsia="zh-CN"/>
                <w14:ligatures w14:val="standardContextual"/>
              </w:rPr>
              <w:tab/>
            </w:r>
            <w:r>
              <w:rPr>
                <w:rStyle w:val="IndexLink"/>
                <w:bCs/>
                <w:lang w:val="fi-FI"/>
              </w:rPr>
              <w:t>Käyttöaihe</w:t>
            </w:r>
            <w:r>
              <w:rPr>
                <w:webHidden/>
              </w:rPr>
              <w:fldChar w:fldCharType="begin"/>
            </w:r>
            <w:r>
              <w:rPr>
                <w:webHidden/>
              </w:rPr>
              <w:instrText>PAGEREF _Toc222741343 \h</w:instrText>
            </w:r>
            <w:r>
              <w:rPr>
                <w:webHidden/>
              </w:rPr>
            </w:r>
            <w:r>
              <w:rPr>
                <w:webHidden/>
              </w:rPr>
              <w:fldChar w:fldCharType="separate"/>
            </w:r>
            <w:r>
              <w:rPr>
                <w:rStyle w:val="IndexLink"/>
              </w:rPr>
              <w:tab/>
              <w:t>4</w:t>
            </w:r>
            <w:r>
              <w:rPr>
                <w:webHidden/>
              </w:rPr>
              <w:fldChar w:fldCharType="end"/>
            </w:r>
          </w:hyperlink>
        </w:p>
        <w:p w14:paraId="17190D7A" w14:textId="77777777" w:rsidR="00175362" w:rsidRDefault="0059412C">
          <w:pPr>
            <w:pStyle w:val="TOC1"/>
            <w:rPr>
              <w:rFonts w:asciiTheme="minorHAnsi" w:eastAsiaTheme="minorEastAsia" w:hAnsiTheme="minorHAnsi" w:cstheme="minorBidi"/>
              <w:kern w:val="2"/>
              <w:lang w:eastAsia="zh-CN"/>
              <w14:ligatures w14:val="standardContextual"/>
            </w:rPr>
          </w:pPr>
          <w:hyperlink w:anchor="_Toc222741344">
            <w:r>
              <w:rPr>
                <w:rStyle w:val="IndexLink"/>
                <w:webHidden/>
              </w:rPr>
              <w:t>2.3.</w:t>
            </w:r>
            <w:r>
              <w:rPr>
                <w:rStyle w:val="IndexLink"/>
                <w:rFonts w:asciiTheme="minorHAnsi" w:eastAsiaTheme="minorEastAsia" w:hAnsiTheme="minorHAnsi" w:cstheme="minorBidi"/>
                <w:kern w:val="2"/>
                <w:lang w:eastAsia="zh-CN"/>
                <w14:ligatures w14:val="standardContextual"/>
              </w:rPr>
              <w:tab/>
            </w:r>
            <w:r>
              <w:rPr>
                <w:rStyle w:val="IndexLink"/>
                <w:bCs/>
                <w:lang w:val="fi-FI"/>
              </w:rPr>
              <w:t>Kohderyhmä</w:t>
            </w:r>
            <w:r>
              <w:rPr>
                <w:webHidden/>
              </w:rPr>
              <w:fldChar w:fldCharType="begin"/>
            </w:r>
            <w:r>
              <w:rPr>
                <w:webHidden/>
              </w:rPr>
              <w:instrText>PAGEREF _Toc222741344 \h</w:instrText>
            </w:r>
            <w:r>
              <w:rPr>
                <w:webHidden/>
              </w:rPr>
            </w:r>
            <w:r>
              <w:rPr>
                <w:webHidden/>
              </w:rPr>
              <w:fldChar w:fldCharType="separate"/>
            </w:r>
            <w:r>
              <w:rPr>
                <w:rStyle w:val="IndexLink"/>
              </w:rPr>
              <w:tab/>
              <w:t>5</w:t>
            </w:r>
            <w:r>
              <w:rPr>
                <w:webHidden/>
              </w:rPr>
              <w:fldChar w:fldCharType="end"/>
            </w:r>
          </w:hyperlink>
        </w:p>
        <w:p w14:paraId="3726C8CE" w14:textId="77777777" w:rsidR="00175362" w:rsidRDefault="0059412C">
          <w:pPr>
            <w:pStyle w:val="TOC1"/>
            <w:rPr>
              <w:rFonts w:asciiTheme="minorHAnsi" w:eastAsiaTheme="minorEastAsia" w:hAnsiTheme="minorHAnsi" w:cstheme="minorBidi"/>
              <w:kern w:val="2"/>
              <w:lang w:eastAsia="zh-CN"/>
              <w14:ligatures w14:val="standardContextual"/>
            </w:rPr>
          </w:pPr>
          <w:hyperlink w:anchor="_Toc222741345">
            <w:r>
              <w:rPr>
                <w:rStyle w:val="IndexLink"/>
                <w:webHidden/>
              </w:rPr>
              <w:t>2.4.</w:t>
            </w:r>
            <w:r>
              <w:rPr>
                <w:rStyle w:val="IndexLink"/>
                <w:rFonts w:asciiTheme="minorHAnsi" w:eastAsiaTheme="minorEastAsia" w:hAnsiTheme="minorHAnsi" w:cstheme="minorBidi"/>
                <w:kern w:val="2"/>
                <w:lang w:eastAsia="zh-CN"/>
                <w14:ligatures w14:val="standardContextual"/>
              </w:rPr>
              <w:tab/>
            </w:r>
            <w:r>
              <w:rPr>
                <w:rStyle w:val="IndexLink"/>
                <w:bCs/>
                <w:lang w:val="fi-FI"/>
              </w:rPr>
              <w:t>Vasta-aiheet</w:t>
            </w:r>
            <w:r>
              <w:rPr>
                <w:webHidden/>
              </w:rPr>
              <w:fldChar w:fldCharType="begin"/>
            </w:r>
            <w:r>
              <w:rPr>
                <w:webHidden/>
              </w:rPr>
              <w:instrText>PAGEREF _Toc222741345 \h</w:instrText>
            </w:r>
            <w:r>
              <w:rPr>
                <w:webHidden/>
              </w:rPr>
            </w:r>
            <w:r>
              <w:rPr>
                <w:webHidden/>
              </w:rPr>
              <w:fldChar w:fldCharType="separate"/>
            </w:r>
            <w:r>
              <w:rPr>
                <w:rStyle w:val="IndexLink"/>
              </w:rPr>
              <w:tab/>
              <w:t>5</w:t>
            </w:r>
            <w:r>
              <w:rPr>
                <w:webHidden/>
              </w:rPr>
              <w:fldChar w:fldCharType="end"/>
            </w:r>
          </w:hyperlink>
        </w:p>
        <w:p w14:paraId="65F24540" w14:textId="77777777" w:rsidR="00175362" w:rsidRDefault="0059412C">
          <w:pPr>
            <w:pStyle w:val="TOC1"/>
            <w:rPr>
              <w:rFonts w:asciiTheme="minorHAnsi" w:eastAsiaTheme="minorEastAsia" w:hAnsiTheme="minorHAnsi" w:cstheme="minorBidi"/>
              <w:kern w:val="2"/>
              <w:lang w:eastAsia="zh-CN"/>
              <w14:ligatures w14:val="standardContextual"/>
            </w:rPr>
          </w:pPr>
          <w:hyperlink w:anchor="_Toc222741346">
            <w:r>
              <w:rPr>
                <w:rStyle w:val="IndexLink"/>
                <w:webHidden/>
              </w:rPr>
              <w:t>3.</w:t>
            </w:r>
            <w:r>
              <w:rPr>
                <w:rStyle w:val="IndexLink"/>
                <w:rFonts w:asciiTheme="minorHAnsi" w:eastAsiaTheme="minorEastAsia" w:hAnsiTheme="minorHAnsi" w:cstheme="minorBidi"/>
                <w:kern w:val="2"/>
                <w:lang w:eastAsia="zh-CN"/>
                <w14:ligatures w14:val="standardContextual"/>
              </w:rPr>
              <w:tab/>
            </w:r>
            <w:r>
              <w:rPr>
                <w:rStyle w:val="IndexLink"/>
                <w:bCs/>
                <w:lang w:val="fi-FI"/>
              </w:rPr>
              <w:t>Laitteen kuvaus</w:t>
            </w:r>
            <w:r>
              <w:rPr>
                <w:webHidden/>
              </w:rPr>
              <w:fldChar w:fldCharType="begin"/>
            </w:r>
            <w:r>
              <w:rPr>
                <w:webHidden/>
              </w:rPr>
              <w:instrText>PAGEREF _Toc222741346 \h</w:instrText>
            </w:r>
            <w:r>
              <w:rPr>
                <w:webHidden/>
              </w:rPr>
            </w:r>
            <w:r>
              <w:rPr>
                <w:webHidden/>
              </w:rPr>
              <w:fldChar w:fldCharType="separate"/>
            </w:r>
            <w:r>
              <w:rPr>
                <w:rStyle w:val="IndexLink"/>
              </w:rPr>
              <w:tab/>
              <w:t>5</w:t>
            </w:r>
            <w:r>
              <w:rPr>
                <w:webHidden/>
              </w:rPr>
              <w:fldChar w:fldCharType="end"/>
            </w:r>
          </w:hyperlink>
        </w:p>
        <w:p w14:paraId="1A578DDB" w14:textId="77777777" w:rsidR="00175362" w:rsidRDefault="0059412C">
          <w:pPr>
            <w:pStyle w:val="TOC1"/>
            <w:rPr>
              <w:rFonts w:asciiTheme="minorHAnsi" w:eastAsiaTheme="minorEastAsia" w:hAnsiTheme="minorHAnsi" w:cstheme="minorBidi"/>
              <w:kern w:val="2"/>
              <w:lang w:eastAsia="zh-CN"/>
              <w14:ligatures w14:val="standardContextual"/>
            </w:rPr>
          </w:pPr>
          <w:hyperlink w:anchor="_Toc222741347">
            <w:r>
              <w:rPr>
                <w:rStyle w:val="IndexLink"/>
                <w:webHidden/>
              </w:rPr>
              <w:t>3.1.</w:t>
            </w:r>
            <w:r>
              <w:rPr>
                <w:rStyle w:val="IndexLink"/>
                <w:rFonts w:asciiTheme="minorHAnsi" w:eastAsiaTheme="minorEastAsia" w:hAnsiTheme="minorHAnsi" w:cstheme="minorBidi"/>
                <w:kern w:val="2"/>
                <w:lang w:eastAsia="zh-CN"/>
                <w14:ligatures w14:val="standardContextual"/>
              </w:rPr>
              <w:tab/>
            </w:r>
            <w:r>
              <w:rPr>
                <w:rStyle w:val="IndexLink"/>
                <w:bCs/>
                <w:lang w:val="fi-FI"/>
              </w:rPr>
              <w:t>Laitteen kuvaus</w:t>
            </w:r>
            <w:r>
              <w:rPr>
                <w:webHidden/>
              </w:rPr>
              <w:fldChar w:fldCharType="begin"/>
            </w:r>
            <w:r>
              <w:rPr>
                <w:webHidden/>
              </w:rPr>
              <w:instrText>PAGEREF _Toc222741347 \h</w:instrText>
            </w:r>
            <w:r>
              <w:rPr>
                <w:webHidden/>
              </w:rPr>
            </w:r>
            <w:r>
              <w:rPr>
                <w:webHidden/>
              </w:rPr>
              <w:fldChar w:fldCharType="separate"/>
            </w:r>
            <w:r>
              <w:rPr>
                <w:rStyle w:val="IndexLink"/>
              </w:rPr>
              <w:tab/>
              <w:t>5</w:t>
            </w:r>
            <w:r>
              <w:rPr>
                <w:webHidden/>
              </w:rPr>
              <w:fldChar w:fldCharType="end"/>
            </w:r>
          </w:hyperlink>
        </w:p>
        <w:p w14:paraId="2BE9C9BA" w14:textId="5008027D" w:rsidR="00175362" w:rsidRDefault="00995A9F">
          <w:pPr>
            <w:pStyle w:val="TOC1"/>
            <w:rPr>
              <w:rFonts w:asciiTheme="minorHAnsi" w:eastAsiaTheme="minorEastAsia" w:hAnsiTheme="minorHAnsi" w:cstheme="minorBidi"/>
              <w:kern w:val="2"/>
              <w:lang w:eastAsia="zh-CN"/>
              <w14:ligatures w14:val="standardContextual"/>
            </w:rPr>
          </w:pPr>
          <w:hyperlink w:anchor="_Toc222741348">
            <w:r>
              <w:rPr>
                <w:rStyle w:val="IndexLink"/>
                <w:webHidden/>
              </w:rPr>
              <w:t>3.2.</w:t>
            </w:r>
            <w:r>
              <w:rPr>
                <w:rStyle w:val="IndexLink"/>
                <w:rFonts w:asciiTheme="minorHAnsi" w:eastAsiaTheme="minorEastAsia" w:hAnsiTheme="minorHAnsi" w:cstheme="minorBidi"/>
                <w:kern w:val="2"/>
                <w:lang w:eastAsia="zh-CN"/>
                <w14:ligatures w14:val="standardContextual"/>
              </w:rPr>
              <w:tab/>
            </w:r>
            <w:r>
              <w:rPr>
                <w:rStyle w:val="IndexLink"/>
                <w:bCs/>
                <w:lang w:val="fi-FI"/>
              </w:rPr>
              <w:t>Aikaisemmat versiot ja niiden erot</w:t>
            </w:r>
            <w:r>
              <w:rPr>
                <w:webHidden/>
              </w:rPr>
              <w:fldChar w:fldCharType="begin"/>
            </w:r>
            <w:r>
              <w:rPr>
                <w:webHidden/>
              </w:rPr>
              <w:instrText>PAGEREF _Toc222741348 \h</w:instrText>
            </w:r>
            <w:r>
              <w:rPr>
                <w:webHidden/>
              </w:rPr>
            </w:r>
            <w:r>
              <w:rPr>
                <w:webHidden/>
              </w:rPr>
              <w:fldChar w:fldCharType="separate"/>
            </w:r>
            <w:r>
              <w:rPr>
                <w:rStyle w:val="IndexLink"/>
              </w:rPr>
              <w:tab/>
              <w:t>5</w:t>
            </w:r>
            <w:r>
              <w:rPr>
                <w:webHidden/>
              </w:rPr>
              <w:fldChar w:fldCharType="end"/>
            </w:r>
          </w:hyperlink>
        </w:p>
        <w:p w14:paraId="42EC9CC4" w14:textId="5E545FF5" w:rsidR="00175362" w:rsidRDefault="00995A9F">
          <w:pPr>
            <w:pStyle w:val="TOC1"/>
            <w:rPr>
              <w:rFonts w:asciiTheme="minorHAnsi" w:eastAsiaTheme="minorEastAsia" w:hAnsiTheme="minorHAnsi" w:cstheme="minorBidi"/>
              <w:kern w:val="2"/>
              <w:lang w:eastAsia="zh-CN"/>
              <w14:ligatures w14:val="standardContextual"/>
            </w:rPr>
          </w:pPr>
          <w:hyperlink w:anchor="_Toc222741349">
            <w:r>
              <w:rPr>
                <w:rStyle w:val="IndexLink"/>
                <w:webHidden/>
              </w:rPr>
              <w:t>3.3.</w:t>
            </w:r>
            <w:r>
              <w:rPr>
                <w:rStyle w:val="IndexLink"/>
                <w:rFonts w:asciiTheme="minorHAnsi" w:eastAsiaTheme="minorEastAsia" w:hAnsiTheme="minorHAnsi" w:cstheme="minorBidi"/>
                <w:kern w:val="2"/>
                <w:lang w:eastAsia="zh-CN"/>
                <w14:ligatures w14:val="standardContextual"/>
              </w:rPr>
              <w:tab/>
            </w:r>
            <w:r>
              <w:rPr>
                <w:rStyle w:val="IndexLink"/>
                <w:bCs/>
                <w:lang w:val="fi-FI"/>
              </w:rPr>
              <w:t>Lisävarusteet, yhteensopivat laitteet ja muut yhdessä käytettävät tuotteet</w:t>
            </w:r>
            <w:r>
              <w:rPr>
                <w:webHidden/>
              </w:rPr>
              <w:fldChar w:fldCharType="begin"/>
            </w:r>
            <w:r>
              <w:rPr>
                <w:webHidden/>
              </w:rPr>
              <w:instrText>PAGEREF _Toc222741349 \h</w:instrText>
            </w:r>
            <w:r>
              <w:rPr>
                <w:webHidden/>
              </w:rPr>
            </w:r>
            <w:r>
              <w:rPr>
                <w:webHidden/>
              </w:rPr>
              <w:fldChar w:fldCharType="separate"/>
            </w:r>
            <w:r>
              <w:rPr>
                <w:rStyle w:val="IndexLink"/>
              </w:rPr>
              <w:tab/>
              <w:t>5</w:t>
            </w:r>
            <w:r>
              <w:rPr>
                <w:webHidden/>
              </w:rPr>
              <w:fldChar w:fldCharType="end"/>
            </w:r>
          </w:hyperlink>
        </w:p>
        <w:p w14:paraId="0A46EDE3" w14:textId="77777777" w:rsidR="00175362" w:rsidRDefault="0059412C">
          <w:pPr>
            <w:pStyle w:val="TOC1"/>
            <w:rPr>
              <w:rFonts w:asciiTheme="minorHAnsi" w:eastAsiaTheme="minorEastAsia" w:hAnsiTheme="minorHAnsi" w:cstheme="minorBidi"/>
              <w:kern w:val="2"/>
              <w:lang w:eastAsia="zh-CN"/>
              <w14:ligatures w14:val="standardContextual"/>
            </w:rPr>
          </w:pPr>
          <w:hyperlink w:anchor="_Toc222741350">
            <w:r>
              <w:rPr>
                <w:rStyle w:val="IndexLink"/>
                <w:webHidden/>
              </w:rPr>
              <w:t>4.</w:t>
            </w:r>
            <w:r>
              <w:rPr>
                <w:rStyle w:val="IndexLink"/>
                <w:rFonts w:asciiTheme="minorHAnsi" w:eastAsiaTheme="minorEastAsia" w:hAnsiTheme="minorHAnsi" w:cstheme="minorBidi"/>
                <w:kern w:val="2"/>
                <w:lang w:eastAsia="zh-CN"/>
                <w14:ligatures w14:val="standardContextual"/>
              </w:rPr>
              <w:tab/>
            </w:r>
            <w:r>
              <w:rPr>
                <w:rStyle w:val="IndexLink"/>
                <w:bCs/>
                <w:lang w:val="fi-FI"/>
              </w:rPr>
              <w:t>Riskit ja varoitukset</w:t>
            </w:r>
            <w:r>
              <w:rPr>
                <w:webHidden/>
              </w:rPr>
              <w:fldChar w:fldCharType="begin"/>
            </w:r>
            <w:r>
              <w:rPr>
                <w:webHidden/>
              </w:rPr>
              <w:instrText>PAGEREF _Toc222741350 \h</w:instrText>
            </w:r>
            <w:r>
              <w:rPr>
                <w:webHidden/>
              </w:rPr>
            </w:r>
            <w:r>
              <w:rPr>
                <w:webHidden/>
              </w:rPr>
              <w:fldChar w:fldCharType="separate"/>
            </w:r>
            <w:r>
              <w:rPr>
                <w:rStyle w:val="IndexLink"/>
              </w:rPr>
              <w:tab/>
              <w:t>6</w:t>
            </w:r>
            <w:r>
              <w:rPr>
                <w:webHidden/>
              </w:rPr>
              <w:fldChar w:fldCharType="end"/>
            </w:r>
          </w:hyperlink>
        </w:p>
        <w:p w14:paraId="5E20D968" w14:textId="77777777" w:rsidR="00175362" w:rsidRDefault="0059412C">
          <w:pPr>
            <w:pStyle w:val="TOC1"/>
            <w:rPr>
              <w:rFonts w:asciiTheme="minorHAnsi" w:eastAsiaTheme="minorEastAsia" w:hAnsiTheme="minorHAnsi" w:cstheme="minorBidi"/>
              <w:kern w:val="2"/>
              <w:lang w:eastAsia="zh-CN"/>
              <w14:ligatures w14:val="standardContextual"/>
            </w:rPr>
          </w:pPr>
          <w:hyperlink w:anchor="_Toc222741351">
            <w:r>
              <w:rPr>
                <w:rStyle w:val="IndexLink"/>
                <w:webHidden/>
              </w:rPr>
              <w:t>4.1.</w:t>
            </w:r>
            <w:r>
              <w:rPr>
                <w:rStyle w:val="IndexLink"/>
                <w:rFonts w:asciiTheme="minorHAnsi" w:eastAsiaTheme="minorEastAsia" w:hAnsiTheme="minorHAnsi" w:cstheme="minorBidi"/>
                <w:kern w:val="2"/>
                <w:lang w:eastAsia="zh-CN"/>
                <w14:ligatures w14:val="standardContextual"/>
              </w:rPr>
              <w:tab/>
            </w:r>
            <w:r>
              <w:rPr>
                <w:rStyle w:val="IndexLink"/>
                <w:bCs/>
                <w:lang w:val="fi-FI"/>
              </w:rPr>
              <w:t>Jäännösriskit ja ei-toivotut sivuvaikutukset</w:t>
            </w:r>
            <w:r>
              <w:rPr>
                <w:webHidden/>
              </w:rPr>
              <w:fldChar w:fldCharType="begin"/>
            </w:r>
            <w:r>
              <w:rPr>
                <w:webHidden/>
              </w:rPr>
              <w:instrText>PAGEREF _Toc222741351 \h</w:instrText>
            </w:r>
            <w:r>
              <w:rPr>
                <w:webHidden/>
              </w:rPr>
            </w:r>
            <w:r>
              <w:rPr>
                <w:webHidden/>
              </w:rPr>
              <w:fldChar w:fldCharType="separate"/>
            </w:r>
            <w:r>
              <w:rPr>
                <w:rStyle w:val="IndexLink"/>
              </w:rPr>
              <w:tab/>
              <w:t>6</w:t>
            </w:r>
            <w:r>
              <w:rPr>
                <w:webHidden/>
              </w:rPr>
              <w:fldChar w:fldCharType="end"/>
            </w:r>
          </w:hyperlink>
        </w:p>
        <w:p w14:paraId="2D41509C" w14:textId="65F21F15" w:rsidR="00175362" w:rsidRDefault="00995A9F">
          <w:pPr>
            <w:pStyle w:val="TOC1"/>
            <w:rPr>
              <w:rFonts w:asciiTheme="minorHAnsi" w:eastAsiaTheme="minorEastAsia" w:hAnsiTheme="minorHAnsi" w:cstheme="minorBidi"/>
              <w:kern w:val="2"/>
              <w:lang w:eastAsia="zh-CN"/>
              <w14:ligatures w14:val="standardContextual"/>
            </w:rPr>
          </w:pPr>
          <w:hyperlink w:anchor="_Toc222741352">
            <w:r>
              <w:rPr>
                <w:rStyle w:val="IndexLink"/>
                <w:webHidden/>
              </w:rPr>
              <w:t>4.2.</w:t>
            </w:r>
            <w:r>
              <w:rPr>
                <w:rStyle w:val="IndexLink"/>
                <w:rFonts w:asciiTheme="minorHAnsi" w:eastAsiaTheme="minorEastAsia" w:hAnsiTheme="minorHAnsi" w:cstheme="minorBidi"/>
                <w:kern w:val="2"/>
                <w:lang w:eastAsia="zh-CN"/>
                <w14:ligatures w14:val="standardContextual"/>
              </w:rPr>
              <w:tab/>
            </w:r>
            <w:r>
              <w:rPr>
                <w:rStyle w:val="IndexLink"/>
                <w:bCs/>
                <w:lang w:val="fi-FI"/>
              </w:rPr>
              <w:t>Varoitukset ja varotoimenpiteet</w:t>
            </w:r>
            <w:r>
              <w:rPr>
                <w:webHidden/>
              </w:rPr>
              <w:fldChar w:fldCharType="begin"/>
            </w:r>
            <w:r>
              <w:rPr>
                <w:webHidden/>
              </w:rPr>
              <w:instrText>PAGEREF _Toc222741352 \h</w:instrText>
            </w:r>
            <w:r>
              <w:rPr>
                <w:webHidden/>
              </w:rPr>
            </w:r>
            <w:r>
              <w:rPr>
                <w:webHidden/>
              </w:rPr>
              <w:fldChar w:fldCharType="separate"/>
            </w:r>
            <w:r>
              <w:rPr>
                <w:rStyle w:val="IndexLink"/>
              </w:rPr>
              <w:tab/>
              <w:t>6</w:t>
            </w:r>
            <w:r>
              <w:rPr>
                <w:webHidden/>
              </w:rPr>
              <w:fldChar w:fldCharType="end"/>
            </w:r>
          </w:hyperlink>
        </w:p>
        <w:p w14:paraId="3DBE44BE" w14:textId="149F43BF" w:rsidR="00175362" w:rsidRDefault="00995A9F">
          <w:pPr>
            <w:pStyle w:val="TOC1"/>
            <w:rPr>
              <w:rFonts w:asciiTheme="minorHAnsi" w:eastAsiaTheme="minorEastAsia" w:hAnsiTheme="minorHAnsi" w:cstheme="minorBidi"/>
              <w:kern w:val="2"/>
              <w:lang w:eastAsia="zh-CN"/>
              <w14:ligatures w14:val="standardContextual"/>
            </w:rPr>
          </w:pPr>
          <w:hyperlink w:anchor="_Toc222741353">
            <w:r>
              <w:rPr>
                <w:rStyle w:val="IndexLink"/>
                <w:webHidden/>
              </w:rPr>
              <w:t>4.3.</w:t>
            </w:r>
            <w:r>
              <w:rPr>
                <w:rStyle w:val="IndexLink"/>
                <w:rFonts w:asciiTheme="minorHAnsi" w:eastAsiaTheme="minorEastAsia" w:hAnsiTheme="minorHAnsi" w:cstheme="minorBidi"/>
                <w:kern w:val="2"/>
                <w:lang w:eastAsia="zh-CN"/>
                <w14:ligatures w14:val="standardContextual"/>
              </w:rPr>
              <w:tab/>
            </w:r>
            <w:r>
              <w:rPr>
                <w:rStyle w:val="IndexLink"/>
                <w:bCs/>
                <w:lang w:val="fi-FI"/>
              </w:rPr>
              <w:t>Muita asiaankuuluvia, turvallisuuteen liittyviä näkökantoja, mukaan lukien tiivistelmä kenttäturvallisuuden korjaavista toimenpiteistä (FSN-raportin sisältävä FSCA-raportti), jos sovellettavissa</w:t>
            </w:r>
            <w:r>
              <w:rPr>
                <w:webHidden/>
              </w:rPr>
              <w:fldChar w:fldCharType="begin"/>
            </w:r>
            <w:r>
              <w:rPr>
                <w:webHidden/>
              </w:rPr>
              <w:instrText>PAGEREF _Toc222741353 \h</w:instrText>
            </w:r>
            <w:r>
              <w:rPr>
                <w:webHidden/>
              </w:rPr>
            </w:r>
            <w:r>
              <w:rPr>
                <w:webHidden/>
              </w:rPr>
              <w:fldChar w:fldCharType="separate"/>
            </w:r>
            <w:r>
              <w:rPr>
                <w:rStyle w:val="IndexLink"/>
              </w:rPr>
              <w:tab/>
              <w:t>7</w:t>
            </w:r>
            <w:r>
              <w:rPr>
                <w:webHidden/>
              </w:rPr>
              <w:fldChar w:fldCharType="end"/>
            </w:r>
          </w:hyperlink>
        </w:p>
        <w:p w14:paraId="475FFF38" w14:textId="3CF6A511" w:rsidR="00175362" w:rsidRDefault="00995A9F">
          <w:pPr>
            <w:pStyle w:val="TOC1"/>
            <w:rPr>
              <w:rFonts w:asciiTheme="minorHAnsi" w:eastAsiaTheme="minorEastAsia" w:hAnsiTheme="minorHAnsi" w:cstheme="minorBidi"/>
              <w:kern w:val="2"/>
              <w:lang w:eastAsia="zh-CN"/>
              <w14:ligatures w14:val="standardContextual"/>
            </w:rPr>
          </w:pPr>
          <w:hyperlink w:anchor="_Toc222741354">
            <w:r>
              <w:rPr>
                <w:rStyle w:val="IndexLink"/>
                <w:webHidden/>
              </w:rPr>
              <w:t>5.</w:t>
            </w:r>
            <w:r>
              <w:rPr>
                <w:rStyle w:val="IndexLink"/>
                <w:rFonts w:asciiTheme="minorHAnsi" w:eastAsiaTheme="minorEastAsia" w:hAnsiTheme="minorHAnsi" w:cstheme="minorBidi"/>
                <w:kern w:val="2"/>
                <w:lang w:eastAsia="zh-CN"/>
                <w14:ligatures w14:val="standardContextual"/>
              </w:rPr>
              <w:tab/>
            </w:r>
            <w:r>
              <w:rPr>
                <w:rStyle w:val="IndexLink"/>
                <w:bCs/>
                <w:lang w:val="fi-FI"/>
              </w:rPr>
              <w:t>Kliinisen arvioinnin tiivistelmä ja markkinoille saattamisen jälkeinen kliininen seuranta (PMCF)</w:t>
            </w:r>
            <w:r>
              <w:rPr>
                <w:webHidden/>
              </w:rPr>
              <w:fldChar w:fldCharType="begin"/>
            </w:r>
            <w:r>
              <w:rPr>
                <w:webHidden/>
              </w:rPr>
              <w:instrText>PAGEREF _Toc222741354 \h</w:instrText>
            </w:r>
            <w:r>
              <w:rPr>
                <w:webHidden/>
              </w:rPr>
            </w:r>
            <w:r>
              <w:rPr>
                <w:webHidden/>
              </w:rPr>
              <w:fldChar w:fldCharType="separate"/>
            </w:r>
            <w:r>
              <w:rPr>
                <w:rStyle w:val="IndexLink"/>
              </w:rPr>
              <w:tab/>
              <w:t>7</w:t>
            </w:r>
            <w:r>
              <w:rPr>
                <w:webHidden/>
              </w:rPr>
              <w:fldChar w:fldCharType="end"/>
            </w:r>
          </w:hyperlink>
        </w:p>
        <w:p w14:paraId="48CEEB26" w14:textId="77777777" w:rsidR="00175362" w:rsidRDefault="0059412C">
          <w:pPr>
            <w:pStyle w:val="TOC1"/>
            <w:rPr>
              <w:rFonts w:asciiTheme="minorHAnsi" w:eastAsiaTheme="minorEastAsia" w:hAnsiTheme="minorHAnsi" w:cstheme="minorBidi"/>
              <w:kern w:val="2"/>
              <w:lang w:eastAsia="zh-CN"/>
              <w14:ligatures w14:val="standardContextual"/>
            </w:rPr>
          </w:pPr>
          <w:hyperlink w:anchor="_Toc222741355">
            <w:r>
              <w:rPr>
                <w:rStyle w:val="IndexLink"/>
                <w:webHidden/>
              </w:rPr>
              <w:t>5.1.</w:t>
            </w:r>
            <w:r>
              <w:rPr>
                <w:rStyle w:val="IndexLink"/>
                <w:rFonts w:asciiTheme="minorHAnsi" w:eastAsiaTheme="minorEastAsia" w:hAnsiTheme="minorHAnsi" w:cstheme="minorBidi"/>
                <w:kern w:val="2"/>
                <w:lang w:eastAsia="zh-CN"/>
                <w14:ligatures w14:val="standardContextual"/>
              </w:rPr>
              <w:tab/>
            </w:r>
            <w:r>
              <w:rPr>
                <w:rStyle w:val="IndexLink"/>
                <w:bCs/>
                <w:lang w:val="fi-FI"/>
              </w:rPr>
              <w:t>Tiivistelmä vastaavan laitteen asiaankuuluvista kliinisistä tiedoista, mikäli sovellettavissa</w:t>
            </w:r>
            <w:r>
              <w:rPr>
                <w:webHidden/>
              </w:rPr>
              <w:fldChar w:fldCharType="begin"/>
            </w:r>
            <w:r>
              <w:rPr>
                <w:webHidden/>
              </w:rPr>
              <w:instrText>PAGEREF _Toc222741355 \h</w:instrText>
            </w:r>
            <w:r>
              <w:rPr>
                <w:webHidden/>
              </w:rPr>
            </w:r>
            <w:r>
              <w:rPr>
                <w:webHidden/>
              </w:rPr>
              <w:fldChar w:fldCharType="separate"/>
            </w:r>
            <w:r>
              <w:rPr>
                <w:rStyle w:val="IndexLink"/>
              </w:rPr>
              <w:tab/>
              <w:t>8</w:t>
            </w:r>
            <w:r>
              <w:rPr>
                <w:webHidden/>
              </w:rPr>
              <w:fldChar w:fldCharType="end"/>
            </w:r>
          </w:hyperlink>
        </w:p>
        <w:p w14:paraId="451FE88C" w14:textId="77777777" w:rsidR="00175362" w:rsidRDefault="0059412C">
          <w:pPr>
            <w:pStyle w:val="TOC1"/>
            <w:rPr>
              <w:rFonts w:asciiTheme="minorHAnsi" w:eastAsiaTheme="minorEastAsia" w:hAnsiTheme="minorHAnsi" w:cstheme="minorBidi"/>
              <w:kern w:val="2"/>
              <w:lang w:eastAsia="zh-CN"/>
              <w14:ligatures w14:val="standardContextual"/>
            </w:rPr>
          </w:pPr>
          <w:hyperlink w:anchor="_Toc222741356">
            <w:r>
              <w:rPr>
                <w:rStyle w:val="IndexLink"/>
                <w:webHidden/>
              </w:rPr>
              <w:t>5.2.</w:t>
            </w:r>
            <w:r>
              <w:rPr>
                <w:rStyle w:val="IndexLink"/>
                <w:rFonts w:asciiTheme="minorHAnsi" w:eastAsiaTheme="minorEastAsia" w:hAnsiTheme="minorHAnsi" w:cstheme="minorBidi"/>
                <w:kern w:val="2"/>
                <w:lang w:eastAsia="zh-CN"/>
                <w14:ligatures w14:val="standardContextual"/>
              </w:rPr>
              <w:tab/>
            </w:r>
            <w:r>
              <w:rPr>
                <w:rStyle w:val="IndexLink"/>
                <w:bCs/>
                <w:lang w:val="fi-FI"/>
              </w:rPr>
              <w:t>Tiivistelmä CE-merkintää edeltävän laitteen tutkimuksista saaduista kliinisistä tiedoista, mikäli sovellettavissa</w:t>
            </w:r>
            <w:r>
              <w:rPr>
                <w:webHidden/>
              </w:rPr>
              <w:fldChar w:fldCharType="begin"/>
            </w:r>
            <w:r>
              <w:rPr>
                <w:webHidden/>
              </w:rPr>
              <w:instrText>PAGEREF _Toc222741356 \h</w:instrText>
            </w:r>
            <w:r>
              <w:rPr>
                <w:webHidden/>
              </w:rPr>
            </w:r>
            <w:r>
              <w:rPr>
                <w:webHidden/>
              </w:rPr>
              <w:fldChar w:fldCharType="separate"/>
            </w:r>
            <w:r>
              <w:rPr>
                <w:rStyle w:val="IndexLink"/>
              </w:rPr>
              <w:tab/>
              <w:t>8</w:t>
            </w:r>
            <w:r>
              <w:rPr>
                <w:webHidden/>
              </w:rPr>
              <w:fldChar w:fldCharType="end"/>
            </w:r>
          </w:hyperlink>
        </w:p>
        <w:p w14:paraId="7429113B" w14:textId="77777777" w:rsidR="00175362" w:rsidRDefault="0059412C">
          <w:pPr>
            <w:pStyle w:val="TOC1"/>
            <w:rPr>
              <w:rFonts w:asciiTheme="minorHAnsi" w:eastAsiaTheme="minorEastAsia" w:hAnsiTheme="minorHAnsi" w:cstheme="minorBidi"/>
              <w:kern w:val="2"/>
              <w:lang w:eastAsia="zh-CN"/>
              <w14:ligatures w14:val="standardContextual"/>
            </w:rPr>
          </w:pPr>
          <w:hyperlink w:anchor="_Toc222741357">
            <w:r>
              <w:rPr>
                <w:rStyle w:val="IndexLink"/>
                <w:webHidden/>
              </w:rPr>
              <w:t>5.3.</w:t>
            </w:r>
            <w:r>
              <w:rPr>
                <w:rStyle w:val="IndexLink"/>
                <w:rFonts w:asciiTheme="minorHAnsi" w:eastAsiaTheme="minorEastAsia" w:hAnsiTheme="minorHAnsi" w:cstheme="minorBidi"/>
                <w:kern w:val="2"/>
                <w:lang w:eastAsia="zh-CN"/>
                <w14:ligatures w14:val="standardContextual"/>
              </w:rPr>
              <w:tab/>
            </w:r>
            <w:r>
              <w:rPr>
                <w:rStyle w:val="IndexLink"/>
                <w:bCs/>
                <w:lang w:val="fi-FI"/>
              </w:rPr>
              <w:t>Tiivistelmä muista lähteistä saaduista kliinisistä tiedoista, mikäli sovellettavissa</w:t>
            </w:r>
            <w:r>
              <w:rPr>
                <w:webHidden/>
              </w:rPr>
              <w:fldChar w:fldCharType="begin"/>
            </w:r>
            <w:r>
              <w:rPr>
                <w:webHidden/>
              </w:rPr>
              <w:instrText>PAGEREF _Toc222741357 \h</w:instrText>
            </w:r>
            <w:r>
              <w:rPr>
                <w:webHidden/>
              </w:rPr>
            </w:r>
            <w:r>
              <w:rPr>
                <w:webHidden/>
              </w:rPr>
              <w:fldChar w:fldCharType="separate"/>
            </w:r>
            <w:r>
              <w:rPr>
                <w:rStyle w:val="IndexLink"/>
              </w:rPr>
              <w:tab/>
              <w:t>8</w:t>
            </w:r>
            <w:r>
              <w:rPr>
                <w:webHidden/>
              </w:rPr>
              <w:fldChar w:fldCharType="end"/>
            </w:r>
          </w:hyperlink>
        </w:p>
        <w:p w14:paraId="6687047C" w14:textId="77777777" w:rsidR="00175362" w:rsidRDefault="0059412C">
          <w:pPr>
            <w:pStyle w:val="TOC1"/>
            <w:rPr>
              <w:rFonts w:asciiTheme="minorHAnsi" w:eastAsiaTheme="minorEastAsia" w:hAnsiTheme="minorHAnsi" w:cstheme="minorBidi"/>
              <w:kern w:val="2"/>
              <w:lang w:eastAsia="zh-CN"/>
              <w14:ligatures w14:val="standardContextual"/>
            </w:rPr>
          </w:pPr>
          <w:hyperlink w:anchor="_Toc222741358">
            <w:r>
              <w:rPr>
                <w:rStyle w:val="IndexLink"/>
                <w:webHidden/>
              </w:rPr>
              <w:t>5.4.</w:t>
            </w:r>
            <w:r>
              <w:rPr>
                <w:rStyle w:val="IndexLink"/>
                <w:rFonts w:asciiTheme="minorHAnsi" w:eastAsiaTheme="minorEastAsia" w:hAnsiTheme="minorHAnsi" w:cstheme="minorBidi"/>
                <w:kern w:val="2"/>
                <w:lang w:eastAsia="zh-CN"/>
                <w14:ligatures w14:val="standardContextual"/>
              </w:rPr>
              <w:tab/>
            </w:r>
            <w:r>
              <w:rPr>
                <w:rStyle w:val="IndexLink"/>
                <w:bCs/>
                <w:lang w:val="fi-FI"/>
              </w:rPr>
              <w:t>Yleinen yhteenveto kliinisestä suorituskyvystä ja turvallisuudesta</w:t>
            </w:r>
            <w:r>
              <w:rPr>
                <w:webHidden/>
              </w:rPr>
              <w:fldChar w:fldCharType="begin"/>
            </w:r>
            <w:r>
              <w:rPr>
                <w:webHidden/>
              </w:rPr>
              <w:instrText>PAGEREF _Toc222741358 \h</w:instrText>
            </w:r>
            <w:r>
              <w:rPr>
                <w:webHidden/>
              </w:rPr>
            </w:r>
            <w:r>
              <w:rPr>
                <w:webHidden/>
              </w:rPr>
              <w:fldChar w:fldCharType="separate"/>
            </w:r>
            <w:r>
              <w:rPr>
                <w:rStyle w:val="IndexLink"/>
              </w:rPr>
              <w:tab/>
              <w:t>9</w:t>
            </w:r>
            <w:r>
              <w:rPr>
                <w:webHidden/>
              </w:rPr>
              <w:fldChar w:fldCharType="end"/>
            </w:r>
          </w:hyperlink>
        </w:p>
        <w:p w14:paraId="64C3F338" w14:textId="5D275D3B" w:rsidR="00175362" w:rsidRDefault="00995A9F">
          <w:pPr>
            <w:pStyle w:val="TOC1"/>
            <w:rPr>
              <w:rFonts w:asciiTheme="minorHAnsi" w:eastAsiaTheme="minorEastAsia" w:hAnsiTheme="minorHAnsi" w:cstheme="minorBidi"/>
              <w:kern w:val="2"/>
              <w:lang w:eastAsia="zh-CN"/>
              <w14:ligatures w14:val="standardContextual"/>
            </w:rPr>
          </w:pPr>
          <w:hyperlink w:anchor="_Toc222741359">
            <w:r>
              <w:rPr>
                <w:rStyle w:val="IndexLink"/>
                <w:webHidden/>
              </w:rPr>
              <w:t>5.5.</w:t>
            </w:r>
            <w:r>
              <w:rPr>
                <w:rStyle w:val="IndexLink"/>
                <w:rFonts w:asciiTheme="minorHAnsi" w:eastAsiaTheme="minorEastAsia" w:hAnsiTheme="minorHAnsi" w:cstheme="minorBidi"/>
                <w:kern w:val="2"/>
                <w:lang w:eastAsia="zh-CN"/>
                <w14:ligatures w14:val="standardContextual"/>
              </w:rPr>
              <w:tab/>
            </w:r>
            <w:r>
              <w:rPr>
                <w:rStyle w:val="IndexLink"/>
                <w:bCs/>
                <w:lang w:val="fi-FI"/>
              </w:rPr>
              <w:t>Käynnissä tai suunnitteilla oleva markkinoille saattamisen jälkeinen kliininen seuranta</w:t>
            </w:r>
            <w:r>
              <w:rPr>
                <w:webHidden/>
              </w:rPr>
              <w:fldChar w:fldCharType="begin"/>
            </w:r>
            <w:r>
              <w:rPr>
                <w:webHidden/>
              </w:rPr>
              <w:instrText>PAGEREF _Toc222741359 \h</w:instrText>
            </w:r>
            <w:r>
              <w:rPr>
                <w:webHidden/>
              </w:rPr>
            </w:r>
            <w:r>
              <w:rPr>
                <w:webHidden/>
              </w:rPr>
              <w:fldChar w:fldCharType="separate"/>
            </w:r>
            <w:r>
              <w:rPr>
                <w:rStyle w:val="IndexLink"/>
              </w:rPr>
              <w:tab/>
              <w:t>10</w:t>
            </w:r>
            <w:r>
              <w:rPr>
                <w:webHidden/>
              </w:rPr>
              <w:fldChar w:fldCharType="end"/>
            </w:r>
          </w:hyperlink>
        </w:p>
        <w:p w14:paraId="4C5693F1" w14:textId="4A309B64" w:rsidR="00175362" w:rsidRDefault="00995A9F">
          <w:pPr>
            <w:pStyle w:val="TOC1"/>
            <w:rPr>
              <w:rFonts w:asciiTheme="minorHAnsi" w:eastAsiaTheme="minorEastAsia" w:hAnsiTheme="minorHAnsi" w:cstheme="minorBidi"/>
              <w:kern w:val="2"/>
              <w:lang w:eastAsia="zh-CN"/>
              <w14:ligatures w14:val="standardContextual"/>
            </w:rPr>
          </w:pPr>
          <w:hyperlink w:anchor="_Toc222741360">
            <w:r>
              <w:rPr>
                <w:rStyle w:val="IndexLink"/>
                <w:webHidden/>
              </w:rPr>
              <w:t>6.</w:t>
            </w:r>
            <w:r>
              <w:rPr>
                <w:rStyle w:val="IndexLink"/>
                <w:rFonts w:asciiTheme="minorHAnsi" w:eastAsiaTheme="minorEastAsia" w:hAnsiTheme="minorHAnsi" w:cstheme="minorBidi"/>
                <w:kern w:val="2"/>
                <w:lang w:eastAsia="zh-CN"/>
                <w14:ligatures w14:val="standardContextual"/>
              </w:rPr>
              <w:tab/>
            </w:r>
            <w:r>
              <w:rPr>
                <w:rStyle w:val="IndexLink"/>
                <w:bCs/>
                <w:lang w:val="fi-FI"/>
              </w:rPr>
              <w:t>Mahdolliset diagnostiset vaihtoehdot tai hoitovaihtoehdot</w:t>
            </w:r>
            <w:r>
              <w:rPr>
                <w:webHidden/>
              </w:rPr>
              <w:fldChar w:fldCharType="begin"/>
            </w:r>
            <w:r>
              <w:rPr>
                <w:webHidden/>
              </w:rPr>
              <w:instrText>PAGEREF _Toc222741360 \h</w:instrText>
            </w:r>
            <w:r>
              <w:rPr>
                <w:webHidden/>
              </w:rPr>
            </w:r>
            <w:r>
              <w:rPr>
                <w:webHidden/>
              </w:rPr>
              <w:fldChar w:fldCharType="separate"/>
            </w:r>
            <w:r>
              <w:rPr>
                <w:rStyle w:val="IndexLink"/>
              </w:rPr>
              <w:tab/>
              <w:t>11</w:t>
            </w:r>
            <w:r>
              <w:rPr>
                <w:webHidden/>
              </w:rPr>
              <w:fldChar w:fldCharType="end"/>
            </w:r>
          </w:hyperlink>
        </w:p>
        <w:p w14:paraId="30767445" w14:textId="45C627F1" w:rsidR="00175362" w:rsidRDefault="00995A9F">
          <w:pPr>
            <w:pStyle w:val="TOC1"/>
            <w:rPr>
              <w:rFonts w:asciiTheme="minorHAnsi" w:eastAsiaTheme="minorEastAsia" w:hAnsiTheme="minorHAnsi" w:cstheme="minorBidi"/>
              <w:kern w:val="2"/>
              <w:lang w:eastAsia="zh-CN"/>
              <w14:ligatures w14:val="standardContextual"/>
            </w:rPr>
          </w:pPr>
          <w:hyperlink w:anchor="_Toc222741361">
            <w:r>
              <w:rPr>
                <w:rStyle w:val="IndexLink"/>
                <w:webHidden/>
              </w:rPr>
              <w:t>7.</w:t>
            </w:r>
            <w:r>
              <w:rPr>
                <w:rStyle w:val="IndexLink"/>
                <w:rFonts w:asciiTheme="minorHAnsi" w:eastAsiaTheme="minorEastAsia" w:hAnsiTheme="minorHAnsi" w:cstheme="minorBidi"/>
                <w:kern w:val="2"/>
                <w:lang w:eastAsia="zh-CN"/>
                <w14:ligatures w14:val="standardContextual"/>
              </w:rPr>
              <w:tab/>
            </w:r>
            <w:r>
              <w:rPr>
                <w:rStyle w:val="IndexLink"/>
                <w:bCs/>
                <w:lang w:val="fi-FI"/>
              </w:rPr>
              <w:t>Käyttäjille suositeltava profiili ja koulutus</w:t>
            </w:r>
            <w:r>
              <w:rPr>
                <w:webHidden/>
              </w:rPr>
              <w:fldChar w:fldCharType="begin"/>
            </w:r>
            <w:r>
              <w:rPr>
                <w:webHidden/>
              </w:rPr>
              <w:instrText>PAGEREF _Toc222741361 \h</w:instrText>
            </w:r>
            <w:r>
              <w:rPr>
                <w:webHidden/>
              </w:rPr>
            </w:r>
            <w:r>
              <w:rPr>
                <w:webHidden/>
              </w:rPr>
              <w:fldChar w:fldCharType="separate"/>
            </w:r>
            <w:r>
              <w:rPr>
                <w:rStyle w:val="IndexLink"/>
              </w:rPr>
              <w:tab/>
              <w:t>11</w:t>
            </w:r>
            <w:r>
              <w:rPr>
                <w:webHidden/>
              </w:rPr>
              <w:fldChar w:fldCharType="end"/>
            </w:r>
          </w:hyperlink>
        </w:p>
        <w:p w14:paraId="4B574E3D" w14:textId="5DF70F82" w:rsidR="00175362" w:rsidRDefault="00995A9F">
          <w:pPr>
            <w:pStyle w:val="TOC1"/>
            <w:rPr>
              <w:rFonts w:asciiTheme="minorHAnsi" w:eastAsiaTheme="minorEastAsia" w:hAnsiTheme="minorHAnsi" w:cstheme="minorBidi"/>
              <w:kern w:val="2"/>
              <w:lang w:eastAsia="zh-CN"/>
              <w14:ligatures w14:val="standardContextual"/>
            </w:rPr>
          </w:pPr>
          <w:hyperlink w:anchor="_Toc222741362">
            <w:r>
              <w:rPr>
                <w:rStyle w:val="IndexLink"/>
                <w:webHidden/>
              </w:rPr>
              <w:t>8.</w:t>
            </w:r>
            <w:r>
              <w:rPr>
                <w:rStyle w:val="IndexLink"/>
                <w:rFonts w:asciiTheme="minorHAnsi" w:eastAsiaTheme="minorEastAsia" w:hAnsiTheme="minorHAnsi" w:cstheme="minorBidi"/>
                <w:kern w:val="2"/>
                <w:lang w:eastAsia="zh-CN"/>
                <w14:ligatures w14:val="standardContextual"/>
              </w:rPr>
              <w:tab/>
            </w:r>
            <w:r>
              <w:rPr>
                <w:rStyle w:val="IndexLink"/>
                <w:bCs/>
                <w:lang w:val="fi-FI"/>
              </w:rPr>
              <w:t>Yhdenmukaistetut standardit / yleiset vaatimukset</w:t>
            </w:r>
            <w:r>
              <w:rPr>
                <w:webHidden/>
              </w:rPr>
              <w:fldChar w:fldCharType="begin"/>
            </w:r>
            <w:r>
              <w:rPr>
                <w:webHidden/>
              </w:rPr>
              <w:instrText>PAGEREF _Toc222741362 \h</w:instrText>
            </w:r>
            <w:r>
              <w:rPr>
                <w:webHidden/>
              </w:rPr>
            </w:r>
            <w:r>
              <w:rPr>
                <w:webHidden/>
              </w:rPr>
              <w:fldChar w:fldCharType="separate"/>
            </w:r>
            <w:r>
              <w:rPr>
                <w:rStyle w:val="IndexLink"/>
              </w:rPr>
              <w:tab/>
              <w:t>11</w:t>
            </w:r>
            <w:r>
              <w:rPr>
                <w:webHidden/>
              </w:rPr>
              <w:fldChar w:fldCharType="end"/>
            </w:r>
          </w:hyperlink>
        </w:p>
        <w:p w14:paraId="6F614576" w14:textId="6A1AC896" w:rsidR="00175362" w:rsidRDefault="0059412C">
          <w:pPr>
            <w:pStyle w:val="TOC1"/>
            <w:rPr>
              <w:rFonts w:asciiTheme="minorHAnsi" w:eastAsiaTheme="minorEastAsia" w:hAnsiTheme="minorHAnsi" w:cstheme="minorBidi"/>
              <w:kern w:val="2"/>
              <w:lang w:eastAsia="zh-CN"/>
              <w14:ligatures w14:val="standardContextual"/>
            </w:rPr>
          </w:pPr>
          <w:hyperlink w:anchor="_Toc222741363">
            <w:r>
              <w:rPr>
                <w:rStyle w:val="IndexLink"/>
                <w:webHidden/>
              </w:rPr>
              <w:t>9.</w:t>
            </w:r>
            <w:r>
              <w:rPr>
                <w:rStyle w:val="IndexLink"/>
                <w:rFonts w:asciiTheme="minorHAnsi" w:eastAsiaTheme="minorEastAsia" w:hAnsiTheme="minorHAnsi" w:cstheme="minorBidi"/>
                <w:kern w:val="2"/>
                <w:lang w:eastAsia="zh-CN"/>
                <w14:ligatures w14:val="standardContextual"/>
              </w:rPr>
              <w:tab/>
            </w:r>
            <w:r>
              <w:rPr>
                <w:rStyle w:val="IndexLink"/>
                <w:bCs/>
                <w:lang w:val="fi-FI"/>
              </w:rPr>
              <w:t>Tarkistushistoria</w:t>
            </w:r>
            <w:r>
              <w:rPr>
                <w:webHidden/>
              </w:rPr>
              <w:fldChar w:fldCharType="begin"/>
            </w:r>
            <w:r>
              <w:rPr>
                <w:webHidden/>
              </w:rPr>
              <w:instrText>PAGEREF _Toc222741363 \h</w:instrText>
            </w:r>
            <w:r>
              <w:rPr>
                <w:webHidden/>
              </w:rPr>
            </w:r>
            <w:r>
              <w:rPr>
                <w:webHidden/>
              </w:rPr>
              <w:fldChar w:fldCharType="separate"/>
            </w:r>
            <w:r>
              <w:rPr>
                <w:rStyle w:val="IndexLink"/>
              </w:rPr>
              <w:tab/>
              <w:t>1</w:t>
            </w:r>
            <w:r>
              <w:rPr>
                <w:webHidden/>
              </w:rPr>
              <w:fldChar w:fldCharType="end"/>
            </w:r>
          </w:hyperlink>
          <w:r>
            <w:rPr>
              <w:rStyle w:val="IndexLink"/>
            </w:rPr>
            <w:fldChar w:fldCharType="end"/>
          </w:r>
          <w:r w:rsidR="00995A9F">
            <w:rPr>
              <w:rStyle w:val="IndexLink"/>
            </w:rPr>
            <w:t>3</w:t>
          </w:r>
        </w:p>
      </w:sdtContent>
    </w:sdt>
    <w:p w14:paraId="60498017" w14:textId="77777777" w:rsidR="00175362" w:rsidRDefault="00175362">
      <w:pPr>
        <w:spacing w:line="240" w:lineRule="auto"/>
        <w:rPr>
          <w:rFonts w:cs="Times New Roman"/>
        </w:rPr>
      </w:pPr>
    </w:p>
    <w:p w14:paraId="7EC3E465" w14:textId="77777777" w:rsidR="00175362" w:rsidRDefault="0059412C">
      <w:pPr>
        <w:spacing w:afterAutospacing="0" w:line="240" w:lineRule="auto"/>
        <w:rPr>
          <w:rFonts w:cs="Times New Roman"/>
        </w:rPr>
      </w:pPr>
      <w:r>
        <w:br w:type="page"/>
      </w:r>
    </w:p>
    <w:p w14:paraId="3C1DE210" w14:textId="77777777" w:rsidR="00175362" w:rsidRDefault="0059412C">
      <w:pPr>
        <w:pStyle w:val="Heading7"/>
        <w:spacing w:after="0" w:afterAutospacing="0"/>
      </w:pPr>
      <w:r>
        <w:rPr>
          <w:bCs/>
          <w:lang w:val="fi-FI"/>
        </w:rPr>
        <w:lastRenderedPageBreak/>
        <w:t>Tiivistelmä turvallisuudesta ja kliinisestä suorituskyvystä</w:t>
      </w:r>
    </w:p>
    <w:p w14:paraId="617664E4" w14:textId="77777777" w:rsidR="00175362" w:rsidRDefault="0059412C">
      <w:pPr>
        <w:spacing w:afterAutospacing="0" w:line="240" w:lineRule="auto"/>
        <w:rPr>
          <w:rFonts w:cs="Times New Roman"/>
        </w:rPr>
      </w:pPr>
      <w:r>
        <w:rPr>
          <w:rFonts w:cs="Times New Roman"/>
          <w:lang w:val="fi-FI"/>
        </w:rPr>
        <w:t>Tämän tiivistelmän laitteen turvallisuudesta ja kliinisestä suorituskyvystä (SSCP) tarkoitus on tarjota julkinen katsaus laitteen turvallisuuden ja kliinisen suorituskyvyn pääkohtien päivitettyyn tiivistelmään.</w:t>
      </w:r>
    </w:p>
    <w:p w14:paraId="160959F2" w14:textId="77777777" w:rsidR="00175362" w:rsidRDefault="0059412C">
      <w:pPr>
        <w:spacing w:afterAutospacing="0" w:line="240" w:lineRule="auto"/>
        <w:rPr>
          <w:rFonts w:cs="Times New Roman"/>
          <w:lang w:val="fi-FI"/>
        </w:rPr>
      </w:pPr>
      <w:r>
        <w:rPr>
          <w:rFonts w:cs="Times New Roman"/>
          <w:lang w:val="fi-FI"/>
        </w:rPr>
        <w:t>SSCP-raportin tarkoitus ei ole korvata käyttöohjeita, jotka toimivat pääasiallisena asiakirjana laitteen turvallista käyttöä varten. Asiakirjan tarkoitus ei myöskään ole tarjota diagnostisia ehdotuksia tai hoitoehdotuksia käyttäjille tai potilaille.</w:t>
      </w:r>
    </w:p>
    <w:p w14:paraId="7FCC4797" w14:textId="77777777" w:rsidR="00175362" w:rsidRDefault="00175362">
      <w:pPr>
        <w:spacing w:afterAutospacing="0" w:line="240" w:lineRule="auto"/>
        <w:rPr>
          <w:rFonts w:cs="Times New Roman"/>
          <w:lang w:val="fi-FI"/>
        </w:rPr>
      </w:pPr>
    </w:p>
    <w:p w14:paraId="5AE37247" w14:textId="77777777" w:rsidR="00175362" w:rsidRDefault="0059412C">
      <w:pPr>
        <w:spacing w:afterAutospacing="0" w:line="240" w:lineRule="auto"/>
        <w:rPr>
          <w:rFonts w:cs="Times New Roman"/>
          <w:lang w:val="fi-FI"/>
        </w:rPr>
      </w:pPr>
      <w:r>
        <w:rPr>
          <w:rFonts w:cs="Times New Roman"/>
          <w:lang w:val="fi-FI"/>
        </w:rPr>
        <w:t>Seuraavat tiedot on tarkoitettu käyttäjille / terveydenhuollon ammattilaisille.</w:t>
      </w:r>
    </w:p>
    <w:p w14:paraId="62A3E289" w14:textId="77777777" w:rsidR="00175362" w:rsidRDefault="00175362">
      <w:pPr>
        <w:spacing w:afterAutospacing="0" w:line="240" w:lineRule="auto"/>
        <w:rPr>
          <w:rFonts w:cs="Times New Roman"/>
          <w:lang w:val="fi-FI"/>
        </w:rPr>
      </w:pPr>
    </w:p>
    <w:p w14:paraId="44368C51" w14:textId="77777777" w:rsidR="00175362" w:rsidRDefault="0059412C">
      <w:pPr>
        <w:pStyle w:val="Heading1"/>
        <w:numPr>
          <w:ilvl w:val="0"/>
          <w:numId w:val="2"/>
        </w:numPr>
        <w:rPr>
          <w:rFonts w:cs="Times New Roman"/>
          <w:lang w:val="fi-FI"/>
        </w:rPr>
      </w:pPr>
      <w:bookmarkStart w:id="0" w:name="_Toc222741334"/>
      <w:r>
        <w:rPr>
          <w:rFonts w:cs="Times New Roman"/>
          <w:bCs/>
          <w:lang w:val="fi-FI"/>
        </w:rPr>
        <w:t>Tämän turvallisuutta ja kliinistä suorituskykyä koskevan tiivistelmän (SSCP) laajuus:</w:t>
      </w:r>
      <w:bookmarkEnd w:id="0"/>
    </w:p>
    <w:p w14:paraId="7BB1E480" w14:textId="77777777" w:rsidR="00175362" w:rsidRDefault="00175362">
      <w:pPr>
        <w:spacing w:afterAutospacing="0" w:line="240" w:lineRule="auto"/>
        <w:rPr>
          <w:rFonts w:cs="Times New Roman"/>
          <w:lang w:val="fi-FI"/>
        </w:rPr>
      </w:pPr>
    </w:p>
    <w:p w14:paraId="729803F9" w14:textId="77777777" w:rsidR="00175362" w:rsidRDefault="0059412C">
      <w:pPr>
        <w:pStyle w:val="Heading1"/>
        <w:rPr>
          <w:rFonts w:cs="Times New Roman"/>
        </w:rPr>
      </w:pPr>
      <w:bookmarkStart w:id="1" w:name="_Toc222741335"/>
      <w:r>
        <w:rPr>
          <w:rFonts w:cs="Times New Roman"/>
          <w:bCs/>
          <w:lang w:val="fi-FI"/>
        </w:rPr>
        <w:t>Laitteen kauppanimi:</w:t>
      </w:r>
      <w:bookmarkEnd w:id="1"/>
      <w:r>
        <w:rPr>
          <w:rFonts w:cs="Times New Roman"/>
          <w:bCs/>
          <w:lang w:val="fi-FI"/>
        </w:rPr>
        <w:t xml:space="preserve"> </w:t>
      </w:r>
    </w:p>
    <w:p w14:paraId="4CDD62DD" w14:textId="5106EBDA" w:rsidR="00175362" w:rsidRDefault="0059412C">
      <w:pPr>
        <w:spacing w:afterAutospacing="0" w:line="240" w:lineRule="auto"/>
        <w:ind w:left="792"/>
        <w:rPr>
          <w:rFonts w:cs="Times New Roman"/>
        </w:rPr>
      </w:pPr>
      <w:r>
        <w:rPr>
          <w:rFonts w:cs="Times New Roman"/>
          <w:lang w:val="fi-FI"/>
        </w:rPr>
        <w:t>Atrieve Vaskulaarinen Snare -tarvikesarja</w:t>
      </w:r>
    </w:p>
    <w:p w14:paraId="37B21C6F" w14:textId="77777777" w:rsidR="00175362" w:rsidRDefault="00175362">
      <w:pPr>
        <w:spacing w:afterAutospacing="0" w:line="240" w:lineRule="auto"/>
        <w:rPr>
          <w:rFonts w:cs="Times New Roman"/>
        </w:rPr>
      </w:pPr>
    </w:p>
    <w:p w14:paraId="46F9A6D0" w14:textId="1192EA08" w:rsidR="00175362" w:rsidRDefault="0059412C">
      <w:pPr>
        <w:pStyle w:val="Heading1"/>
        <w:rPr>
          <w:rFonts w:cs="Times New Roman"/>
          <w:lang w:val="de-DE"/>
        </w:rPr>
      </w:pPr>
      <w:bookmarkStart w:id="2" w:name="_Toc222741336"/>
      <w:r>
        <w:rPr>
          <w:rFonts w:cs="Times New Roman"/>
          <w:bCs/>
          <w:lang w:val="fi-FI"/>
        </w:rPr>
        <w:t>Laitteen kuvaus, perus-UDI-DI ja EU-luokitus:</w:t>
      </w:r>
      <w:bookmarkEnd w:id="2"/>
    </w:p>
    <w:tbl>
      <w:tblPr>
        <w:tblStyle w:val="TableGrid"/>
        <w:tblW w:w="10430" w:type="dxa"/>
        <w:tblInd w:w="113" w:type="dxa"/>
        <w:tblLayout w:type="fixed"/>
        <w:tblLook w:val="04A0" w:firstRow="1" w:lastRow="0" w:firstColumn="1" w:lastColumn="0" w:noHBand="0" w:noVBand="1"/>
      </w:tblPr>
      <w:tblGrid>
        <w:gridCol w:w="4585"/>
        <w:gridCol w:w="1349"/>
        <w:gridCol w:w="1260"/>
        <w:gridCol w:w="1219"/>
        <w:gridCol w:w="2017"/>
      </w:tblGrid>
      <w:tr w:rsidR="00175362" w14:paraId="45D69D9B" w14:textId="77777777">
        <w:tc>
          <w:tcPr>
            <w:tcW w:w="4585" w:type="dxa"/>
            <w:shd w:val="clear" w:color="auto" w:fill="E7E6E6" w:themeFill="background2"/>
          </w:tcPr>
          <w:p w14:paraId="696325D1" w14:textId="77777777" w:rsidR="00175362" w:rsidRDefault="0059412C">
            <w:pPr>
              <w:spacing w:line="240" w:lineRule="auto"/>
              <w:jc w:val="center"/>
              <w:rPr>
                <w:rFonts w:cs="Times New Roman"/>
                <w:b/>
                <w:bCs/>
              </w:rPr>
            </w:pPr>
            <w:r>
              <w:rPr>
                <w:rFonts w:eastAsia="Calibri" w:cs="Times New Roman"/>
                <w:b/>
                <w:bCs/>
                <w:lang w:val="fi-FI"/>
              </w:rPr>
              <w:t>Tuotteen nimi ja kuvaus</w:t>
            </w:r>
          </w:p>
        </w:tc>
        <w:tc>
          <w:tcPr>
            <w:tcW w:w="1349" w:type="dxa"/>
            <w:shd w:val="clear" w:color="auto" w:fill="E7E6E6" w:themeFill="background2"/>
          </w:tcPr>
          <w:p w14:paraId="1BAEB0D9" w14:textId="77777777" w:rsidR="00175362" w:rsidRDefault="0059412C">
            <w:pPr>
              <w:spacing w:line="240" w:lineRule="auto"/>
              <w:jc w:val="center"/>
              <w:rPr>
                <w:rFonts w:cs="Times New Roman"/>
                <w:b/>
                <w:bCs/>
              </w:rPr>
            </w:pPr>
            <w:r>
              <w:rPr>
                <w:rFonts w:eastAsia="Calibri" w:cs="Times New Roman"/>
                <w:b/>
                <w:bCs/>
                <w:lang w:val="fi-FI"/>
              </w:rPr>
              <w:t>Luokitus</w:t>
            </w:r>
          </w:p>
        </w:tc>
        <w:tc>
          <w:tcPr>
            <w:tcW w:w="1260" w:type="dxa"/>
            <w:shd w:val="clear" w:color="auto" w:fill="E7E6E6" w:themeFill="background2"/>
          </w:tcPr>
          <w:p w14:paraId="17C33A38" w14:textId="77777777" w:rsidR="00175362" w:rsidRDefault="0059412C">
            <w:pPr>
              <w:spacing w:line="240" w:lineRule="auto"/>
              <w:jc w:val="center"/>
              <w:rPr>
                <w:rFonts w:cs="Times New Roman"/>
                <w:b/>
                <w:bCs/>
              </w:rPr>
            </w:pPr>
            <w:r>
              <w:rPr>
                <w:rFonts w:eastAsia="Calibri" w:cs="Times New Roman"/>
                <w:b/>
                <w:bCs/>
                <w:lang w:val="fi-FI"/>
              </w:rPr>
              <w:t>GMDN-koodi</w:t>
            </w:r>
          </w:p>
        </w:tc>
        <w:tc>
          <w:tcPr>
            <w:tcW w:w="1219" w:type="dxa"/>
            <w:shd w:val="clear" w:color="auto" w:fill="E7E6E6" w:themeFill="background2"/>
          </w:tcPr>
          <w:p w14:paraId="379D3177" w14:textId="77777777" w:rsidR="00175362" w:rsidRDefault="0059412C">
            <w:pPr>
              <w:spacing w:line="240" w:lineRule="auto"/>
              <w:jc w:val="center"/>
              <w:rPr>
                <w:rFonts w:cs="Times New Roman"/>
                <w:b/>
                <w:bCs/>
              </w:rPr>
            </w:pPr>
            <w:r>
              <w:rPr>
                <w:rFonts w:eastAsia="Calibri" w:cs="Times New Roman"/>
                <w:b/>
                <w:bCs/>
                <w:lang w:val="fi-FI"/>
              </w:rPr>
              <w:t>EMDN</w:t>
            </w:r>
          </w:p>
        </w:tc>
        <w:tc>
          <w:tcPr>
            <w:tcW w:w="2017" w:type="dxa"/>
            <w:shd w:val="clear" w:color="auto" w:fill="E7E6E6" w:themeFill="background2"/>
          </w:tcPr>
          <w:p w14:paraId="247F61C6" w14:textId="09C1CA00" w:rsidR="00175362" w:rsidRDefault="0059412C">
            <w:pPr>
              <w:spacing w:line="240" w:lineRule="auto"/>
              <w:jc w:val="center"/>
              <w:rPr>
                <w:rFonts w:cs="Times New Roman"/>
                <w:b/>
                <w:bCs/>
              </w:rPr>
            </w:pPr>
            <w:r>
              <w:rPr>
                <w:rFonts w:eastAsia="Calibri" w:cs="Times New Roman"/>
                <w:b/>
                <w:bCs/>
                <w:lang w:val="fi-FI"/>
              </w:rPr>
              <w:t>Perus-UDI-DI</w:t>
            </w:r>
          </w:p>
        </w:tc>
      </w:tr>
      <w:tr w:rsidR="00175362" w14:paraId="3030D0E0" w14:textId="77777777">
        <w:tc>
          <w:tcPr>
            <w:tcW w:w="4585" w:type="dxa"/>
          </w:tcPr>
          <w:p w14:paraId="55691162" w14:textId="093F5C46" w:rsidR="00175362" w:rsidRDefault="0059412C">
            <w:pPr>
              <w:spacing w:line="240" w:lineRule="auto"/>
              <w:rPr>
                <w:rFonts w:cs="Times New Roman"/>
              </w:rPr>
            </w:pPr>
            <w:r>
              <w:rPr>
                <w:rFonts w:eastAsia="Calibri" w:cs="Times New Roman"/>
                <w:lang w:val="fi-FI"/>
              </w:rPr>
              <w:t>Atrieve Vaskulaarinen Snare™ -pakkaus, halkaisija 6–10 mm x silmukka 120 cm, 6 F x 100 cm katetri</w:t>
            </w:r>
          </w:p>
        </w:tc>
        <w:tc>
          <w:tcPr>
            <w:tcW w:w="1349" w:type="dxa"/>
            <w:vMerge w:val="restart"/>
          </w:tcPr>
          <w:p w14:paraId="3ACCC0C8" w14:textId="77777777" w:rsidR="00175362" w:rsidRDefault="0059412C">
            <w:pPr>
              <w:spacing w:line="240" w:lineRule="auto"/>
              <w:jc w:val="center"/>
              <w:rPr>
                <w:rFonts w:cs="Times New Roman"/>
              </w:rPr>
            </w:pPr>
            <w:r>
              <w:rPr>
                <w:rFonts w:eastAsia="Calibri" w:cs="Times New Roman"/>
                <w:lang w:val="fi-FI"/>
              </w:rPr>
              <w:t>Luokka III</w:t>
            </w:r>
          </w:p>
        </w:tc>
        <w:tc>
          <w:tcPr>
            <w:tcW w:w="1260" w:type="dxa"/>
            <w:vMerge w:val="restart"/>
          </w:tcPr>
          <w:p w14:paraId="5C0C8CE0" w14:textId="77777777" w:rsidR="00175362" w:rsidRDefault="0059412C">
            <w:pPr>
              <w:spacing w:line="240" w:lineRule="auto"/>
              <w:jc w:val="center"/>
              <w:rPr>
                <w:rFonts w:cs="Times New Roman"/>
              </w:rPr>
            </w:pPr>
            <w:r>
              <w:rPr>
                <w:rFonts w:eastAsia="Calibri" w:cs="Times New Roman"/>
                <w:lang w:val="fi-FI"/>
              </w:rPr>
              <w:t>17927</w:t>
            </w:r>
          </w:p>
        </w:tc>
        <w:tc>
          <w:tcPr>
            <w:tcW w:w="1219" w:type="dxa"/>
            <w:vMerge w:val="restart"/>
          </w:tcPr>
          <w:p w14:paraId="68854D81" w14:textId="77777777" w:rsidR="00175362" w:rsidRDefault="0059412C">
            <w:pPr>
              <w:spacing w:line="240" w:lineRule="auto"/>
              <w:jc w:val="center"/>
              <w:rPr>
                <w:rFonts w:cs="Times New Roman"/>
              </w:rPr>
            </w:pPr>
            <w:r>
              <w:rPr>
                <w:rFonts w:eastAsia="Calibri" w:cs="Times New Roman"/>
                <w:lang w:val="fi-FI"/>
              </w:rPr>
              <w:t>C019005</w:t>
            </w:r>
          </w:p>
        </w:tc>
        <w:tc>
          <w:tcPr>
            <w:tcW w:w="2017" w:type="dxa"/>
            <w:vMerge w:val="restart"/>
          </w:tcPr>
          <w:p w14:paraId="5CFB4FCA" w14:textId="77777777" w:rsidR="00175362" w:rsidRDefault="0059412C">
            <w:pPr>
              <w:spacing w:line="240" w:lineRule="auto"/>
              <w:jc w:val="center"/>
              <w:rPr>
                <w:rFonts w:cs="Times New Roman"/>
              </w:rPr>
            </w:pPr>
            <w:r>
              <w:rPr>
                <w:rFonts w:eastAsia="Calibri" w:cs="Times New Roman"/>
                <w:lang w:val="fi-FI"/>
              </w:rPr>
              <w:t>088633329000132</w:t>
            </w:r>
          </w:p>
        </w:tc>
      </w:tr>
      <w:tr w:rsidR="00175362" w14:paraId="641A30D0" w14:textId="77777777">
        <w:tc>
          <w:tcPr>
            <w:tcW w:w="4585" w:type="dxa"/>
          </w:tcPr>
          <w:p w14:paraId="5BC9E8B5" w14:textId="1E251507" w:rsidR="00175362" w:rsidRDefault="0059412C">
            <w:pPr>
              <w:spacing w:line="240" w:lineRule="auto"/>
              <w:rPr>
                <w:rFonts w:cs="Times New Roman"/>
              </w:rPr>
            </w:pPr>
            <w:r>
              <w:rPr>
                <w:rFonts w:eastAsia="Calibri" w:cs="Times New Roman"/>
                <w:lang w:val="fi-FI"/>
              </w:rPr>
              <w:t xml:space="preserve">Atrieve Vaskulaarinen Snare™ -pakkaus, halkaisija 9–15 mm x silmukka 120 cm, 6 F x 100 cm katetri </w:t>
            </w:r>
          </w:p>
        </w:tc>
        <w:tc>
          <w:tcPr>
            <w:tcW w:w="1349" w:type="dxa"/>
            <w:vMerge/>
          </w:tcPr>
          <w:p w14:paraId="6BF13E98" w14:textId="77777777" w:rsidR="00175362" w:rsidRDefault="00175362">
            <w:pPr>
              <w:spacing w:line="240" w:lineRule="auto"/>
              <w:rPr>
                <w:rFonts w:cs="Times New Roman"/>
              </w:rPr>
            </w:pPr>
          </w:p>
        </w:tc>
        <w:tc>
          <w:tcPr>
            <w:tcW w:w="1260" w:type="dxa"/>
            <w:vMerge/>
          </w:tcPr>
          <w:p w14:paraId="20FB3B11" w14:textId="77777777" w:rsidR="00175362" w:rsidRDefault="00175362">
            <w:pPr>
              <w:spacing w:line="240" w:lineRule="auto"/>
              <w:rPr>
                <w:rFonts w:cs="Times New Roman"/>
              </w:rPr>
            </w:pPr>
          </w:p>
        </w:tc>
        <w:tc>
          <w:tcPr>
            <w:tcW w:w="1219" w:type="dxa"/>
            <w:vMerge/>
          </w:tcPr>
          <w:p w14:paraId="6115B9BD" w14:textId="77777777" w:rsidR="00175362" w:rsidRDefault="00175362">
            <w:pPr>
              <w:spacing w:line="240" w:lineRule="auto"/>
              <w:rPr>
                <w:rFonts w:cs="Times New Roman"/>
              </w:rPr>
            </w:pPr>
          </w:p>
        </w:tc>
        <w:tc>
          <w:tcPr>
            <w:tcW w:w="2017" w:type="dxa"/>
            <w:vMerge/>
          </w:tcPr>
          <w:p w14:paraId="19837B34" w14:textId="77777777" w:rsidR="00175362" w:rsidRDefault="00175362">
            <w:pPr>
              <w:spacing w:line="240" w:lineRule="auto"/>
              <w:rPr>
                <w:rFonts w:cs="Times New Roman"/>
              </w:rPr>
            </w:pPr>
          </w:p>
        </w:tc>
      </w:tr>
      <w:tr w:rsidR="00175362" w14:paraId="4ECE5D88" w14:textId="77777777">
        <w:tc>
          <w:tcPr>
            <w:tcW w:w="4585" w:type="dxa"/>
          </w:tcPr>
          <w:p w14:paraId="5BCF7ADF" w14:textId="1A3D23C4" w:rsidR="00175362" w:rsidRDefault="0059412C">
            <w:pPr>
              <w:spacing w:line="240" w:lineRule="auto"/>
              <w:rPr>
                <w:rFonts w:cs="Times New Roman"/>
              </w:rPr>
            </w:pPr>
            <w:r>
              <w:rPr>
                <w:rFonts w:eastAsia="Calibri" w:cs="Times New Roman"/>
                <w:lang w:val="fi-FI"/>
              </w:rPr>
              <w:t xml:space="preserve">Atrieve Vaskulaarinen Snare™ -pakkaus, halkaisija 12–20 mm x silmukka 120 cm, 6 F x 100 cm katetri </w:t>
            </w:r>
          </w:p>
        </w:tc>
        <w:tc>
          <w:tcPr>
            <w:tcW w:w="1349" w:type="dxa"/>
            <w:vMerge/>
          </w:tcPr>
          <w:p w14:paraId="41A998A6" w14:textId="77777777" w:rsidR="00175362" w:rsidRDefault="00175362">
            <w:pPr>
              <w:spacing w:line="240" w:lineRule="auto"/>
              <w:rPr>
                <w:rFonts w:cs="Times New Roman"/>
              </w:rPr>
            </w:pPr>
          </w:p>
        </w:tc>
        <w:tc>
          <w:tcPr>
            <w:tcW w:w="1260" w:type="dxa"/>
            <w:vMerge/>
          </w:tcPr>
          <w:p w14:paraId="2251F7C4" w14:textId="77777777" w:rsidR="00175362" w:rsidRDefault="00175362">
            <w:pPr>
              <w:spacing w:line="240" w:lineRule="auto"/>
              <w:rPr>
                <w:rFonts w:cs="Times New Roman"/>
              </w:rPr>
            </w:pPr>
          </w:p>
        </w:tc>
        <w:tc>
          <w:tcPr>
            <w:tcW w:w="1219" w:type="dxa"/>
            <w:vMerge/>
          </w:tcPr>
          <w:p w14:paraId="3D9ADD6A" w14:textId="77777777" w:rsidR="00175362" w:rsidRDefault="00175362">
            <w:pPr>
              <w:spacing w:line="240" w:lineRule="auto"/>
              <w:rPr>
                <w:rFonts w:cs="Times New Roman"/>
              </w:rPr>
            </w:pPr>
          </w:p>
        </w:tc>
        <w:tc>
          <w:tcPr>
            <w:tcW w:w="2017" w:type="dxa"/>
            <w:vMerge/>
          </w:tcPr>
          <w:p w14:paraId="792D02B9" w14:textId="77777777" w:rsidR="00175362" w:rsidRDefault="00175362">
            <w:pPr>
              <w:spacing w:line="240" w:lineRule="auto"/>
              <w:rPr>
                <w:rFonts w:cs="Times New Roman"/>
              </w:rPr>
            </w:pPr>
          </w:p>
        </w:tc>
      </w:tr>
      <w:tr w:rsidR="00175362" w14:paraId="23C17F85" w14:textId="77777777">
        <w:tc>
          <w:tcPr>
            <w:tcW w:w="4585" w:type="dxa"/>
          </w:tcPr>
          <w:p w14:paraId="5DE6FAA7" w14:textId="09A94C36" w:rsidR="00175362" w:rsidRDefault="0059412C">
            <w:pPr>
              <w:spacing w:line="240" w:lineRule="auto"/>
              <w:rPr>
                <w:rFonts w:cs="Times New Roman"/>
              </w:rPr>
            </w:pPr>
            <w:r>
              <w:rPr>
                <w:rFonts w:eastAsia="Calibri" w:cs="Times New Roman"/>
                <w:lang w:val="fi-FI"/>
              </w:rPr>
              <w:t xml:space="preserve">Atrieve Vaskulaarinen Snare™ -pakkaus, halkaisija 18–30 mm x silmukka 120 cm, 7 F x 100 cm katetri </w:t>
            </w:r>
          </w:p>
        </w:tc>
        <w:tc>
          <w:tcPr>
            <w:tcW w:w="1349" w:type="dxa"/>
            <w:vMerge/>
          </w:tcPr>
          <w:p w14:paraId="012AC71E" w14:textId="77777777" w:rsidR="00175362" w:rsidRDefault="00175362">
            <w:pPr>
              <w:spacing w:line="240" w:lineRule="auto"/>
              <w:rPr>
                <w:rFonts w:cs="Times New Roman"/>
              </w:rPr>
            </w:pPr>
          </w:p>
        </w:tc>
        <w:tc>
          <w:tcPr>
            <w:tcW w:w="1260" w:type="dxa"/>
            <w:vMerge/>
          </w:tcPr>
          <w:p w14:paraId="61257355" w14:textId="77777777" w:rsidR="00175362" w:rsidRDefault="00175362">
            <w:pPr>
              <w:spacing w:line="240" w:lineRule="auto"/>
              <w:rPr>
                <w:rFonts w:cs="Times New Roman"/>
              </w:rPr>
            </w:pPr>
          </w:p>
        </w:tc>
        <w:tc>
          <w:tcPr>
            <w:tcW w:w="1219" w:type="dxa"/>
            <w:vMerge/>
          </w:tcPr>
          <w:p w14:paraId="74C66EE0" w14:textId="77777777" w:rsidR="00175362" w:rsidRDefault="00175362">
            <w:pPr>
              <w:spacing w:line="240" w:lineRule="auto"/>
              <w:rPr>
                <w:rFonts w:cs="Times New Roman"/>
              </w:rPr>
            </w:pPr>
          </w:p>
        </w:tc>
        <w:tc>
          <w:tcPr>
            <w:tcW w:w="2017" w:type="dxa"/>
            <w:vMerge/>
          </w:tcPr>
          <w:p w14:paraId="7B987B5C" w14:textId="77777777" w:rsidR="00175362" w:rsidRDefault="00175362">
            <w:pPr>
              <w:spacing w:line="240" w:lineRule="auto"/>
              <w:rPr>
                <w:rFonts w:cs="Times New Roman"/>
              </w:rPr>
            </w:pPr>
          </w:p>
        </w:tc>
      </w:tr>
      <w:tr w:rsidR="00175362" w14:paraId="78FB8AE0" w14:textId="77777777">
        <w:tc>
          <w:tcPr>
            <w:tcW w:w="4585" w:type="dxa"/>
          </w:tcPr>
          <w:p w14:paraId="5145D7F9" w14:textId="171E9046" w:rsidR="00175362" w:rsidRDefault="0059412C">
            <w:pPr>
              <w:spacing w:line="240" w:lineRule="auto"/>
              <w:rPr>
                <w:rFonts w:cs="Times New Roman"/>
              </w:rPr>
            </w:pPr>
            <w:r>
              <w:rPr>
                <w:rFonts w:eastAsia="Calibri" w:cs="Times New Roman"/>
                <w:lang w:val="fi-FI"/>
              </w:rPr>
              <w:t>Atrieve Vaskulaarinen Snare™ -pakkaus, halkaisija 27–45 mm x silmukka 120 cm, 7 F x 100 cm katetri</w:t>
            </w:r>
          </w:p>
        </w:tc>
        <w:tc>
          <w:tcPr>
            <w:tcW w:w="1349" w:type="dxa"/>
            <w:vMerge/>
          </w:tcPr>
          <w:p w14:paraId="7F7B504F" w14:textId="77777777" w:rsidR="00175362" w:rsidRDefault="00175362">
            <w:pPr>
              <w:spacing w:line="240" w:lineRule="auto"/>
              <w:rPr>
                <w:rFonts w:cs="Times New Roman"/>
              </w:rPr>
            </w:pPr>
          </w:p>
        </w:tc>
        <w:tc>
          <w:tcPr>
            <w:tcW w:w="1260" w:type="dxa"/>
            <w:vMerge/>
          </w:tcPr>
          <w:p w14:paraId="38C4D345" w14:textId="77777777" w:rsidR="00175362" w:rsidRDefault="00175362">
            <w:pPr>
              <w:spacing w:line="240" w:lineRule="auto"/>
              <w:rPr>
                <w:rFonts w:cs="Times New Roman"/>
              </w:rPr>
            </w:pPr>
          </w:p>
        </w:tc>
        <w:tc>
          <w:tcPr>
            <w:tcW w:w="1219" w:type="dxa"/>
            <w:vMerge/>
          </w:tcPr>
          <w:p w14:paraId="71E9DF8C" w14:textId="77777777" w:rsidR="00175362" w:rsidRDefault="00175362">
            <w:pPr>
              <w:spacing w:line="240" w:lineRule="auto"/>
              <w:rPr>
                <w:rFonts w:cs="Times New Roman"/>
              </w:rPr>
            </w:pPr>
          </w:p>
        </w:tc>
        <w:tc>
          <w:tcPr>
            <w:tcW w:w="2017" w:type="dxa"/>
            <w:vMerge/>
          </w:tcPr>
          <w:p w14:paraId="3431E3C3" w14:textId="77777777" w:rsidR="00175362" w:rsidRDefault="00175362">
            <w:pPr>
              <w:spacing w:line="240" w:lineRule="auto"/>
              <w:rPr>
                <w:rFonts w:cs="Times New Roman"/>
              </w:rPr>
            </w:pPr>
          </w:p>
        </w:tc>
      </w:tr>
      <w:tr w:rsidR="00175362" w14:paraId="4A348B72" w14:textId="77777777">
        <w:tc>
          <w:tcPr>
            <w:tcW w:w="4585" w:type="dxa"/>
          </w:tcPr>
          <w:p w14:paraId="650BA7D0" w14:textId="350CE5BB" w:rsidR="00175362" w:rsidRDefault="0059412C">
            <w:pPr>
              <w:spacing w:line="240" w:lineRule="auto"/>
              <w:rPr>
                <w:rFonts w:cs="Times New Roman"/>
              </w:rPr>
            </w:pPr>
            <w:r>
              <w:rPr>
                <w:rFonts w:eastAsia="Calibri" w:cs="Times New Roman"/>
                <w:lang w:val="fi-FI"/>
              </w:rPr>
              <w:t xml:space="preserve">Atrieve Vaskulaarinen Snare™ -pakkaus, halkaisija 2–4 mm x silmukka 175 cm, 3,2 F x 150 cm katetri </w:t>
            </w:r>
          </w:p>
        </w:tc>
        <w:tc>
          <w:tcPr>
            <w:tcW w:w="1349" w:type="dxa"/>
            <w:vMerge/>
          </w:tcPr>
          <w:p w14:paraId="0B31BAE5" w14:textId="77777777" w:rsidR="00175362" w:rsidRDefault="00175362">
            <w:pPr>
              <w:spacing w:line="240" w:lineRule="auto"/>
              <w:rPr>
                <w:rFonts w:cs="Times New Roman"/>
              </w:rPr>
            </w:pPr>
          </w:p>
        </w:tc>
        <w:tc>
          <w:tcPr>
            <w:tcW w:w="1260" w:type="dxa"/>
            <w:vMerge/>
          </w:tcPr>
          <w:p w14:paraId="0DDB9EFD" w14:textId="77777777" w:rsidR="00175362" w:rsidRDefault="00175362">
            <w:pPr>
              <w:spacing w:line="240" w:lineRule="auto"/>
              <w:rPr>
                <w:rFonts w:cs="Times New Roman"/>
              </w:rPr>
            </w:pPr>
          </w:p>
        </w:tc>
        <w:tc>
          <w:tcPr>
            <w:tcW w:w="1219" w:type="dxa"/>
            <w:vMerge/>
          </w:tcPr>
          <w:p w14:paraId="3D6F0170" w14:textId="77777777" w:rsidR="00175362" w:rsidRDefault="00175362">
            <w:pPr>
              <w:spacing w:line="240" w:lineRule="auto"/>
              <w:rPr>
                <w:rFonts w:cs="Times New Roman"/>
              </w:rPr>
            </w:pPr>
          </w:p>
        </w:tc>
        <w:tc>
          <w:tcPr>
            <w:tcW w:w="2017" w:type="dxa"/>
            <w:vMerge/>
          </w:tcPr>
          <w:p w14:paraId="669701FF" w14:textId="77777777" w:rsidR="00175362" w:rsidRDefault="00175362">
            <w:pPr>
              <w:spacing w:line="240" w:lineRule="auto"/>
              <w:rPr>
                <w:rFonts w:cs="Times New Roman"/>
              </w:rPr>
            </w:pPr>
          </w:p>
        </w:tc>
      </w:tr>
      <w:tr w:rsidR="00175362" w14:paraId="6CB316F1" w14:textId="77777777">
        <w:tc>
          <w:tcPr>
            <w:tcW w:w="4585" w:type="dxa"/>
          </w:tcPr>
          <w:p w14:paraId="5CD67F43" w14:textId="5178B6B6" w:rsidR="00175362" w:rsidRDefault="0059412C">
            <w:pPr>
              <w:spacing w:line="240" w:lineRule="auto"/>
              <w:rPr>
                <w:rFonts w:cs="Times New Roman"/>
              </w:rPr>
            </w:pPr>
            <w:r>
              <w:rPr>
                <w:rFonts w:eastAsia="Calibri" w:cs="Times New Roman"/>
                <w:lang w:val="fi-FI"/>
              </w:rPr>
              <w:t>Atrieve Vaskulaarinen Snare™ -pakkaus, halkaisija 4–8 mm x silmukka 175 cm, 3,2 F x 150 cm katetri</w:t>
            </w:r>
          </w:p>
        </w:tc>
        <w:tc>
          <w:tcPr>
            <w:tcW w:w="1349" w:type="dxa"/>
            <w:vMerge/>
          </w:tcPr>
          <w:p w14:paraId="2BDD07EE" w14:textId="77777777" w:rsidR="00175362" w:rsidRDefault="00175362">
            <w:pPr>
              <w:spacing w:line="240" w:lineRule="auto"/>
              <w:rPr>
                <w:rFonts w:cs="Times New Roman"/>
              </w:rPr>
            </w:pPr>
          </w:p>
        </w:tc>
        <w:tc>
          <w:tcPr>
            <w:tcW w:w="1260" w:type="dxa"/>
            <w:vMerge/>
          </w:tcPr>
          <w:p w14:paraId="59860017" w14:textId="77777777" w:rsidR="00175362" w:rsidRDefault="00175362">
            <w:pPr>
              <w:spacing w:line="240" w:lineRule="auto"/>
              <w:rPr>
                <w:rFonts w:cs="Times New Roman"/>
              </w:rPr>
            </w:pPr>
          </w:p>
        </w:tc>
        <w:tc>
          <w:tcPr>
            <w:tcW w:w="1219" w:type="dxa"/>
            <w:vMerge/>
          </w:tcPr>
          <w:p w14:paraId="04BE48E7" w14:textId="77777777" w:rsidR="00175362" w:rsidRDefault="00175362">
            <w:pPr>
              <w:spacing w:line="240" w:lineRule="auto"/>
              <w:rPr>
                <w:rFonts w:cs="Times New Roman"/>
              </w:rPr>
            </w:pPr>
          </w:p>
        </w:tc>
        <w:tc>
          <w:tcPr>
            <w:tcW w:w="2017" w:type="dxa"/>
            <w:vMerge/>
          </w:tcPr>
          <w:p w14:paraId="12FF7188" w14:textId="77777777" w:rsidR="00175362" w:rsidRDefault="00175362">
            <w:pPr>
              <w:spacing w:line="240" w:lineRule="auto"/>
              <w:rPr>
                <w:rFonts w:cs="Times New Roman"/>
              </w:rPr>
            </w:pPr>
          </w:p>
        </w:tc>
      </w:tr>
    </w:tbl>
    <w:p w14:paraId="2D83FFA8" w14:textId="77777777" w:rsidR="00175362" w:rsidRDefault="00175362">
      <w:pPr>
        <w:pStyle w:val="Heading1"/>
        <w:numPr>
          <w:ilvl w:val="0"/>
          <w:numId w:val="0"/>
        </w:numPr>
        <w:rPr>
          <w:rFonts w:cs="Times New Roman"/>
        </w:rPr>
      </w:pPr>
    </w:p>
    <w:p w14:paraId="3BF39D48" w14:textId="77777777" w:rsidR="00175362" w:rsidRDefault="0059412C">
      <w:pPr>
        <w:pStyle w:val="Heading1"/>
        <w:rPr>
          <w:rFonts w:cs="Times New Roman"/>
          <w:lang w:val="fr-FR"/>
        </w:rPr>
      </w:pPr>
      <w:bookmarkStart w:id="3" w:name="_Toc222741337"/>
      <w:r>
        <w:rPr>
          <w:rFonts w:cs="Times New Roman"/>
          <w:bCs/>
          <w:lang w:val="fi-FI"/>
        </w:rPr>
        <w:t>Vuosi, jona laitteelle myönnettiin ensimmäinen (CE) todistus:</w:t>
      </w:r>
      <w:bookmarkEnd w:id="3"/>
      <w:r>
        <w:rPr>
          <w:rFonts w:cs="Times New Roman"/>
          <w:bCs/>
          <w:lang w:val="fi-FI"/>
        </w:rPr>
        <w:t xml:space="preserve"> </w:t>
      </w:r>
    </w:p>
    <w:p w14:paraId="0BE5B76A" w14:textId="1F06484C" w:rsidR="00175362" w:rsidRDefault="0059412C">
      <w:pPr>
        <w:spacing w:afterAutospacing="0" w:line="240" w:lineRule="auto"/>
        <w:ind w:left="792"/>
        <w:rPr>
          <w:rFonts w:cs="Times New Roman"/>
          <w:lang w:val="fr-FR"/>
        </w:rPr>
      </w:pPr>
      <w:r>
        <w:rPr>
          <w:rFonts w:cs="Times New Roman"/>
          <w:lang w:val="fi-FI"/>
        </w:rPr>
        <w:t xml:space="preserve">Atrieve Vaskulaariselle Snare -tarvikesarjalle myönnettiin CE-merkintä (CE 608298) vuonna 2010 lääkintälaitedirektiivin mukaisesti. </w:t>
      </w:r>
    </w:p>
    <w:p w14:paraId="06BA1256" w14:textId="77777777" w:rsidR="00175362" w:rsidRDefault="00175362">
      <w:pPr>
        <w:spacing w:afterAutospacing="0" w:line="240" w:lineRule="auto"/>
        <w:ind w:left="792"/>
        <w:rPr>
          <w:rFonts w:cs="Times New Roman"/>
          <w:lang w:val="fr-FR"/>
        </w:rPr>
      </w:pPr>
    </w:p>
    <w:p w14:paraId="2FE0B513" w14:textId="77777777" w:rsidR="00175362" w:rsidRDefault="0059412C">
      <w:pPr>
        <w:pStyle w:val="Heading1"/>
        <w:rPr>
          <w:rFonts w:cs="Times New Roman"/>
          <w:lang w:val="it-IT"/>
        </w:rPr>
      </w:pPr>
      <w:r>
        <w:rPr>
          <w:rFonts w:cs="Times New Roman"/>
          <w:bCs/>
          <w:lang w:val="fi-FI"/>
        </w:rPr>
        <w:lastRenderedPageBreak/>
        <w:t xml:space="preserve"> </w:t>
      </w:r>
      <w:bookmarkStart w:id="4" w:name="_Toc222741338"/>
      <w:r>
        <w:rPr>
          <w:rFonts w:cs="Times New Roman"/>
          <w:bCs/>
          <w:lang w:val="fi-FI"/>
        </w:rPr>
        <w:t>Valmistajan nimi, osoite ja SRN-numero:</w:t>
      </w:r>
      <w:bookmarkEnd w:id="4"/>
    </w:p>
    <w:tbl>
      <w:tblPr>
        <w:tblStyle w:val="TableGrid1"/>
        <w:tblW w:w="5000" w:type="pct"/>
        <w:tblInd w:w="113" w:type="dxa"/>
        <w:tblLayout w:type="fixed"/>
        <w:tblLook w:val="04A0" w:firstRow="1" w:lastRow="0" w:firstColumn="1" w:lastColumn="0" w:noHBand="0" w:noVBand="1"/>
      </w:tblPr>
      <w:tblGrid>
        <w:gridCol w:w="4945"/>
        <w:gridCol w:w="5485"/>
      </w:tblGrid>
      <w:tr w:rsidR="00175362" w14:paraId="4C2CF3A2" w14:textId="77777777">
        <w:tc>
          <w:tcPr>
            <w:tcW w:w="10440" w:type="dxa"/>
            <w:gridSpan w:val="2"/>
            <w:shd w:val="clear" w:color="auto" w:fill="D9D9D9" w:themeFill="background1" w:themeFillShade="D9"/>
          </w:tcPr>
          <w:p w14:paraId="5A8F729E" w14:textId="77777777" w:rsidR="00175362" w:rsidRDefault="0059412C">
            <w:pPr>
              <w:spacing w:afterAutospacing="0" w:line="240" w:lineRule="auto"/>
              <w:jc w:val="center"/>
              <w:rPr>
                <w:b/>
                <w:bCs/>
                <w:szCs w:val="24"/>
              </w:rPr>
            </w:pPr>
            <w:r>
              <w:rPr>
                <w:rFonts w:eastAsia="Times New Roman" w:cs="Times New Roman"/>
                <w:b/>
                <w:bCs/>
                <w:szCs w:val="24"/>
                <w:lang w:val="fi-FI"/>
              </w:rPr>
              <w:t>Valmistajan tiedot</w:t>
            </w:r>
          </w:p>
        </w:tc>
      </w:tr>
      <w:tr w:rsidR="00175362" w:rsidRPr="00DE0C6B" w14:paraId="0A56A05C" w14:textId="77777777">
        <w:trPr>
          <w:trHeight w:val="377"/>
        </w:trPr>
        <w:tc>
          <w:tcPr>
            <w:tcW w:w="4950" w:type="dxa"/>
          </w:tcPr>
          <w:p w14:paraId="738B7EB1" w14:textId="77777777" w:rsidR="00175362" w:rsidRDefault="0059412C" w:rsidP="003165A1">
            <w:pPr>
              <w:spacing w:afterAutospacing="0" w:line="240" w:lineRule="auto"/>
              <w:rPr>
                <w:spacing w:val="-5"/>
                <w:szCs w:val="24"/>
              </w:rPr>
            </w:pPr>
            <w:r>
              <w:rPr>
                <w:rFonts w:eastAsia="Times New Roman" w:cs="Times New Roman"/>
                <w:szCs w:val="24"/>
                <w:lang w:val="fi-FI"/>
              </w:rPr>
              <w:t>Valmistajan SRN-numero: US-MF-000002324</w:t>
            </w:r>
          </w:p>
        </w:tc>
        <w:tc>
          <w:tcPr>
            <w:tcW w:w="5490" w:type="dxa"/>
          </w:tcPr>
          <w:p w14:paraId="49883B45" w14:textId="77777777" w:rsidR="00175362" w:rsidRDefault="0059412C">
            <w:pPr>
              <w:spacing w:afterAutospacing="0" w:line="240" w:lineRule="auto"/>
              <w:rPr>
                <w:szCs w:val="24"/>
                <w:lang w:val="pt-BR"/>
              </w:rPr>
            </w:pPr>
            <w:r>
              <w:rPr>
                <w:rFonts w:eastAsia="Times New Roman" w:cs="Times New Roman"/>
                <w:szCs w:val="24"/>
                <w:lang w:val="fi-FI"/>
              </w:rPr>
              <w:t>Nimi: Argon Medical Devices, Inc.</w:t>
            </w:r>
          </w:p>
        </w:tc>
      </w:tr>
      <w:tr w:rsidR="00175362" w14:paraId="44283F51" w14:textId="77777777">
        <w:trPr>
          <w:trHeight w:val="350"/>
        </w:trPr>
        <w:tc>
          <w:tcPr>
            <w:tcW w:w="4950" w:type="dxa"/>
          </w:tcPr>
          <w:p w14:paraId="3852982E" w14:textId="77777777" w:rsidR="00175362" w:rsidRDefault="0059412C" w:rsidP="003165A1">
            <w:pPr>
              <w:spacing w:afterAutospacing="0" w:line="240" w:lineRule="auto"/>
              <w:rPr>
                <w:spacing w:val="-2"/>
                <w:szCs w:val="24"/>
                <w:lang w:val="pt-BR"/>
              </w:rPr>
            </w:pPr>
            <w:r>
              <w:rPr>
                <w:rFonts w:eastAsia="Times New Roman" w:cs="Times New Roman"/>
                <w:szCs w:val="24"/>
                <w:lang w:val="fi-FI"/>
              </w:rPr>
              <w:t>Yhteyshenkilön etu- ja sukunimi: Scott Bishop</w:t>
            </w:r>
          </w:p>
        </w:tc>
        <w:tc>
          <w:tcPr>
            <w:tcW w:w="5490" w:type="dxa"/>
          </w:tcPr>
          <w:p w14:paraId="76CD7C58" w14:textId="4F105FD4" w:rsidR="00175362" w:rsidRDefault="0059412C">
            <w:pPr>
              <w:widowControl w:val="0"/>
              <w:spacing w:before="42" w:afterAutospacing="0" w:line="240" w:lineRule="auto"/>
              <w:rPr>
                <w:szCs w:val="24"/>
              </w:rPr>
            </w:pPr>
            <w:r>
              <w:rPr>
                <w:rFonts w:eastAsia="Times New Roman" w:cs="Times New Roman"/>
                <w:szCs w:val="24"/>
                <w:lang w:val="fi-FI"/>
              </w:rPr>
              <w:t>Sähköposti:</w:t>
            </w:r>
            <w:r>
              <w:rPr>
                <w:rFonts w:eastAsia="Times New Roman" w:cs="Times New Roman"/>
                <w:sz w:val="22"/>
                <w:lang w:val="fi-FI"/>
              </w:rPr>
              <w:t xml:space="preserve"> </w:t>
            </w:r>
            <w:hyperlink r:id="rId11">
              <w:r>
                <w:rPr>
                  <w:rFonts w:eastAsia="Times New Roman" w:cs="Times New Roman"/>
                  <w:color w:val="0563C1"/>
                  <w:szCs w:val="24"/>
                  <w:u w:val="single"/>
                  <w:lang w:val="fi-FI"/>
                </w:rPr>
                <w:t>RegCompliance@argonmedical.com</w:t>
              </w:r>
            </w:hyperlink>
          </w:p>
        </w:tc>
      </w:tr>
      <w:tr w:rsidR="00175362" w14:paraId="514E71EF" w14:textId="77777777">
        <w:trPr>
          <w:trHeight w:val="525"/>
        </w:trPr>
        <w:tc>
          <w:tcPr>
            <w:tcW w:w="4950" w:type="dxa"/>
          </w:tcPr>
          <w:p w14:paraId="5711F04C" w14:textId="77777777" w:rsidR="00175362" w:rsidRDefault="0059412C">
            <w:pPr>
              <w:widowControl w:val="0"/>
              <w:spacing w:before="42" w:afterAutospacing="0" w:line="240" w:lineRule="auto"/>
              <w:rPr>
                <w:spacing w:val="-2"/>
                <w:szCs w:val="24"/>
              </w:rPr>
            </w:pPr>
            <w:r>
              <w:rPr>
                <w:rFonts w:eastAsia="Times New Roman" w:cs="Times New Roman"/>
                <w:szCs w:val="24"/>
                <w:lang w:val="fi-FI"/>
              </w:rPr>
              <w:t>Puhelinnumero: 903.675.9321</w:t>
            </w:r>
          </w:p>
        </w:tc>
        <w:tc>
          <w:tcPr>
            <w:tcW w:w="5490" w:type="dxa"/>
          </w:tcPr>
          <w:p w14:paraId="663C86B2" w14:textId="77777777" w:rsidR="00175362" w:rsidRDefault="0059412C">
            <w:pPr>
              <w:widowControl w:val="0"/>
              <w:spacing w:afterAutospacing="0" w:line="240" w:lineRule="auto"/>
              <w:rPr>
                <w:spacing w:val="-2"/>
                <w:szCs w:val="24"/>
              </w:rPr>
            </w:pPr>
            <w:r>
              <w:rPr>
                <w:rFonts w:eastAsia="Times New Roman" w:cs="Times New Roman"/>
                <w:szCs w:val="24"/>
                <w:lang w:val="fi-FI"/>
              </w:rPr>
              <w:t>Osoite:</w:t>
            </w:r>
          </w:p>
          <w:p w14:paraId="3B085ADE" w14:textId="77777777" w:rsidR="00175362" w:rsidRDefault="0059412C">
            <w:pPr>
              <w:widowControl w:val="0"/>
              <w:spacing w:afterAutospacing="0" w:line="240" w:lineRule="auto"/>
              <w:rPr>
                <w:spacing w:val="-2"/>
                <w:szCs w:val="24"/>
              </w:rPr>
            </w:pPr>
            <w:r>
              <w:rPr>
                <w:rFonts w:eastAsia="Times New Roman" w:cs="Times New Roman"/>
                <w:szCs w:val="24"/>
                <w:lang w:val="fi-FI"/>
              </w:rPr>
              <w:t>1445 Flat Creek Rd.</w:t>
            </w:r>
          </w:p>
          <w:p w14:paraId="4A92C852" w14:textId="77777777" w:rsidR="00175362" w:rsidRDefault="0059412C">
            <w:pPr>
              <w:widowControl w:val="0"/>
              <w:spacing w:afterAutospacing="0" w:line="240" w:lineRule="auto"/>
              <w:rPr>
                <w:spacing w:val="-2"/>
                <w:szCs w:val="24"/>
              </w:rPr>
            </w:pPr>
            <w:r>
              <w:rPr>
                <w:rFonts w:eastAsia="Times New Roman" w:cs="Times New Roman"/>
                <w:szCs w:val="24"/>
                <w:lang w:val="fi-FI"/>
              </w:rPr>
              <w:t>Athens, Texas 75751</w:t>
            </w:r>
          </w:p>
          <w:p w14:paraId="7C1BCB2D" w14:textId="77777777" w:rsidR="00175362" w:rsidRDefault="0059412C">
            <w:pPr>
              <w:widowControl w:val="0"/>
              <w:spacing w:afterAutospacing="0" w:line="240" w:lineRule="auto"/>
              <w:rPr>
                <w:spacing w:val="-2"/>
                <w:szCs w:val="24"/>
              </w:rPr>
            </w:pPr>
            <w:r>
              <w:rPr>
                <w:rFonts w:eastAsia="Times New Roman" w:cs="Times New Roman"/>
                <w:szCs w:val="24"/>
                <w:lang w:val="fi-FI"/>
              </w:rPr>
              <w:t>Yhdysvallat</w:t>
            </w:r>
          </w:p>
        </w:tc>
      </w:tr>
    </w:tbl>
    <w:p w14:paraId="4975CFF1" w14:textId="77777777" w:rsidR="00175362" w:rsidRDefault="00175362">
      <w:pPr>
        <w:spacing w:afterAutospacing="0" w:line="240" w:lineRule="auto"/>
        <w:ind w:left="1440"/>
        <w:rPr>
          <w:rFonts w:cs="Times New Roman"/>
        </w:rPr>
      </w:pPr>
    </w:p>
    <w:p w14:paraId="47B71C87" w14:textId="77777777" w:rsidR="00175362" w:rsidRDefault="0059412C">
      <w:pPr>
        <w:pStyle w:val="Heading1"/>
        <w:rPr>
          <w:rFonts w:cs="Times New Roman"/>
          <w:lang w:val="de-DE"/>
        </w:rPr>
      </w:pPr>
      <w:bookmarkStart w:id="5" w:name="_Toc222741339"/>
      <w:r>
        <w:rPr>
          <w:rFonts w:cs="Times New Roman"/>
          <w:bCs/>
          <w:lang w:val="fi-FI"/>
        </w:rPr>
        <w:t>Valtuutetun edustajan nimi ja SRN:</w:t>
      </w:r>
      <w:bookmarkEnd w:id="5"/>
    </w:p>
    <w:tbl>
      <w:tblPr>
        <w:tblStyle w:val="TableGrid2"/>
        <w:tblW w:w="5000" w:type="pct"/>
        <w:tblInd w:w="113" w:type="dxa"/>
        <w:tblLayout w:type="fixed"/>
        <w:tblLook w:val="04A0" w:firstRow="1" w:lastRow="0" w:firstColumn="1" w:lastColumn="0" w:noHBand="0" w:noVBand="1"/>
      </w:tblPr>
      <w:tblGrid>
        <w:gridCol w:w="4675"/>
        <w:gridCol w:w="5755"/>
      </w:tblGrid>
      <w:tr w:rsidR="00175362" w14:paraId="42AA239E" w14:textId="77777777">
        <w:tc>
          <w:tcPr>
            <w:tcW w:w="10440" w:type="dxa"/>
            <w:gridSpan w:val="2"/>
            <w:shd w:val="clear" w:color="auto" w:fill="D9D9D9" w:themeFill="background1" w:themeFillShade="D9"/>
          </w:tcPr>
          <w:p w14:paraId="56CE47ED" w14:textId="77777777" w:rsidR="00175362" w:rsidRDefault="0059412C">
            <w:pPr>
              <w:spacing w:afterAutospacing="0" w:line="240" w:lineRule="auto"/>
              <w:jc w:val="center"/>
              <w:rPr>
                <w:b/>
                <w:bCs/>
                <w:szCs w:val="24"/>
              </w:rPr>
            </w:pPr>
            <w:r>
              <w:rPr>
                <w:rFonts w:eastAsia="Times New Roman" w:cs="Times New Roman"/>
                <w:b/>
                <w:bCs/>
                <w:szCs w:val="24"/>
                <w:lang w:val="fi-FI"/>
              </w:rPr>
              <w:t>Valtuutetun edustajan tiedot</w:t>
            </w:r>
          </w:p>
        </w:tc>
      </w:tr>
      <w:tr w:rsidR="00175362" w14:paraId="431C8F83" w14:textId="77777777">
        <w:trPr>
          <w:trHeight w:val="489"/>
        </w:trPr>
        <w:tc>
          <w:tcPr>
            <w:tcW w:w="4679" w:type="dxa"/>
          </w:tcPr>
          <w:p w14:paraId="14253A0B" w14:textId="77777777" w:rsidR="00175362" w:rsidRDefault="0059412C">
            <w:pPr>
              <w:spacing w:afterAutospacing="0" w:line="240" w:lineRule="auto"/>
              <w:jc w:val="both"/>
              <w:rPr>
                <w:spacing w:val="-5"/>
                <w:szCs w:val="24"/>
              </w:rPr>
            </w:pPr>
            <w:r>
              <w:rPr>
                <w:rFonts w:eastAsia="Times New Roman" w:cs="Times New Roman"/>
                <w:szCs w:val="24"/>
                <w:lang w:val="fi-FI"/>
              </w:rPr>
              <w:t>SRN: NL-AR-000000116</w:t>
            </w:r>
          </w:p>
        </w:tc>
        <w:tc>
          <w:tcPr>
            <w:tcW w:w="5761" w:type="dxa"/>
          </w:tcPr>
          <w:p w14:paraId="73308312" w14:textId="77777777" w:rsidR="00175362" w:rsidRDefault="0059412C">
            <w:pPr>
              <w:widowControl w:val="0"/>
              <w:spacing w:before="119" w:afterAutospacing="0" w:line="240" w:lineRule="auto"/>
              <w:rPr>
                <w:bCs/>
                <w:szCs w:val="24"/>
                <w:lang w:val="it-IT"/>
              </w:rPr>
            </w:pPr>
            <w:r>
              <w:rPr>
                <w:rFonts w:eastAsia="Times New Roman" w:cs="Times New Roman"/>
                <w:szCs w:val="24"/>
                <w:lang w:val="fi-FI"/>
              </w:rPr>
              <w:t>Valtuutetun edustajan organisaation nimi:</w:t>
            </w:r>
          </w:p>
          <w:p w14:paraId="272149E5" w14:textId="77777777" w:rsidR="00175362" w:rsidRDefault="0059412C">
            <w:pPr>
              <w:spacing w:afterAutospacing="0" w:line="240" w:lineRule="auto"/>
              <w:rPr>
                <w:szCs w:val="24"/>
                <w:lang w:val="it-IT"/>
              </w:rPr>
            </w:pPr>
            <w:r>
              <w:rPr>
                <w:rFonts w:eastAsia="Times New Roman" w:cs="Times New Roman"/>
                <w:szCs w:val="24"/>
                <w:lang w:val="fi-FI"/>
              </w:rPr>
              <w:t>Emergo Europe</w:t>
            </w:r>
          </w:p>
        </w:tc>
      </w:tr>
      <w:tr w:rsidR="00175362" w14:paraId="6E7AF3C1" w14:textId="77777777">
        <w:trPr>
          <w:trHeight w:val="395"/>
        </w:trPr>
        <w:tc>
          <w:tcPr>
            <w:tcW w:w="4679" w:type="dxa"/>
          </w:tcPr>
          <w:p w14:paraId="39BA6CB5" w14:textId="77777777" w:rsidR="00175362" w:rsidRDefault="0059412C">
            <w:pPr>
              <w:spacing w:afterAutospacing="0" w:line="240" w:lineRule="auto"/>
              <w:jc w:val="both"/>
              <w:rPr>
                <w:spacing w:val="-2"/>
                <w:szCs w:val="24"/>
              </w:rPr>
            </w:pPr>
            <w:r>
              <w:rPr>
                <w:rFonts w:eastAsia="Times New Roman" w:cs="Times New Roman"/>
                <w:szCs w:val="24"/>
                <w:lang w:val="fi-FI"/>
              </w:rPr>
              <w:t>Yhteystiedot: Vigilance-tiimi</w:t>
            </w:r>
          </w:p>
        </w:tc>
        <w:tc>
          <w:tcPr>
            <w:tcW w:w="5761" w:type="dxa"/>
          </w:tcPr>
          <w:p w14:paraId="3FE9269C" w14:textId="77777777" w:rsidR="00175362" w:rsidRDefault="0059412C">
            <w:pPr>
              <w:widowControl w:val="0"/>
              <w:spacing w:before="39" w:afterAutospacing="0" w:line="240" w:lineRule="auto"/>
              <w:rPr>
                <w:spacing w:val="-2"/>
                <w:szCs w:val="24"/>
              </w:rPr>
            </w:pPr>
            <w:r>
              <w:rPr>
                <w:rFonts w:eastAsia="Times New Roman" w:cs="Times New Roman"/>
                <w:szCs w:val="24"/>
                <w:lang w:val="fi-FI"/>
              </w:rPr>
              <w:t xml:space="preserve">Sähköposti: </w:t>
            </w:r>
            <w:hyperlink r:id="rId12">
              <w:r>
                <w:rPr>
                  <w:rFonts w:eastAsia="Times New Roman" w:cs="Times New Roman"/>
                  <w:color w:val="0563C1"/>
                  <w:szCs w:val="24"/>
                  <w:u w:val="single"/>
                  <w:lang w:val="fi-FI"/>
                </w:rPr>
                <w:t>EmergoVigilance@ul.com</w:t>
              </w:r>
            </w:hyperlink>
          </w:p>
        </w:tc>
      </w:tr>
      <w:tr w:rsidR="00175362" w14:paraId="6B572ACD" w14:textId="77777777">
        <w:trPr>
          <w:trHeight w:val="525"/>
        </w:trPr>
        <w:tc>
          <w:tcPr>
            <w:tcW w:w="4679" w:type="dxa"/>
          </w:tcPr>
          <w:p w14:paraId="7DE61F15" w14:textId="77777777" w:rsidR="00175362" w:rsidRDefault="0059412C">
            <w:pPr>
              <w:widowControl w:val="0"/>
              <w:spacing w:before="42" w:afterAutospacing="0" w:line="240" w:lineRule="auto"/>
              <w:rPr>
                <w:spacing w:val="-2"/>
                <w:szCs w:val="24"/>
              </w:rPr>
            </w:pPr>
            <w:r>
              <w:rPr>
                <w:rFonts w:eastAsia="Times New Roman" w:cs="Times New Roman"/>
                <w:szCs w:val="24"/>
                <w:lang w:val="fi-FI"/>
              </w:rPr>
              <w:t>Puhelinnumero: +31 70 345 8570</w:t>
            </w:r>
          </w:p>
          <w:p w14:paraId="00435F18" w14:textId="77777777" w:rsidR="00175362" w:rsidRDefault="0059412C">
            <w:pPr>
              <w:widowControl w:val="0"/>
              <w:spacing w:before="42" w:afterAutospacing="0" w:line="240" w:lineRule="auto"/>
              <w:rPr>
                <w:spacing w:val="-2"/>
                <w:szCs w:val="24"/>
              </w:rPr>
            </w:pPr>
            <w:r>
              <w:rPr>
                <w:rFonts w:eastAsia="Times New Roman" w:cs="Times New Roman"/>
                <w:color w:val="000000"/>
                <w:szCs w:val="24"/>
                <w:lang w:val="fi-FI"/>
              </w:rPr>
              <w:t>Faksi: +31 (0)70 346 7299</w:t>
            </w:r>
          </w:p>
        </w:tc>
        <w:tc>
          <w:tcPr>
            <w:tcW w:w="5761" w:type="dxa"/>
          </w:tcPr>
          <w:p w14:paraId="33A3D5F0" w14:textId="77777777" w:rsidR="00175362" w:rsidRDefault="0059412C">
            <w:pPr>
              <w:widowControl w:val="0"/>
              <w:spacing w:afterAutospacing="0" w:line="240" w:lineRule="auto"/>
              <w:rPr>
                <w:spacing w:val="-2"/>
                <w:szCs w:val="24"/>
                <w:lang w:val="de-DE"/>
              </w:rPr>
            </w:pPr>
            <w:r>
              <w:rPr>
                <w:rFonts w:eastAsia="Times New Roman" w:cs="Times New Roman"/>
                <w:szCs w:val="24"/>
                <w:lang w:val="fi-FI"/>
              </w:rPr>
              <w:t>Osoite</w:t>
            </w:r>
          </w:p>
          <w:p w14:paraId="2F533733" w14:textId="77777777" w:rsidR="00175362" w:rsidRDefault="0059412C">
            <w:pPr>
              <w:widowControl w:val="0"/>
              <w:spacing w:afterAutospacing="0" w:line="240" w:lineRule="auto"/>
              <w:rPr>
                <w:spacing w:val="-2"/>
                <w:szCs w:val="24"/>
                <w:lang w:val="de-DE"/>
              </w:rPr>
            </w:pPr>
            <w:r>
              <w:rPr>
                <w:rFonts w:eastAsia="Times New Roman" w:cs="Times New Roman"/>
                <w:szCs w:val="24"/>
                <w:lang w:val="fi-FI"/>
              </w:rPr>
              <w:t xml:space="preserve">Kadun numero ja nimi: </w:t>
            </w:r>
            <w:r>
              <w:rPr>
                <w:rFonts w:eastAsia="Times New Roman" w:cs="Times New Roman"/>
                <w:sz w:val="22"/>
                <w:lang w:val="fi-FI"/>
              </w:rPr>
              <w:t>60</w:t>
            </w:r>
            <w:r>
              <w:rPr>
                <w:rFonts w:eastAsia="Times New Roman" w:cs="Times New Roman"/>
                <w:szCs w:val="24"/>
                <w:lang w:val="fi-FI"/>
              </w:rPr>
              <w:t xml:space="preserve"> Westervoortsedijk</w:t>
            </w:r>
          </w:p>
          <w:p w14:paraId="26796DAE" w14:textId="77777777" w:rsidR="00175362" w:rsidRDefault="0059412C">
            <w:pPr>
              <w:widowControl w:val="0"/>
              <w:spacing w:afterAutospacing="0" w:line="240" w:lineRule="auto"/>
              <w:rPr>
                <w:spacing w:val="-2"/>
                <w:szCs w:val="24"/>
                <w:lang w:val="de-DE"/>
              </w:rPr>
            </w:pPr>
            <w:r>
              <w:rPr>
                <w:rFonts w:eastAsia="Times New Roman" w:cs="Times New Roman"/>
                <w:szCs w:val="24"/>
                <w:lang w:val="fi-FI"/>
              </w:rPr>
              <w:t>Kaupunki: Arnhem</w:t>
            </w:r>
          </w:p>
          <w:p w14:paraId="1B7170FF" w14:textId="77777777" w:rsidR="00175362" w:rsidRDefault="0059412C">
            <w:pPr>
              <w:widowControl w:val="0"/>
              <w:spacing w:afterAutospacing="0" w:line="240" w:lineRule="auto"/>
              <w:rPr>
                <w:spacing w:val="-2"/>
                <w:szCs w:val="24"/>
                <w:lang w:val="de-DE"/>
              </w:rPr>
            </w:pPr>
            <w:r>
              <w:rPr>
                <w:rFonts w:eastAsia="Times New Roman" w:cs="Times New Roman"/>
                <w:szCs w:val="24"/>
                <w:lang w:val="fi-FI"/>
              </w:rPr>
              <w:t>Postinumero: 6827 AT</w:t>
            </w:r>
          </w:p>
          <w:p w14:paraId="6A08B6BC" w14:textId="77777777" w:rsidR="00175362" w:rsidRDefault="0059412C">
            <w:pPr>
              <w:widowControl w:val="0"/>
              <w:spacing w:afterAutospacing="0" w:line="240" w:lineRule="auto"/>
              <w:rPr>
                <w:spacing w:val="-2"/>
                <w:szCs w:val="24"/>
                <w:lang w:val="de-DE"/>
              </w:rPr>
            </w:pPr>
            <w:r>
              <w:rPr>
                <w:rFonts w:eastAsia="Times New Roman" w:cs="Times New Roman"/>
                <w:szCs w:val="24"/>
                <w:lang w:val="fi-FI"/>
              </w:rPr>
              <w:t>Maa: Alankomaat</w:t>
            </w:r>
          </w:p>
        </w:tc>
      </w:tr>
    </w:tbl>
    <w:p w14:paraId="0A11F8E1" w14:textId="77777777" w:rsidR="00175362" w:rsidRDefault="00175362">
      <w:pPr>
        <w:spacing w:afterAutospacing="0" w:line="240" w:lineRule="auto"/>
        <w:ind w:left="1440"/>
        <w:rPr>
          <w:rFonts w:cs="Times New Roman"/>
          <w:lang w:val="de-DE"/>
        </w:rPr>
      </w:pPr>
    </w:p>
    <w:p w14:paraId="6E8593B2" w14:textId="671E59E9" w:rsidR="00175362" w:rsidRDefault="0059412C">
      <w:pPr>
        <w:pStyle w:val="Heading1"/>
        <w:rPr>
          <w:rFonts w:cs="Times New Roman"/>
          <w:lang w:val="de-DE"/>
        </w:rPr>
      </w:pPr>
      <w:bookmarkStart w:id="6" w:name="_Toc222741340"/>
      <w:r>
        <w:rPr>
          <w:rFonts w:cs="Times New Roman"/>
          <w:bCs/>
          <w:lang w:val="fi-FI"/>
        </w:rPr>
        <w:t>Ilmoitetun laitoksen</w:t>
      </w:r>
      <w:r w:rsidR="00C738F8">
        <w:rPr>
          <w:rFonts w:cs="Times New Roman"/>
          <w:bCs/>
          <w:lang w:val="fi-FI"/>
        </w:rPr>
        <w:t xml:space="preserve"> (NB)</w:t>
      </w:r>
      <w:r>
        <w:rPr>
          <w:rFonts w:cs="Times New Roman"/>
          <w:bCs/>
          <w:lang w:val="fi-FI"/>
        </w:rPr>
        <w:t xml:space="preserve"> nimi ja yksilöllinen tunnistenumero:</w:t>
      </w:r>
      <w:bookmarkEnd w:id="6"/>
    </w:p>
    <w:tbl>
      <w:tblPr>
        <w:tblW w:w="5000" w:type="pct"/>
        <w:jc w:val="center"/>
        <w:tblLayout w:type="fixed"/>
        <w:tblLook w:val="04A0" w:firstRow="1" w:lastRow="0" w:firstColumn="1" w:lastColumn="0" w:noHBand="0" w:noVBand="1"/>
      </w:tblPr>
      <w:tblGrid>
        <w:gridCol w:w="3504"/>
        <w:gridCol w:w="6926"/>
      </w:tblGrid>
      <w:tr w:rsidR="00175362" w14:paraId="6C142E27" w14:textId="77777777">
        <w:trPr>
          <w:trHeight w:val="260"/>
          <w:jc w:val="center"/>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800A34" w14:textId="77777777" w:rsidR="00175362" w:rsidRDefault="0059412C">
            <w:pPr>
              <w:spacing w:afterAutospacing="0" w:line="240" w:lineRule="exact"/>
              <w:jc w:val="center"/>
              <w:rPr>
                <w:rFonts w:cs="Times New Roman"/>
                <w:szCs w:val="24"/>
              </w:rPr>
            </w:pPr>
            <w:r>
              <w:rPr>
                <w:rFonts w:eastAsia="Times New Roman" w:cs="Times New Roman"/>
                <w:b/>
                <w:bCs/>
                <w:szCs w:val="24"/>
                <w:lang w:val="fi-FI"/>
              </w:rPr>
              <w:t>Ilmoitettu laitos</w:t>
            </w:r>
          </w:p>
        </w:tc>
      </w:tr>
      <w:tr w:rsidR="00175362" w14:paraId="2034B27D" w14:textId="77777777">
        <w:trPr>
          <w:trHeight w:val="350"/>
          <w:jc w:val="center"/>
        </w:trPr>
        <w:tc>
          <w:tcPr>
            <w:tcW w:w="3507" w:type="dxa"/>
            <w:tcBorders>
              <w:top w:val="single" w:sz="4" w:space="0" w:color="000000"/>
              <w:left w:val="single" w:sz="4" w:space="0" w:color="000000"/>
              <w:bottom w:val="single" w:sz="4" w:space="0" w:color="000000"/>
              <w:right w:val="single" w:sz="4" w:space="0" w:color="000000"/>
            </w:tcBorders>
          </w:tcPr>
          <w:p w14:paraId="5D3B7006" w14:textId="77777777" w:rsidR="00175362" w:rsidRDefault="0059412C">
            <w:pPr>
              <w:spacing w:afterAutospacing="0" w:line="240" w:lineRule="exact"/>
              <w:ind w:left="150"/>
              <w:rPr>
                <w:rFonts w:eastAsia="Times New Roman" w:cs="Times New Roman"/>
                <w:bCs/>
                <w:szCs w:val="24"/>
              </w:rPr>
            </w:pPr>
            <w:r>
              <w:rPr>
                <w:rFonts w:eastAsia="Times New Roman" w:cs="Times New Roman"/>
                <w:szCs w:val="24"/>
                <w:lang w:val="fi-FI"/>
              </w:rPr>
              <w:t>Nimi:</w:t>
            </w:r>
          </w:p>
        </w:tc>
        <w:tc>
          <w:tcPr>
            <w:tcW w:w="6933" w:type="dxa"/>
            <w:tcBorders>
              <w:top w:val="single" w:sz="4" w:space="0" w:color="000000"/>
              <w:left w:val="single" w:sz="4" w:space="0" w:color="000000"/>
              <w:bottom w:val="single" w:sz="4" w:space="0" w:color="000000"/>
              <w:right w:val="single" w:sz="4" w:space="0" w:color="000000"/>
            </w:tcBorders>
          </w:tcPr>
          <w:p w14:paraId="4C4578B6" w14:textId="77777777" w:rsidR="00175362" w:rsidRDefault="0059412C">
            <w:pPr>
              <w:spacing w:afterAutospacing="0" w:line="240" w:lineRule="exact"/>
              <w:rPr>
                <w:rFonts w:eastAsia="Times New Roman" w:cs="Times New Roman"/>
                <w:bCs/>
                <w:szCs w:val="24"/>
              </w:rPr>
            </w:pPr>
            <w:r>
              <w:rPr>
                <w:rFonts w:cs="Times New Roman"/>
                <w:szCs w:val="24"/>
                <w:lang w:val="fi-FI"/>
              </w:rPr>
              <w:t>The British Standards Institution (BSI) Group the Netherlands B.V.</w:t>
            </w:r>
          </w:p>
        </w:tc>
      </w:tr>
      <w:tr w:rsidR="00175362" w14:paraId="7D9F1AA6" w14:textId="77777777">
        <w:trPr>
          <w:trHeight w:val="728"/>
          <w:jc w:val="center"/>
        </w:trPr>
        <w:tc>
          <w:tcPr>
            <w:tcW w:w="3507" w:type="dxa"/>
            <w:tcBorders>
              <w:top w:val="single" w:sz="4" w:space="0" w:color="000000"/>
              <w:left w:val="single" w:sz="4" w:space="0" w:color="000000"/>
              <w:bottom w:val="single" w:sz="4" w:space="0" w:color="000000"/>
              <w:right w:val="single" w:sz="4" w:space="0" w:color="000000"/>
            </w:tcBorders>
          </w:tcPr>
          <w:p w14:paraId="20B02D1E" w14:textId="77777777" w:rsidR="00175362" w:rsidRDefault="0059412C">
            <w:pPr>
              <w:spacing w:afterAutospacing="0" w:line="240" w:lineRule="exact"/>
              <w:ind w:left="150"/>
              <w:contextualSpacing/>
              <w:rPr>
                <w:rFonts w:eastAsia="Times New Roman" w:cs="Times New Roman"/>
                <w:bCs/>
                <w:szCs w:val="24"/>
              </w:rPr>
            </w:pPr>
            <w:r>
              <w:rPr>
                <w:rFonts w:eastAsia="Times New Roman" w:cs="Times New Roman"/>
                <w:szCs w:val="24"/>
                <w:lang w:val="fi-FI"/>
              </w:rPr>
              <w:t>Osoite:</w:t>
            </w:r>
          </w:p>
        </w:tc>
        <w:tc>
          <w:tcPr>
            <w:tcW w:w="6933" w:type="dxa"/>
            <w:tcBorders>
              <w:top w:val="single" w:sz="4" w:space="0" w:color="000000"/>
              <w:left w:val="single" w:sz="4" w:space="0" w:color="000000"/>
              <w:bottom w:val="single" w:sz="4" w:space="0" w:color="000000"/>
              <w:right w:val="single" w:sz="4" w:space="0" w:color="000000"/>
            </w:tcBorders>
          </w:tcPr>
          <w:p w14:paraId="21BFAB39" w14:textId="77777777" w:rsidR="00175362" w:rsidRDefault="0059412C">
            <w:pPr>
              <w:spacing w:afterAutospacing="0" w:line="240" w:lineRule="exact"/>
              <w:contextualSpacing/>
              <w:rPr>
                <w:rFonts w:eastAsia="Times New Roman" w:cs="Times New Roman"/>
                <w:bCs/>
                <w:szCs w:val="24"/>
              </w:rPr>
            </w:pPr>
            <w:r>
              <w:rPr>
                <w:rFonts w:eastAsia="Times New Roman" w:cs="Times New Roman"/>
                <w:szCs w:val="24"/>
                <w:lang w:val="fi-FI"/>
              </w:rPr>
              <w:t>John M. Keynesplein 9</w:t>
            </w:r>
          </w:p>
          <w:p w14:paraId="51185C95" w14:textId="77777777" w:rsidR="00175362" w:rsidRDefault="0059412C">
            <w:pPr>
              <w:spacing w:afterAutospacing="0" w:line="240" w:lineRule="exact"/>
              <w:contextualSpacing/>
              <w:rPr>
                <w:rFonts w:eastAsia="Times New Roman" w:cs="Times New Roman"/>
                <w:bCs/>
                <w:szCs w:val="24"/>
              </w:rPr>
            </w:pPr>
            <w:r>
              <w:rPr>
                <w:rFonts w:eastAsia="Times New Roman" w:cs="Times New Roman"/>
                <w:szCs w:val="24"/>
                <w:lang w:val="fi-FI"/>
              </w:rPr>
              <w:t>1066 EP Amsterdam</w:t>
            </w:r>
          </w:p>
          <w:p w14:paraId="2EA4A6C8" w14:textId="77777777" w:rsidR="00175362" w:rsidRDefault="0059412C">
            <w:pPr>
              <w:spacing w:afterAutospacing="0" w:line="240" w:lineRule="exact"/>
              <w:contextualSpacing/>
              <w:rPr>
                <w:rFonts w:eastAsia="Times New Roman" w:cs="Times New Roman"/>
                <w:bCs/>
                <w:szCs w:val="24"/>
              </w:rPr>
            </w:pPr>
            <w:r>
              <w:rPr>
                <w:rFonts w:eastAsia="Times New Roman" w:cs="Times New Roman"/>
                <w:szCs w:val="24"/>
                <w:lang w:val="fi-FI"/>
              </w:rPr>
              <w:t xml:space="preserve"> Alankomaat</w:t>
            </w:r>
          </w:p>
        </w:tc>
      </w:tr>
      <w:tr w:rsidR="00175362" w14:paraId="5718A644" w14:textId="77777777">
        <w:trPr>
          <w:trHeight w:val="351"/>
          <w:jc w:val="center"/>
        </w:trPr>
        <w:tc>
          <w:tcPr>
            <w:tcW w:w="3507" w:type="dxa"/>
            <w:tcBorders>
              <w:top w:val="single" w:sz="4" w:space="0" w:color="000000"/>
              <w:left w:val="single" w:sz="4" w:space="0" w:color="000000"/>
              <w:bottom w:val="single" w:sz="4" w:space="0" w:color="000000"/>
              <w:right w:val="single" w:sz="4" w:space="0" w:color="000000"/>
            </w:tcBorders>
          </w:tcPr>
          <w:p w14:paraId="5BCE43E5" w14:textId="77777777" w:rsidR="00175362" w:rsidRDefault="0059412C">
            <w:pPr>
              <w:spacing w:afterAutospacing="0" w:line="240" w:lineRule="exact"/>
              <w:ind w:left="150"/>
              <w:contextualSpacing/>
              <w:rPr>
                <w:rFonts w:eastAsia="Times New Roman" w:cs="Times New Roman"/>
                <w:bCs/>
                <w:szCs w:val="24"/>
              </w:rPr>
            </w:pPr>
            <w:r>
              <w:rPr>
                <w:rFonts w:eastAsia="Times New Roman" w:cs="Times New Roman"/>
                <w:szCs w:val="24"/>
                <w:lang w:val="fi-FI"/>
              </w:rPr>
              <w:t>Verkkosivusto:</w:t>
            </w:r>
          </w:p>
        </w:tc>
        <w:tc>
          <w:tcPr>
            <w:tcW w:w="6933" w:type="dxa"/>
            <w:tcBorders>
              <w:top w:val="single" w:sz="4" w:space="0" w:color="000000"/>
              <w:left w:val="single" w:sz="4" w:space="0" w:color="000000"/>
              <w:bottom w:val="single" w:sz="4" w:space="0" w:color="000000"/>
              <w:right w:val="single" w:sz="4" w:space="0" w:color="000000"/>
            </w:tcBorders>
          </w:tcPr>
          <w:p w14:paraId="130F901F" w14:textId="77777777" w:rsidR="00175362" w:rsidRDefault="0059412C">
            <w:pPr>
              <w:spacing w:afterAutospacing="0" w:line="240" w:lineRule="exact"/>
              <w:contextualSpacing/>
              <w:rPr>
                <w:rFonts w:eastAsia="Times New Roman" w:cs="Times New Roman"/>
                <w:bCs/>
                <w:szCs w:val="24"/>
              </w:rPr>
            </w:pPr>
            <w:hyperlink r:id="rId13">
              <w:r>
                <w:rPr>
                  <w:rFonts w:eastAsia="Times New Roman" w:cs="Times New Roman"/>
                  <w:color w:val="0000FF"/>
                  <w:szCs w:val="24"/>
                  <w:u w:val="single"/>
                  <w:lang w:val="fi-FI"/>
                </w:rPr>
                <w:t>www.bsigroup.com</w:t>
              </w:r>
            </w:hyperlink>
            <w:r>
              <w:rPr>
                <w:rFonts w:eastAsia="Times New Roman" w:cs="Times New Roman"/>
                <w:szCs w:val="24"/>
                <w:lang w:val="fi-FI"/>
              </w:rPr>
              <w:t xml:space="preserve"> </w:t>
            </w:r>
          </w:p>
        </w:tc>
      </w:tr>
      <w:tr w:rsidR="00175362" w14:paraId="506CD899" w14:textId="77777777">
        <w:trPr>
          <w:trHeight w:val="355"/>
          <w:jc w:val="center"/>
        </w:trPr>
        <w:tc>
          <w:tcPr>
            <w:tcW w:w="3507" w:type="dxa"/>
            <w:tcBorders>
              <w:top w:val="single" w:sz="4" w:space="0" w:color="000000"/>
              <w:left w:val="single" w:sz="4" w:space="0" w:color="000000"/>
              <w:bottom w:val="single" w:sz="4" w:space="0" w:color="000000"/>
              <w:right w:val="single" w:sz="4" w:space="0" w:color="000000"/>
            </w:tcBorders>
          </w:tcPr>
          <w:p w14:paraId="67AF5099" w14:textId="77777777" w:rsidR="00175362" w:rsidRDefault="0059412C">
            <w:pPr>
              <w:spacing w:afterAutospacing="0" w:line="240" w:lineRule="exact"/>
              <w:ind w:left="150"/>
              <w:rPr>
                <w:rFonts w:eastAsia="Times New Roman" w:cs="Times New Roman"/>
                <w:bCs/>
                <w:szCs w:val="24"/>
              </w:rPr>
            </w:pPr>
            <w:r>
              <w:rPr>
                <w:rFonts w:eastAsia="Times New Roman" w:cs="Times New Roman"/>
                <w:szCs w:val="24"/>
                <w:lang w:val="fi-FI"/>
              </w:rPr>
              <w:t>Puhelinnumero:</w:t>
            </w:r>
          </w:p>
        </w:tc>
        <w:tc>
          <w:tcPr>
            <w:tcW w:w="6933" w:type="dxa"/>
            <w:tcBorders>
              <w:top w:val="single" w:sz="4" w:space="0" w:color="000000"/>
              <w:left w:val="single" w:sz="4" w:space="0" w:color="000000"/>
              <w:bottom w:val="single" w:sz="4" w:space="0" w:color="000000"/>
              <w:right w:val="single" w:sz="4" w:space="0" w:color="000000"/>
            </w:tcBorders>
          </w:tcPr>
          <w:p w14:paraId="4BB3EBE0" w14:textId="77777777" w:rsidR="00175362" w:rsidRDefault="0059412C">
            <w:pPr>
              <w:spacing w:afterAutospacing="0" w:line="240" w:lineRule="exact"/>
              <w:rPr>
                <w:rFonts w:eastAsia="Times New Roman" w:cs="Times New Roman"/>
                <w:bCs/>
                <w:szCs w:val="24"/>
              </w:rPr>
            </w:pPr>
            <w:r>
              <w:rPr>
                <w:rFonts w:eastAsia="Times New Roman" w:cs="Times New Roman"/>
                <w:szCs w:val="24"/>
                <w:lang w:val="fi-FI"/>
              </w:rPr>
              <w:t>+31 (0)20 346 07 80</w:t>
            </w:r>
          </w:p>
        </w:tc>
      </w:tr>
      <w:tr w:rsidR="00175362" w14:paraId="1ED94DAF" w14:textId="77777777">
        <w:trPr>
          <w:trHeight w:val="355"/>
          <w:jc w:val="center"/>
        </w:trPr>
        <w:tc>
          <w:tcPr>
            <w:tcW w:w="3507" w:type="dxa"/>
            <w:tcBorders>
              <w:top w:val="single" w:sz="4" w:space="0" w:color="000000"/>
              <w:left w:val="single" w:sz="4" w:space="0" w:color="000000"/>
              <w:bottom w:val="single" w:sz="4" w:space="0" w:color="000000"/>
              <w:right w:val="single" w:sz="4" w:space="0" w:color="000000"/>
            </w:tcBorders>
          </w:tcPr>
          <w:p w14:paraId="7ABE58D2" w14:textId="77777777" w:rsidR="00175362" w:rsidRDefault="0059412C">
            <w:pPr>
              <w:spacing w:afterAutospacing="0" w:line="240" w:lineRule="exact"/>
              <w:ind w:left="150"/>
              <w:rPr>
                <w:rFonts w:eastAsia="Times New Roman" w:cs="Times New Roman"/>
                <w:bCs/>
                <w:szCs w:val="24"/>
              </w:rPr>
            </w:pPr>
            <w:r>
              <w:rPr>
                <w:rFonts w:eastAsia="Times New Roman" w:cs="Times New Roman"/>
                <w:szCs w:val="24"/>
                <w:lang w:val="fi-FI"/>
              </w:rPr>
              <w:t>Faksi:</w:t>
            </w:r>
          </w:p>
        </w:tc>
        <w:tc>
          <w:tcPr>
            <w:tcW w:w="6933" w:type="dxa"/>
            <w:tcBorders>
              <w:top w:val="single" w:sz="4" w:space="0" w:color="000000"/>
              <w:left w:val="single" w:sz="4" w:space="0" w:color="000000"/>
              <w:bottom w:val="single" w:sz="4" w:space="0" w:color="000000"/>
              <w:right w:val="single" w:sz="4" w:space="0" w:color="000000"/>
            </w:tcBorders>
          </w:tcPr>
          <w:p w14:paraId="73625810" w14:textId="77777777" w:rsidR="00175362" w:rsidRDefault="0059412C">
            <w:pPr>
              <w:spacing w:afterAutospacing="0" w:line="240" w:lineRule="exact"/>
              <w:rPr>
                <w:rFonts w:eastAsia="Times New Roman" w:cs="Times New Roman"/>
                <w:bCs/>
                <w:szCs w:val="24"/>
              </w:rPr>
            </w:pPr>
            <w:r>
              <w:rPr>
                <w:rFonts w:eastAsia="Times New Roman" w:cs="Times New Roman"/>
                <w:szCs w:val="24"/>
                <w:lang w:val="fi-FI"/>
              </w:rPr>
              <w:t>+31 (0)20 346 07 81</w:t>
            </w:r>
          </w:p>
        </w:tc>
      </w:tr>
      <w:tr w:rsidR="00175362" w14:paraId="0E754F5F" w14:textId="77777777">
        <w:trPr>
          <w:trHeight w:val="323"/>
          <w:jc w:val="center"/>
        </w:trPr>
        <w:tc>
          <w:tcPr>
            <w:tcW w:w="3507" w:type="dxa"/>
            <w:tcBorders>
              <w:top w:val="single" w:sz="4" w:space="0" w:color="000000"/>
              <w:left w:val="single" w:sz="4" w:space="0" w:color="000000"/>
              <w:bottom w:val="single" w:sz="4" w:space="0" w:color="000000"/>
              <w:right w:val="single" w:sz="4" w:space="0" w:color="000000"/>
            </w:tcBorders>
          </w:tcPr>
          <w:p w14:paraId="1185ED65" w14:textId="77777777" w:rsidR="00175362" w:rsidRDefault="0059412C">
            <w:pPr>
              <w:tabs>
                <w:tab w:val="left" w:pos="3150"/>
              </w:tabs>
              <w:spacing w:afterAutospacing="0" w:line="240" w:lineRule="exact"/>
              <w:rPr>
                <w:rFonts w:eastAsia="Times New Roman" w:cs="Times New Roman"/>
                <w:bCs/>
                <w:szCs w:val="24"/>
              </w:rPr>
            </w:pPr>
            <w:r>
              <w:rPr>
                <w:rFonts w:eastAsia="Times New Roman" w:cs="Times New Roman"/>
                <w:szCs w:val="24"/>
                <w:lang w:val="fi-FI"/>
              </w:rPr>
              <w:t>Ilmoitetun laitoksen numero:</w:t>
            </w:r>
            <w:r>
              <w:rPr>
                <w:rFonts w:eastAsia="Times New Roman" w:cs="Times New Roman"/>
                <w:szCs w:val="24"/>
                <w:lang w:val="fi-FI"/>
              </w:rPr>
              <w:tab/>
            </w:r>
          </w:p>
        </w:tc>
        <w:tc>
          <w:tcPr>
            <w:tcW w:w="6933" w:type="dxa"/>
            <w:tcBorders>
              <w:top w:val="single" w:sz="4" w:space="0" w:color="000000"/>
              <w:left w:val="single" w:sz="4" w:space="0" w:color="000000"/>
              <w:bottom w:val="single" w:sz="4" w:space="0" w:color="000000"/>
              <w:right w:val="single" w:sz="4" w:space="0" w:color="000000"/>
            </w:tcBorders>
          </w:tcPr>
          <w:p w14:paraId="59F105B8" w14:textId="77777777" w:rsidR="00175362" w:rsidRDefault="0059412C">
            <w:pPr>
              <w:tabs>
                <w:tab w:val="left" w:pos="3150"/>
              </w:tabs>
              <w:spacing w:afterAutospacing="0" w:line="240" w:lineRule="exact"/>
              <w:ind w:left="150"/>
              <w:rPr>
                <w:rFonts w:eastAsia="Times New Roman" w:cs="Times New Roman"/>
                <w:bCs/>
                <w:szCs w:val="24"/>
              </w:rPr>
            </w:pPr>
            <w:r>
              <w:rPr>
                <w:rFonts w:eastAsia="Times New Roman" w:cs="Times New Roman"/>
                <w:szCs w:val="24"/>
                <w:lang w:val="fi-FI"/>
              </w:rPr>
              <w:t>2797</w:t>
            </w:r>
          </w:p>
        </w:tc>
      </w:tr>
    </w:tbl>
    <w:p w14:paraId="457295BA" w14:textId="77777777" w:rsidR="00175362" w:rsidRDefault="00175362">
      <w:pPr>
        <w:spacing w:afterAutospacing="0" w:line="240" w:lineRule="auto"/>
        <w:rPr>
          <w:rFonts w:cs="Times New Roman"/>
        </w:rPr>
      </w:pPr>
    </w:p>
    <w:p w14:paraId="57E6CC79" w14:textId="77777777" w:rsidR="00175362" w:rsidRDefault="0059412C">
      <w:pPr>
        <w:pStyle w:val="Heading1"/>
        <w:numPr>
          <w:ilvl w:val="0"/>
          <w:numId w:val="2"/>
        </w:numPr>
        <w:rPr>
          <w:rFonts w:cs="Times New Roman"/>
        </w:rPr>
      </w:pPr>
      <w:bookmarkStart w:id="7" w:name="_Toc222741341"/>
      <w:r>
        <w:rPr>
          <w:rFonts w:cs="Times New Roman"/>
          <w:bCs/>
          <w:lang w:val="fi-FI"/>
        </w:rPr>
        <w:t>Laitteen käyttötarkoitus / käyttöaihe</w:t>
      </w:r>
      <w:bookmarkEnd w:id="7"/>
      <w:r>
        <w:rPr>
          <w:rFonts w:cs="Times New Roman"/>
          <w:bCs/>
          <w:lang w:val="fi-FI"/>
        </w:rPr>
        <w:t xml:space="preserve"> </w:t>
      </w:r>
    </w:p>
    <w:p w14:paraId="4C3F17DF" w14:textId="77777777" w:rsidR="00175362" w:rsidRDefault="0059412C">
      <w:pPr>
        <w:spacing w:afterAutospacing="0"/>
        <w:ind w:left="360"/>
        <w:rPr>
          <w:rFonts w:cs="Times New Roman"/>
        </w:rPr>
      </w:pPr>
      <w:r>
        <w:rPr>
          <w:rFonts w:cs="Times New Roman"/>
          <w:lang w:val="fi-FI"/>
        </w:rPr>
        <w:t>Viitteet:</w:t>
      </w:r>
    </w:p>
    <w:p w14:paraId="2B839EA7" w14:textId="77777777" w:rsidR="00175362" w:rsidRDefault="0059412C">
      <w:pPr>
        <w:spacing w:afterAutospacing="0" w:line="240" w:lineRule="auto"/>
        <w:rPr>
          <w:rFonts w:cs="Times New Roman"/>
        </w:rPr>
      </w:pPr>
      <w:r>
        <w:rPr>
          <w:rFonts w:cs="Times New Roman"/>
          <w:lang w:val="fi-FI"/>
        </w:rPr>
        <w:t>Viitenumerot: X9585730-0321-EU Rev A</w:t>
      </w:r>
    </w:p>
    <w:p w14:paraId="736A41EF" w14:textId="77777777" w:rsidR="00175362" w:rsidRDefault="00175362">
      <w:pPr>
        <w:spacing w:afterAutospacing="0" w:line="240" w:lineRule="auto"/>
        <w:rPr>
          <w:rFonts w:cs="Times New Roman"/>
        </w:rPr>
      </w:pPr>
    </w:p>
    <w:p w14:paraId="4E7062C9" w14:textId="77777777" w:rsidR="00175362" w:rsidRDefault="0059412C">
      <w:pPr>
        <w:pStyle w:val="Heading1"/>
        <w:rPr>
          <w:rFonts w:cs="Times New Roman"/>
        </w:rPr>
      </w:pPr>
      <w:r>
        <w:rPr>
          <w:rFonts w:cs="Times New Roman"/>
          <w:bCs/>
          <w:lang w:val="fi-FI"/>
        </w:rPr>
        <w:t xml:space="preserve"> </w:t>
      </w:r>
      <w:bookmarkStart w:id="8" w:name="_Toc222741342"/>
      <w:r>
        <w:rPr>
          <w:rFonts w:cs="Times New Roman"/>
          <w:bCs/>
          <w:lang w:val="fi-FI"/>
        </w:rPr>
        <w:t>Käyttötarkoitus / Käyttöaihe</w:t>
      </w:r>
      <w:bookmarkEnd w:id="8"/>
    </w:p>
    <w:p w14:paraId="488AA7B0" w14:textId="77777777" w:rsidR="00175362" w:rsidRDefault="0059412C">
      <w:pPr>
        <w:spacing w:after="280"/>
        <w:rPr>
          <w:rFonts w:cs="Times New Roman"/>
          <w:shd w:val="clear" w:color="auto" w:fill="FFFFFF"/>
        </w:rPr>
      </w:pPr>
      <w:r>
        <w:rPr>
          <w:rFonts w:cs="Times New Roman"/>
          <w:shd w:val="clear" w:color="auto" w:fill="FFFFFF"/>
          <w:lang w:val="fi-FI"/>
        </w:rPr>
        <w:t>Tarvikesarja on tarkoitettu käytettäväksi kardiovaskulaarisessa järjestelmässä tai ontossa viskoosissa vierasesineiden poistossa ja käsittelyssä.</w:t>
      </w:r>
    </w:p>
    <w:p w14:paraId="0A4FEFA5" w14:textId="77777777" w:rsidR="00175362" w:rsidRDefault="0059412C">
      <w:pPr>
        <w:pStyle w:val="Heading1"/>
        <w:rPr>
          <w:rFonts w:cs="Times New Roman"/>
        </w:rPr>
      </w:pPr>
      <w:bookmarkStart w:id="9" w:name="_Toc222741343"/>
      <w:r>
        <w:rPr>
          <w:rFonts w:cs="Times New Roman"/>
          <w:bCs/>
          <w:lang w:val="fi-FI"/>
        </w:rPr>
        <w:t>Käyttöaihe</w:t>
      </w:r>
      <w:bookmarkEnd w:id="9"/>
    </w:p>
    <w:p w14:paraId="37A94537" w14:textId="77777777" w:rsidR="00175362" w:rsidRDefault="0059412C">
      <w:pPr>
        <w:widowControl w:val="0"/>
        <w:spacing w:after="280"/>
        <w:rPr>
          <w:rFonts w:cs="Times New Roman"/>
          <w:lang w:val="fi-FI"/>
        </w:rPr>
      </w:pPr>
      <w:r>
        <w:rPr>
          <w:rFonts w:cs="Times New Roman"/>
          <w:lang w:val="fi-FI"/>
        </w:rPr>
        <w:lastRenderedPageBreak/>
        <w:t>Tarvikesarja on tarkoitettu käytettäväksi kardiovaskulaarisessa järjestelmässä tai ontossa viskoosissa vierasesineiden poistossa ja käsittelyssä. Käsittelytoimenpiteisiin sisältyvät kestokatetrin uudelleensijoittelu, kestokatetrin fibriinivaipan irrottaminen ja keskuslaskimoyhteyden laskimopunktiotoimenpiteen avustus.</w:t>
      </w:r>
    </w:p>
    <w:p w14:paraId="73D11243" w14:textId="77777777" w:rsidR="00175362" w:rsidRDefault="0059412C">
      <w:pPr>
        <w:pStyle w:val="Heading1"/>
        <w:rPr>
          <w:rFonts w:cs="Times New Roman"/>
        </w:rPr>
      </w:pPr>
      <w:bookmarkStart w:id="10" w:name="_Toc222741344"/>
      <w:r>
        <w:rPr>
          <w:rFonts w:cs="Times New Roman"/>
          <w:bCs/>
          <w:lang w:val="fi-FI"/>
        </w:rPr>
        <w:t>Kohderyhmä</w:t>
      </w:r>
      <w:bookmarkEnd w:id="10"/>
    </w:p>
    <w:p w14:paraId="36B698E4" w14:textId="77777777" w:rsidR="00175362" w:rsidRDefault="0059412C">
      <w:pPr>
        <w:pStyle w:val="pf0"/>
        <w:widowControl w:val="0"/>
        <w:spacing w:beforeAutospacing="0" w:after="0" w:afterAutospacing="0"/>
      </w:pPr>
      <w:r>
        <w:rPr>
          <w:lang w:val="fi-FI"/>
        </w:rPr>
        <w:t>Aikuiset potilaat, mukaan lukien iäkkäät aikuiset, sukupuolesta, rodusta tai etnisestä taustasta riippumatta.</w:t>
      </w:r>
    </w:p>
    <w:p w14:paraId="161422BF" w14:textId="77777777" w:rsidR="00175362" w:rsidRDefault="00175362">
      <w:pPr>
        <w:pStyle w:val="pf0"/>
        <w:widowControl w:val="0"/>
        <w:spacing w:beforeAutospacing="0" w:after="0" w:afterAutospacing="0"/>
      </w:pPr>
    </w:p>
    <w:p w14:paraId="1D85AA8B" w14:textId="77777777" w:rsidR="00175362" w:rsidRDefault="0059412C">
      <w:pPr>
        <w:pStyle w:val="Heading1"/>
        <w:rPr>
          <w:rFonts w:cs="Times New Roman"/>
        </w:rPr>
      </w:pPr>
      <w:bookmarkStart w:id="11" w:name="_Toc222741345"/>
      <w:r>
        <w:rPr>
          <w:rFonts w:cs="Times New Roman"/>
          <w:bCs/>
          <w:lang w:val="fi-FI"/>
        </w:rPr>
        <w:t>Vasta-aiheet</w:t>
      </w:r>
      <w:bookmarkEnd w:id="11"/>
    </w:p>
    <w:p w14:paraId="2BEC4FF8" w14:textId="77777777" w:rsidR="00175362" w:rsidRDefault="0059412C">
      <w:pPr>
        <w:pStyle w:val="ListParagraph"/>
        <w:numPr>
          <w:ilvl w:val="0"/>
          <w:numId w:val="9"/>
        </w:numPr>
        <w:spacing w:after="0" w:afterAutospacing="0" w:line="240" w:lineRule="auto"/>
        <w:jc w:val="both"/>
        <w:rPr>
          <w:rFonts w:eastAsia="Times New Roman" w:cs="Times New Roman"/>
        </w:rPr>
      </w:pPr>
      <w:r>
        <w:rPr>
          <w:rFonts w:cs="Times New Roman"/>
          <w:color w:val="000000"/>
          <w:lang w:val="fi-FI"/>
        </w:rPr>
        <w:t>Tätä laitetta ei ole tarkoitettu kudoskasvustoon jääneiden vieraiden esineiden poistamiseen.</w:t>
      </w:r>
      <w:r>
        <w:rPr>
          <w:rFonts w:cs="Times New Roman"/>
          <w:color w:val="4472C4" w:themeColor="accent1"/>
          <w:lang w:val="fi-FI"/>
        </w:rPr>
        <w:t>.</w:t>
      </w:r>
    </w:p>
    <w:p w14:paraId="23C49CC9" w14:textId="77777777" w:rsidR="00175362" w:rsidRDefault="0059412C">
      <w:pPr>
        <w:pStyle w:val="ListParagraph"/>
        <w:numPr>
          <w:ilvl w:val="0"/>
          <w:numId w:val="9"/>
        </w:numPr>
        <w:spacing w:after="0" w:afterAutospacing="0" w:line="240" w:lineRule="auto"/>
        <w:jc w:val="both"/>
        <w:rPr>
          <w:rFonts w:eastAsia="Times New Roman" w:cs="Times New Roman"/>
        </w:rPr>
      </w:pPr>
      <w:r>
        <w:rPr>
          <w:rFonts w:eastAsia="Times New Roman" w:cs="Times New Roman"/>
          <w:lang w:val="fi-FI"/>
        </w:rPr>
        <w:t>Laitetta ei tule käyttää fibriinivaipan poistamiseen, jos potilaalla on avoimen soikean ikkunan (patent foramen ovale) väliseinän aukkoja.</w:t>
      </w:r>
    </w:p>
    <w:p w14:paraId="48BF8DA1" w14:textId="77777777" w:rsidR="00175362" w:rsidRDefault="0059412C">
      <w:pPr>
        <w:pStyle w:val="ListParagraph"/>
        <w:numPr>
          <w:ilvl w:val="0"/>
          <w:numId w:val="9"/>
        </w:numPr>
        <w:spacing w:after="0" w:afterAutospacing="0" w:line="240" w:lineRule="auto"/>
        <w:jc w:val="both"/>
        <w:rPr>
          <w:rFonts w:eastAsia="Times New Roman" w:cs="Times New Roman"/>
        </w:rPr>
      </w:pPr>
      <w:r>
        <w:rPr>
          <w:rFonts w:eastAsia="Times New Roman" w:cs="Times New Roman"/>
          <w:lang w:val="fi-FI"/>
        </w:rPr>
        <w:t>Tätä laitetta ei ole tarkoitettu implantoitujen tahdistinohtojen poistamiseen.</w:t>
      </w:r>
    </w:p>
    <w:p w14:paraId="77A945AF" w14:textId="77777777" w:rsidR="00175362" w:rsidRDefault="00175362">
      <w:pPr>
        <w:pStyle w:val="ListParagraph"/>
        <w:spacing w:after="0" w:afterAutospacing="0"/>
        <w:ind w:left="1440"/>
        <w:rPr>
          <w:rFonts w:cs="Times New Roman"/>
        </w:rPr>
      </w:pPr>
    </w:p>
    <w:p w14:paraId="33E32F81" w14:textId="77777777" w:rsidR="00175362" w:rsidRDefault="0059412C">
      <w:pPr>
        <w:pStyle w:val="Heading1"/>
        <w:numPr>
          <w:ilvl w:val="0"/>
          <w:numId w:val="2"/>
        </w:numPr>
        <w:rPr>
          <w:rFonts w:cs="Times New Roman"/>
        </w:rPr>
      </w:pPr>
      <w:bookmarkStart w:id="12" w:name="_Toc222741346"/>
      <w:r>
        <w:rPr>
          <w:rFonts w:cs="Times New Roman"/>
          <w:bCs/>
          <w:lang w:val="fi-FI"/>
        </w:rPr>
        <w:t>Laitteen kuvaus</w:t>
      </w:r>
      <w:bookmarkEnd w:id="12"/>
    </w:p>
    <w:p w14:paraId="2DA2351E" w14:textId="77777777" w:rsidR="00175362" w:rsidRDefault="00175362">
      <w:pPr>
        <w:spacing w:afterAutospacing="0" w:line="240" w:lineRule="auto"/>
        <w:rPr>
          <w:rFonts w:cs="Times New Roman"/>
        </w:rPr>
      </w:pPr>
    </w:p>
    <w:p w14:paraId="42DC7DCA" w14:textId="77777777" w:rsidR="00175362" w:rsidRDefault="0059412C">
      <w:pPr>
        <w:pStyle w:val="Heading1"/>
        <w:rPr>
          <w:rFonts w:cs="Times New Roman"/>
        </w:rPr>
      </w:pPr>
      <w:bookmarkStart w:id="13" w:name="_Toc222741347"/>
      <w:r>
        <w:rPr>
          <w:rFonts w:cs="Times New Roman"/>
          <w:bCs/>
          <w:lang w:val="fi-FI"/>
        </w:rPr>
        <w:t>Laitteen kuvaus</w:t>
      </w:r>
      <w:bookmarkEnd w:id="13"/>
      <w:r>
        <w:rPr>
          <w:rFonts w:cs="Times New Roman"/>
          <w:bCs/>
          <w:lang w:val="fi-FI"/>
        </w:rPr>
        <w:t xml:space="preserve"> </w:t>
      </w:r>
    </w:p>
    <w:p w14:paraId="1FD28993" w14:textId="0BB746EB" w:rsidR="00175362" w:rsidRDefault="0059412C">
      <w:pPr>
        <w:spacing w:after="280"/>
        <w:rPr>
          <w:rFonts w:cs="Times New Roman"/>
          <w:lang w:val="fi-FI"/>
        </w:rPr>
      </w:pPr>
      <w:r>
        <w:rPr>
          <w:rFonts w:cs="Times New Roman"/>
          <w:lang w:val="fi-FI"/>
        </w:rPr>
        <w:t>Atrieve™ Vaskulaarinen Snare -tarvikesarja koostuu silmukkaaitteesta, jossa on kolme esimuotoiltua silmukkaa, jotka on valmistettu superelastisesta nitinolista ja platinasta. Silmukoita ei ole punottu yhteen ja ne voivat liukua suhteessa toisiinsa. Silmukkalaitteen silmukat voidaan viedä sisään asetinkatetriin ilman laitteen pysyvän vääntymisen vaaraa. Atrieve Vaskulaarinen Snare -tarvikesarja sisäältää lisäksi asetinkatetrin kiristyskahvan ja asettimen. Asetinkatetrin distaalisessa kärjessä on röntgensäteitä läpäisemätön ilmaisinrengas. Tuote toimitetaan suojakehikossa. Laite on tarkoitettu kertakäyttöön ja toimitetaan steriilinä (etyleenioksidi) ja käyttövalmiina.</w:t>
      </w:r>
    </w:p>
    <w:p w14:paraId="6AF4820C" w14:textId="112849AD" w:rsidR="00175362" w:rsidRDefault="0059412C">
      <w:pPr>
        <w:spacing w:after="280"/>
        <w:rPr>
          <w:rFonts w:cs="Times New Roman"/>
          <w:lang w:val="fi-FI"/>
        </w:rPr>
      </w:pPr>
      <w:r>
        <w:rPr>
          <w:rFonts w:cs="Times New Roman"/>
          <w:lang w:val="fi-FI"/>
        </w:rPr>
        <w:t>Atrieve™ Vaskulaarinen Snare -tarvikesarja on saatavana seuraavissa kooissa:</w:t>
      </w:r>
    </w:p>
    <w:tbl>
      <w:tblPr>
        <w:tblStyle w:val="TableGrid"/>
        <w:tblW w:w="5000" w:type="pct"/>
        <w:tblInd w:w="113" w:type="dxa"/>
        <w:tblLayout w:type="fixed"/>
        <w:tblLook w:val="04A0" w:firstRow="1" w:lastRow="0" w:firstColumn="1" w:lastColumn="0" w:noHBand="0" w:noVBand="1"/>
      </w:tblPr>
      <w:tblGrid>
        <w:gridCol w:w="2824"/>
        <w:gridCol w:w="2657"/>
        <w:gridCol w:w="2343"/>
        <w:gridCol w:w="2606"/>
      </w:tblGrid>
      <w:tr w:rsidR="00175362" w14:paraId="7979F110" w14:textId="77777777">
        <w:tc>
          <w:tcPr>
            <w:tcW w:w="2827" w:type="dxa"/>
          </w:tcPr>
          <w:p w14:paraId="412E08A9" w14:textId="519F38B1" w:rsidR="00175362" w:rsidRDefault="0059412C">
            <w:pPr>
              <w:widowControl w:val="0"/>
              <w:spacing w:line="240" w:lineRule="auto"/>
              <w:rPr>
                <w:rFonts w:cs="Times New Roman"/>
              </w:rPr>
            </w:pPr>
            <w:r>
              <w:rPr>
                <w:rFonts w:eastAsia="Calibri" w:cs="Times New Roman"/>
                <w:lang w:val="fi-FI"/>
              </w:rPr>
              <w:t>Snare-laitteen halkaisija</w:t>
            </w:r>
          </w:p>
        </w:tc>
        <w:tc>
          <w:tcPr>
            <w:tcW w:w="2660" w:type="dxa"/>
          </w:tcPr>
          <w:p w14:paraId="1E0F1071" w14:textId="644EC164" w:rsidR="00175362" w:rsidRDefault="0059412C">
            <w:pPr>
              <w:widowControl w:val="0"/>
              <w:spacing w:line="240" w:lineRule="auto"/>
              <w:rPr>
                <w:rFonts w:cs="Times New Roman"/>
              </w:rPr>
            </w:pPr>
            <w:r>
              <w:rPr>
                <w:rFonts w:eastAsia="Calibri" w:cs="Times New Roman"/>
                <w:lang w:val="fi-FI"/>
              </w:rPr>
              <w:t>Snare-laitteen pituus</w:t>
            </w:r>
          </w:p>
        </w:tc>
        <w:tc>
          <w:tcPr>
            <w:tcW w:w="2345" w:type="dxa"/>
          </w:tcPr>
          <w:p w14:paraId="04830BFC" w14:textId="77777777" w:rsidR="00175362" w:rsidRDefault="0059412C">
            <w:pPr>
              <w:widowControl w:val="0"/>
              <w:spacing w:line="240" w:lineRule="auto"/>
              <w:rPr>
                <w:rFonts w:cs="Times New Roman"/>
              </w:rPr>
            </w:pPr>
            <w:r>
              <w:rPr>
                <w:rFonts w:eastAsia="Calibri" w:cs="Times New Roman"/>
                <w:lang w:val="fi-FI"/>
              </w:rPr>
              <w:t>Asetinkatetrin koko</w:t>
            </w:r>
          </w:p>
        </w:tc>
        <w:tc>
          <w:tcPr>
            <w:tcW w:w="2608" w:type="dxa"/>
          </w:tcPr>
          <w:p w14:paraId="326F78CC" w14:textId="77777777" w:rsidR="00175362" w:rsidRDefault="0059412C">
            <w:pPr>
              <w:widowControl w:val="0"/>
              <w:spacing w:line="240" w:lineRule="auto"/>
              <w:rPr>
                <w:rFonts w:cs="Times New Roman"/>
              </w:rPr>
            </w:pPr>
            <w:r>
              <w:rPr>
                <w:rFonts w:eastAsia="Calibri" w:cs="Times New Roman"/>
                <w:lang w:val="fi-FI"/>
              </w:rPr>
              <w:t>Katetrin pituus</w:t>
            </w:r>
          </w:p>
        </w:tc>
      </w:tr>
      <w:tr w:rsidR="00175362" w14:paraId="125694C5" w14:textId="77777777">
        <w:tc>
          <w:tcPr>
            <w:tcW w:w="2827" w:type="dxa"/>
          </w:tcPr>
          <w:p w14:paraId="5621F38A" w14:textId="77777777" w:rsidR="00175362" w:rsidRDefault="0059412C">
            <w:pPr>
              <w:widowControl w:val="0"/>
              <w:spacing w:line="240" w:lineRule="auto"/>
              <w:rPr>
                <w:rFonts w:cs="Times New Roman"/>
              </w:rPr>
            </w:pPr>
            <w:r>
              <w:rPr>
                <w:rFonts w:eastAsia="Calibri" w:cs="Times New Roman"/>
                <w:lang w:val="fi-FI"/>
              </w:rPr>
              <w:t>2–4 mm</w:t>
            </w:r>
          </w:p>
        </w:tc>
        <w:tc>
          <w:tcPr>
            <w:tcW w:w="2660" w:type="dxa"/>
          </w:tcPr>
          <w:p w14:paraId="6F88D15E" w14:textId="77777777" w:rsidR="00175362" w:rsidRDefault="0059412C">
            <w:pPr>
              <w:widowControl w:val="0"/>
              <w:spacing w:line="240" w:lineRule="auto"/>
              <w:rPr>
                <w:rFonts w:cs="Times New Roman"/>
              </w:rPr>
            </w:pPr>
            <w:r>
              <w:rPr>
                <w:rFonts w:eastAsia="Calibri" w:cs="Times New Roman"/>
                <w:lang w:val="fi-FI"/>
              </w:rPr>
              <w:t>175 cm</w:t>
            </w:r>
          </w:p>
        </w:tc>
        <w:tc>
          <w:tcPr>
            <w:tcW w:w="2345" w:type="dxa"/>
          </w:tcPr>
          <w:p w14:paraId="6ED4F3FD" w14:textId="77777777" w:rsidR="00175362" w:rsidRDefault="0059412C">
            <w:pPr>
              <w:widowControl w:val="0"/>
              <w:spacing w:line="240" w:lineRule="auto"/>
              <w:rPr>
                <w:rFonts w:cs="Times New Roman"/>
              </w:rPr>
            </w:pPr>
            <w:r>
              <w:rPr>
                <w:rFonts w:eastAsia="Calibri" w:cs="Times New Roman"/>
                <w:lang w:val="fi-FI"/>
              </w:rPr>
              <w:t>3,2 F</w:t>
            </w:r>
          </w:p>
        </w:tc>
        <w:tc>
          <w:tcPr>
            <w:tcW w:w="2608" w:type="dxa"/>
          </w:tcPr>
          <w:p w14:paraId="7AA12007" w14:textId="77777777" w:rsidR="00175362" w:rsidRDefault="0059412C">
            <w:pPr>
              <w:widowControl w:val="0"/>
              <w:spacing w:line="240" w:lineRule="auto"/>
              <w:rPr>
                <w:rFonts w:cs="Times New Roman"/>
              </w:rPr>
            </w:pPr>
            <w:r>
              <w:rPr>
                <w:rFonts w:eastAsia="Calibri" w:cs="Times New Roman"/>
                <w:lang w:val="fi-FI"/>
              </w:rPr>
              <w:t>150 cm</w:t>
            </w:r>
          </w:p>
        </w:tc>
      </w:tr>
      <w:tr w:rsidR="00175362" w14:paraId="6E183B01" w14:textId="77777777">
        <w:tc>
          <w:tcPr>
            <w:tcW w:w="2827" w:type="dxa"/>
          </w:tcPr>
          <w:p w14:paraId="1E961685" w14:textId="77777777" w:rsidR="00175362" w:rsidRDefault="0059412C">
            <w:pPr>
              <w:widowControl w:val="0"/>
              <w:spacing w:line="240" w:lineRule="auto"/>
              <w:rPr>
                <w:rFonts w:cs="Times New Roman"/>
              </w:rPr>
            </w:pPr>
            <w:r>
              <w:rPr>
                <w:rFonts w:eastAsia="Calibri" w:cs="Times New Roman"/>
                <w:lang w:val="fi-FI"/>
              </w:rPr>
              <w:t>4–8 mm</w:t>
            </w:r>
          </w:p>
        </w:tc>
        <w:tc>
          <w:tcPr>
            <w:tcW w:w="2660" w:type="dxa"/>
          </w:tcPr>
          <w:p w14:paraId="7EEAB4B2" w14:textId="77777777" w:rsidR="00175362" w:rsidRDefault="0059412C">
            <w:pPr>
              <w:widowControl w:val="0"/>
              <w:spacing w:line="240" w:lineRule="auto"/>
              <w:rPr>
                <w:rFonts w:cs="Times New Roman"/>
              </w:rPr>
            </w:pPr>
            <w:r>
              <w:rPr>
                <w:rFonts w:eastAsia="Calibri" w:cs="Times New Roman"/>
                <w:lang w:val="fi-FI"/>
              </w:rPr>
              <w:t>175 cm</w:t>
            </w:r>
          </w:p>
        </w:tc>
        <w:tc>
          <w:tcPr>
            <w:tcW w:w="2345" w:type="dxa"/>
          </w:tcPr>
          <w:p w14:paraId="0D22FC57" w14:textId="77777777" w:rsidR="00175362" w:rsidRDefault="0059412C">
            <w:pPr>
              <w:widowControl w:val="0"/>
              <w:spacing w:line="240" w:lineRule="auto"/>
              <w:rPr>
                <w:rFonts w:cs="Times New Roman"/>
              </w:rPr>
            </w:pPr>
            <w:r>
              <w:rPr>
                <w:rFonts w:eastAsia="Calibri" w:cs="Times New Roman"/>
                <w:lang w:val="fi-FI"/>
              </w:rPr>
              <w:t>3,2 F</w:t>
            </w:r>
          </w:p>
        </w:tc>
        <w:tc>
          <w:tcPr>
            <w:tcW w:w="2608" w:type="dxa"/>
          </w:tcPr>
          <w:p w14:paraId="123749D5" w14:textId="77777777" w:rsidR="00175362" w:rsidRDefault="0059412C">
            <w:pPr>
              <w:widowControl w:val="0"/>
              <w:spacing w:line="240" w:lineRule="auto"/>
              <w:rPr>
                <w:rFonts w:cs="Times New Roman"/>
              </w:rPr>
            </w:pPr>
            <w:r>
              <w:rPr>
                <w:rFonts w:eastAsia="Calibri" w:cs="Times New Roman"/>
                <w:lang w:val="fi-FI"/>
              </w:rPr>
              <w:t>150 cm</w:t>
            </w:r>
          </w:p>
        </w:tc>
      </w:tr>
      <w:tr w:rsidR="00175362" w14:paraId="649F0D0B" w14:textId="77777777">
        <w:tc>
          <w:tcPr>
            <w:tcW w:w="2827" w:type="dxa"/>
          </w:tcPr>
          <w:p w14:paraId="329C9245" w14:textId="77777777" w:rsidR="00175362" w:rsidRDefault="0059412C">
            <w:pPr>
              <w:widowControl w:val="0"/>
              <w:spacing w:line="240" w:lineRule="auto"/>
              <w:rPr>
                <w:rFonts w:cs="Times New Roman"/>
              </w:rPr>
            </w:pPr>
            <w:r>
              <w:rPr>
                <w:rFonts w:eastAsia="Calibri" w:cs="Times New Roman"/>
                <w:lang w:val="fi-FI"/>
              </w:rPr>
              <w:t>6–10 mm</w:t>
            </w:r>
          </w:p>
        </w:tc>
        <w:tc>
          <w:tcPr>
            <w:tcW w:w="2660" w:type="dxa"/>
          </w:tcPr>
          <w:p w14:paraId="3BA4331D" w14:textId="77777777" w:rsidR="00175362" w:rsidRDefault="0059412C">
            <w:pPr>
              <w:widowControl w:val="0"/>
              <w:spacing w:line="240" w:lineRule="auto"/>
              <w:rPr>
                <w:rFonts w:cs="Times New Roman"/>
              </w:rPr>
            </w:pPr>
            <w:r>
              <w:rPr>
                <w:rFonts w:eastAsia="Calibri" w:cs="Times New Roman"/>
                <w:lang w:val="fi-FI"/>
              </w:rPr>
              <w:t>120 cm</w:t>
            </w:r>
          </w:p>
        </w:tc>
        <w:tc>
          <w:tcPr>
            <w:tcW w:w="2345" w:type="dxa"/>
          </w:tcPr>
          <w:p w14:paraId="2549B568" w14:textId="77777777" w:rsidR="00175362" w:rsidRDefault="0059412C">
            <w:pPr>
              <w:widowControl w:val="0"/>
              <w:spacing w:line="240" w:lineRule="auto"/>
              <w:rPr>
                <w:rFonts w:cs="Times New Roman"/>
              </w:rPr>
            </w:pPr>
            <w:r>
              <w:rPr>
                <w:rFonts w:eastAsia="Calibri" w:cs="Times New Roman"/>
                <w:lang w:val="fi-FI"/>
              </w:rPr>
              <w:t>6 F</w:t>
            </w:r>
          </w:p>
        </w:tc>
        <w:tc>
          <w:tcPr>
            <w:tcW w:w="2608" w:type="dxa"/>
          </w:tcPr>
          <w:p w14:paraId="17C11067" w14:textId="77777777" w:rsidR="00175362" w:rsidRDefault="0059412C">
            <w:pPr>
              <w:widowControl w:val="0"/>
              <w:spacing w:line="240" w:lineRule="auto"/>
              <w:rPr>
                <w:rFonts w:cs="Times New Roman"/>
              </w:rPr>
            </w:pPr>
            <w:r>
              <w:rPr>
                <w:rFonts w:eastAsia="Calibri" w:cs="Times New Roman"/>
                <w:lang w:val="fi-FI"/>
              </w:rPr>
              <w:t>100 cm</w:t>
            </w:r>
          </w:p>
        </w:tc>
      </w:tr>
      <w:tr w:rsidR="00175362" w14:paraId="2EF2355C" w14:textId="77777777">
        <w:tc>
          <w:tcPr>
            <w:tcW w:w="2827" w:type="dxa"/>
          </w:tcPr>
          <w:p w14:paraId="44C43FBB" w14:textId="77777777" w:rsidR="00175362" w:rsidRDefault="0059412C">
            <w:pPr>
              <w:widowControl w:val="0"/>
              <w:spacing w:line="240" w:lineRule="auto"/>
              <w:rPr>
                <w:rFonts w:cs="Times New Roman"/>
              </w:rPr>
            </w:pPr>
            <w:r>
              <w:rPr>
                <w:rFonts w:eastAsia="Calibri" w:cs="Times New Roman"/>
                <w:lang w:val="fi-FI"/>
              </w:rPr>
              <w:t>9–15 mm</w:t>
            </w:r>
          </w:p>
        </w:tc>
        <w:tc>
          <w:tcPr>
            <w:tcW w:w="2660" w:type="dxa"/>
          </w:tcPr>
          <w:p w14:paraId="37CDAF84" w14:textId="77777777" w:rsidR="00175362" w:rsidRDefault="0059412C">
            <w:pPr>
              <w:widowControl w:val="0"/>
              <w:spacing w:line="240" w:lineRule="auto"/>
              <w:rPr>
                <w:rFonts w:cs="Times New Roman"/>
              </w:rPr>
            </w:pPr>
            <w:r>
              <w:rPr>
                <w:rFonts w:eastAsia="Calibri" w:cs="Times New Roman"/>
                <w:lang w:val="fi-FI"/>
              </w:rPr>
              <w:t>120 cm</w:t>
            </w:r>
          </w:p>
        </w:tc>
        <w:tc>
          <w:tcPr>
            <w:tcW w:w="2345" w:type="dxa"/>
          </w:tcPr>
          <w:p w14:paraId="68D338D6" w14:textId="77777777" w:rsidR="00175362" w:rsidRDefault="0059412C">
            <w:pPr>
              <w:widowControl w:val="0"/>
              <w:spacing w:line="240" w:lineRule="auto"/>
              <w:rPr>
                <w:rFonts w:cs="Times New Roman"/>
              </w:rPr>
            </w:pPr>
            <w:r>
              <w:rPr>
                <w:rFonts w:eastAsia="Calibri" w:cs="Times New Roman"/>
                <w:lang w:val="fi-FI"/>
              </w:rPr>
              <w:t>6 F</w:t>
            </w:r>
          </w:p>
        </w:tc>
        <w:tc>
          <w:tcPr>
            <w:tcW w:w="2608" w:type="dxa"/>
          </w:tcPr>
          <w:p w14:paraId="0A385A70" w14:textId="77777777" w:rsidR="00175362" w:rsidRDefault="0059412C">
            <w:pPr>
              <w:widowControl w:val="0"/>
              <w:spacing w:line="240" w:lineRule="auto"/>
              <w:rPr>
                <w:rFonts w:cs="Times New Roman"/>
              </w:rPr>
            </w:pPr>
            <w:r>
              <w:rPr>
                <w:rFonts w:eastAsia="Calibri" w:cs="Times New Roman"/>
                <w:lang w:val="fi-FI"/>
              </w:rPr>
              <w:t>100 cm</w:t>
            </w:r>
          </w:p>
        </w:tc>
      </w:tr>
      <w:tr w:rsidR="00175362" w14:paraId="5E5CA0E7" w14:textId="77777777">
        <w:tc>
          <w:tcPr>
            <w:tcW w:w="2827" w:type="dxa"/>
          </w:tcPr>
          <w:p w14:paraId="1CF5C684" w14:textId="77777777" w:rsidR="00175362" w:rsidRDefault="0059412C">
            <w:pPr>
              <w:widowControl w:val="0"/>
              <w:spacing w:line="240" w:lineRule="auto"/>
              <w:rPr>
                <w:rFonts w:cs="Times New Roman"/>
              </w:rPr>
            </w:pPr>
            <w:r>
              <w:rPr>
                <w:rFonts w:eastAsia="Calibri" w:cs="Times New Roman"/>
                <w:lang w:val="fi-FI"/>
              </w:rPr>
              <w:t>12–20 mm</w:t>
            </w:r>
          </w:p>
        </w:tc>
        <w:tc>
          <w:tcPr>
            <w:tcW w:w="2660" w:type="dxa"/>
          </w:tcPr>
          <w:p w14:paraId="1BCD835B" w14:textId="77777777" w:rsidR="00175362" w:rsidRDefault="0059412C">
            <w:pPr>
              <w:widowControl w:val="0"/>
              <w:spacing w:line="240" w:lineRule="auto"/>
              <w:rPr>
                <w:rFonts w:cs="Times New Roman"/>
              </w:rPr>
            </w:pPr>
            <w:r>
              <w:rPr>
                <w:rFonts w:eastAsia="Calibri" w:cs="Times New Roman"/>
                <w:lang w:val="fi-FI"/>
              </w:rPr>
              <w:t>120 cm</w:t>
            </w:r>
          </w:p>
        </w:tc>
        <w:tc>
          <w:tcPr>
            <w:tcW w:w="2345" w:type="dxa"/>
          </w:tcPr>
          <w:p w14:paraId="363505E3" w14:textId="77777777" w:rsidR="00175362" w:rsidRDefault="0059412C">
            <w:pPr>
              <w:widowControl w:val="0"/>
              <w:spacing w:line="240" w:lineRule="auto"/>
              <w:rPr>
                <w:rFonts w:cs="Times New Roman"/>
              </w:rPr>
            </w:pPr>
            <w:r>
              <w:rPr>
                <w:rFonts w:eastAsia="Calibri" w:cs="Times New Roman"/>
                <w:lang w:val="fi-FI"/>
              </w:rPr>
              <w:t>6 F</w:t>
            </w:r>
          </w:p>
        </w:tc>
        <w:tc>
          <w:tcPr>
            <w:tcW w:w="2608" w:type="dxa"/>
          </w:tcPr>
          <w:p w14:paraId="2B2FA869" w14:textId="77777777" w:rsidR="00175362" w:rsidRDefault="0059412C">
            <w:pPr>
              <w:widowControl w:val="0"/>
              <w:spacing w:line="240" w:lineRule="auto"/>
              <w:rPr>
                <w:rFonts w:cs="Times New Roman"/>
              </w:rPr>
            </w:pPr>
            <w:r>
              <w:rPr>
                <w:rFonts w:eastAsia="Calibri" w:cs="Times New Roman"/>
                <w:lang w:val="fi-FI"/>
              </w:rPr>
              <w:t>100 cm</w:t>
            </w:r>
          </w:p>
        </w:tc>
      </w:tr>
      <w:tr w:rsidR="00175362" w14:paraId="21FB78A8" w14:textId="77777777">
        <w:tc>
          <w:tcPr>
            <w:tcW w:w="2827" w:type="dxa"/>
          </w:tcPr>
          <w:p w14:paraId="2295B92D" w14:textId="77777777" w:rsidR="00175362" w:rsidRDefault="0059412C">
            <w:pPr>
              <w:widowControl w:val="0"/>
              <w:spacing w:line="240" w:lineRule="auto"/>
              <w:rPr>
                <w:rFonts w:cs="Times New Roman"/>
              </w:rPr>
            </w:pPr>
            <w:r>
              <w:rPr>
                <w:rFonts w:eastAsia="Calibri" w:cs="Times New Roman"/>
                <w:lang w:val="fi-FI"/>
              </w:rPr>
              <w:t>18–30 mm</w:t>
            </w:r>
          </w:p>
        </w:tc>
        <w:tc>
          <w:tcPr>
            <w:tcW w:w="2660" w:type="dxa"/>
          </w:tcPr>
          <w:p w14:paraId="64EDC578" w14:textId="77777777" w:rsidR="00175362" w:rsidRDefault="0059412C">
            <w:pPr>
              <w:widowControl w:val="0"/>
              <w:spacing w:line="240" w:lineRule="auto"/>
              <w:rPr>
                <w:rFonts w:cs="Times New Roman"/>
              </w:rPr>
            </w:pPr>
            <w:r>
              <w:rPr>
                <w:rFonts w:eastAsia="Calibri" w:cs="Times New Roman"/>
                <w:lang w:val="fi-FI"/>
              </w:rPr>
              <w:t>120 cm</w:t>
            </w:r>
          </w:p>
        </w:tc>
        <w:tc>
          <w:tcPr>
            <w:tcW w:w="2345" w:type="dxa"/>
          </w:tcPr>
          <w:p w14:paraId="10BD696F" w14:textId="77777777" w:rsidR="00175362" w:rsidRDefault="0059412C">
            <w:pPr>
              <w:widowControl w:val="0"/>
              <w:spacing w:line="240" w:lineRule="auto"/>
              <w:rPr>
                <w:rFonts w:cs="Times New Roman"/>
              </w:rPr>
            </w:pPr>
            <w:r>
              <w:rPr>
                <w:rFonts w:eastAsia="Calibri" w:cs="Times New Roman"/>
                <w:lang w:val="fi-FI"/>
              </w:rPr>
              <w:t>7 F</w:t>
            </w:r>
          </w:p>
        </w:tc>
        <w:tc>
          <w:tcPr>
            <w:tcW w:w="2608" w:type="dxa"/>
          </w:tcPr>
          <w:p w14:paraId="4D827CD3" w14:textId="77777777" w:rsidR="00175362" w:rsidRDefault="0059412C">
            <w:pPr>
              <w:widowControl w:val="0"/>
              <w:spacing w:line="240" w:lineRule="auto"/>
              <w:rPr>
                <w:rFonts w:cs="Times New Roman"/>
              </w:rPr>
            </w:pPr>
            <w:r>
              <w:rPr>
                <w:rFonts w:eastAsia="Calibri" w:cs="Times New Roman"/>
                <w:lang w:val="fi-FI"/>
              </w:rPr>
              <w:t>100 cm</w:t>
            </w:r>
          </w:p>
        </w:tc>
      </w:tr>
      <w:tr w:rsidR="00175362" w14:paraId="650E9A2D" w14:textId="77777777">
        <w:tc>
          <w:tcPr>
            <w:tcW w:w="2827" w:type="dxa"/>
          </w:tcPr>
          <w:p w14:paraId="47507BE1" w14:textId="77777777" w:rsidR="00175362" w:rsidRDefault="0059412C">
            <w:pPr>
              <w:widowControl w:val="0"/>
              <w:spacing w:line="240" w:lineRule="auto"/>
              <w:rPr>
                <w:rFonts w:cs="Times New Roman"/>
              </w:rPr>
            </w:pPr>
            <w:r>
              <w:rPr>
                <w:rFonts w:eastAsia="Calibri" w:cs="Times New Roman"/>
                <w:lang w:val="fi-FI"/>
              </w:rPr>
              <w:t>27–45 mm</w:t>
            </w:r>
          </w:p>
        </w:tc>
        <w:tc>
          <w:tcPr>
            <w:tcW w:w="2660" w:type="dxa"/>
          </w:tcPr>
          <w:p w14:paraId="75AD3F13" w14:textId="77777777" w:rsidR="00175362" w:rsidRDefault="0059412C">
            <w:pPr>
              <w:widowControl w:val="0"/>
              <w:spacing w:line="240" w:lineRule="auto"/>
              <w:rPr>
                <w:rFonts w:cs="Times New Roman"/>
              </w:rPr>
            </w:pPr>
            <w:r>
              <w:rPr>
                <w:rFonts w:eastAsia="Calibri" w:cs="Times New Roman"/>
                <w:lang w:val="fi-FI"/>
              </w:rPr>
              <w:t>120 cm</w:t>
            </w:r>
          </w:p>
        </w:tc>
        <w:tc>
          <w:tcPr>
            <w:tcW w:w="2345" w:type="dxa"/>
          </w:tcPr>
          <w:p w14:paraId="1259C207" w14:textId="77777777" w:rsidR="00175362" w:rsidRDefault="0059412C">
            <w:pPr>
              <w:widowControl w:val="0"/>
              <w:spacing w:line="240" w:lineRule="auto"/>
              <w:rPr>
                <w:rFonts w:cs="Times New Roman"/>
              </w:rPr>
            </w:pPr>
            <w:r>
              <w:rPr>
                <w:rFonts w:eastAsia="Calibri" w:cs="Times New Roman"/>
                <w:lang w:val="fi-FI"/>
              </w:rPr>
              <w:t>7 F</w:t>
            </w:r>
          </w:p>
        </w:tc>
        <w:tc>
          <w:tcPr>
            <w:tcW w:w="2608" w:type="dxa"/>
          </w:tcPr>
          <w:p w14:paraId="18753F6B" w14:textId="77777777" w:rsidR="00175362" w:rsidRDefault="0059412C">
            <w:pPr>
              <w:widowControl w:val="0"/>
              <w:spacing w:line="240" w:lineRule="auto"/>
              <w:rPr>
                <w:rFonts w:cs="Times New Roman"/>
              </w:rPr>
            </w:pPr>
            <w:r>
              <w:rPr>
                <w:rFonts w:eastAsia="Calibri" w:cs="Times New Roman"/>
                <w:lang w:val="fi-FI"/>
              </w:rPr>
              <w:t>100 cm</w:t>
            </w:r>
          </w:p>
        </w:tc>
      </w:tr>
    </w:tbl>
    <w:p w14:paraId="7C3D93ED" w14:textId="77777777" w:rsidR="00175362" w:rsidRDefault="00175362">
      <w:pPr>
        <w:spacing w:after="280"/>
        <w:rPr>
          <w:rFonts w:cs="Times New Roman"/>
          <w:sz w:val="4"/>
          <w:szCs w:val="2"/>
        </w:rPr>
      </w:pPr>
    </w:p>
    <w:p w14:paraId="6160D44C" w14:textId="77777777" w:rsidR="00175362" w:rsidRDefault="0059412C">
      <w:pPr>
        <w:pStyle w:val="Heading1"/>
        <w:rPr>
          <w:rFonts w:cs="Times New Roman"/>
        </w:rPr>
      </w:pPr>
      <w:bookmarkStart w:id="14" w:name="_Hlk169187630"/>
      <w:bookmarkStart w:id="15" w:name="_Toc222741348"/>
      <w:bookmarkEnd w:id="14"/>
      <w:r>
        <w:rPr>
          <w:rFonts w:cs="Times New Roman"/>
          <w:bCs/>
          <w:lang w:val="fi-FI"/>
        </w:rPr>
        <w:t>Aikaisemmat versiot ja niiden erot</w:t>
      </w:r>
      <w:bookmarkEnd w:id="15"/>
    </w:p>
    <w:p w14:paraId="5ABD4259" w14:textId="77777777" w:rsidR="00175362" w:rsidRDefault="0059412C">
      <w:pPr>
        <w:spacing w:after="280"/>
        <w:ind w:left="792"/>
        <w:rPr>
          <w:rFonts w:cs="Times New Roman"/>
          <w:lang w:val="pt-BR"/>
        </w:rPr>
      </w:pPr>
      <w:r>
        <w:rPr>
          <w:rFonts w:cs="Times New Roman"/>
          <w:lang w:val="fi-FI"/>
        </w:rPr>
        <w:t>Tämä osa ei ole sovellettavissa (N/A).</w:t>
      </w:r>
    </w:p>
    <w:p w14:paraId="29A728E6" w14:textId="77777777" w:rsidR="00175362" w:rsidRDefault="0059412C">
      <w:pPr>
        <w:pStyle w:val="Heading1"/>
        <w:rPr>
          <w:rFonts w:cs="Times New Roman"/>
          <w:lang w:val="pt-BR"/>
        </w:rPr>
      </w:pPr>
      <w:bookmarkStart w:id="16" w:name="_Toc222741349"/>
      <w:r>
        <w:rPr>
          <w:rFonts w:cs="Times New Roman"/>
          <w:bCs/>
          <w:lang w:val="fi-FI"/>
        </w:rPr>
        <w:t>Lisävarusteet, yhteensopivat laitteet ja muut yhdessä käytettävät tuotteet</w:t>
      </w:r>
      <w:bookmarkEnd w:id="16"/>
    </w:p>
    <w:p w14:paraId="0CD8CDDC" w14:textId="3C5E0ED1" w:rsidR="00175362" w:rsidRDefault="0059412C">
      <w:pPr>
        <w:spacing w:afterAutospacing="0"/>
        <w:ind w:left="792"/>
        <w:rPr>
          <w:rFonts w:cs="Times New Roman"/>
          <w:lang w:val="pt-BR"/>
        </w:rPr>
      </w:pPr>
      <w:r>
        <w:rPr>
          <w:rFonts w:cs="Times New Roman"/>
          <w:lang w:val="fi-FI"/>
        </w:rPr>
        <w:t>Atrieve Vaskulaarinen Snare -tarvikesarjan lisävarusteisiin kuuluvat asetinkatetri, asetin ja kiristyskahva (neulapuristin).</w:t>
      </w:r>
    </w:p>
    <w:p w14:paraId="745E1D47" w14:textId="77777777" w:rsidR="00175362" w:rsidRDefault="00175362">
      <w:pPr>
        <w:spacing w:afterAutospacing="0" w:line="240" w:lineRule="auto"/>
        <w:rPr>
          <w:rFonts w:cs="Times New Roman"/>
          <w:i/>
          <w:color w:val="FF0000"/>
          <w:lang w:val="pt-BR"/>
        </w:rPr>
      </w:pPr>
    </w:p>
    <w:p w14:paraId="59961B03" w14:textId="77777777" w:rsidR="00175362" w:rsidRDefault="0059412C">
      <w:pPr>
        <w:pStyle w:val="Heading1"/>
        <w:numPr>
          <w:ilvl w:val="0"/>
          <w:numId w:val="2"/>
        </w:numPr>
        <w:rPr>
          <w:rFonts w:cs="Times New Roman"/>
        </w:rPr>
      </w:pPr>
      <w:bookmarkStart w:id="17" w:name="_Toc222741350"/>
      <w:r>
        <w:rPr>
          <w:rFonts w:cs="Times New Roman"/>
          <w:bCs/>
          <w:lang w:val="fi-FI"/>
        </w:rPr>
        <w:lastRenderedPageBreak/>
        <w:t>Riskit ja varoitukset</w:t>
      </w:r>
      <w:bookmarkEnd w:id="17"/>
    </w:p>
    <w:p w14:paraId="6E97236B" w14:textId="77777777" w:rsidR="00175362" w:rsidRDefault="00175362">
      <w:pPr>
        <w:spacing w:afterAutospacing="0" w:line="240" w:lineRule="auto"/>
        <w:rPr>
          <w:rFonts w:cs="Times New Roman"/>
        </w:rPr>
      </w:pPr>
    </w:p>
    <w:p w14:paraId="3736BE33" w14:textId="77777777" w:rsidR="00175362" w:rsidRDefault="0059412C">
      <w:pPr>
        <w:pStyle w:val="Heading1"/>
        <w:rPr>
          <w:rFonts w:cs="Times New Roman"/>
        </w:rPr>
      </w:pPr>
      <w:bookmarkStart w:id="18" w:name="_Toc222741351"/>
      <w:r>
        <w:rPr>
          <w:rFonts w:cs="Times New Roman"/>
          <w:bCs/>
          <w:lang w:val="fi-FI"/>
        </w:rPr>
        <w:t>Jäännösriskit ja ei-toivotut sivuvaikutukset</w:t>
      </w:r>
      <w:bookmarkEnd w:id="18"/>
    </w:p>
    <w:p w14:paraId="4A2B8DF5" w14:textId="77777777" w:rsidR="00175362" w:rsidRDefault="0059412C">
      <w:pPr>
        <w:spacing w:after="280"/>
        <w:ind w:left="792"/>
        <w:rPr>
          <w:rFonts w:cs="Times New Roman"/>
        </w:rPr>
      </w:pPr>
      <w:r>
        <w:rPr>
          <w:rFonts w:cs="Times New Roman"/>
          <w:lang w:val="fi-FI"/>
        </w:rPr>
        <w:t xml:space="preserve">RMR-0011 Rev H:n mukaisesti tuotteelle on esitetty seuraava riski-hyötysuhde: </w:t>
      </w:r>
    </w:p>
    <w:tbl>
      <w:tblPr>
        <w:tblW w:w="5000" w:type="pct"/>
        <w:tblInd w:w="113" w:type="dxa"/>
        <w:tblLayout w:type="fixed"/>
        <w:tblLook w:val="04A0" w:firstRow="1" w:lastRow="0" w:firstColumn="1" w:lastColumn="0" w:noHBand="0" w:noVBand="1"/>
      </w:tblPr>
      <w:tblGrid>
        <w:gridCol w:w="2374"/>
        <w:gridCol w:w="2086"/>
        <w:gridCol w:w="1835"/>
        <w:gridCol w:w="4135"/>
      </w:tblGrid>
      <w:tr w:rsidR="00175362" w14:paraId="7CD84910" w14:textId="77777777">
        <w:trPr>
          <w:trHeight w:val="620"/>
        </w:trPr>
        <w:tc>
          <w:tcPr>
            <w:tcW w:w="23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3F1CB45" w14:textId="77777777" w:rsidR="00175362" w:rsidRDefault="0059412C">
            <w:pPr>
              <w:pStyle w:val="TableHeading-Font10"/>
              <w:rPr>
                <w:rFonts w:ascii="Times New Roman" w:hAnsi="Times New Roman" w:cs="Times New Roman"/>
              </w:rPr>
            </w:pPr>
            <w:r>
              <w:rPr>
                <w:rFonts w:ascii="Times New Roman" w:hAnsi="Times New Roman" w:cs="Times New Roman"/>
                <w:lang w:val="fi-FI"/>
              </w:rPr>
              <w:t>Tulokset</w:t>
            </w:r>
            <w:bookmarkStart w:id="19" w:name="_Toc86391902"/>
            <w:bookmarkEnd w:id="19"/>
          </w:p>
        </w:tc>
        <w:tc>
          <w:tcPr>
            <w:tcW w:w="2088" w:type="dxa"/>
            <w:tcBorders>
              <w:top w:val="single" w:sz="4" w:space="0" w:color="000000"/>
              <w:left w:val="single" w:sz="4" w:space="0" w:color="000000"/>
              <w:bottom w:val="single" w:sz="4" w:space="0" w:color="000000"/>
              <w:right w:val="single" w:sz="4" w:space="0" w:color="000000"/>
            </w:tcBorders>
            <w:shd w:val="clear" w:color="auto" w:fill="BFBFBF"/>
          </w:tcPr>
          <w:p w14:paraId="6E0FD2AE" w14:textId="77777777" w:rsidR="00175362" w:rsidRDefault="0059412C">
            <w:pPr>
              <w:pStyle w:val="TableHeading-Font10"/>
              <w:rPr>
                <w:rFonts w:ascii="Times New Roman" w:hAnsi="Times New Roman" w:cs="Times New Roman"/>
              </w:rPr>
            </w:pPr>
            <w:r>
              <w:rPr>
                <w:rFonts w:ascii="Times New Roman" w:hAnsi="Times New Roman" w:cs="Times New Roman"/>
                <w:lang w:val="fi-FI"/>
              </w:rPr>
              <w:t>SOA</w:t>
            </w:r>
            <w:r>
              <w:rPr>
                <w:rFonts w:ascii="Times New Roman" w:hAnsi="Times New Roman" w:cs="Times New Roman"/>
                <w:lang w:val="fi-FI"/>
              </w:rPr>
              <w:br/>
              <w:t>kokonaisalue</w:t>
            </w:r>
          </w:p>
        </w:tc>
        <w:tc>
          <w:tcPr>
            <w:tcW w:w="183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0125B63" w14:textId="77777777" w:rsidR="00175362" w:rsidRDefault="0059412C">
            <w:pPr>
              <w:pStyle w:val="TableHeading-Font10"/>
              <w:rPr>
                <w:rFonts w:ascii="Times New Roman" w:hAnsi="Times New Roman" w:cs="Times New Roman"/>
              </w:rPr>
            </w:pPr>
            <w:r>
              <w:rPr>
                <w:rFonts w:ascii="Times New Roman" w:hAnsi="Times New Roman" w:cs="Times New Roman"/>
                <w:lang w:val="fi-FI"/>
              </w:rPr>
              <w:t>Kilpailijan laite</w:t>
            </w:r>
          </w:p>
          <w:p w14:paraId="0B48E0AD" w14:textId="77777777" w:rsidR="00175362" w:rsidRDefault="0059412C">
            <w:pPr>
              <w:pStyle w:val="TableHeading-Font10"/>
              <w:rPr>
                <w:rFonts w:ascii="Times New Roman" w:hAnsi="Times New Roman" w:cs="Times New Roman"/>
              </w:rPr>
            </w:pPr>
            <w:r>
              <w:rPr>
                <w:rFonts w:ascii="Times New Roman" w:hAnsi="Times New Roman" w:cs="Times New Roman"/>
                <w:lang w:val="fi-FI"/>
              </w:rPr>
              <w:t>kokonaisalue</w:t>
            </w:r>
            <w:bookmarkStart w:id="20" w:name="_Toc86391905"/>
            <w:bookmarkEnd w:id="20"/>
          </w:p>
        </w:tc>
        <w:tc>
          <w:tcPr>
            <w:tcW w:w="413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5DFFC22" w14:textId="77777777" w:rsidR="00175362" w:rsidRDefault="0059412C">
            <w:pPr>
              <w:pStyle w:val="TableHeading-Font10"/>
              <w:rPr>
                <w:rFonts w:ascii="Times New Roman" w:hAnsi="Times New Roman" w:cs="Times New Roman"/>
              </w:rPr>
            </w:pPr>
            <w:r>
              <w:rPr>
                <w:rFonts w:ascii="Times New Roman" w:hAnsi="Times New Roman" w:cs="Times New Roman"/>
                <w:lang w:val="fi-FI"/>
              </w:rPr>
              <w:t>Hyväksymisperusteet</w:t>
            </w:r>
            <w:bookmarkStart w:id="21" w:name="_Toc86391907"/>
            <w:bookmarkStart w:id="22" w:name="_Toc86391906"/>
            <w:bookmarkEnd w:id="21"/>
            <w:bookmarkEnd w:id="22"/>
          </w:p>
        </w:tc>
      </w:tr>
      <w:tr w:rsidR="00175362" w14:paraId="638589F0" w14:textId="77777777">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cPr>
          <w:p w14:paraId="1077EB2B" w14:textId="77777777" w:rsidR="00175362" w:rsidRDefault="0059412C">
            <w:pPr>
              <w:pStyle w:val="TableTextLeft"/>
              <w:rPr>
                <w:rFonts w:ascii="Times New Roman" w:hAnsi="Times New Roman" w:cs="Times New Roman"/>
                <w:b/>
                <w:bCs/>
              </w:rPr>
            </w:pPr>
            <w:r>
              <w:rPr>
                <w:rFonts w:ascii="Times New Roman" w:hAnsi="Times New Roman" w:cs="Times New Roman"/>
                <w:b/>
                <w:bCs/>
                <w:iCs w:val="0"/>
                <w:lang w:val="fi-FI"/>
              </w:rPr>
              <w:t>Turvallisuus</w:t>
            </w:r>
          </w:p>
        </w:tc>
      </w:tr>
      <w:tr w:rsidR="00175362" w14:paraId="3E1FFEDA" w14:textId="77777777">
        <w:tc>
          <w:tcPr>
            <w:tcW w:w="2376" w:type="dxa"/>
            <w:tcBorders>
              <w:top w:val="single" w:sz="4" w:space="0" w:color="000000"/>
              <w:left w:val="single" w:sz="4" w:space="0" w:color="000000"/>
              <w:bottom w:val="single" w:sz="4" w:space="0" w:color="000000"/>
              <w:right w:val="single" w:sz="4" w:space="0" w:color="000000"/>
            </w:tcBorders>
          </w:tcPr>
          <w:p w14:paraId="1509BAAB" w14:textId="77777777" w:rsidR="00175362" w:rsidRDefault="0059412C">
            <w:pPr>
              <w:pStyle w:val="TableTextLeft"/>
              <w:rPr>
                <w:rFonts w:ascii="Times New Roman" w:hAnsi="Times New Roman" w:cs="Times New Roman"/>
              </w:rPr>
            </w:pPr>
            <w:r>
              <w:rPr>
                <w:rFonts w:ascii="Times New Roman" w:hAnsi="Times New Roman" w:cs="Times New Roman"/>
                <w:iCs w:val="0"/>
                <w:lang w:val="fi-FI"/>
              </w:rPr>
              <w:t>Verenvuoto</w:t>
            </w:r>
            <w:bookmarkStart w:id="23" w:name="_Toc86391910"/>
            <w:bookmarkEnd w:id="23"/>
          </w:p>
        </w:tc>
        <w:tc>
          <w:tcPr>
            <w:tcW w:w="2088" w:type="dxa"/>
            <w:tcBorders>
              <w:top w:val="single" w:sz="4" w:space="0" w:color="000000"/>
              <w:left w:val="single" w:sz="4" w:space="0" w:color="000000"/>
              <w:bottom w:val="single" w:sz="4" w:space="0" w:color="000000"/>
              <w:right w:val="single" w:sz="4" w:space="0" w:color="000000"/>
            </w:tcBorders>
            <w:vAlign w:val="center"/>
          </w:tcPr>
          <w:p w14:paraId="314AFCFA" w14:textId="77777777" w:rsidR="00175362" w:rsidRDefault="0059412C">
            <w:pPr>
              <w:pStyle w:val="TableTextLeft"/>
              <w:jc w:val="center"/>
              <w:rPr>
                <w:rFonts w:ascii="Times New Roman" w:hAnsi="Times New Roman" w:cs="Times New Roman"/>
                <w:iCs w:val="0"/>
              </w:rPr>
            </w:pPr>
            <w:r>
              <w:rPr>
                <w:rFonts w:ascii="Times New Roman" w:hAnsi="Times New Roman" w:cs="Times New Roman"/>
                <w:iCs w:val="0"/>
                <w:lang w:val="fi-FI"/>
              </w:rPr>
              <w:t>0–3 %</w:t>
            </w:r>
          </w:p>
        </w:tc>
        <w:tc>
          <w:tcPr>
            <w:tcW w:w="1837" w:type="dxa"/>
            <w:tcBorders>
              <w:top w:val="single" w:sz="4" w:space="0" w:color="000000"/>
              <w:left w:val="single" w:sz="4" w:space="0" w:color="000000"/>
              <w:bottom w:val="single" w:sz="4" w:space="0" w:color="000000"/>
              <w:right w:val="single" w:sz="4" w:space="0" w:color="000000"/>
            </w:tcBorders>
            <w:vAlign w:val="center"/>
          </w:tcPr>
          <w:p w14:paraId="24D7C7E8" w14:textId="77777777" w:rsidR="00175362" w:rsidRDefault="0059412C">
            <w:pPr>
              <w:pStyle w:val="TableTextLeft"/>
              <w:jc w:val="center"/>
              <w:rPr>
                <w:rFonts w:ascii="Times New Roman" w:hAnsi="Times New Roman" w:cs="Times New Roman"/>
                <w:iCs w:val="0"/>
              </w:rPr>
            </w:pPr>
            <w:bookmarkStart w:id="24" w:name="_Toc86391913"/>
            <w:bookmarkStart w:id="25" w:name="_Toc86391911"/>
            <w:bookmarkEnd w:id="24"/>
            <w:bookmarkEnd w:id="25"/>
            <w:r>
              <w:rPr>
                <w:rFonts w:ascii="Times New Roman" w:hAnsi="Times New Roman" w:cs="Times New Roman"/>
                <w:iCs w:val="0"/>
                <w:lang w:val="fi-FI"/>
              </w:rPr>
              <w:t>0–0,6 %</w:t>
            </w:r>
          </w:p>
        </w:tc>
        <w:tc>
          <w:tcPr>
            <w:tcW w:w="4139" w:type="dxa"/>
            <w:tcBorders>
              <w:top w:val="single" w:sz="4" w:space="0" w:color="000000"/>
              <w:left w:val="single" w:sz="4" w:space="0" w:color="000000"/>
              <w:bottom w:val="single" w:sz="4" w:space="0" w:color="000000"/>
              <w:right w:val="single" w:sz="4" w:space="0" w:color="000000"/>
            </w:tcBorders>
            <w:vAlign w:val="center"/>
          </w:tcPr>
          <w:p w14:paraId="051CD4E5" w14:textId="77777777" w:rsidR="00175362" w:rsidRDefault="0059412C">
            <w:pPr>
              <w:pStyle w:val="TableTextLeft"/>
              <w:rPr>
                <w:rFonts w:ascii="Times New Roman" w:hAnsi="Times New Roman" w:cs="Times New Roman"/>
              </w:rPr>
            </w:pPr>
            <w:bookmarkStart w:id="26" w:name="_Toc86391914"/>
            <w:bookmarkEnd w:id="26"/>
            <w:r>
              <w:rPr>
                <w:rFonts w:ascii="Times New Roman" w:hAnsi="Times New Roman" w:cs="Times New Roman"/>
                <w:iCs w:val="0"/>
                <w:lang w:val="fi-FI"/>
              </w:rPr>
              <w:t xml:space="preserve">Verenvuotoprosentti </w:t>
            </w:r>
            <w:r>
              <w:rPr>
                <w:rFonts w:ascii="Times New Roman" w:hAnsi="Times New Roman" w:cs="Times New Roman"/>
                <w:b/>
                <w:bCs/>
                <w:iCs w:val="0"/>
                <w:lang w:val="fi-FI"/>
              </w:rPr>
              <w:t>alle 3 %</w:t>
            </w:r>
            <w:bookmarkStart w:id="27" w:name="_Toc86391915"/>
            <w:bookmarkEnd w:id="27"/>
          </w:p>
        </w:tc>
      </w:tr>
      <w:tr w:rsidR="00175362" w14:paraId="06D4265B" w14:textId="77777777">
        <w:tc>
          <w:tcPr>
            <w:tcW w:w="2376" w:type="dxa"/>
            <w:tcBorders>
              <w:top w:val="single" w:sz="4" w:space="0" w:color="000000"/>
              <w:left w:val="single" w:sz="4" w:space="0" w:color="000000"/>
              <w:bottom w:val="single" w:sz="4" w:space="0" w:color="000000"/>
              <w:right w:val="single" w:sz="4" w:space="0" w:color="000000"/>
            </w:tcBorders>
          </w:tcPr>
          <w:p w14:paraId="6C80CABB" w14:textId="77777777" w:rsidR="00175362" w:rsidRDefault="0059412C">
            <w:pPr>
              <w:pStyle w:val="TableTextLeft"/>
              <w:rPr>
                <w:rFonts w:ascii="Times New Roman" w:eastAsia="MS Mincho" w:hAnsi="Times New Roman" w:cs="Times New Roman"/>
              </w:rPr>
            </w:pPr>
            <w:r>
              <w:rPr>
                <w:rFonts w:ascii="Times New Roman" w:hAnsi="Times New Roman" w:cs="Times New Roman"/>
                <w:iCs w:val="0"/>
                <w:lang w:val="fi-FI"/>
              </w:rPr>
              <w:t>Perforaatio/kudosvaurio</w:t>
            </w:r>
            <w:bookmarkStart w:id="28" w:name="_Toc86391916"/>
            <w:bookmarkEnd w:id="28"/>
          </w:p>
        </w:tc>
        <w:tc>
          <w:tcPr>
            <w:tcW w:w="2088" w:type="dxa"/>
            <w:tcBorders>
              <w:top w:val="single" w:sz="4" w:space="0" w:color="000000"/>
              <w:left w:val="single" w:sz="4" w:space="0" w:color="000000"/>
              <w:bottom w:val="single" w:sz="4" w:space="0" w:color="000000"/>
              <w:right w:val="single" w:sz="4" w:space="0" w:color="000000"/>
            </w:tcBorders>
            <w:vAlign w:val="center"/>
          </w:tcPr>
          <w:p w14:paraId="23EE6A76" w14:textId="77777777" w:rsidR="00175362" w:rsidRDefault="0059412C">
            <w:pPr>
              <w:pStyle w:val="TableTextLeft"/>
              <w:jc w:val="center"/>
              <w:rPr>
                <w:rFonts w:ascii="Times New Roman" w:hAnsi="Times New Roman" w:cs="Times New Roman"/>
                <w:iCs w:val="0"/>
              </w:rPr>
            </w:pPr>
            <w:r>
              <w:rPr>
                <w:rFonts w:ascii="Times New Roman" w:hAnsi="Times New Roman" w:cs="Times New Roman"/>
                <w:iCs w:val="0"/>
                <w:lang w:val="fi-FI"/>
              </w:rPr>
              <w:t>0–1,7 %</w:t>
            </w:r>
          </w:p>
        </w:tc>
        <w:tc>
          <w:tcPr>
            <w:tcW w:w="1837" w:type="dxa"/>
            <w:tcBorders>
              <w:top w:val="single" w:sz="4" w:space="0" w:color="000000"/>
              <w:left w:val="single" w:sz="4" w:space="0" w:color="000000"/>
              <w:bottom w:val="single" w:sz="4" w:space="0" w:color="000000"/>
              <w:right w:val="single" w:sz="4" w:space="0" w:color="000000"/>
            </w:tcBorders>
            <w:vAlign w:val="center"/>
          </w:tcPr>
          <w:p w14:paraId="0C76F488" w14:textId="77777777" w:rsidR="00175362" w:rsidRDefault="0059412C">
            <w:pPr>
              <w:pStyle w:val="TableTextLeft"/>
              <w:jc w:val="center"/>
              <w:rPr>
                <w:rFonts w:ascii="Times New Roman" w:hAnsi="Times New Roman" w:cs="Times New Roman"/>
                <w:iCs w:val="0"/>
              </w:rPr>
            </w:pPr>
            <w:bookmarkStart w:id="29" w:name="_Toc86391919"/>
            <w:bookmarkStart w:id="30" w:name="_Toc86391917"/>
            <w:bookmarkEnd w:id="29"/>
            <w:bookmarkEnd w:id="30"/>
            <w:r>
              <w:rPr>
                <w:rFonts w:ascii="Times New Roman" w:hAnsi="Times New Roman" w:cs="Times New Roman"/>
                <w:iCs w:val="0"/>
                <w:lang w:val="fi-FI"/>
              </w:rPr>
              <w:t>0–4,0 %</w:t>
            </w:r>
          </w:p>
        </w:tc>
        <w:tc>
          <w:tcPr>
            <w:tcW w:w="4139" w:type="dxa"/>
            <w:tcBorders>
              <w:top w:val="single" w:sz="4" w:space="0" w:color="000000"/>
              <w:left w:val="single" w:sz="4" w:space="0" w:color="000000"/>
              <w:bottom w:val="single" w:sz="4" w:space="0" w:color="000000"/>
              <w:right w:val="single" w:sz="4" w:space="0" w:color="000000"/>
            </w:tcBorders>
            <w:vAlign w:val="center"/>
          </w:tcPr>
          <w:p w14:paraId="4A8FB9B5" w14:textId="77777777" w:rsidR="00175362" w:rsidRDefault="0059412C">
            <w:pPr>
              <w:pStyle w:val="TableTextLeft"/>
              <w:rPr>
                <w:rFonts w:ascii="Times New Roman" w:hAnsi="Times New Roman" w:cs="Times New Roman"/>
                <w:b/>
                <w:bCs/>
              </w:rPr>
            </w:pPr>
            <w:bookmarkStart w:id="31" w:name="_Toc86391920"/>
            <w:bookmarkEnd w:id="31"/>
            <w:r>
              <w:rPr>
                <w:rFonts w:ascii="Times New Roman" w:hAnsi="Times New Roman" w:cs="Times New Roman"/>
                <w:iCs w:val="0"/>
                <w:lang w:val="fi-FI"/>
              </w:rPr>
              <w:t xml:space="preserve">Perforaation/kudosvaurioiden prosentti </w:t>
            </w:r>
            <w:r>
              <w:rPr>
                <w:rFonts w:ascii="Times New Roman" w:hAnsi="Times New Roman" w:cs="Times New Roman"/>
                <w:b/>
                <w:bCs/>
                <w:iCs w:val="0"/>
                <w:lang w:val="fi-FI"/>
              </w:rPr>
              <w:t>alle 4 %</w:t>
            </w:r>
            <w:bookmarkStart w:id="32" w:name="_Toc86391921"/>
            <w:bookmarkEnd w:id="32"/>
          </w:p>
        </w:tc>
      </w:tr>
      <w:tr w:rsidR="00175362" w14:paraId="2961F804" w14:textId="77777777">
        <w:tc>
          <w:tcPr>
            <w:tcW w:w="2376" w:type="dxa"/>
            <w:tcBorders>
              <w:top w:val="single" w:sz="4" w:space="0" w:color="000000"/>
              <w:left w:val="single" w:sz="4" w:space="0" w:color="000000"/>
              <w:bottom w:val="single" w:sz="4" w:space="0" w:color="000000"/>
              <w:right w:val="single" w:sz="4" w:space="0" w:color="000000"/>
            </w:tcBorders>
          </w:tcPr>
          <w:p w14:paraId="13D01D1F" w14:textId="77777777" w:rsidR="00175362" w:rsidRDefault="0059412C">
            <w:pPr>
              <w:pStyle w:val="TableTextLeft"/>
              <w:rPr>
                <w:rFonts w:ascii="Times New Roman" w:hAnsi="Times New Roman" w:cs="Times New Roman"/>
              </w:rPr>
            </w:pPr>
            <w:r>
              <w:rPr>
                <w:rFonts w:ascii="Times New Roman" w:hAnsi="Times New Roman" w:cs="Times New Roman"/>
                <w:iCs w:val="0"/>
                <w:lang w:val="fi-FI"/>
              </w:rPr>
              <w:t>Ilmaembolia</w:t>
            </w:r>
            <w:bookmarkStart w:id="33" w:name="_Toc86391922"/>
            <w:bookmarkEnd w:id="33"/>
          </w:p>
        </w:tc>
        <w:tc>
          <w:tcPr>
            <w:tcW w:w="2088" w:type="dxa"/>
            <w:tcBorders>
              <w:top w:val="single" w:sz="4" w:space="0" w:color="000000"/>
              <w:left w:val="single" w:sz="4" w:space="0" w:color="000000"/>
              <w:bottom w:val="single" w:sz="4" w:space="0" w:color="000000"/>
              <w:right w:val="single" w:sz="4" w:space="0" w:color="000000"/>
            </w:tcBorders>
            <w:vAlign w:val="center"/>
          </w:tcPr>
          <w:p w14:paraId="31F9DA3F" w14:textId="77777777" w:rsidR="00175362" w:rsidRDefault="0059412C">
            <w:pPr>
              <w:pStyle w:val="TableTextLeft"/>
              <w:jc w:val="center"/>
              <w:rPr>
                <w:rFonts w:ascii="Times New Roman" w:hAnsi="Times New Roman" w:cs="Times New Roman"/>
                <w:iCs w:val="0"/>
              </w:rPr>
            </w:pPr>
            <w:r>
              <w:rPr>
                <w:rFonts w:ascii="Times New Roman" w:hAnsi="Times New Roman" w:cs="Times New Roman"/>
                <w:iCs w:val="0"/>
                <w:lang w:val="fi-FI"/>
              </w:rPr>
              <w:t>0–2,1 %</w:t>
            </w:r>
          </w:p>
        </w:tc>
        <w:tc>
          <w:tcPr>
            <w:tcW w:w="1837" w:type="dxa"/>
            <w:tcBorders>
              <w:top w:val="single" w:sz="4" w:space="0" w:color="000000"/>
              <w:left w:val="single" w:sz="4" w:space="0" w:color="000000"/>
              <w:bottom w:val="single" w:sz="4" w:space="0" w:color="000000"/>
              <w:right w:val="single" w:sz="4" w:space="0" w:color="000000"/>
            </w:tcBorders>
            <w:vAlign w:val="center"/>
          </w:tcPr>
          <w:p w14:paraId="59366E43" w14:textId="77777777" w:rsidR="00175362" w:rsidRDefault="0059412C">
            <w:pPr>
              <w:pStyle w:val="TableTextLeft"/>
              <w:jc w:val="center"/>
              <w:rPr>
                <w:rFonts w:ascii="Times New Roman" w:hAnsi="Times New Roman" w:cs="Times New Roman"/>
                <w:iCs w:val="0"/>
              </w:rPr>
            </w:pPr>
            <w:bookmarkStart w:id="34" w:name="_Toc86391923"/>
            <w:bookmarkStart w:id="35" w:name="_Toc86391925"/>
            <w:bookmarkEnd w:id="34"/>
            <w:bookmarkEnd w:id="35"/>
            <w:r>
              <w:rPr>
                <w:rFonts w:ascii="Times New Roman" w:hAnsi="Times New Roman" w:cs="Times New Roman"/>
                <w:iCs w:val="0"/>
                <w:lang w:val="fi-FI"/>
              </w:rPr>
              <w:t>0–0,6 %</w:t>
            </w:r>
          </w:p>
        </w:tc>
        <w:tc>
          <w:tcPr>
            <w:tcW w:w="4139" w:type="dxa"/>
            <w:tcBorders>
              <w:top w:val="single" w:sz="4" w:space="0" w:color="000000"/>
              <w:left w:val="single" w:sz="4" w:space="0" w:color="000000"/>
              <w:bottom w:val="single" w:sz="4" w:space="0" w:color="000000"/>
              <w:right w:val="single" w:sz="4" w:space="0" w:color="000000"/>
            </w:tcBorders>
            <w:vAlign w:val="center"/>
          </w:tcPr>
          <w:p w14:paraId="1830F634" w14:textId="77777777" w:rsidR="00175362" w:rsidRDefault="0059412C">
            <w:pPr>
              <w:pStyle w:val="TableTextLeft"/>
              <w:rPr>
                <w:rFonts w:ascii="Times New Roman" w:hAnsi="Times New Roman" w:cs="Times New Roman"/>
                <w:b/>
                <w:bCs/>
              </w:rPr>
            </w:pPr>
            <w:bookmarkStart w:id="36" w:name="_Toc86391926"/>
            <w:bookmarkEnd w:id="36"/>
            <w:r>
              <w:rPr>
                <w:rFonts w:ascii="Times New Roman" w:hAnsi="Times New Roman" w:cs="Times New Roman"/>
                <w:iCs w:val="0"/>
                <w:lang w:val="fi-FI"/>
              </w:rPr>
              <w:t xml:space="preserve">Embolia </w:t>
            </w:r>
            <w:r>
              <w:rPr>
                <w:rFonts w:ascii="Times New Roman" w:hAnsi="Times New Roman" w:cs="Times New Roman"/>
                <w:b/>
                <w:bCs/>
                <w:iCs w:val="0"/>
                <w:lang w:val="fi-FI"/>
              </w:rPr>
              <w:t>alle 2,1 %</w:t>
            </w:r>
            <w:bookmarkStart w:id="37" w:name="_Toc86391927"/>
            <w:bookmarkEnd w:id="37"/>
          </w:p>
        </w:tc>
      </w:tr>
      <w:tr w:rsidR="00175362" w14:paraId="0C147082" w14:textId="77777777">
        <w:tc>
          <w:tcPr>
            <w:tcW w:w="2376" w:type="dxa"/>
            <w:tcBorders>
              <w:top w:val="single" w:sz="4" w:space="0" w:color="000000"/>
              <w:left w:val="single" w:sz="4" w:space="0" w:color="000000"/>
              <w:bottom w:val="single" w:sz="4" w:space="0" w:color="000000"/>
              <w:right w:val="single" w:sz="4" w:space="0" w:color="000000"/>
            </w:tcBorders>
          </w:tcPr>
          <w:p w14:paraId="2E74841A" w14:textId="77777777" w:rsidR="00175362" w:rsidRDefault="0059412C">
            <w:pPr>
              <w:pStyle w:val="TableTextLeft"/>
              <w:rPr>
                <w:rFonts w:ascii="Times New Roman" w:hAnsi="Times New Roman" w:cs="Times New Roman"/>
              </w:rPr>
            </w:pPr>
            <w:r>
              <w:rPr>
                <w:rFonts w:ascii="Times New Roman" w:hAnsi="Times New Roman" w:cs="Times New Roman"/>
                <w:iCs w:val="0"/>
                <w:lang w:val="fi-FI"/>
              </w:rPr>
              <w:t>Infektio</w:t>
            </w:r>
            <w:bookmarkStart w:id="38" w:name="_Toc86391928"/>
            <w:bookmarkEnd w:id="38"/>
          </w:p>
        </w:tc>
        <w:tc>
          <w:tcPr>
            <w:tcW w:w="2088" w:type="dxa"/>
            <w:tcBorders>
              <w:top w:val="single" w:sz="4" w:space="0" w:color="000000"/>
              <w:left w:val="single" w:sz="4" w:space="0" w:color="000000"/>
              <w:bottom w:val="single" w:sz="4" w:space="0" w:color="000000"/>
              <w:right w:val="single" w:sz="4" w:space="0" w:color="000000"/>
            </w:tcBorders>
            <w:vAlign w:val="center"/>
          </w:tcPr>
          <w:p w14:paraId="46FC9A55" w14:textId="77777777" w:rsidR="00175362" w:rsidRDefault="0059412C">
            <w:pPr>
              <w:pStyle w:val="TableTextLeft"/>
              <w:jc w:val="center"/>
              <w:rPr>
                <w:rFonts w:ascii="Times New Roman" w:hAnsi="Times New Roman" w:cs="Times New Roman"/>
                <w:iCs w:val="0"/>
              </w:rPr>
            </w:pPr>
            <w:r>
              <w:rPr>
                <w:rFonts w:ascii="Times New Roman" w:hAnsi="Times New Roman" w:cs="Times New Roman"/>
                <w:iCs w:val="0"/>
                <w:lang w:val="fi-FI"/>
              </w:rPr>
              <w:t>0 %</w:t>
            </w:r>
          </w:p>
        </w:tc>
        <w:tc>
          <w:tcPr>
            <w:tcW w:w="1837" w:type="dxa"/>
            <w:tcBorders>
              <w:top w:val="single" w:sz="4" w:space="0" w:color="000000"/>
              <w:left w:val="single" w:sz="4" w:space="0" w:color="000000"/>
              <w:bottom w:val="single" w:sz="4" w:space="0" w:color="000000"/>
              <w:right w:val="single" w:sz="4" w:space="0" w:color="000000"/>
            </w:tcBorders>
            <w:vAlign w:val="center"/>
          </w:tcPr>
          <w:p w14:paraId="63B99441" w14:textId="77777777" w:rsidR="00175362" w:rsidRDefault="0059412C">
            <w:pPr>
              <w:pStyle w:val="TableTextLeft"/>
              <w:jc w:val="center"/>
              <w:rPr>
                <w:rFonts w:ascii="Times New Roman" w:hAnsi="Times New Roman" w:cs="Times New Roman"/>
                <w:iCs w:val="0"/>
              </w:rPr>
            </w:pPr>
            <w:bookmarkStart w:id="39" w:name="_Toc86391929"/>
            <w:bookmarkStart w:id="40" w:name="_Toc86391931"/>
            <w:bookmarkEnd w:id="39"/>
            <w:bookmarkEnd w:id="40"/>
            <w:r>
              <w:rPr>
                <w:rFonts w:ascii="Times New Roman" w:hAnsi="Times New Roman" w:cs="Times New Roman"/>
                <w:iCs w:val="0"/>
                <w:lang w:val="fi-FI"/>
              </w:rPr>
              <w:t>0 %</w:t>
            </w:r>
          </w:p>
        </w:tc>
        <w:tc>
          <w:tcPr>
            <w:tcW w:w="4139" w:type="dxa"/>
            <w:tcBorders>
              <w:top w:val="single" w:sz="4" w:space="0" w:color="000000"/>
              <w:left w:val="single" w:sz="4" w:space="0" w:color="000000"/>
              <w:bottom w:val="single" w:sz="4" w:space="0" w:color="000000"/>
              <w:right w:val="single" w:sz="4" w:space="0" w:color="000000"/>
            </w:tcBorders>
            <w:vAlign w:val="center"/>
          </w:tcPr>
          <w:p w14:paraId="61797899" w14:textId="77777777" w:rsidR="00175362" w:rsidRDefault="0059412C">
            <w:pPr>
              <w:pStyle w:val="TableTextLeft"/>
              <w:rPr>
                <w:rFonts w:ascii="Times New Roman" w:hAnsi="Times New Roman" w:cs="Times New Roman"/>
                <w:b/>
                <w:bCs/>
              </w:rPr>
            </w:pPr>
            <w:bookmarkStart w:id="41" w:name="_Toc86391932"/>
            <w:bookmarkEnd w:id="41"/>
            <w:r>
              <w:rPr>
                <w:rFonts w:ascii="Times New Roman" w:hAnsi="Times New Roman" w:cs="Times New Roman"/>
                <w:iCs w:val="0"/>
                <w:lang w:val="fi-FI"/>
              </w:rPr>
              <w:t xml:space="preserve">Infektio </w:t>
            </w:r>
            <w:r>
              <w:rPr>
                <w:rFonts w:ascii="Times New Roman" w:hAnsi="Times New Roman" w:cs="Times New Roman"/>
                <w:b/>
                <w:bCs/>
                <w:iCs w:val="0"/>
                <w:lang w:val="fi-FI"/>
              </w:rPr>
              <w:t>alle 0 %</w:t>
            </w:r>
            <w:bookmarkStart w:id="42" w:name="_Toc86391933"/>
            <w:bookmarkEnd w:id="42"/>
          </w:p>
        </w:tc>
      </w:tr>
      <w:tr w:rsidR="00175362" w14:paraId="44C732A8" w14:textId="77777777">
        <w:tc>
          <w:tcPr>
            <w:tcW w:w="2376" w:type="dxa"/>
            <w:tcBorders>
              <w:top w:val="single" w:sz="4" w:space="0" w:color="000000"/>
              <w:left w:val="single" w:sz="4" w:space="0" w:color="000000"/>
              <w:bottom w:val="single" w:sz="4" w:space="0" w:color="000000"/>
              <w:right w:val="single" w:sz="4" w:space="0" w:color="000000"/>
            </w:tcBorders>
          </w:tcPr>
          <w:p w14:paraId="072CE66C" w14:textId="77777777" w:rsidR="00175362" w:rsidRDefault="0059412C">
            <w:pPr>
              <w:pStyle w:val="TableTextLeft"/>
              <w:rPr>
                <w:rFonts w:ascii="Times New Roman" w:hAnsi="Times New Roman" w:cs="Times New Roman"/>
              </w:rPr>
            </w:pPr>
            <w:r>
              <w:rPr>
                <w:rFonts w:ascii="Times New Roman" w:hAnsi="Times New Roman" w:cs="Times New Roman"/>
                <w:iCs w:val="0"/>
                <w:lang w:val="fi-FI"/>
              </w:rPr>
              <w:t>Allerginen reaktio</w:t>
            </w:r>
            <w:bookmarkStart w:id="43" w:name="_Toc86391934"/>
            <w:bookmarkEnd w:id="43"/>
          </w:p>
        </w:tc>
        <w:tc>
          <w:tcPr>
            <w:tcW w:w="2088" w:type="dxa"/>
            <w:tcBorders>
              <w:top w:val="single" w:sz="4" w:space="0" w:color="000000"/>
              <w:left w:val="single" w:sz="4" w:space="0" w:color="000000"/>
              <w:bottom w:val="single" w:sz="4" w:space="0" w:color="000000"/>
              <w:right w:val="single" w:sz="4" w:space="0" w:color="000000"/>
            </w:tcBorders>
            <w:vAlign w:val="center"/>
          </w:tcPr>
          <w:p w14:paraId="609083BE" w14:textId="77777777" w:rsidR="00175362" w:rsidRDefault="0059412C">
            <w:pPr>
              <w:pStyle w:val="TableTextLeft"/>
              <w:jc w:val="center"/>
              <w:rPr>
                <w:rFonts w:ascii="Times New Roman" w:hAnsi="Times New Roman" w:cs="Times New Roman"/>
                <w:iCs w:val="0"/>
              </w:rPr>
            </w:pPr>
            <w:r>
              <w:rPr>
                <w:rFonts w:ascii="Times New Roman" w:hAnsi="Times New Roman" w:cs="Times New Roman"/>
                <w:iCs w:val="0"/>
                <w:lang w:val="fi-FI"/>
              </w:rPr>
              <w:t>0 %</w:t>
            </w:r>
          </w:p>
        </w:tc>
        <w:tc>
          <w:tcPr>
            <w:tcW w:w="1837" w:type="dxa"/>
            <w:tcBorders>
              <w:top w:val="single" w:sz="4" w:space="0" w:color="000000"/>
              <w:left w:val="single" w:sz="4" w:space="0" w:color="000000"/>
              <w:bottom w:val="single" w:sz="4" w:space="0" w:color="000000"/>
              <w:right w:val="single" w:sz="4" w:space="0" w:color="000000"/>
            </w:tcBorders>
            <w:vAlign w:val="center"/>
          </w:tcPr>
          <w:p w14:paraId="231AE6F1" w14:textId="77777777" w:rsidR="00175362" w:rsidRDefault="0059412C">
            <w:pPr>
              <w:pStyle w:val="TableTextLeft"/>
              <w:jc w:val="center"/>
              <w:rPr>
                <w:rFonts w:ascii="Times New Roman" w:hAnsi="Times New Roman" w:cs="Times New Roman"/>
                <w:iCs w:val="0"/>
              </w:rPr>
            </w:pPr>
            <w:bookmarkStart w:id="44" w:name="_Toc86391935"/>
            <w:bookmarkStart w:id="45" w:name="_Toc86391937"/>
            <w:bookmarkEnd w:id="44"/>
            <w:bookmarkEnd w:id="45"/>
            <w:r>
              <w:rPr>
                <w:rFonts w:ascii="Times New Roman" w:hAnsi="Times New Roman" w:cs="Times New Roman"/>
                <w:iCs w:val="0"/>
                <w:lang w:val="fi-FI"/>
              </w:rPr>
              <w:t>0 %</w:t>
            </w:r>
          </w:p>
        </w:tc>
        <w:tc>
          <w:tcPr>
            <w:tcW w:w="4139" w:type="dxa"/>
            <w:tcBorders>
              <w:top w:val="single" w:sz="4" w:space="0" w:color="000000"/>
              <w:left w:val="single" w:sz="4" w:space="0" w:color="000000"/>
              <w:bottom w:val="single" w:sz="4" w:space="0" w:color="000000"/>
              <w:right w:val="single" w:sz="4" w:space="0" w:color="000000"/>
            </w:tcBorders>
            <w:vAlign w:val="center"/>
          </w:tcPr>
          <w:p w14:paraId="5A1A7A00" w14:textId="77777777" w:rsidR="00175362" w:rsidRDefault="0059412C">
            <w:pPr>
              <w:pStyle w:val="TableTextLeft"/>
              <w:rPr>
                <w:rFonts w:ascii="Times New Roman" w:hAnsi="Times New Roman" w:cs="Times New Roman"/>
                <w:b/>
                <w:bCs/>
              </w:rPr>
            </w:pPr>
            <w:bookmarkStart w:id="46" w:name="_Toc86391938"/>
            <w:bookmarkEnd w:id="46"/>
            <w:r>
              <w:rPr>
                <w:rFonts w:ascii="Times New Roman" w:hAnsi="Times New Roman" w:cs="Times New Roman"/>
                <w:iCs w:val="0"/>
                <w:lang w:val="fi-FI"/>
              </w:rPr>
              <w:t xml:space="preserve">Allerginen reaktio </w:t>
            </w:r>
            <w:r>
              <w:rPr>
                <w:rFonts w:ascii="Times New Roman" w:hAnsi="Times New Roman" w:cs="Times New Roman"/>
                <w:b/>
                <w:bCs/>
                <w:iCs w:val="0"/>
                <w:lang w:val="fi-FI"/>
              </w:rPr>
              <w:t>alle 0 %</w:t>
            </w:r>
            <w:bookmarkStart w:id="47" w:name="_Toc86391939"/>
            <w:bookmarkEnd w:id="47"/>
          </w:p>
        </w:tc>
      </w:tr>
      <w:tr w:rsidR="00175362" w14:paraId="6D701767" w14:textId="77777777">
        <w:trPr>
          <w:trHeight w:val="197"/>
        </w:trPr>
        <w:tc>
          <w:tcPr>
            <w:tcW w:w="2376" w:type="dxa"/>
            <w:tcBorders>
              <w:top w:val="single" w:sz="4" w:space="0" w:color="000000"/>
              <w:left w:val="single" w:sz="4" w:space="0" w:color="000000"/>
              <w:bottom w:val="single" w:sz="4" w:space="0" w:color="000000"/>
              <w:right w:val="single" w:sz="4" w:space="0" w:color="000000"/>
            </w:tcBorders>
          </w:tcPr>
          <w:p w14:paraId="28EF3D03" w14:textId="77777777" w:rsidR="00175362" w:rsidRDefault="0059412C">
            <w:pPr>
              <w:pStyle w:val="TableTextLeft"/>
              <w:rPr>
                <w:rFonts w:ascii="Times New Roman" w:hAnsi="Times New Roman" w:cs="Times New Roman"/>
              </w:rPr>
            </w:pPr>
            <w:r>
              <w:rPr>
                <w:rFonts w:ascii="Times New Roman" w:hAnsi="Times New Roman" w:cs="Times New Roman"/>
                <w:iCs w:val="0"/>
                <w:lang w:val="fi-FI"/>
              </w:rPr>
              <w:t>Kipu</w:t>
            </w:r>
            <w:bookmarkStart w:id="48" w:name="_Toc86391940"/>
            <w:bookmarkEnd w:id="48"/>
          </w:p>
        </w:tc>
        <w:tc>
          <w:tcPr>
            <w:tcW w:w="2088" w:type="dxa"/>
            <w:tcBorders>
              <w:top w:val="single" w:sz="4" w:space="0" w:color="000000"/>
              <w:left w:val="single" w:sz="4" w:space="0" w:color="000000"/>
              <w:bottom w:val="single" w:sz="4" w:space="0" w:color="000000"/>
              <w:right w:val="single" w:sz="4" w:space="0" w:color="000000"/>
            </w:tcBorders>
            <w:vAlign w:val="center"/>
          </w:tcPr>
          <w:p w14:paraId="7D0457BB" w14:textId="77777777" w:rsidR="00175362" w:rsidRDefault="0059412C">
            <w:pPr>
              <w:pStyle w:val="TableTextLeft"/>
              <w:jc w:val="center"/>
              <w:rPr>
                <w:rFonts w:ascii="Times New Roman" w:hAnsi="Times New Roman" w:cs="Times New Roman"/>
                <w:iCs w:val="0"/>
              </w:rPr>
            </w:pPr>
            <w:r>
              <w:rPr>
                <w:rFonts w:ascii="Times New Roman" w:hAnsi="Times New Roman" w:cs="Times New Roman"/>
                <w:iCs w:val="0"/>
                <w:lang w:val="fi-FI"/>
              </w:rPr>
              <w:t>0 %</w:t>
            </w:r>
          </w:p>
        </w:tc>
        <w:tc>
          <w:tcPr>
            <w:tcW w:w="1837" w:type="dxa"/>
            <w:tcBorders>
              <w:top w:val="single" w:sz="4" w:space="0" w:color="000000"/>
              <w:left w:val="single" w:sz="4" w:space="0" w:color="000000"/>
              <w:bottom w:val="single" w:sz="4" w:space="0" w:color="000000"/>
              <w:right w:val="single" w:sz="4" w:space="0" w:color="000000"/>
            </w:tcBorders>
            <w:vAlign w:val="center"/>
          </w:tcPr>
          <w:p w14:paraId="2AA69141" w14:textId="77777777" w:rsidR="00175362" w:rsidRDefault="0059412C">
            <w:pPr>
              <w:pStyle w:val="TableTextLeft"/>
              <w:jc w:val="center"/>
              <w:rPr>
                <w:rFonts w:ascii="Times New Roman" w:hAnsi="Times New Roman" w:cs="Times New Roman"/>
                <w:iCs w:val="0"/>
              </w:rPr>
            </w:pPr>
            <w:bookmarkStart w:id="49" w:name="_Toc86391941"/>
            <w:bookmarkStart w:id="50" w:name="_Toc86391943"/>
            <w:bookmarkEnd w:id="49"/>
            <w:bookmarkEnd w:id="50"/>
            <w:r>
              <w:rPr>
                <w:rFonts w:ascii="Times New Roman" w:hAnsi="Times New Roman" w:cs="Times New Roman"/>
                <w:iCs w:val="0"/>
                <w:lang w:val="fi-FI"/>
              </w:rPr>
              <w:t>0 %</w:t>
            </w:r>
          </w:p>
        </w:tc>
        <w:tc>
          <w:tcPr>
            <w:tcW w:w="4139" w:type="dxa"/>
            <w:tcBorders>
              <w:top w:val="single" w:sz="4" w:space="0" w:color="000000"/>
              <w:left w:val="single" w:sz="4" w:space="0" w:color="000000"/>
              <w:bottom w:val="single" w:sz="4" w:space="0" w:color="000000"/>
              <w:right w:val="single" w:sz="4" w:space="0" w:color="000000"/>
            </w:tcBorders>
            <w:vAlign w:val="center"/>
          </w:tcPr>
          <w:p w14:paraId="531F28E1" w14:textId="77777777" w:rsidR="00175362" w:rsidRDefault="0059412C">
            <w:pPr>
              <w:pStyle w:val="TableTextLeft"/>
              <w:rPr>
                <w:rFonts w:ascii="Times New Roman" w:hAnsi="Times New Roman" w:cs="Times New Roman"/>
                <w:b/>
                <w:bCs/>
              </w:rPr>
            </w:pPr>
            <w:bookmarkStart w:id="51" w:name="_Toc86391944"/>
            <w:bookmarkEnd w:id="51"/>
            <w:r>
              <w:rPr>
                <w:rFonts w:ascii="Times New Roman" w:hAnsi="Times New Roman" w:cs="Times New Roman"/>
                <w:iCs w:val="0"/>
                <w:lang w:val="fi-FI"/>
              </w:rPr>
              <w:t xml:space="preserve">Kipu </w:t>
            </w:r>
            <w:r>
              <w:rPr>
                <w:rFonts w:ascii="Times New Roman" w:hAnsi="Times New Roman" w:cs="Times New Roman"/>
                <w:b/>
                <w:bCs/>
                <w:iCs w:val="0"/>
                <w:lang w:val="fi-FI"/>
              </w:rPr>
              <w:t>alle 0 %</w:t>
            </w:r>
            <w:bookmarkStart w:id="52" w:name="_Toc86391945"/>
            <w:bookmarkEnd w:id="52"/>
          </w:p>
        </w:tc>
      </w:tr>
      <w:tr w:rsidR="00175362" w14:paraId="496277A0" w14:textId="77777777">
        <w:tc>
          <w:tcPr>
            <w:tcW w:w="2376" w:type="dxa"/>
            <w:tcBorders>
              <w:top w:val="single" w:sz="4" w:space="0" w:color="000000"/>
              <w:left w:val="single" w:sz="4" w:space="0" w:color="000000"/>
              <w:bottom w:val="single" w:sz="4" w:space="0" w:color="000000"/>
              <w:right w:val="single" w:sz="4" w:space="0" w:color="000000"/>
            </w:tcBorders>
          </w:tcPr>
          <w:p w14:paraId="003EB831" w14:textId="77777777" w:rsidR="00175362" w:rsidRDefault="0059412C">
            <w:pPr>
              <w:pStyle w:val="TableTextLeft"/>
              <w:rPr>
                <w:rFonts w:ascii="Times New Roman" w:hAnsi="Times New Roman" w:cs="Times New Roman"/>
              </w:rPr>
            </w:pPr>
            <w:r>
              <w:rPr>
                <w:rFonts w:ascii="Times New Roman" w:hAnsi="Times New Roman" w:cs="Times New Roman"/>
                <w:iCs w:val="0"/>
                <w:lang w:val="fi-FI"/>
              </w:rPr>
              <w:t>Yleiset komplikaatiot</w:t>
            </w:r>
            <w:bookmarkStart w:id="53" w:name="_Toc86391946"/>
            <w:bookmarkEnd w:id="53"/>
          </w:p>
        </w:tc>
        <w:tc>
          <w:tcPr>
            <w:tcW w:w="2088" w:type="dxa"/>
            <w:tcBorders>
              <w:top w:val="single" w:sz="4" w:space="0" w:color="000000"/>
              <w:left w:val="single" w:sz="4" w:space="0" w:color="000000"/>
              <w:bottom w:val="single" w:sz="4" w:space="0" w:color="000000"/>
              <w:right w:val="single" w:sz="4" w:space="0" w:color="000000"/>
            </w:tcBorders>
            <w:vAlign w:val="center"/>
          </w:tcPr>
          <w:p w14:paraId="012CE754" w14:textId="77777777" w:rsidR="00175362" w:rsidRDefault="0059412C">
            <w:pPr>
              <w:pStyle w:val="TableTextLeft"/>
              <w:jc w:val="center"/>
              <w:rPr>
                <w:rFonts w:ascii="Times New Roman" w:hAnsi="Times New Roman" w:cs="Times New Roman"/>
                <w:iCs w:val="0"/>
              </w:rPr>
            </w:pPr>
            <w:r>
              <w:rPr>
                <w:rFonts w:ascii="Times New Roman" w:hAnsi="Times New Roman" w:cs="Times New Roman"/>
                <w:iCs w:val="0"/>
                <w:lang w:val="fi-FI"/>
              </w:rPr>
              <w:t>0–5,2 %</w:t>
            </w:r>
          </w:p>
        </w:tc>
        <w:tc>
          <w:tcPr>
            <w:tcW w:w="1837" w:type="dxa"/>
            <w:tcBorders>
              <w:top w:val="single" w:sz="4" w:space="0" w:color="000000"/>
              <w:left w:val="single" w:sz="4" w:space="0" w:color="000000"/>
              <w:bottom w:val="single" w:sz="4" w:space="0" w:color="000000"/>
              <w:right w:val="single" w:sz="4" w:space="0" w:color="000000"/>
            </w:tcBorders>
            <w:vAlign w:val="center"/>
          </w:tcPr>
          <w:p w14:paraId="32B3257C" w14:textId="77777777" w:rsidR="00175362" w:rsidRDefault="0059412C">
            <w:pPr>
              <w:pStyle w:val="TableTextLeft"/>
              <w:jc w:val="center"/>
              <w:rPr>
                <w:rFonts w:ascii="Times New Roman" w:hAnsi="Times New Roman" w:cs="Times New Roman"/>
                <w:iCs w:val="0"/>
              </w:rPr>
            </w:pPr>
            <w:bookmarkStart w:id="54" w:name="_Toc86391949"/>
            <w:bookmarkStart w:id="55" w:name="_Toc86391947"/>
            <w:bookmarkEnd w:id="54"/>
            <w:bookmarkEnd w:id="55"/>
            <w:r>
              <w:rPr>
                <w:rFonts w:ascii="Times New Roman" w:hAnsi="Times New Roman" w:cs="Times New Roman"/>
                <w:iCs w:val="0"/>
                <w:lang w:val="fi-FI"/>
              </w:rPr>
              <w:t>0–4 %</w:t>
            </w:r>
          </w:p>
        </w:tc>
        <w:tc>
          <w:tcPr>
            <w:tcW w:w="4139" w:type="dxa"/>
            <w:tcBorders>
              <w:top w:val="single" w:sz="4" w:space="0" w:color="000000"/>
              <w:left w:val="single" w:sz="4" w:space="0" w:color="000000"/>
              <w:bottom w:val="single" w:sz="4" w:space="0" w:color="000000"/>
              <w:right w:val="single" w:sz="4" w:space="0" w:color="000000"/>
            </w:tcBorders>
            <w:vAlign w:val="center"/>
          </w:tcPr>
          <w:p w14:paraId="1DB1CF17" w14:textId="77777777" w:rsidR="00175362" w:rsidRDefault="0059412C">
            <w:pPr>
              <w:pStyle w:val="TableTextLeft"/>
              <w:rPr>
                <w:rFonts w:ascii="Times New Roman" w:hAnsi="Times New Roman" w:cs="Times New Roman"/>
              </w:rPr>
            </w:pPr>
            <w:bookmarkStart w:id="56" w:name="_Toc86391950"/>
            <w:bookmarkEnd w:id="56"/>
            <w:r>
              <w:rPr>
                <w:rFonts w:ascii="Times New Roman" w:hAnsi="Times New Roman" w:cs="Times New Roman"/>
                <w:iCs w:val="0"/>
                <w:lang w:val="fi-FI"/>
              </w:rPr>
              <w:t xml:space="preserve">Yleiset komplikaatiot </w:t>
            </w:r>
            <w:r>
              <w:rPr>
                <w:rFonts w:ascii="Times New Roman" w:hAnsi="Times New Roman" w:cs="Times New Roman"/>
                <w:b/>
                <w:bCs/>
                <w:iCs w:val="0"/>
                <w:lang w:val="fi-FI"/>
              </w:rPr>
              <w:t>alle 5,2 %</w:t>
            </w:r>
            <w:bookmarkStart w:id="57" w:name="_Toc86391951"/>
            <w:bookmarkEnd w:id="57"/>
          </w:p>
        </w:tc>
      </w:tr>
      <w:tr w:rsidR="00175362" w14:paraId="0A988E2E" w14:textId="77777777">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1941FE5" w14:textId="77777777" w:rsidR="00175362" w:rsidRDefault="0059412C">
            <w:pPr>
              <w:pStyle w:val="TableTextLeft"/>
              <w:rPr>
                <w:rFonts w:ascii="Times New Roman" w:hAnsi="Times New Roman" w:cs="Times New Roman"/>
              </w:rPr>
            </w:pPr>
            <w:r>
              <w:rPr>
                <w:rFonts w:ascii="Times New Roman" w:hAnsi="Times New Roman" w:cs="Times New Roman"/>
                <w:b/>
                <w:bCs/>
                <w:iCs w:val="0"/>
                <w:lang w:val="fi-FI"/>
              </w:rPr>
              <w:t>Suorituskyky</w:t>
            </w:r>
          </w:p>
        </w:tc>
      </w:tr>
      <w:tr w:rsidR="00175362" w14:paraId="4215D146" w14:textId="77777777">
        <w:tc>
          <w:tcPr>
            <w:tcW w:w="2376" w:type="dxa"/>
            <w:tcBorders>
              <w:top w:val="single" w:sz="4" w:space="0" w:color="000000"/>
              <w:left w:val="single" w:sz="4" w:space="0" w:color="000000"/>
              <w:bottom w:val="single" w:sz="4" w:space="0" w:color="000000"/>
              <w:right w:val="single" w:sz="4" w:space="0" w:color="000000"/>
            </w:tcBorders>
            <w:vAlign w:val="center"/>
          </w:tcPr>
          <w:p w14:paraId="1993231A" w14:textId="77777777" w:rsidR="00175362" w:rsidRDefault="0059412C">
            <w:pPr>
              <w:pStyle w:val="TableTextLeft"/>
              <w:rPr>
                <w:rFonts w:ascii="Times New Roman" w:hAnsi="Times New Roman" w:cs="Times New Roman"/>
              </w:rPr>
            </w:pPr>
            <w:r>
              <w:rPr>
                <w:rFonts w:ascii="Times New Roman" w:hAnsi="Times New Roman" w:cs="Times New Roman"/>
                <w:iCs w:val="0"/>
                <w:lang w:val="fi-FI"/>
              </w:rPr>
              <w:t xml:space="preserve">Tekninen onnistuminen </w:t>
            </w:r>
            <w:bookmarkStart w:id="58" w:name="_Toc86391954"/>
            <w:bookmarkEnd w:id="58"/>
          </w:p>
        </w:tc>
        <w:tc>
          <w:tcPr>
            <w:tcW w:w="2088" w:type="dxa"/>
            <w:tcBorders>
              <w:top w:val="single" w:sz="4" w:space="0" w:color="000000"/>
              <w:left w:val="single" w:sz="4" w:space="0" w:color="000000"/>
              <w:bottom w:val="single" w:sz="4" w:space="0" w:color="000000"/>
              <w:right w:val="single" w:sz="4" w:space="0" w:color="000000"/>
            </w:tcBorders>
            <w:vAlign w:val="center"/>
          </w:tcPr>
          <w:p w14:paraId="3CB64C40" w14:textId="77777777" w:rsidR="00175362" w:rsidRDefault="0059412C">
            <w:pPr>
              <w:pStyle w:val="TableTextLeft"/>
              <w:jc w:val="center"/>
              <w:rPr>
                <w:rFonts w:ascii="Times New Roman" w:hAnsi="Times New Roman" w:cs="Times New Roman"/>
                <w:iCs w:val="0"/>
              </w:rPr>
            </w:pPr>
            <w:r>
              <w:rPr>
                <w:rFonts w:ascii="Times New Roman" w:hAnsi="Times New Roman" w:cs="Times New Roman"/>
                <w:iCs w:val="0"/>
                <w:lang w:val="fi-FI"/>
              </w:rPr>
              <w:t>82,8–100 %</w:t>
            </w:r>
          </w:p>
        </w:tc>
        <w:tc>
          <w:tcPr>
            <w:tcW w:w="1837" w:type="dxa"/>
            <w:tcBorders>
              <w:top w:val="single" w:sz="4" w:space="0" w:color="000000"/>
              <w:left w:val="single" w:sz="4" w:space="0" w:color="000000"/>
              <w:bottom w:val="single" w:sz="4" w:space="0" w:color="000000"/>
              <w:right w:val="single" w:sz="4" w:space="0" w:color="000000"/>
            </w:tcBorders>
            <w:vAlign w:val="center"/>
          </w:tcPr>
          <w:p w14:paraId="389808BE" w14:textId="77777777" w:rsidR="00175362" w:rsidRDefault="0059412C">
            <w:pPr>
              <w:pStyle w:val="TableTextLeft"/>
              <w:jc w:val="center"/>
              <w:rPr>
                <w:rFonts w:ascii="Times New Roman" w:hAnsi="Times New Roman" w:cs="Times New Roman"/>
                <w:iCs w:val="0"/>
              </w:rPr>
            </w:pPr>
            <w:bookmarkStart w:id="59" w:name="_Toc86391955"/>
            <w:bookmarkStart w:id="60" w:name="_Toc86391957"/>
            <w:bookmarkEnd w:id="59"/>
            <w:bookmarkEnd w:id="60"/>
            <w:r>
              <w:rPr>
                <w:rFonts w:ascii="Times New Roman" w:hAnsi="Times New Roman" w:cs="Times New Roman"/>
                <w:iCs w:val="0"/>
                <w:lang w:val="fi-FI"/>
              </w:rPr>
              <w:t>82,0–100 %</w:t>
            </w:r>
          </w:p>
        </w:tc>
        <w:tc>
          <w:tcPr>
            <w:tcW w:w="4139" w:type="dxa"/>
            <w:tcBorders>
              <w:top w:val="single" w:sz="4" w:space="0" w:color="000000"/>
              <w:left w:val="single" w:sz="4" w:space="0" w:color="000000"/>
              <w:bottom w:val="single" w:sz="4" w:space="0" w:color="000000"/>
              <w:right w:val="single" w:sz="4" w:space="0" w:color="000000"/>
            </w:tcBorders>
            <w:vAlign w:val="center"/>
          </w:tcPr>
          <w:p w14:paraId="3B944487" w14:textId="77777777" w:rsidR="00175362" w:rsidRDefault="0059412C">
            <w:pPr>
              <w:pStyle w:val="TableTextLeft"/>
              <w:rPr>
                <w:rFonts w:ascii="Times New Roman" w:hAnsi="Times New Roman" w:cs="Times New Roman"/>
              </w:rPr>
            </w:pPr>
            <w:bookmarkStart w:id="61" w:name="_Toc86391958"/>
            <w:bookmarkEnd w:id="61"/>
            <w:r>
              <w:rPr>
                <w:rFonts w:ascii="Times New Roman" w:hAnsi="Times New Roman" w:cs="Times New Roman"/>
                <w:iCs w:val="0"/>
                <w:lang w:val="fi-FI"/>
              </w:rPr>
              <w:t xml:space="preserve">Tekninen onnistuminen </w:t>
            </w:r>
            <w:r>
              <w:rPr>
                <w:rFonts w:ascii="Times New Roman" w:hAnsi="Times New Roman" w:cs="Times New Roman"/>
                <w:b/>
                <w:bCs/>
                <w:iCs w:val="0"/>
                <w:lang w:val="fi-FI"/>
              </w:rPr>
              <w:t>yli 82,0 %</w:t>
            </w:r>
            <w:bookmarkStart w:id="62" w:name="_Toc86391959"/>
            <w:bookmarkEnd w:id="62"/>
          </w:p>
        </w:tc>
      </w:tr>
      <w:tr w:rsidR="00175362" w14:paraId="23662BC1" w14:textId="77777777">
        <w:tc>
          <w:tcPr>
            <w:tcW w:w="2376" w:type="dxa"/>
            <w:tcBorders>
              <w:top w:val="single" w:sz="4" w:space="0" w:color="000000"/>
              <w:left w:val="single" w:sz="4" w:space="0" w:color="000000"/>
              <w:bottom w:val="single" w:sz="4" w:space="0" w:color="000000"/>
              <w:right w:val="single" w:sz="4" w:space="0" w:color="000000"/>
            </w:tcBorders>
            <w:vAlign w:val="center"/>
          </w:tcPr>
          <w:p w14:paraId="5A0A494A" w14:textId="77777777" w:rsidR="00175362" w:rsidRDefault="0059412C">
            <w:pPr>
              <w:pStyle w:val="TableTextLeft"/>
              <w:rPr>
                <w:rFonts w:ascii="Times New Roman" w:eastAsia="MS Mincho" w:hAnsi="Times New Roman" w:cs="Times New Roman"/>
              </w:rPr>
            </w:pPr>
            <w:r>
              <w:rPr>
                <w:rFonts w:ascii="Times New Roman" w:hAnsi="Times New Roman" w:cs="Times New Roman"/>
                <w:iCs w:val="0"/>
                <w:lang w:val="fi-FI"/>
              </w:rPr>
              <w:t xml:space="preserve">Tekninen onnistuminen </w:t>
            </w:r>
            <w:bookmarkStart w:id="63" w:name="_Toc86391960"/>
            <w:bookmarkEnd w:id="63"/>
          </w:p>
        </w:tc>
        <w:tc>
          <w:tcPr>
            <w:tcW w:w="2088" w:type="dxa"/>
            <w:tcBorders>
              <w:top w:val="single" w:sz="4" w:space="0" w:color="000000"/>
              <w:left w:val="single" w:sz="4" w:space="0" w:color="000000"/>
              <w:bottom w:val="single" w:sz="4" w:space="0" w:color="000000"/>
              <w:right w:val="single" w:sz="4" w:space="0" w:color="000000"/>
            </w:tcBorders>
            <w:vAlign w:val="center"/>
          </w:tcPr>
          <w:p w14:paraId="57AA7413" w14:textId="77777777" w:rsidR="00175362" w:rsidRDefault="0059412C">
            <w:pPr>
              <w:pStyle w:val="TableTextLeft"/>
              <w:jc w:val="center"/>
              <w:rPr>
                <w:rFonts w:ascii="Times New Roman" w:hAnsi="Times New Roman" w:cs="Times New Roman"/>
                <w:iCs w:val="0"/>
              </w:rPr>
            </w:pPr>
            <w:r>
              <w:rPr>
                <w:rFonts w:ascii="Times New Roman" w:hAnsi="Times New Roman" w:cs="Times New Roman"/>
                <w:iCs w:val="0"/>
                <w:lang w:val="fi-FI"/>
              </w:rPr>
              <w:t>95,2–100 %</w:t>
            </w:r>
          </w:p>
        </w:tc>
        <w:tc>
          <w:tcPr>
            <w:tcW w:w="1837" w:type="dxa"/>
            <w:tcBorders>
              <w:top w:val="single" w:sz="4" w:space="0" w:color="000000"/>
              <w:left w:val="single" w:sz="4" w:space="0" w:color="000000"/>
              <w:bottom w:val="single" w:sz="4" w:space="0" w:color="000000"/>
              <w:right w:val="single" w:sz="4" w:space="0" w:color="000000"/>
            </w:tcBorders>
            <w:vAlign w:val="center"/>
          </w:tcPr>
          <w:p w14:paraId="4133CEB9" w14:textId="77777777" w:rsidR="00175362" w:rsidRDefault="0059412C">
            <w:pPr>
              <w:pStyle w:val="TableTextLeft"/>
              <w:jc w:val="center"/>
              <w:rPr>
                <w:rFonts w:ascii="Times New Roman" w:hAnsi="Times New Roman" w:cs="Times New Roman"/>
                <w:iCs w:val="0"/>
              </w:rPr>
            </w:pPr>
            <w:bookmarkStart w:id="64" w:name="_Toc86391963"/>
            <w:bookmarkStart w:id="65" w:name="_Toc86391961"/>
            <w:bookmarkEnd w:id="64"/>
            <w:bookmarkEnd w:id="65"/>
            <w:r>
              <w:rPr>
                <w:rFonts w:ascii="Times New Roman" w:hAnsi="Times New Roman" w:cs="Times New Roman"/>
                <w:iCs w:val="0"/>
                <w:lang w:val="fi-FI"/>
              </w:rPr>
              <w:t>92,3–100 %</w:t>
            </w:r>
          </w:p>
        </w:tc>
        <w:tc>
          <w:tcPr>
            <w:tcW w:w="4139" w:type="dxa"/>
            <w:tcBorders>
              <w:top w:val="single" w:sz="4" w:space="0" w:color="000000"/>
              <w:left w:val="single" w:sz="4" w:space="0" w:color="000000"/>
              <w:bottom w:val="single" w:sz="4" w:space="0" w:color="000000"/>
              <w:right w:val="single" w:sz="4" w:space="0" w:color="000000"/>
            </w:tcBorders>
            <w:vAlign w:val="center"/>
          </w:tcPr>
          <w:p w14:paraId="7B8E7688" w14:textId="77777777" w:rsidR="00175362" w:rsidRDefault="0059412C">
            <w:pPr>
              <w:pStyle w:val="TableTextLeft"/>
              <w:rPr>
                <w:rFonts w:ascii="Times New Roman" w:hAnsi="Times New Roman" w:cs="Times New Roman"/>
              </w:rPr>
            </w:pPr>
            <w:bookmarkStart w:id="66" w:name="_Toc86391964"/>
            <w:bookmarkEnd w:id="66"/>
            <w:r>
              <w:rPr>
                <w:rFonts w:ascii="Times New Roman" w:hAnsi="Times New Roman" w:cs="Times New Roman"/>
                <w:iCs w:val="0"/>
                <w:lang w:val="fi-FI"/>
              </w:rPr>
              <w:t xml:space="preserve">Kliininen onnistuminen </w:t>
            </w:r>
            <w:r>
              <w:rPr>
                <w:rFonts w:ascii="Times New Roman" w:hAnsi="Times New Roman" w:cs="Times New Roman"/>
                <w:b/>
                <w:bCs/>
                <w:iCs w:val="0"/>
                <w:lang w:val="fi-FI"/>
              </w:rPr>
              <w:t>yli 92,3 %</w:t>
            </w:r>
            <w:bookmarkStart w:id="67" w:name="_Toc86391965"/>
            <w:bookmarkEnd w:id="67"/>
          </w:p>
        </w:tc>
      </w:tr>
    </w:tbl>
    <w:p w14:paraId="21A957C4" w14:textId="7F6B3A91" w:rsidR="00175362" w:rsidRDefault="0059412C">
      <w:pPr>
        <w:spacing w:beforeAutospacing="1" w:after="280" w:line="240" w:lineRule="auto"/>
        <w:rPr>
          <w:rFonts w:eastAsia="Times New Roman" w:cs="Times New Roman"/>
          <w:szCs w:val="24"/>
          <w:lang w:val="fi-FI"/>
        </w:rPr>
      </w:pPr>
      <w:r>
        <w:rPr>
          <w:rFonts w:eastAsia="Times New Roman" w:cs="Times New Roman"/>
          <w:szCs w:val="24"/>
          <w:lang w:val="fi-FI"/>
        </w:rPr>
        <w:t>Atrieve Vaskulaarinen Snare -tarvikesarja osoittaa hyväksyttävän riskiprofiilin, ilman hyväksymättömiksi luokiteltuja jäännösriskejä. Mahdolliset potilaalle aiheutuvat vahingot, kuten verenvuoto, embolia, infektio ja kudosvauriot, ovat harvinaisia ja alan hyväksyttävien raja-arvojen sisällä. Yleiset toimintahäiriöt, kuten komponenttien irtoaminen tai laitteen vastus, ovat harvinaisia ja hyvin hallittavissa.</w:t>
      </w:r>
    </w:p>
    <w:p w14:paraId="7898CD12" w14:textId="77777777" w:rsidR="00175362" w:rsidRDefault="0059412C">
      <w:pPr>
        <w:spacing w:beforeAutospacing="1" w:after="280" w:line="240" w:lineRule="auto"/>
        <w:rPr>
          <w:rFonts w:eastAsia="Times New Roman" w:cs="Times New Roman"/>
          <w:szCs w:val="24"/>
        </w:rPr>
      </w:pPr>
      <w:r>
        <w:rPr>
          <w:rFonts w:eastAsia="Times New Roman" w:cs="Times New Roman"/>
          <w:szCs w:val="24"/>
          <w:lang w:val="fi-FI"/>
        </w:rPr>
        <w:t>Kaikkiin tunnistettuihin riskeihin viitataan merkinnöillä, varoituksilla ja käyttöohjeissa. Kokonaisriski on verrattavissa vaihtoehtoisiin hoitoihin, ja laitteen hyödyt turvallisen ja minimaalisesti invasiivisen vierasesineen poistossa ovat suuremmat kuin riskit. Markkinoille saattamisen jälkeisessä seurannassa ei havaittu uusia riskejä.</w:t>
      </w:r>
    </w:p>
    <w:p w14:paraId="190027B3" w14:textId="77777777" w:rsidR="00175362" w:rsidRDefault="0059412C">
      <w:pPr>
        <w:pStyle w:val="Heading1"/>
        <w:rPr>
          <w:rFonts w:cs="Times New Roman"/>
        </w:rPr>
      </w:pPr>
      <w:bookmarkStart w:id="68" w:name="_Toc222741352"/>
      <w:r>
        <w:rPr>
          <w:rFonts w:cs="Times New Roman"/>
          <w:bCs/>
          <w:lang w:val="fi-FI"/>
        </w:rPr>
        <w:t>Varoitukset ja varotoimenpiteet</w:t>
      </w:r>
      <w:bookmarkEnd w:id="68"/>
    </w:p>
    <w:p w14:paraId="35FFB0C1" w14:textId="77777777" w:rsidR="00175362" w:rsidRDefault="0059412C">
      <w:pPr>
        <w:spacing w:afterAutospacing="0" w:line="240" w:lineRule="auto"/>
        <w:ind w:left="792"/>
        <w:rPr>
          <w:rFonts w:cs="Times New Roman"/>
          <w:iCs/>
          <w:lang w:val="fr-FR"/>
        </w:rPr>
      </w:pPr>
      <w:r>
        <w:rPr>
          <w:rFonts w:cs="Times New Roman"/>
          <w:lang w:val="fi-FI"/>
        </w:rPr>
        <w:t>Viite: käyttöohjeet (IFU) X9585730-0321-EU Rev A</w:t>
      </w:r>
    </w:p>
    <w:p w14:paraId="5F305917" w14:textId="77777777" w:rsidR="00175362" w:rsidRDefault="0059412C">
      <w:pPr>
        <w:spacing w:afterAutospacing="0" w:line="240" w:lineRule="auto"/>
        <w:ind w:left="792"/>
        <w:rPr>
          <w:rFonts w:cs="Times New Roman"/>
          <w:b/>
          <w:bCs/>
          <w:iCs/>
        </w:rPr>
      </w:pPr>
      <w:r>
        <w:rPr>
          <w:rFonts w:cs="Times New Roman"/>
          <w:b/>
          <w:bCs/>
          <w:lang w:val="fi-FI"/>
        </w:rPr>
        <w:t>Varoitukset:</w:t>
      </w:r>
    </w:p>
    <w:p w14:paraId="5CD6B653" w14:textId="77777777" w:rsidR="00175362" w:rsidRDefault="0059412C" w:rsidP="003165A1">
      <w:pPr>
        <w:numPr>
          <w:ilvl w:val="0"/>
          <w:numId w:val="3"/>
        </w:numPr>
        <w:spacing w:afterAutospacing="0" w:line="228" w:lineRule="auto"/>
        <w:ind w:left="360"/>
        <w:contextualSpacing/>
        <w:jc w:val="both"/>
        <w:rPr>
          <w:rFonts w:eastAsia="Times New Roman" w:cs="Times New Roman"/>
          <w:szCs w:val="24"/>
        </w:rPr>
      </w:pPr>
      <w:r>
        <w:rPr>
          <w:rFonts w:eastAsia="Times New Roman" w:cs="Times New Roman"/>
          <w:szCs w:val="24"/>
          <w:lang w:val="fi-FI"/>
        </w:rPr>
        <w:t>Tuote on suunniteltu, testattu ja valmistettu vain yhtä käyttökertaa potilaassa varten. Tämän laitteen uudelleenkäyttö tai uudelleenkäsittely voi aiheuttaa sen vikaantumiseen ja sen seurauksena potilaan vammautumisen. Tämän laitteen uudelleenkäsittely ja/tai uudelleensterilointi voi aiheuttaa kontaminaation ja potilaan infektion riskin. Älä yritä käyttää, käsitellä tai steriloida tuotetta uudelleen.</w:t>
      </w:r>
    </w:p>
    <w:p w14:paraId="341D685E" w14:textId="77777777" w:rsidR="00175362" w:rsidRDefault="0059412C" w:rsidP="003165A1">
      <w:pPr>
        <w:numPr>
          <w:ilvl w:val="0"/>
          <w:numId w:val="3"/>
        </w:numPr>
        <w:spacing w:afterAutospacing="0" w:line="228" w:lineRule="auto"/>
        <w:ind w:left="360"/>
        <w:contextualSpacing/>
        <w:jc w:val="both"/>
        <w:rPr>
          <w:rFonts w:eastAsia="Times New Roman" w:cs="Times New Roman"/>
          <w:szCs w:val="24"/>
          <w:lang w:val="fr-FR"/>
        </w:rPr>
      </w:pPr>
      <w:r>
        <w:rPr>
          <w:rFonts w:eastAsia="Times New Roman" w:cs="Times New Roman"/>
          <w:szCs w:val="24"/>
          <w:lang w:val="fi-FI"/>
        </w:rPr>
        <w:t>Varmista, että pakkaus on ehjä ennen käyttöä.</w:t>
      </w:r>
    </w:p>
    <w:p w14:paraId="6739AC4C" w14:textId="77777777" w:rsidR="00175362" w:rsidRDefault="0059412C" w:rsidP="003165A1">
      <w:pPr>
        <w:numPr>
          <w:ilvl w:val="0"/>
          <w:numId w:val="3"/>
        </w:numPr>
        <w:spacing w:afterAutospacing="0" w:line="228" w:lineRule="auto"/>
        <w:ind w:left="360"/>
        <w:contextualSpacing/>
        <w:jc w:val="both"/>
        <w:rPr>
          <w:rFonts w:eastAsia="Times New Roman" w:cs="Times New Roman"/>
          <w:szCs w:val="24"/>
          <w:lang w:val="fr-FR"/>
        </w:rPr>
      </w:pPr>
      <w:r>
        <w:rPr>
          <w:rFonts w:eastAsia="Times New Roman" w:cs="Times New Roman"/>
          <w:szCs w:val="24"/>
          <w:lang w:val="fi-FI"/>
        </w:rPr>
        <w:t>Älä käytä, jos pakkaus on auki tai vahingoittunut tai jos viimeinen käyttöpäivä on ylittynyt.</w:t>
      </w:r>
    </w:p>
    <w:p w14:paraId="2A93CAC2" w14:textId="77777777" w:rsidR="00175362" w:rsidRDefault="0059412C" w:rsidP="003165A1">
      <w:pPr>
        <w:numPr>
          <w:ilvl w:val="0"/>
          <w:numId w:val="3"/>
        </w:numPr>
        <w:spacing w:afterAutospacing="0" w:line="228" w:lineRule="auto"/>
        <w:ind w:left="360"/>
        <w:contextualSpacing/>
        <w:jc w:val="both"/>
        <w:rPr>
          <w:rFonts w:eastAsia="Times New Roman" w:cs="Times New Roman"/>
          <w:szCs w:val="24"/>
          <w:lang w:val="fr-FR"/>
        </w:rPr>
      </w:pPr>
      <w:r>
        <w:rPr>
          <w:rFonts w:eastAsia="Times New Roman" w:cs="Times New Roman"/>
          <w:szCs w:val="24"/>
          <w:lang w:val="fi-FI"/>
        </w:rPr>
        <w:t>Älä jatka käyttöä, jos joku komponenteista on vaurioitunut toimenpiteessä.</w:t>
      </w:r>
    </w:p>
    <w:p w14:paraId="02D64494" w14:textId="77777777" w:rsidR="00175362" w:rsidRDefault="0059412C" w:rsidP="003165A1">
      <w:pPr>
        <w:numPr>
          <w:ilvl w:val="0"/>
          <w:numId w:val="3"/>
        </w:numPr>
        <w:spacing w:afterAutospacing="0" w:line="228" w:lineRule="auto"/>
        <w:ind w:left="360"/>
        <w:contextualSpacing/>
        <w:jc w:val="both"/>
        <w:rPr>
          <w:rFonts w:eastAsia="Times New Roman" w:cs="Times New Roman"/>
          <w:szCs w:val="24"/>
          <w:lang w:val="fr-FR"/>
        </w:rPr>
      </w:pPr>
      <w:r>
        <w:rPr>
          <w:rFonts w:eastAsia="Times New Roman" w:cs="Times New Roman"/>
          <w:szCs w:val="24"/>
          <w:lang w:val="fi-FI"/>
        </w:rPr>
        <w:t>Nitinol on nikkeli-titaaniseos. Mahdollinen reaktio voi ilmetä potilailla, jotka ovat yliherkkiä nikkelille.</w:t>
      </w:r>
    </w:p>
    <w:p w14:paraId="71119BE8" w14:textId="77777777" w:rsidR="00175362" w:rsidRDefault="0059412C" w:rsidP="003165A1">
      <w:pPr>
        <w:numPr>
          <w:ilvl w:val="0"/>
          <w:numId w:val="3"/>
        </w:numPr>
        <w:spacing w:afterAutospacing="0" w:line="228" w:lineRule="auto"/>
        <w:ind w:left="360"/>
        <w:contextualSpacing/>
        <w:jc w:val="both"/>
        <w:rPr>
          <w:rFonts w:eastAsia="Times New Roman" w:cs="Times New Roman"/>
          <w:szCs w:val="24"/>
          <w:lang w:val="fr-FR"/>
        </w:rPr>
      </w:pPr>
      <w:r>
        <w:rPr>
          <w:rFonts w:eastAsia="Times New Roman" w:cs="Times New Roman"/>
          <w:szCs w:val="24"/>
          <w:lang w:val="fi-FI"/>
        </w:rPr>
        <w:t>Mahdollinen reaktio voi ilmetä potilailla, jotka ovat yliherkkiä platinalle.</w:t>
      </w:r>
    </w:p>
    <w:p w14:paraId="4B9711B0" w14:textId="77777777" w:rsidR="00175362" w:rsidRDefault="0059412C" w:rsidP="003165A1">
      <w:pPr>
        <w:keepLines/>
        <w:numPr>
          <w:ilvl w:val="0"/>
          <w:numId w:val="3"/>
        </w:numPr>
        <w:spacing w:afterAutospacing="0" w:line="228" w:lineRule="auto"/>
        <w:ind w:left="360"/>
        <w:jc w:val="both"/>
        <w:rPr>
          <w:rFonts w:eastAsia="Times New Roman" w:cs="Times New Roman"/>
          <w:szCs w:val="24"/>
          <w:lang w:val="fr-FR"/>
        </w:rPr>
      </w:pPr>
      <w:r>
        <w:rPr>
          <w:rFonts w:eastAsia="Times New Roman" w:cs="Times New Roman"/>
          <w:szCs w:val="24"/>
          <w:lang w:val="fi-FI"/>
        </w:rPr>
        <w:lastRenderedPageBreak/>
        <w:t>Varovaisuutta on noudatettava, kun tätä laitetta käytetään suurten fibriinivaippojen poistamiseen keuhkoveritulpan riskin minimoimiseksi.</w:t>
      </w:r>
    </w:p>
    <w:p w14:paraId="7D8E67D2" w14:textId="77777777" w:rsidR="00175362" w:rsidRDefault="0059412C" w:rsidP="003165A1">
      <w:pPr>
        <w:keepLines/>
        <w:numPr>
          <w:ilvl w:val="0"/>
          <w:numId w:val="3"/>
        </w:numPr>
        <w:spacing w:afterAutospacing="0" w:line="228" w:lineRule="auto"/>
        <w:ind w:left="360"/>
        <w:jc w:val="both"/>
        <w:rPr>
          <w:rFonts w:eastAsia="Times New Roman" w:cs="Times New Roman"/>
          <w:szCs w:val="24"/>
          <w:lang w:val="fi-FI"/>
        </w:rPr>
      </w:pPr>
      <w:r>
        <w:rPr>
          <w:rFonts w:eastAsia="Times New Roman" w:cs="Times New Roman"/>
          <w:szCs w:val="24"/>
          <w:lang w:val="fi-FI"/>
        </w:rPr>
        <w:t>Verenvuotoa voi esiintyä asetuskatetrin navan kautta joissain toimenpiteissä. Verenvuodon tyrehdytysventtiili (ei sisälly pakkaukseen) voidaan kiinnittää asetuskatetriin verenvuodon vähentämiseksi tai lääkärin arvion mukaisesti.</w:t>
      </w:r>
    </w:p>
    <w:p w14:paraId="5B31F027" w14:textId="77777777" w:rsidR="00175362" w:rsidRDefault="00175362">
      <w:pPr>
        <w:spacing w:afterAutospacing="0" w:line="240" w:lineRule="auto"/>
        <w:ind w:left="792"/>
        <w:rPr>
          <w:rFonts w:cs="Times New Roman"/>
          <w:iCs/>
          <w:lang w:val="fi-FI"/>
        </w:rPr>
      </w:pPr>
    </w:p>
    <w:p w14:paraId="25D6F497" w14:textId="77777777" w:rsidR="00175362" w:rsidRDefault="0059412C">
      <w:pPr>
        <w:spacing w:afterAutospacing="0" w:line="240" w:lineRule="auto"/>
        <w:ind w:left="792"/>
        <w:rPr>
          <w:rFonts w:cs="Times New Roman"/>
          <w:b/>
          <w:bCs/>
          <w:iCs/>
        </w:rPr>
      </w:pPr>
      <w:r>
        <w:rPr>
          <w:rFonts w:cs="Times New Roman"/>
          <w:b/>
          <w:bCs/>
          <w:lang w:val="fi-FI"/>
        </w:rPr>
        <w:t>Varotoimenpiteet:</w:t>
      </w:r>
    </w:p>
    <w:p w14:paraId="42721853" w14:textId="77777777" w:rsidR="00175362" w:rsidRDefault="0059412C">
      <w:pPr>
        <w:numPr>
          <w:ilvl w:val="0"/>
          <w:numId w:val="4"/>
        </w:numPr>
        <w:spacing w:afterAutospacing="0" w:line="240" w:lineRule="auto"/>
        <w:contextualSpacing/>
        <w:jc w:val="both"/>
        <w:rPr>
          <w:rFonts w:eastAsia="Times New Roman" w:cs="Times New Roman"/>
          <w:szCs w:val="24"/>
          <w:lang w:val="fi-FI"/>
        </w:rPr>
      </w:pPr>
      <w:r>
        <w:rPr>
          <w:rFonts w:eastAsia="Times New Roman" w:cs="Times New Roman"/>
          <w:szCs w:val="24"/>
          <w:lang w:val="fi-FI"/>
        </w:rPr>
        <w:t>Fibriinivaipan poistamisen aikana katetreihin kohdistuvat vetovoimat voivat vahingoittaa, venyttää tai rikkoa kestokatetreja, joiden halkaisija on 6 charrière tai pienempi. Ei saa käyttää liiallista vetovoimaa, kun yritetään poistaa fibriinivaippaa katetreista, joiden halkaisija on 6 charrière tai pienempi.</w:t>
      </w:r>
    </w:p>
    <w:p w14:paraId="2E1C0F54" w14:textId="77777777" w:rsidR="00175362" w:rsidRDefault="0059412C">
      <w:pPr>
        <w:numPr>
          <w:ilvl w:val="0"/>
          <w:numId w:val="4"/>
        </w:numPr>
        <w:spacing w:afterAutospacing="0" w:line="240" w:lineRule="auto"/>
        <w:contextualSpacing/>
        <w:jc w:val="both"/>
        <w:rPr>
          <w:rFonts w:eastAsia="Times New Roman" w:cs="Times New Roman"/>
          <w:szCs w:val="24"/>
          <w:lang w:val="fi-FI"/>
        </w:rPr>
      </w:pPr>
      <w:r>
        <w:rPr>
          <w:rFonts w:eastAsia="Times New Roman" w:cs="Times New Roman"/>
          <w:szCs w:val="24"/>
          <w:lang w:val="fi-FI"/>
        </w:rPr>
        <w:t>Ei saa käyttää liiallista voimaa, kun katetria ohjataan asettimen läpi.</w:t>
      </w:r>
    </w:p>
    <w:p w14:paraId="0584E7EE" w14:textId="77777777" w:rsidR="00175362" w:rsidRDefault="00175362">
      <w:pPr>
        <w:spacing w:afterAutospacing="0" w:line="240" w:lineRule="auto"/>
        <w:rPr>
          <w:rFonts w:cs="Times New Roman"/>
          <w:b/>
          <w:bCs/>
          <w:iCs/>
          <w:lang w:val="fi-FI"/>
        </w:rPr>
      </w:pPr>
    </w:p>
    <w:p w14:paraId="56C243D7" w14:textId="77777777" w:rsidR="00175362" w:rsidRDefault="0059412C" w:rsidP="003165A1">
      <w:pPr>
        <w:spacing w:after="120" w:afterAutospacing="0" w:line="216" w:lineRule="auto"/>
        <w:ind w:firstLine="720"/>
        <w:jc w:val="both"/>
        <w:rPr>
          <w:rFonts w:eastAsia="Times New Roman" w:cs="Times New Roman"/>
          <w:b/>
          <w:szCs w:val="24"/>
          <w:lang w:val="fi-FI"/>
        </w:rPr>
      </w:pPr>
      <w:r>
        <w:rPr>
          <w:rFonts w:eastAsia="Times New Roman" w:cs="Times New Roman"/>
          <w:b/>
          <w:bCs/>
          <w:szCs w:val="24"/>
          <w:lang w:val="fi-FI"/>
        </w:rPr>
        <w:t xml:space="preserve">Riskit ja sivuvaikutukset </w:t>
      </w:r>
    </w:p>
    <w:p w14:paraId="75B179A7" w14:textId="77777777" w:rsidR="00175362" w:rsidRDefault="0059412C" w:rsidP="003165A1">
      <w:pPr>
        <w:spacing w:after="120" w:afterAutospacing="0" w:line="216" w:lineRule="auto"/>
        <w:jc w:val="both"/>
        <w:rPr>
          <w:rFonts w:eastAsia="Times New Roman" w:cs="Times New Roman"/>
          <w:szCs w:val="24"/>
          <w:lang w:val="fi-FI"/>
        </w:rPr>
      </w:pPr>
      <w:r>
        <w:rPr>
          <w:rFonts w:eastAsia="Times New Roman" w:cs="Times New Roman"/>
          <w:szCs w:val="24"/>
          <w:lang w:val="fi-FI"/>
        </w:rPr>
        <w:t>Mahdollisiin komplikaatioihin saattavat kuulua seuraavat niihin rajoittumatta:</w:t>
      </w:r>
    </w:p>
    <w:p w14:paraId="3494E0BF" w14:textId="77777777" w:rsidR="00175362" w:rsidRDefault="0059412C" w:rsidP="003165A1">
      <w:pPr>
        <w:widowControl w:val="0"/>
        <w:numPr>
          <w:ilvl w:val="0"/>
          <w:numId w:val="5"/>
        </w:numPr>
        <w:spacing w:afterAutospacing="0" w:line="216" w:lineRule="auto"/>
        <w:contextualSpacing/>
        <w:jc w:val="both"/>
        <w:rPr>
          <w:rFonts w:eastAsia="Times New Roman" w:cs="Times New Roman"/>
          <w:szCs w:val="24"/>
        </w:rPr>
      </w:pPr>
      <w:r>
        <w:rPr>
          <w:rFonts w:eastAsia="Times New Roman" w:cs="Times New Roman"/>
          <w:szCs w:val="24"/>
          <w:lang w:val="fi-FI"/>
        </w:rPr>
        <w:t>Embolisaatio</w:t>
      </w:r>
    </w:p>
    <w:p w14:paraId="4E7EDA93" w14:textId="77777777" w:rsidR="00175362" w:rsidRDefault="0059412C" w:rsidP="003165A1">
      <w:pPr>
        <w:widowControl w:val="0"/>
        <w:numPr>
          <w:ilvl w:val="0"/>
          <w:numId w:val="5"/>
        </w:numPr>
        <w:spacing w:afterAutospacing="0" w:line="216" w:lineRule="auto"/>
        <w:contextualSpacing/>
        <w:jc w:val="both"/>
        <w:rPr>
          <w:rFonts w:eastAsia="Times New Roman" w:cs="Times New Roman"/>
          <w:szCs w:val="24"/>
        </w:rPr>
      </w:pPr>
      <w:r>
        <w:rPr>
          <w:rFonts w:eastAsia="Times New Roman" w:cs="Times New Roman"/>
          <w:szCs w:val="24"/>
          <w:lang w:val="fi-FI"/>
        </w:rPr>
        <w:t>Aivohalvaus</w:t>
      </w:r>
    </w:p>
    <w:p w14:paraId="73941569" w14:textId="77777777" w:rsidR="00175362" w:rsidRDefault="0059412C" w:rsidP="003165A1">
      <w:pPr>
        <w:widowControl w:val="0"/>
        <w:numPr>
          <w:ilvl w:val="0"/>
          <w:numId w:val="5"/>
        </w:numPr>
        <w:spacing w:afterAutospacing="0" w:line="216" w:lineRule="auto"/>
        <w:contextualSpacing/>
        <w:jc w:val="both"/>
        <w:rPr>
          <w:rFonts w:eastAsia="Times New Roman" w:cs="Times New Roman"/>
          <w:szCs w:val="24"/>
        </w:rPr>
      </w:pPr>
      <w:r>
        <w:rPr>
          <w:rFonts w:eastAsia="Times New Roman" w:cs="Times New Roman"/>
          <w:szCs w:val="24"/>
          <w:lang w:val="fi-FI"/>
        </w:rPr>
        <w:t>Sydäninfarkti (sijainnista riippuen)</w:t>
      </w:r>
    </w:p>
    <w:p w14:paraId="13065F73" w14:textId="77777777" w:rsidR="00175362" w:rsidRDefault="0059412C" w:rsidP="003165A1">
      <w:pPr>
        <w:widowControl w:val="0"/>
        <w:numPr>
          <w:ilvl w:val="0"/>
          <w:numId w:val="5"/>
        </w:numPr>
        <w:spacing w:afterAutospacing="0" w:line="216" w:lineRule="auto"/>
        <w:contextualSpacing/>
        <w:jc w:val="both"/>
        <w:rPr>
          <w:rFonts w:eastAsia="Times New Roman" w:cs="Times New Roman"/>
          <w:szCs w:val="24"/>
        </w:rPr>
      </w:pPr>
      <w:r>
        <w:rPr>
          <w:rFonts w:eastAsia="Times New Roman" w:cs="Times New Roman"/>
          <w:szCs w:val="24"/>
          <w:lang w:val="fi-FI"/>
        </w:rPr>
        <w:t>Keuhkoembolia</w:t>
      </w:r>
    </w:p>
    <w:p w14:paraId="76886D74" w14:textId="77777777" w:rsidR="00175362" w:rsidRDefault="0059412C" w:rsidP="003165A1">
      <w:pPr>
        <w:widowControl w:val="0"/>
        <w:numPr>
          <w:ilvl w:val="0"/>
          <w:numId w:val="5"/>
        </w:numPr>
        <w:spacing w:afterAutospacing="0" w:line="216" w:lineRule="auto"/>
        <w:contextualSpacing/>
        <w:jc w:val="both"/>
        <w:rPr>
          <w:rFonts w:eastAsia="Times New Roman" w:cs="Times New Roman"/>
          <w:szCs w:val="24"/>
        </w:rPr>
      </w:pPr>
      <w:r>
        <w:rPr>
          <w:rFonts w:eastAsia="Times New Roman" w:cs="Times New Roman"/>
          <w:szCs w:val="24"/>
          <w:lang w:val="fi-FI"/>
        </w:rPr>
        <w:t>Verisuonen puhkeaminen</w:t>
      </w:r>
    </w:p>
    <w:p w14:paraId="6ADC018F" w14:textId="77777777" w:rsidR="00175362" w:rsidRDefault="0059412C" w:rsidP="003165A1">
      <w:pPr>
        <w:widowControl w:val="0"/>
        <w:numPr>
          <w:ilvl w:val="0"/>
          <w:numId w:val="5"/>
        </w:numPr>
        <w:spacing w:afterAutospacing="0" w:line="216" w:lineRule="auto"/>
        <w:contextualSpacing/>
        <w:jc w:val="both"/>
        <w:rPr>
          <w:rFonts w:eastAsia="Times New Roman" w:cs="Times New Roman"/>
          <w:szCs w:val="24"/>
        </w:rPr>
      </w:pPr>
      <w:r>
        <w:rPr>
          <w:rFonts w:eastAsia="Times New Roman" w:cs="Times New Roman"/>
          <w:szCs w:val="24"/>
          <w:lang w:val="fi-FI"/>
        </w:rPr>
        <w:t>Laitteen jumiutuminen</w:t>
      </w:r>
    </w:p>
    <w:p w14:paraId="1534C60F" w14:textId="77777777" w:rsidR="00175362" w:rsidRDefault="0059412C" w:rsidP="003165A1">
      <w:pPr>
        <w:widowControl w:val="0"/>
        <w:numPr>
          <w:ilvl w:val="0"/>
          <w:numId w:val="5"/>
        </w:numPr>
        <w:spacing w:afterAutospacing="0" w:line="216" w:lineRule="auto"/>
        <w:contextualSpacing/>
        <w:jc w:val="both"/>
        <w:rPr>
          <w:rFonts w:eastAsia="Times New Roman" w:cs="Times New Roman"/>
          <w:szCs w:val="24"/>
        </w:rPr>
      </w:pPr>
      <w:r>
        <w:rPr>
          <w:rFonts w:eastAsia="Times New Roman" w:cs="Times New Roman"/>
          <w:szCs w:val="24"/>
          <w:lang w:val="fi-FI"/>
        </w:rPr>
        <w:t>Verenvuoto</w:t>
      </w:r>
    </w:p>
    <w:p w14:paraId="249EF1B6" w14:textId="77777777" w:rsidR="00175362" w:rsidRDefault="00175362">
      <w:pPr>
        <w:widowControl w:val="0"/>
        <w:spacing w:afterAutospacing="0" w:line="240" w:lineRule="auto"/>
        <w:contextualSpacing/>
        <w:jc w:val="both"/>
        <w:rPr>
          <w:rFonts w:eastAsia="Times New Roman" w:cs="Times New Roman"/>
          <w:szCs w:val="24"/>
        </w:rPr>
      </w:pPr>
    </w:p>
    <w:p w14:paraId="00AB98CE" w14:textId="77777777" w:rsidR="00175362" w:rsidRDefault="0059412C">
      <w:pPr>
        <w:widowControl w:val="0"/>
        <w:spacing w:afterAutospacing="0" w:line="240" w:lineRule="auto"/>
        <w:contextualSpacing/>
        <w:jc w:val="both"/>
        <w:rPr>
          <w:rFonts w:eastAsia="Times New Roman" w:cs="Times New Roman"/>
          <w:szCs w:val="24"/>
        </w:rPr>
      </w:pPr>
      <w:r>
        <w:rPr>
          <w:rFonts w:eastAsia="Times New Roman" w:cs="Times New Roman"/>
          <w:szCs w:val="24"/>
          <w:lang w:val="fi-FI"/>
        </w:rPr>
        <w:t>Kliiniset hyödyt.</w:t>
      </w:r>
    </w:p>
    <w:p w14:paraId="5211C777" w14:textId="4FB2DA4A" w:rsidR="00175362" w:rsidRDefault="0059412C">
      <w:pPr>
        <w:spacing w:after="120" w:afterAutospacing="0" w:line="240" w:lineRule="auto"/>
        <w:jc w:val="both"/>
        <w:rPr>
          <w:rFonts w:eastAsia="Times New Roman" w:cs="Times New Roman"/>
          <w:szCs w:val="24"/>
        </w:rPr>
      </w:pPr>
      <w:r>
        <w:rPr>
          <w:rFonts w:eastAsia="Times New Roman" w:cs="Times New Roman"/>
          <w:szCs w:val="24"/>
          <w:lang w:val="fi-FI"/>
        </w:rPr>
        <w:t>Atrieve Vaskulaarinen Snare -laite tarjoaa potilaalle suoran hyödyn mahdollistamalla vierasesineiden poistamisen ja käsittelyn perkutaanisesti pienemmillä komplikaatioilla ja riskeillä verrattuna kirurgiseen toimenpiteeseen.</w:t>
      </w:r>
    </w:p>
    <w:p w14:paraId="0F1DF5A7" w14:textId="77777777" w:rsidR="00175362" w:rsidRDefault="0059412C">
      <w:pPr>
        <w:spacing w:afterAutospacing="0" w:line="240" w:lineRule="auto"/>
        <w:rPr>
          <w:rFonts w:cs="Times New Roman"/>
          <w:iCs/>
        </w:rPr>
      </w:pPr>
      <w:r>
        <w:rPr>
          <w:rFonts w:cs="Times New Roman"/>
          <w:lang w:val="fi-FI"/>
        </w:rPr>
        <w:t>Kesto/käyttöikä: ohimenevästi, alle 60 minuuttia.</w:t>
      </w:r>
    </w:p>
    <w:p w14:paraId="0B65C94F" w14:textId="77777777" w:rsidR="00175362" w:rsidRDefault="00175362">
      <w:pPr>
        <w:spacing w:afterAutospacing="0" w:line="240" w:lineRule="auto"/>
        <w:rPr>
          <w:rFonts w:cs="Times New Roman"/>
          <w:i/>
          <w:color w:val="FF0000"/>
        </w:rPr>
      </w:pPr>
    </w:p>
    <w:p w14:paraId="5AE893AB" w14:textId="77777777" w:rsidR="00175362" w:rsidRDefault="0059412C" w:rsidP="003165A1">
      <w:pPr>
        <w:pStyle w:val="Heading1"/>
        <w:spacing w:line="216" w:lineRule="auto"/>
        <w:rPr>
          <w:rFonts w:cs="Times New Roman"/>
        </w:rPr>
      </w:pPr>
      <w:bookmarkStart w:id="69" w:name="_Toc222741353"/>
      <w:r>
        <w:rPr>
          <w:rFonts w:cs="Times New Roman"/>
          <w:bCs/>
          <w:lang w:val="fi-FI"/>
        </w:rPr>
        <w:t>Muita asiaankuuluvia, turvallisuuteen liittyviä näkökantoja, mukaan lukien tiivistelmä kenttäturvallisuuden korjaavista toimenpiteistä (FSN-raportin sisältävä FSCA-raportti), jos sovellettavissa</w:t>
      </w:r>
      <w:bookmarkEnd w:id="69"/>
    </w:p>
    <w:p w14:paraId="2775FB43" w14:textId="77777777" w:rsidR="00175362" w:rsidRDefault="0059412C">
      <w:pPr>
        <w:spacing w:after="280"/>
        <w:rPr>
          <w:rFonts w:cs="Times New Roman"/>
        </w:rPr>
      </w:pPr>
      <w:r>
        <w:rPr>
          <w:rFonts w:cs="Times New Roman"/>
          <w:lang w:val="fi-FI"/>
        </w:rPr>
        <w:t>Ilmoitusjaksolla ei ole määrätty käyttöturvallisuutta korjaavia toimenpiteitä (FSCA) tai palautuskutsuja.</w:t>
      </w:r>
    </w:p>
    <w:p w14:paraId="743501A5" w14:textId="77777777" w:rsidR="00175362" w:rsidRDefault="0059412C">
      <w:pPr>
        <w:pStyle w:val="Heading1"/>
        <w:numPr>
          <w:ilvl w:val="0"/>
          <w:numId w:val="2"/>
        </w:numPr>
        <w:rPr>
          <w:rFonts w:cs="Times New Roman"/>
        </w:rPr>
      </w:pPr>
      <w:bookmarkStart w:id="70" w:name="_Toc222741354"/>
      <w:r>
        <w:rPr>
          <w:rFonts w:cs="Times New Roman"/>
          <w:bCs/>
          <w:lang w:val="fi-FI"/>
        </w:rPr>
        <w:t>Kliinisen arvioinnin tiivistelmä ja markkinoille saattamisen jälkeinen kliininen seuranta (PMCF)</w:t>
      </w:r>
      <w:bookmarkEnd w:id="70"/>
    </w:p>
    <w:p w14:paraId="308CFBA5" w14:textId="1B6D2E6A" w:rsidR="00175362" w:rsidRDefault="0059412C">
      <w:pPr>
        <w:spacing w:afterAutospacing="0" w:line="228" w:lineRule="auto"/>
        <w:rPr>
          <w:rFonts w:cs="Times New Roman"/>
          <w:lang w:val="fi-FI"/>
        </w:rPr>
      </w:pPr>
      <w:r>
        <w:rPr>
          <w:rFonts w:cs="Times New Roman"/>
          <w:lang w:val="fi-FI"/>
        </w:rPr>
        <w:t>Kliininen arviointiraportti (CER-029 Rev B) vahvistaa, että Atrieve Vaskulaarinen Snare -tarvikesarja on kliinisesti turvallinen ja tehokas vierasesineiden poistamiseen ja käsittelyyn kardiovaskulaarisessa järjestelmässä. Sitä käyttävät pääasiassa koulutetut lääketieteen ammattilaiset minimaalisesti invasiivisissa toimenpiteissä.</w:t>
      </w:r>
    </w:p>
    <w:p w14:paraId="2B9EC794" w14:textId="77777777" w:rsidR="00175362" w:rsidRDefault="00175362" w:rsidP="003165A1">
      <w:pPr>
        <w:spacing w:afterAutospacing="0" w:line="228" w:lineRule="auto"/>
        <w:rPr>
          <w:rFonts w:cs="Times New Roman"/>
          <w:sz w:val="16"/>
          <w:szCs w:val="14"/>
          <w:lang w:val="fi-FI"/>
        </w:rPr>
      </w:pPr>
    </w:p>
    <w:p w14:paraId="055B3C0E" w14:textId="77777777" w:rsidR="00175362" w:rsidRDefault="0059412C">
      <w:pPr>
        <w:spacing w:afterAutospacing="0" w:line="228" w:lineRule="auto"/>
        <w:rPr>
          <w:rFonts w:cs="Times New Roman"/>
          <w:lang w:val="fi-FI"/>
        </w:rPr>
      </w:pPr>
      <w:r>
        <w:rPr>
          <w:rFonts w:cs="Times New Roman"/>
          <w:lang w:val="fi-FI"/>
        </w:rPr>
        <w:t>Kirjallisuuskatsaukseen, kliiniseen kokemukseen ja markkinoille saattamisen jälkeisiin tietoihin perustuva arviointi osoittaa korkeat tekniset ja kliiniset onnistumisprosentit. Komplikaatiot, kuten verenvuoto, embolia, infektio tai allergiset reaktiot, ovat harvinaisia ja hyväksyttävien kliinisten rajojen sisällä.</w:t>
      </w:r>
    </w:p>
    <w:p w14:paraId="181B9CE9" w14:textId="77777777" w:rsidR="00175362" w:rsidRDefault="00175362" w:rsidP="003165A1">
      <w:pPr>
        <w:spacing w:afterAutospacing="0" w:line="228" w:lineRule="auto"/>
        <w:rPr>
          <w:rFonts w:cs="Times New Roman"/>
          <w:sz w:val="16"/>
          <w:szCs w:val="14"/>
          <w:lang w:val="fi-FI"/>
        </w:rPr>
      </w:pPr>
    </w:p>
    <w:p w14:paraId="765F567B" w14:textId="77777777" w:rsidR="00175362" w:rsidRDefault="0059412C">
      <w:pPr>
        <w:spacing w:afterAutospacing="0" w:line="228" w:lineRule="auto"/>
        <w:rPr>
          <w:rFonts w:cs="Times New Roman"/>
          <w:lang w:val="fi-FI"/>
        </w:rPr>
      </w:pPr>
      <w:r>
        <w:rPr>
          <w:rFonts w:cs="Times New Roman"/>
          <w:lang w:val="fi-FI"/>
        </w:rPr>
        <w:lastRenderedPageBreak/>
        <w:t>Uusia turvallisuusongelmia tai odottamattomia riskejä ei havaittu. Laite toimii vertrattavissa markkinoilla oleviin vastaaviin tuotteisiin ja ylläpitää yhdenmukaista hyöty-riskisuhdetta.</w:t>
      </w:r>
    </w:p>
    <w:p w14:paraId="4285A398" w14:textId="77777777" w:rsidR="00175362" w:rsidRDefault="00175362">
      <w:pPr>
        <w:spacing w:afterAutospacing="0" w:line="228" w:lineRule="auto"/>
        <w:rPr>
          <w:rFonts w:cs="Times New Roman"/>
          <w:sz w:val="16"/>
          <w:szCs w:val="14"/>
          <w:lang w:val="fi-FI"/>
        </w:rPr>
      </w:pPr>
    </w:p>
    <w:p w14:paraId="1BE1E240" w14:textId="469A50B4" w:rsidR="00175362" w:rsidRDefault="0059412C">
      <w:pPr>
        <w:spacing w:afterAutospacing="0" w:line="228" w:lineRule="auto"/>
        <w:rPr>
          <w:rFonts w:cs="Times New Roman"/>
          <w:lang w:val="fi-FI"/>
        </w:rPr>
      </w:pPr>
      <w:r>
        <w:rPr>
          <w:rFonts w:cs="Times New Roman"/>
          <w:lang w:val="fi-FI"/>
        </w:rPr>
        <w:t>Yhteenvetona voidaan todeta, että Atrieve Snare -laite osoittaa luotettavan suorituskykvyn ja vahvan turvallisuushistorian, mikä tukee sen jatkuvaa käyttöä kliinisissä ympäristöissä.</w:t>
      </w:r>
    </w:p>
    <w:p w14:paraId="43B17788" w14:textId="77777777" w:rsidR="00175362" w:rsidRDefault="00175362" w:rsidP="003165A1">
      <w:pPr>
        <w:spacing w:afterAutospacing="0" w:line="228" w:lineRule="auto"/>
        <w:rPr>
          <w:rFonts w:cs="Times New Roman"/>
          <w:sz w:val="16"/>
          <w:szCs w:val="14"/>
          <w:highlight w:val="yellow"/>
          <w:lang w:val="fi-FI"/>
        </w:rPr>
      </w:pPr>
    </w:p>
    <w:p w14:paraId="0A4384C9" w14:textId="77777777" w:rsidR="00175362" w:rsidRDefault="0059412C">
      <w:pPr>
        <w:spacing w:afterAutospacing="0" w:line="228" w:lineRule="auto"/>
        <w:rPr>
          <w:rFonts w:cs="Times New Roman"/>
          <w:lang w:val="fi-FI"/>
        </w:rPr>
      </w:pPr>
      <w:r>
        <w:rPr>
          <w:rFonts w:cs="Times New Roman"/>
          <w:lang w:val="fi-FI"/>
        </w:rPr>
        <w:t>Atrieven markkinoille saattamisen jälkeinen kliinistä seurantaa koskeva suunnitelma (PMCFP) hahmottelee jäsennellyn lähestymistavan tuotteen turvallisuuden ja suorituskyvyn seurantaan markkinoille saattamisen jälkeen. Näitä luokan III laitteita käytetään vierasesineiden poistamiseen tai käsittelyyn kardiovaskulaarisessa järjestelmässä, ja ne on tarkoitettu tilapäiseen käyttöön.</w:t>
      </w:r>
    </w:p>
    <w:p w14:paraId="5B49C778" w14:textId="77777777" w:rsidR="00175362" w:rsidRDefault="00175362">
      <w:pPr>
        <w:spacing w:afterAutospacing="0" w:line="228" w:lineRule="auto"/>
        <w:rPr>
          <w:rFonts w:cs="Times New Roman"/>
          <w:sz w:val="16"/>
          <w:szCs w:val="14"/>
          <w:lang w:val="fi-FI"/>
        </w:rPr>
      </w:pPr>
    </w:p>
    <w:p w14:paraId="38762621" w14:textId="77777777" w:rsidR="00175362" w:rsidRDefault="0059412C">
      <w:pPr>
        <w:spacing w:after="280" w:line="228" w:lineRule="auto"/>
        <w:rPr>
          <w:rFonts w:cs="Times New Roman"/>
        </w:rPr>
      </w:pPr>
      <w:r>
        <w:rPr>
          <w:rFonts w:cs="Times New Roman"/>
          <w:lang w:val="fi-FI"/>
        </w:rPr>
        <w:t>Markkinoille saattamisen jälkeisen kliinistä seurantaa koskeva toiminta (PMCF) perustuu yleisiin menetelmiin, mukaan lukien vuosittaiset kirjallisuuskatsaukset, haittavaikutustietokantojen seuranta (esim. MAUDE) ja markkinoille saattamisen jälkeisten tarkkailuraporttien analyysi. Näiden toimien tarkoituksena on varmistaa jatkuva turvallisuus ja tehokkuus, tunnistaa ilmeneviä riskejä ja havaita käyttöaiheen vastainen käyttö. Samankaltaisten laitteiden kliinisiä tietoja tarkastellaan myös tulosten vertailemiseksi.</w:t>
      </w:r>
    </w:p>
    <w:p w14:paraId="7B3E66B7" w14:textId="77777777" w:rsidR="00175362" w:rsidRDefault="0059412C">
      <w:pPr>
        <w:pStyle w:val="Heading1"/>
        <w:rPr>
          <w:rFonts w:cs="Times New Roman"/>
        </w:rPr>
      </w:pPr>
      <w:bookmarkStart w:id="71" w:name="_Toc222741355"/>
      <w:r>
        <w:rPr>
          <w:rFonts w:cs="Times New Roman"/>
          <w:bCs/>
          <w:lang w:val="fi-FI"/>
        </w:rPr>
        <w:t>Tiivistelmä vastaavan laitteen asiaankuuluvista kliinisistä tiedoista, mikäli sovellettavissa</w:t>
      </w:r>
      <w:bookmarkEnd w:id="71"/>
      <w:r>
        <w:rPr>
          <w:rFonts w:cs="Times New Roman"/>
          <w:bCs/>
          <w:lang w:val="fi-FI"/>
        </w:rPr>
        <w:t xml:space="preserve"> </w:t>
      </w:r>
    </w:p>
    <w:p w14:paraId="23F7652E" w14:textId="77777777" w:rsidR="00175362" w:rsidRDefault="0059412C">
      <w:pPr>
        <w:spacing w:after="280"/>
        <w:ind w:firstLine="360"/>
        <w:rPr>
          <w:rFonts w:cs="Times New Roman"/>
          <w:lang w:val="pt-BR"/>
        </w:rPr>
      </w:pPr>
      <w:r>
        <w:rPr>
          <w:rFonts w:cs="Times New Roman"/>
          <w:lang w:val="fi-FI"/>
        </w:rPr>
        <w:t>Tämä osa ei ole sovellettavissa (N/A).</w:t>
      </w:r>
    </w:p>
    <w:p w14:paraId="64F1625C" w14:textId="77777777" w:rsidR="00175362" w:rsidRDefault="0059412C">
      <w:pPr>
        <w:pStyle w:val="Heading1"/>
        <w:rPr>
          <w:rFonts w:cs="Times New Roman"/>
          <w:lang w:val="pt-BR"/>
        </w:rPr>
      </w:pPr>
      <w:bookmarkStart w:id="72" w:name="_Toc222741356"/>
      <w:r>
        <w:rPr>
          <w:rFonts w:cs="Times New Roman"/>
          <w:bCs/>
          <w:lang w:val="fi-FI"/>
        </w:rPr>
        <w:t>Tiivistelmä CE-merkintää edeltävän laitteen tutkimuksista saaduista kliinisistä tiedoista, mikäli sovellettavissa</w:t>
      </w:r>
      <w:bookmarkEnd w:id="72"/>
      <w:r>
        <w:rPr>
          <w:rFonts w:cs="Times New Roman"/>
          <w:bCs/>
          <w:lang w:val="fi-FI"/>
        </w:rPr>
        <w:t xml:space="preserve"> </w:t>
      </w:r>
    </w:p>
    <w:p w14:paraId="1B575CA9" w14:textId="77777777" w:rsidR="00175362" w:rsidRDefault="0059412C">
      <w:pPr>
        <w:spacing w:after="280"/>
        <w:ind w:left="360"/>
        <w:rPr>
          <w:rFonts w:cs="Times New Roman"/>
          <w:lang w:val="pt-BR"/>
        </w:rPr>
      </w:pPr>
      <w:r>
        <w:rPr>
          <w:rFonts w:cs="Times New Roman"/>
          <w:lang w:val="fi-FI"/>
        </w:rPr>
        <w:t>Tämä osa ei ole sovellettavissa (N/A).</w:t>
      </w:r>
    </w:p>
    <w:p w14:paraId="018A6ED4" w14:textId="77777777" w:rsidR="00175362" w:rsidRDefault="0059412C">
      <w:pPr>
        <w:pStyle w:val="Heading1"/>
        <w:rPr>
          <w:rFonts w:cs="Times New Roman"/>
          <w:lang w:val="pt-BR"/>
        </w:rPr>
      </w:pPr>
      <w:bookmarkStart w:id="73" w:name="_Hlk196514030"/>
      <w:bookmarkStart w:id="74" w:name="_Toc222741357"/>
      <w:bookmarkEnd w:id="73"/>
      <w:r>
        <w:rPr>
          <w:rFonts w:cs="Times New Roman"/>
          <w:bCs/>
          <w:lang w:val="fi-FI"/>
        </w:rPr>
        <w:t>Tiivistelmä muista lähteistä saaduista kliinisistä tiedoista, mikäli sovellettavissa</w:t>
      </w:r>
      <w:bookmarkEnd w:id="74"/>
      <w:r>
        <w:rPr>
          <w:rFonts w:cs="Times New Roman"/>
          <w:bCs/>
          <w:lang w:val="fi-FI"/>
        </w:rPr>
        <w:t xml:space="preserve"> </w:t>
      </w:r>
    </w:p>
    <w:p w14:paraId="36CA6DAB" w14:textId="77777777" w:rsidR="00175362" w:rsidRDefault="0059412C" w:rsidP="003165A1">
      <w:pPr>
        <w:spacing w:beforeAutospacing="1" w:afterAutospacing="0" w:line="228" w:lineRule="auto"/>
        <w:rPr>
          <w:rFonts w:eastAsia="Times New Roman" w:cs="Times New Roman"/>
          <w:szCs w:val="24"/>
          <w:lang w:val="pt-BR"/>
        </w:rPr>
      </w:pPr>
      <w:r>
        <w:rPr>
          <w:rFonts w:eastAsia="Times New Roman" w:cs="Times New Roman"/>
          <w:szCs w:val="24"/>
          <w:lang w:val="fi-FI"/>
        </w:rPr>
        <w:t>Raporttia CER-029 Rev B tukee kattava ulkoisten kliinisten tietojen tarkastelu, mukaan lukien:</w:t>
      </w:r>
    </w:p>
    <w:p w14:paraId="0EDE0ADF" w14:textId="77777777" w:rsidR="00175362" w:rsidRDefault="0059412C">
      <w:pPr>
        <w:spacing w:afterAutospacing="0" w:line="228" w:lineRule="auto"/>
        <w:rPr>
          <w:rFonts w:cs="Times New Roman"/>
          <w:lang w:val="fi-FI"/>
        </w:rPr>
      </w:pPr>
      <w:r>
        <w:rPr>
          <w:rFonts w:cs="Times New Roman"/>
          <w:szCs w:val="24"/>
          <w:lang w:val="fi-FI"/>
        </w:rPr>
        <w:t>Uusin kirjallisuus (SOA): Systemaattisessa katsauksessa 579 artikkeliin löydettiin 16 merkityksellistä tutkimusta samankaltaisista laitteista ja toimenpiteistä. Nämä tutkimukset osoittivat korkeat teknistet onnistumisprosentit (≥91,2 %) ja alhaiset komplikaatioiden esiintymisprosentit (≤1,1 %), mikä loi vertailuarvot turvallisuudelle ja suorituskyvylle.</w:t>
      </w:r>
      <w:r>
        <w:rPr>
          <w:rFonts w:cs="Times New Roman"/>
          <w:lang w:val="fi-FI"/>
        </w:rPr>
        <w:t xml:space="preserve"> </w:t>
      </w:r>
    </w:p>
    <w:p w14:paraId="7753D278" w14:textId="77777777" w:rsidR="00175362" w:rsidRDefault="00175362" w:rsidP="003165A1">
      <w:pPr>
        <w:spacing w:afterAutospacing="0" w:line="228" w:lineRule="auto"/>
        <w:rPr>
          <w:rFonts w:cs="Times New Roman"/>
          <w:sz w:val="16"/>
          <w:szCs w:val="14"/>
          <w:lang w:val="fi-FI"/>
        </w:rPr>
      </w:pPr>
    </w:p>
    <w:p w14:paraId="65BE2E0B" w14:textId="77777777" w:rsidR="00175362" w:rsidRDefault="0059412C">
      <w:pPr>
        <w:spacing w:afterAutospacing="0" w:line="228" w:lineRule="auto"/>
        <w:rPr>
          <w:rFonts w:cs="Times New Roman"/>
          <w:lang w:val="fi-FI"/>
        </w:rPr>
      </w:pPr>
      <w:r>
        <w:rPr>
          <w:rFonts w:cs="Times New Roman"/>
          <w:szCs w:val="24"/>
          <w:lang w:val="fi-FI"/>
        </w:rPr>
        <w:t>Kirjallisuus kilpailevista laitteista: Kahdeksan tutkimusta vastaavista laitteista (esim. EN Snare, GooseNeck, CloverSnare) vahvisti samankaltaiset turvallisuus- ja tehokkuusprofiilit, mikä vahvisti verisuonisilmukkalaitteiden hoitostandardin.</w:t>
      </w:r>
      <w:r>
        <w:rPr>
          <w:rFonts w:cs="Times New Roman"/>
          <w:lang w:val="fi-FI"/>
        </w:rPr>
        <w:t xml:space="preserve"> </w:t>
      </w:r>
    </w:p>
    <w:p w14:paraId="4BF93DED" w14:textId="77777777" w:rsidR="00175362" w:rsidRDefault="00175362" w:rsidP="003165A1">
      <w:pPr>
        <w:spacing w:afterAutospacing="0" w:line="228" w:lineRule="auto"/>
        <w:rPr>
          <w:rFonts w:cs="Times New Roman"/>
          <w:sz w:val="16"/>
          <w:szCs w:val="14"/>
          <w:lang w:val="fi-FI"/>
        </w:rPr>
      </w:pPr>
    </w:p>
    <w:p w14:paraId="33C99673" w14:textId="77777777" w:rsidR="00175362" w:rsidRDefault="0059412C">
      <w:pPr>
        <w:spacing w:afterAutospacing="0" w:line="228" w:lineRule="auto"/>
        <w:rPr>
          <w:rFonts w:eastAsia="Times New Roman" w:cs="Times New Roman"/>
          <w:szCs w:val="24"/>
          <w:lang w:val="fi-FI"/>
        </w:rPr>
      </w:pPr>
      <w:r>
        <w:rPr>
          <w:rFonts w:eastAsia="Times New Roman" w:cs="Times New Roman"/>
          <w:szCs w:val="24"/>
          <w:lang w:val="fi-FI"/>
        </w:rPr>
        <w:t>Kliiniset ohjeet: Ammattiyhdistysten (esim. SIR, ESC, KDOQI) suositukset tukevat perkutaanisten poistomenetelmien, mukaan lukien ansat, käyttöä ensisijaisena hoitona vierasesineiden poistamiseksi kardiovaskulaarisessa järjestelmästä.</w:t>
      </w:r>
    </w:p>
    <w:p w14:paraId="579D7C16" w14:textId="77777777" w:rsidR="00175362" w:rsidRDefault="00175362" w:rsidP="003165A1">
      <w:pPr>
        <w:spacing w:afterAutospacing="0" w:line="228" w:lineRule="auto"/>
        <w:rPr>
          <w:rFonts w:eastAsia="Times New Roman" w:cs="Times New Roman"/>
          <w:sz w:val="16"/>
          <w:szCs w:val="16"/>
          <w:lang w:val="fi-FI"/>
        </w:rPr>
      </w:pPr>
    </w:p>
    <w:p w14:paraId="4FAE4EAE" w14:textId="77777777" w:rsidR="00175362" w:rsidRDefault="0059412C">
      <w:pPr>
        <w:spacing w:afterAutospacing="0" w:line="228" w:lineRule="auto"/>
        <w:rPr>
          <w:rFonts w:eastAsia="Times New Roman" w:cs="Times New Roman"/>
          <w:szCs w:val="24"/>
          <w:lang w:val="fi-FI"/>
        </w:rPr>
      </w:pPr>
      <w:r>
        <w:rPr>
          <w:rFonts w:eastAsia="Times New Roman" w:cs="Times New Roman"/>
          <w:szCs w:val="24"/>
          <w:lang w:val="fi-FI"/>
        </w:rPr>
        <w:t>Laitetta koskeva kirjallisuus: Kolmetoista Atrieve-tuoteita koskevaa julkaisua (mukaan lukien tapausselostukset ja retrospektiiviset tutkimukset) osoittivat 100-prosenttisen teknisen onnistumisen ja 94,5 %:n kliinisen onnistumisen, ja haittavaikutukset olivat vähäisiä. Jotkin suorituskykymittarit olivat hieman SOA-vertailuarvoja alhaisemmat, mutta pysyivät hyväksyttävien kliinisten rajojen sisällä.</w:t>
      </w:r>
    </w:p>
    <w:p w14:paraId="6D0D3842" w14:textId="77777777" w:rsidR="00175362" w:rsidRDefault="00175362" w:rsidP="003165A1">
      <w:pPr>
        <w:spacing w:afterAutospacing="0" w:line="228" w:lineRule="auto"/>
        <w:rPr>
          <w:rFonts w:eastAsia="Times New Roman" w:cs="Times New Roman"/>
          <w:sz w:val="16"/>
          <w:szCs w:val="16"/>
          <w:lang w:val="fi-FI"/>
        </w:rPr>
      </w:pPr>
    </w:p>
    <w:p w14:paraId="2F342E05" w14:textId="77777777" w:rsidR="00175362" w:rsidRDefault="0059412C">
      <w:pPr>
        <w:spacing w:afterAutospacing="0" w:line="228" w:lineRule="auto"/>
        <w:rPr>
          <w:rFonts w:eastAsia="Times New Roman" w:cs="Times New Roman"/>
          <w:szCs w:val="24"/>
          <w:lang w:val="fi-FI"/>
        </w:rPr>
      </w:pPr>
      <w:r>
        <w:rPr>
          <w:rFonts w:eastAsia="Times New Roman" w:cs="Times New Roman"/>
          <w:szCs w:val="24"/>
          <w:lang w:val="fi-FI"/>
        </w:rPr>
        <w:t xml:space="preserve">Lisäksi raportti sisältää markkinoille saattamisen jälkeisen seurannan (PMS) tiedot, jotka on kerätty Atrieve-tuotteen strukturoitujen seurantasuunnitelmien avulla. Näihin kuuluvat viiden vuoden aikana suoritetut valitusten ja haittavaikutusten seurannat sekä korjaavat toimenpiteet. Huolimatta suuresta </w:t>
      </w:r>
      <w:r>
        <w:rPr>
          <w:rFonts w:eastAsia="Times New Roman" w:cs="Times New Roman"/>
          <w:szCs w:val="24"/>
          <w:lang w:val="fi-FI"/>
        </w:rPr>
        <w:lastRenderedPageBreak/>
        <w:t>maailmanlaajuisen myynnin määrästä, PMS-tiedot eivät paljastaneet uusia turvallisuustrendejä tai odottamattomia riskejä, mikä tukee laitteiden turvallisuusprofiilia todellisissa olosuhteissa.</w:t>
      </w:r>
    </w:p>
    <w:p w14:paraId="7FD63AF9" w14:textId="77777777" w:rsidR="00175362" w:rsidRDefault="00175362">
      <w:pPr>
        <w:spacing w:afterAutospacing="0" w:line="228" w:lineRule="auto"/>
        <w:rPr>
          <w:rFonts w:eastAsia="Times New Roman" w:cs="Times New Roman"/>
          <w:sz w:val="16"/>
          <w:szCs w:val="16"/>
          <w:lang w:val="fi-FI"/>
        </w:rPr>
      </w:pPr>
    </w:p>
    <w:p w14:paraId="58A15565" w14:textId="77777777" w:rsidR="00175362" w:rsidRPr="003165A1" w:rsidRDefault="0059412C">
      <w:pPr>
        <w:spacing w:after="280" w:line="228" w:lineRule="auto"/>
        <w:rPr>
          <w:lang w:val="fi-FI"/>
        </w:rPr>
      </w:pPr>
      <w:r w:rsidRPr="003165A1">
        <w:rPr>
          <w:rFonts w:eastAsia="Times New Roman" w:cs="Times New Roman"/>
          <w:szCs w:val="24"/>
          <w:lang w:val="fi-FI"/>
        </w:rPr>
        <w:t>Lopuksi, ei-kliiniset tiedot, mukaan lukien laboratoriotestit ja bioyhteensopivuusarvioinnit, osoittavat, että laitteet täyttävät kaikki suunnittelu- ja sääntelystandardit. Vaikka näille laitteille ei suoritettu kliinisiä tutkimuksia, tämä oli oikeutettua kattavilen kirjallisuudesta, markkinoille saattamisen jälkeisistä lähteistä ja vanhojen laitteiden käytöstä saatujen tietojen perusteella. Yleisesti ottaen nämä eri tietolähteet tukevat yhdessä laitteiden turvallisuutta ja tehokkuutta EU:n lääkintälaiteasetuksen vaatimusten (</w:t>
      </w:r>
      <w:r w:rsidRPr="003165A1">
        <w:rPr>
          <w:rFonts w:cs="Times New Roman"/>
          <w:szCs w:val="24"/>
          <w:lang w:val="fi-FI"/>
        </w:rPr>
        <w:t>MDR</w:t>
      </w:r>
      <w:r w:rsidRPr="003165A1">
        <w:rPr>
          <w:rFonts w:eastAsia="Times New Roman" w:cs="Times New Roman"/>
          <w:szCs w:val="24"/>
          <w:lang w:val="fi-FI"/>
        </w:rPr>
        <w:t>) mukaisesti.</w:t>
      </w:r>
    </w:p>
    <w:p w14:paraId="3CCF51A9" w14:textId="77777777" w:rsidR="00175362" w:rsidRDefault="0059412C" w:rsidP="003165A1">
      <w:pPr>
        <w:pStyle w:val="Heading1"/>
        <w:spacing w:line="216" w:lineRule="auto"/>
        <w:rPr>
          <w:rFonts w:cs="Times New Roman"/>
          <w:lang w:val="fi-FI"/>
        </w:rPr>
      </w:pPr>
      <w:bookmarkStart w:id="75" w:name="_Toc222741358"/>
      <w:r>
        <w:rPr>
          <w:rFonts w:cs="Times New Roman"/>
          <w:bCs/>
          <w:lang w:val="fi-FI"/>
        </w:rPr>
        <w:t>Yleinen yhteenveto kliinisestä suorituskyvystä ja turvallisuudesta</w:t>
      </w:r>
      <w:bookmarkEnd w:id="75"/>
      <w:r>
        <w:rPr>
          <w:rFonts w:cs="Times New Roman"/>
          <w:bCs/>
          <w:lang w:val="fi-FI"/>
        </w:rPr>
        <w:t xml:space="preserve"> </w:t>
      </w:r>
    </w:p>
    <w:p w14:paraId="787C90CA" w14:textId="77777777" w:rsidR="00175362" w:rsidRDefault="00175362">
      <w:pPr>
        <w:spacing w:afterAutospacing="0" w:line="216" w:lineRule="auto"/>
        <w:rPr>
          <w:rFonts w:eastAsia="Times New Roman" w:cs="Times New Roman"/>
          <w:iCs/>
          <w:sz w:val="12"/>
          <w:szCs w:val="12"/>
          <w:lang w:val="fi-FI"/>
        </w:rPr>
      </w:pPr>
    </w:p>
    <w:p w14:paraId="5DCB91C3" w14:textId="1BA583BC" w:rsidR="00175362" w:rsidRPr="003165A1" w:rsidRDefault="0059412C">
      <w:pPr>
        <w:spacing w:afterAutospacing="0" w:line="216" w:lineRule="auto"/>
        <w:rPr>
          <w:lang w:val="fi-FI"/>
        </w:rPr>
      </w:pPr>
      <w:r w:rsidRPr="003165A1">
        <w:rPr>
          <w:rFonts w:eastAsia="Times New Roman" w:cs="Times New Roman"/>
          <w:szCs w:val="24"/>
          <w:lang w:val="fi-FI"/>
        </w:rPr>
        <w:t>Atrieve Vaskulaarinen Snare -tarvikesarjan raporttien X9585730-0321-EU Rev A ja CER-029 Rev B perusteella laitteen yleinen kliininen suorituskyky ja turvallisuusprofiili ovat suotuisat ja vastaavat sen käyttötarkoituksen mukaisia odotuksia.</w:t>
      </w:r>
    </w:p>
    <w:p w14:paraId="65A3D3C2" w14:textId="77777777" w:rsidR="00175362" w:rsidRDefault="00175362" w:rsidP="003165A1">
      <w:pPr>
        <w:spacing w:afterAutospacing="0" w:line="216" w:lineRule="auto"/>
        <w:rPr>
          <w:rFonts w:eastAsia="Times New Roman" w:cs="Times New Roman"/>
          <w:iCs/>
          <w:sz w:val="16"/>
          <w:szCs w:val="16"/>
          <w:lang w:val="fi-FI"/>
        </w:rPr>
      </w:pPr>
    </w:p>
    <w:p w14:paraId="58FFA539" w14:textId="77777777" w:rsidR="00175362" w:rsidRDefault="0059412C">
      <w:pPr>
        <w:spacing w:afterAutospacing="0" w:line="216" w:lineRule="auto"/>
        <w:rPr>
          <w:rFonts w:cs="Times New Roman"/>
          <w:lang w:val="fi-FI"/>
        </w:rPr>
      </w:pPr>
      <w:r>
        <w:rPr>
          <w:rFonts w:cs="Times New Roman"/>
          <w:lang w:val="fi-FI"/>
        </w:rPr>
        <w:t xml:space="preserve">Laite on suunniteltu </w:t>
      </w:r>
      <w:r>
        <w:rPr>
          <w:rStyle w:val="Strong"/>
          <w:rFonts w:cs="Times New Roman"/>
          <w:lang w:val="fi-FI"/>
        </w:rPr>
        <w:t>vierasesineiden perkutaaniseen poistoon ja käsittelyyn</w:t>
      </w:r>
      <w:r>
        <w:rPr>
          <w:rFonts w:cs="Times New Roman"/>
          <w:lang w:val="fi-FI"/>
        </w:rPr>
        <w:t xml:space="preserve"> kardiovaskulaarisessa järjestelmässä tai ontossa viskoosissa. Tärkeimpiä kliinisiä hyötyjä ovat minimaalisesti invasiivinen poisto, pienempi potilasriski ja alhaisemmat komplikaatioiden esiintymisluvut verrattuna kirurgisiin vaihtoehtoihin.</w:t>
      </w:r>
    </w:p>
    <w:p w14:paraId="62725D30" w14:textId="77777777" w:rsidR="00175362" w:rsidRDefault="00175362" w:rsidP="003165A1">
      <w:pPr>
        <w:spacing w:afterAutospacing="0" w:line="216" w:lineRule="auto"/>
        <w:rPr>
          <w:rFonts w:eastAsia="Times New Roman" w:cs="Times New Roman"/>
          <w:iCs/>
          <w:sz w:val="14"/>
          <w:szCs w:val="14"/>
          <w:lang w:val="fi-FI"/>
        </w:rPr>
      </w:pPr>
    </w:p>
    <w:p w14:paraId="586DE057" w14:textId="77777777" w:rsidR="00175362" w:rsidRDefault="0059412C">
      <w:pPr>
        <w:spacing w:afterAutospacing="0" w:line="240" w:lineRule="auto"/>
        <w:rPr>
          <w:rFonts w:eastAsia="Times New Roman" w:cs="Times New Roman"/>
          <w:iCs/>
          <w:szCs w:val="24"/>
          <w:lang w:val="fi-FI"/>
        </w:rPr>
      </w:pPr>
      <w:r>
        <w:rPr>
          <w:rFonts w:eastAsia="Times New Roman" w:cs="Times New Roman"/>
          <w:szCs w:val="24"/>
          <w:lang w:val="fi-FI"/>
        </w:rPr>
        <w:t>Kliinisessä arvioinnissa määritellään seuraavat tulosmittarit:</w:t>
      </w:r>
    </w:p>
    <w:tbl>
      <w:tblPr>
        <w:tblW w:w="5000" w:type="pct"/>
        <w:jc w:val="center"/>
        <w:tblLayout w:type="fixed"/>
        <w:tblCellMar>
          <w:top w:w="120" w:type="dxa"/>
          <w:left w:w="180" w:type="dxa"/>
          <w:bottom w:w="105" w:type="dxa"/>
          <w:right w:w="120" w:type="dxa"/>
        </w:tblCellMar>
        <w:tblLook w:val="04A0" w:firstRow="1" w:lastRow="0" w:firstColumn="1" w:lastColumn="0" w:noHBand="0" w:noVBand="1"/>
      </w:tblPr>
      <w:tblGrid>
        <w:gridCol w:w="3045"/>
        <w:gridCol w:w="7385"/>
      </w:tblGrid>
      <w:tr w:rsidR="00175362" w14:paraId="780A3C03" w14:textId="77777777">
        <w:trPr>
          <w:trHeight w:val="127"/>
          <w:tblHeader/>
          <w:jc w:val="center"/>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F5F5F5"/>
          </w:tcPr>
          <w:p w14:paraId="0A4444A6" w14:textId="77777777" w:rsidR="00175362" w:rsidRDefault="0059412C" w:rsidP="003165A1">
            <w:pPr>
              <w:spacing w:afterAutospacing="0" w:line="216" w:lineRule="auto"/>
              <w:jc w:val="center"/>
              <w:rPr>
                <w:rFonts w:eastAsia="Times New Roman" w:cs="Times New Roman"/>
                <w:b/>
                <w:bCs/>
              </w:rPr>
            </w:pPr>
            <w:r>
              <w:rPr>
                <w:rFonts w:eastAsia="Times New Roman" w:cs="Times New Roman"/>
                <w:b/>
                <w:bCs/>
                <w:lang w:val="fi-FI"/>
              </w:rPr>
              <w:t>Suorituskykymittaukset</w:t>
            </w:r>
          </w:p>
        </w:tc>
      </w:tr>
      <w:tr w:rsidR="00175362" w14:paraId="3A82928B" w14:textId="77777777">
        <w:trPr>
          <w:tblHeader/>
          <w:jc w:val="center"/>
        </w:trPr>
        <w:tc>
          <w:tcPr>
            <w:tcW w:w="3048" w:type="dxa"/>
            <w:tcBorders>
              <w:top w:val="single" w:sz="4" w:space="0" w:color="000000"/>
              <w:left w:val="single" w:sz="4" w:space="0" w:color="000000"/>
              <w:bottom w:val="single" w:sz="4" w:space="0" w:color="000000"/>
              <w:right w:val="single" w:sz="4" w:space="0" w:color="000000"/>
            </w:tcBorders>
            <w:shd w:val="clear" w:color="auto" w:fill="F5F5F5"/>
          </w:tcPr>
          <w:p w14:paraId="3BAD49A2" w14:textId="77777777" w:rsidR="00175362" w:rsidRDefault="0059412C" w:rsidP="003165A1">
            <w:pPr>
              <w:spacing w:afterAutospacing="0" w:line="216" w:lineRule="auto"/>
              <w:jc w:val="center"/>
              <w:rPr>
                <w:rFonts w:eastAsia="Times New Roman" w:cs="Times New Roman"/>
                <w:b/>
                <w:bCs/>
              </w:rPr>
            </w:pPr>
            <w:r>
              <w:rPr>
                <w:rFonts w:eastAsia="Times New Roman" w:cs="Times New Roman"/>
                <w:b/>
                <w:bCs/>
                <w:lang w:val="fi-FI"/>
              </w:rPr>
              <w:t>Mittaus</w:t>
            </w:r>
          </w:p>
        </w:tc>
        <w:tc>
          <w:tcPr>
            <w:tcW w:w="7392" w:type="dxa"/>
            <w:tcBorders>
              <w:top w:val="single" w:sz="4" w:space="0" w:color="000000"/>
              <w:left w:val="single" w:sz="4" w:space="0" w:color="000000"/>
              <w:bottom w:val="single" w:sz="4" w:space="0" w:color="000000"/>
              <w:right w:val="single" w:sz="4" w:space="0" w:color="000000"/>
            </w:tcBorders>
            <w:shd w:val="clear" w:color="auto" w:fill="F5F5F5"/>
          </w:tcPr>
          <w:p w14:paraId="01EEA026" w14:textId="77777777" w:rsidR="00175362" w:rsidRDefault="0059412C" w:rsidP="003165A1">
            <w:pPr>
              <w:spacing w:afterAutospacing="0" w:line="216" w:lineRule="auto"/>
              <w:jc w:val="center"/>
              <w:rPr>
                <w:rFonts w:eastAsia="Times New Roman" w:cs="Times New Roman"/>
                <w:b/>
                <w:bCs/>
              </w:rPr>
            </w:pPr>
            <w:r>
              <w:rPr>
                <w:rFonts w:eastAsia="Times New Roman" w:cs="Times New Roman"/>
                <w:b/>
                <w:bCs/>
                <w:lang w:val="fi-FI"/>
              </w:rPr>
              <w:t>Määritelmä</w:t>
            </w:r>
          </w:p>
        </w:tc>
      </w:tr>
      <w:tr w:rsidR="00175362" w14:paraId="78680231" w14:textId="77777777">
        <w:trPr>
          <w:jc w:val="center"/>
        </w:trPr>
        <w:tc>
          <w:tcPr>
            <w:tcW w:w="3048" w:type="dxa"/>
            <w:tcBorders>
              <w:top w:val="single" w:sz="4" w:space="0" w:color="000000"/>
              <w:left w:val="single" w:sz="4" w:space="0" w:color="000000"/>
              <w:bottom w:val="single" w:sz="4" w:space="0" w:color="000000"/>
              <w:right w:val="single" w:sz="4" w:space="0" w:color="000000"/>
            </w:tcBorders>
          </w:tcPr>
          <w:p w14:paraId="3E3CB5F1" w14:textId="77777777" w:rsidR="00175362" w:rsidRDefault="0059412C" w:rsidP="003165A1">
            <w:pPr>
              <w:spacing w:afterAutospacing="0" w:line="216" w:lineRule="auto"/>
              <w:jc w:val="center"/>
              <w:rPr>
                <w:rFonts w:eastAsia="Times New Roman" w:cs="Times New Roman"/>
              </w:rPr>
            </w:pPr>
            <w:r>
              <w:rPr>
                <w:rFonts w:eastAsia="Times New Roman" w:cs="Times New Roman"/>
                <w:b/>
                <w:bCs/>
                <w:lang w:val="fi-FI"/>
              </w:rPr>
              <w:t>Tekninen onnistuminen</w:t>
            </w:r>
          </w:p>
        </w:tc>
        <w:tc>
          <w:tcPr>
            <w:tcW w:w="7392" w:type="dxa"/>
            <w:tcBorders>
              <w:top w:val="single" w:sz="4" w:space="0" w:color="000000"/>
              <w:left w:val="single" w:sz="4" w:space="0" w:color="000000"/>
              <w:bottom w:val="single" w:sz="4" w:space="0" w:color="000000"/>
              <w:right w:val="single" w:sz="4" w:space="0" w:color="000000"/>
            </w:tcBorders>
          </w:tcPr>
          <w:p w14:paraId="3A1CA80E" w14:textId="77777777" w:rsidR="00175362" w:rsidRDefault="0059412C" w:rsidP="003165A1">
            <w:pPr>
              <w:spacing w:afterAutospacing="0" w:line="216" w:lineRule="auto"/>
              <w:jc w:val="center"/>
              <w:rPr>
                <w:rFonts w:eastAsia="Times New Roman" w:cs="Times New Roman"/>
              </w:rPr>
            </w:pPr>
            <w:r>
              <w:rPr>
                <w:rFonts w:eastAsia="Times New Roman" w:cs="Times New Roman"/>
                <w:lang w:val="fi-FI"/>
              </w:rPr>
              <w:t>Vierasesineiden onnistunut poisto/käsittely</w:t>
            </w:r>
          </w:p>
        </w:tc>
      </w:tr>
      <w:tr w:rsidR="00175362" w14:paraId="19828DC5" w14:textId="77777777">
        <w:trPr>
          <w:jc w:val="center"/>
        </w:trPr>
        <w:tc>
          <w:tcPr>
            <w:tcW w:w="3048" w:type="dxa"/>
            <w:tcBorders>
              <w:top w:val="single" w:sz="4" w:space="0" w:color="000000"/>
              <w:left w:val="single" w:sz="4" w:space="0" w:color="000000"/>
              <w:bottom w:val="single" w:sz="4" w:space="0" w:color="000000"/>
              <w:right w:val="single" w:sz="4" w:space="0" w:color="000000"/>
            </w:tcBorders>
            <w:tcMar>
              <w:bottom w:w="90" w:type="dxa"/>
            </w:tcMar>
          </w:tcPr>
          <w:p w14:paraId="4928FB3A" w14:textId="77777777" w:rsidR="00175362" w:rsidRDefault="0059412C" w:rsidP="003165A1">
            <w:pPr>
              <w:spacing w:afterAutospacing="0" w:line="216" w:lineRule="auto"/>
              <w:jc w:val="center"/>
              <w:rPr>
                <w:rFonts w:eastAsia="Times New Roman" w:cs="Times New Roman"/>
              </w:rPr>
            </w:pPr>
            <w:r>
              <w:rPr>
                <w:rFonts w:eastAsia="Times New Roman" w:cs="Times New Roman"/>
                <w:b/>
                <w:bCs/>
                <w:lang w:val="fi-FI"/>
              </w:rPr>
              <w:t>Kliininen onnistuminen</w:t>
            </w:r>
          </w:p>
        </w:tc>
        <w:tc>
          <w:tcPr>
            <w:tcW w:w="7392" w:type="dxa"/>
            <w:tcBorders>
              <w:top w:val="single" w:sz="4" w:space="0" w:color="000000"/>
              <w:left w:val="single" w:sz="4" w:space="0" w:color="000000"/>
              <w:bottom w:val="single" w:sz="4" w:space="0" w:color="000000"/>
              <w:right w:val="single" w:sz="4" w:space="0" w:color="000000"/>
            </w:tcBorders>
            <w:tcMar>
              <w:bottom w:w="90" w:type="dxa"/>
            </w:tcMar>
          </w:tcPr>
          <w:p w14:paraId="443AA96D" w14:textId="77777777" w:rsidR="00175362" w:rsidRDefault="0059412C" w:rsidP="003165A1">
            <w:pPr>
              <w:spacing w:afterAutospacing="0" w:line="216" w:lineRule="auto"/>
              <w:jc w:val="center"/>
              <w:rPr>
                <w:rFonts w:eastAsia="Times New Roman" w:cs="Times New Roman"/>
              </w:rPr>
            </w:pPr>
            <w:r>
              <w:rPr>
                <w:rFonts w:eastAsia="Times New Roman" w:cs="Times New Roman"/>
                <w:lang w:val="fi-FI"/>
              </w:rPr>
              <w:t>Onnistunut poisto/käsittely ilman toimenpiteeseen liittyviä komplikaatioita</w:t>
            </w:r>
          </w:p>
        </w:tc>
      </w:tr>
    </w:tbl>
    <w:p w14:paraId="408589DF" w14:textId="77777777" w:rsidR="00175362" w:rsidRDefault="00175362">
      <w:pPr>
        <w:spacing w:afterAutospacing="0" w:line="216" w:lineRule="auto"/>
        <w:rPr>
          <w:rFonts w:eastAsia="Times New Roman" w:cs="Times New Roman"/>
          <w:iCs/>
          <w:szCs w:val="24"/>
        </w:rPr>
      </w:pPr>
    </w:p>
    <w:tbl>
      <w:tblPr>
        <w:tblW w:w="10430" w:type="dxa"/>
        <w:jc w:val="center"/>
        <w:tblLayout w:type="fixed"/>
        <w:tblCellMar>
          <w:top w:w="120" w:type="dxa"/>
          <w:left w:w="180" w:type="dxa"/>
          <w:bottom w:w="105" w:type="dxa"/>
          <w:right w:w="120" w:type="dxa"/>
        </w:tblCellMar>
        <w:tblLook w:val="04A0" w:firstRow="1" w:lastRow="0" w:firstColumn="1" w:lastColumn="0" w:noHBand="0" w:noVBand="1"/>
      </w:tblPr>
      <w:tblGrid>
        <w:gridCol w:w="3893"/>
        <w:gridCol w:w="6537"/>
      </w:tblGrid>
      <w:tr w:rsidR="00175362" w14:paraId="4C79BFBE" w14:textId="77777777">
        <w:trPr>
          <w:tblHeader/>
          <w:jc w:val="center"/>
        </w:trPr>
        <w:tc>
          <w:tcPr>
            <w:tcW w:w="10430" w:type="dxa"/>
            <w:gridSpan w:val="2"/>
            <w:tcBorders>
              <w:top w:val="single" w:sz="4" w:space="0" w:color="000000"/>
              <w:left w:val="single" w:sz="4" w:space="0" w:color="000000"/>
              <w:bottom w:val="single" w:sz="4" w:space="0" w:color="000000"/>
              <w:right w:val="single" w:sz="4" w:space="0" w:color="000000"/>
            </w:tcBorders>
            <w:shd w:val="clear" w:color="auto" w:fill="F5F5F5"/>
          </w:tcPr>
          <w:p w14:paraId="5E06F88A" w14:textId="77777777" w:rsidR="00175362" w:rsidRDefault="0059412C" w:rsidP="003165A1">
            <w:pPr>
              <w:spacing w:afterAutospacing="0" w:line="216" w:lineRule="auto"/>
              <w:jc w:val="center"/>
              <w:rPr>
                <w:rFonts w:eastAsia="Times New Roman" w:cs="Times New Roman"/>
                <w:b/>
                <w:bCs/>
              </w:rPr>
            </w:pPr>
            <w:r>
              <w:rPr>
                <w:rFonts w:eastAsia="Times New Roman" w:cs="Times New Roman"/>
                <w:b/>
                <w:bCs/>
                <w:lang w:val="fi-FI"/>
              </w:rPr>
              <w:t>Turvallisuustoimenpiteet</w:t>
            </w:r>
          </w:p>
        </w:tc>
      </w:tr>
      <w:tr w:rsidR="00175362" w14:paraId="5627B983" w14:textId="77777777">
        <w:trPr>
          <w:tblHeader/>
          <w:jc w:val="center"/>
        </w:trPr>
        <w:tc>
          <w:tcPr>
            <w:tcW w:w="3893" w:type="dxa"/>
            <w:tcBorders>
              <w:top w:val="single" w:sz="4" w:space="0" w:color="000000"/>
              <w:left w:val="single" w:sz="4" w:space="0" w:color="000000"/>
              <w:bottom w:val="single" w:sz="4" w:space="0" w:color="000000"/>
              <w:right w:val="single" w:sz="4" w:space="0" w:color="000000"/>
            </w:tcBorders>
            <w:shd w:val="clear" w:color="auto" w:fill="F5F5F5"/>
          </w:tcPr>
          <w:p w14:paraId="75BDAE4B" w14:textId="77777777" w:rsidR="00175362" w:rsidRDefault="0059412C" w:rsidP="003165A1">
            <w:pPr>
              <w:spacing w:afterAutospacing="0" w:line="216" w:lineRule="auto"/>
              <w:jc w:val="center"/>
              <w:rPr>
                <w:rFonts w:eastAsia="Times New Roman" w:cs="Times New Roman"/>
                <w:b/>
                <w:bCs/>
              </w:rPr>
            </w:pPr>
            <w:r>
              <w:rPr>
                <w:rFonts w:eastAsia="Times New Roman" w:cs="Times New Roman"/>
                <w:b/>
                <w:bCs/>
                <w:lang w:val="fi-FI"/>
              </w:rPr>
              <w:t>Mittaus</w:t>
            </w:r>
          </w:p>
        </w:tc>
        <w:tc>
          <w:tcPr>
            <w:tcW w:w="6537" w:type="dxa"/>
            <w:tcBorders>
              <w:top w:val="single" w:sz="4" w:space="0" w:color="000000"/>
              <w:left w:val="single" w:sz="4" w:space="0" w:color="000000"/>
              <w:bottom w:val="single" w:sz="4" w:space="0" w:color="000000"/>
              <w:right w:val="single" w:sz="4" w:space="0" w:color="000000"/>
            </w:tcBorders>
            <w:shd w:val="clear" w:color="auto" w:fill="F5F5F5"/>
          </w:tcPr>
          <w:p w14:paraId="08D45E06" w14:textId="77777777" w:rsidR="00175362" w:rsidRDefault="0059412C" w:rsidP="003165A1">
            <w:pPr>
              <w:spacing w:afterAutospacing="0" w:line="216" w:lineRule="auto"/>
              <w:jc w:val="center"/>
              <w:rPr>
                <w:rFonts w:eastAsia="Times New Roman" w:cs="Times New Roman"/>
                <w:b/>
                <w:bCs/>
              </w:rPr>
            </w:pPr>
            <w:r>
              <w:rPr>
                <w:rFonts w:eastAsia="Times New Roman" w:cs="Times New Roman"/>
                <w:b/>
                <w:bCs/>
                <w:lang w:val="fi-FI"/>
              </w:rPr>
              <w:t>Määritelmä</w:t>
            </w:r>
          </w:p>
        </w:tc>
      </w:tr>
      <w:tr w:rsidR="00175362" w:rsidRPr="00DE0C6B" w14:paraId="5BB58941" w14:textId="77777777">
        <w:trPr>
          <w:jc w:val="center"/>
        </w:trPr>
        <w:tc>
          <w:tcPr>
            <w:tcW w:w="3893" w:type="dxa"/>
            <w:tcBorders>
              <w:top w:val="single" w:sz="4" w:space="0" w:color="000000"/>
              <w:left w:val="single" w:sz="4" w:space="0" w:color="000000"/>
              <w:bottom w:val="single" w:sz="4" w:space="0" w:color="000000"/>
              <w:right w:val="single" w:sz="4" w:space="0" w:color="000000"/>
            </w:tcBorders>
          </w:tcPr>
          <w:p w14:paraId="4D04AC4F" w14:textId="77777777" w:rsidR="00175362" w:rsidRDefault="0059412C" w:rsidP="003165A1">
            <w:pPr>
              <w:spacing w:afterAutospacing="0" w:line="216" w:lineRule="auto"/>
              <w:jc w:val="center"/>
              <w:rPr>
                <w:rFonts w:eastAsia="Times New Roman" w:cs="Times New Roman"/>
              </w:rPr>
            </w:pPr>
            <w:r>
              <w:rPr>
                <w:rFonts w:eastAsia="Times New Roman" w:cs="Times New Roman"/>
                <w:b/>
                <w:bCs/>
                <w:lang w:val="fi-FI"/>
              </w:rPr>
              <w:t>Toimenpiteeseen liittyvät komplikaatiot</w:t>
            </w:r>
          </w:p>
        </w:tc>
        <w:tc>
          <w:tcPr>
            <w:tcW w:w="6537" w:type="dxa"/>
            <w:tcBorders>
              <w:top w:val="single" w:sz="4" w:space="0" w:color="000000"/>
              <w:left w:val="single" w:sz="4" w:space="0" w:color="000000"/>
              <w:bottom w:val="single" w:sz="4" w:space="0" w:color="000000"/>
              <w:right w:val="single" w:sz="4" w:space="0" w:color="000000"/>
            </w:tcBorders>
          </w:tcPr>
          <w:p w14:paraId="475324BF" w14:textId="77777777" w:rsidR="00175362" w:rsidRDefault="0059412C" w:rsidP="003165A1">
            <w:pPr>
              <w:spacing w:afterAutospacing="0" w:line="216" w:lineRule="auto"/>
              <w:jc w:val="center"/>
              <w:rPr>
                <w:rFonts w:eastAsia="Times New Roman" w:cs="Times New Roman"/>
                <w:lang w:val="de-DE"/>
              </w:rPr>
            </w:pPr>
            <w:r>
              <w:rPr>
                <w:rFonts w:eastAsia="Times New Roman" w:cs="Times New Roman"/>
                <w:lang w:val="fi-FI"/>
              </w:rPr>
              <w:t>Sisältää verenvuodon, perforaation, embolian, infektion, allergisen reaktion, kivun</w:t>
            </w:r>
          </w:p>
        </w:tc>
      </w:tr>
      <w:tr w:rsidR="00175362" w14:paraId="670FB2FC" w14:textId="77777777">
        <w:trPr>
          <w:jc w:val="center"/>
        </w:trPr>
        <w:tc>
          <w:tcPr>
            <w:tcW w:w="3893" w:type="dxa"/>
            <w:tcBorders>
              <w:top w:val="single" w:sz="4" w:space="0" w:color="000000"/>
              <w:left w:val="single" w:sz="4" w:space="0" w:color="000000"/>
              <w:bottom w:val="single" w:sz="4" w:space="0" w:color="000000"/>
              <w:right w:val="single" w:sz="4" w:space="0" w:color="000000"/>
            </w:tcBorders>
            <w:tcMar>
              <w:bottom w:w="90" w:type="dxa"/>
            </w:tcMar>
          </w:tcPr>
          <w:p w14:paraId="5E5F6298" w14:textId="77777777" w:rsidR="00175362" w:rsidRDefault="0059412C" w:rsidP="003165A1">
            <w:pPr>
              <w:spacing w:afterAutospacing="0" w:line="216" w:lineRule="auto"/>
              <w:jc w:val="center"/>
              <w:rPr>
                <w:rFonts w:eastAsia="Times New Roman" w:cs="Times New Roman"/>
              </w:rPr>
            </w:pPr>
            <w:r>
              <w:rPr>
                <w:rFonts w:eastAsia="Times New Roman" w:cs="Times New Roman"/>
                <w:b/>
                <w:bCs/>
                <w:lang w:val="fi-FI"/>
              </w:rPr>
              <w:t>Yleinen komplikaatioprosentti</w:t>
            </w:r>
          </w:p>
        </w:tc>
        <w:tc>
          <w:tcPr>
            <w:tcW w:w="6537" w:type="dxa"/>
            <w:tcBorders>
              <w:top w:val="single" w:sz="4" w:space="0" w:color="000000"/>
              <w:left w:val="single" w:sz="4" w:space="0" w:color="000000"/>
              <w:bottom w:val="single" w:sz="4" w:space="0" w:color="000000"/>
              <w:right w:val="single" w:sz="4" w:space="0" w:color="000000"/>
            </w:tcBorders>
            <w:tcMar>
              <w:bottom w:w="90" w:type="dxa"/>
            </w:tcMar>
          </w:tcPr>
          <w:p w14:paraId="0C565536" w14:textId="77777777" w:rsidR="00175362" w:rsidRDefault="0059412C" w:rsidP="003165A1">
            <w:pPr>
              <w:spacing w:afterAutospacing="0" w:line="216" w:lineRule="auto"/>
              <w:jc w:val="center"/>
              <w:rPr>
                <w:rFonts w:eastAsia="Times New Roman" w:cs="Times New Roman"/>
              </w:rPr>
            </w:pPr>
            <w:r>
              <w:rPr>
                <w:rFonts w:eastAsia="Times New Roman" w:cs="Times New Roman"/>
                <w:lang w:val="fi-FI"/>
              </w:rPr>
              <w:t>Kaikkien haittavaikutusten yhdistetty esiintyvyys toimenpiteen aikana tai sen jälkeen</w:t>
            </w:r>
          </w:p>
        </w:tc>
      </w:tr>
    </w:tbl>
    <w:p w14:paraId="60525A7E" w14:textId="77777777" w:rsidR="00175362" w:rsidRDefault="00175362">
      <w:pPr>
        <w:spacing w:afterAutospacing="0" w:line="240" w:lineRule="auto"/>
        <w:rPr>
          <w:rFonts w:eastAsia="Times New Roman" w:cs="Times New Roman"/>
          <w:iCs/>
          <w:szCs w:val="24"/>
        </w:rPr>
      </w:pPr>
    </w:p>
    <w:p w14:paraId="526671A8" w14:textId="37BB8F0D" w:rsidR="00175362" w:rsidRDefault="0059412C">
      <w:pPr>
        <w:spacing w:afterAutospacing="0" w:line="240" w:lineRule="auto"/>
        <w:rPr>
          <w:rFonts w:eastAsia="Times New Roman" w:cs="Times New Roman"/>
          <w:iCs/>
          <w:szCs w:val="24"/>
        </w:rPr>
      </w:pPr>
      <w:r>
        <w:rPr>
          <w:rFonts w:eastAsia="Times New Roman" w:cs="Times New Roman"/>
          <w:szCs w:val="24"/>
          <w:lang w:val="fi-FI"/>
        </w:rPr>
        <w:t>Tiivistelmä Atrieve Vaskulaarinen Snare -laitteen tulosmittareiden onnistumisasteista:</w:t>
      </w:r>
    </w:p>
    <w:p w14:paraId="3F232AB9" w14:textId="77777777" w:rsidR="00175362" w:rsidRDefault="00175362">
      <w:pPr>
        <w:spacing w:afterAutospacing="0" w:line="240" w:lineRule="auto"/>
        <w:rPr>
          <w:rFonts w:eastAsia="Times New Roman" w:cs="Times New Roman"/>
          <w:iCs/>
          <w:sz w:val="16"/>
          <w:szCs w:val="16"/>
        </w:rPr>
      </w:pPr>
    </w:p>
    <w:p w14:paraId="432ADC3D" w14:textId="77777777" w:rsidR="00175362" w:rsidRDefault="0059412C">
      <w:pPr>
        <w:pStyle w:val="ListParagraph"/>
        <w:numPr>
          <w:ilvl w:val="0"/>
          <w:numId w:val="6"/>
        </w:numPr>
        <w:spacing w:after="0" w:afterAutospacing="0" w:line="240" w:lineRule="auto"/>
        <w:rPr>
          <w:rFonts w:eastAsia="Times New Roman" w:cs="Times New Roman"/>
          <w:iCs/>
          <w:szCs w:val="24"/>
        </w:rPr>
      </w:pPr>
      <w:r>
        <w:rPr>
          <w:rFonts w:eastAsia="Times New Roman" w:cs="Times New Roman"/>
          <w:szCs w:val="24"/>
          <w:lang w:val="fi-FI"/>
        </w:rPr>
        <w:t>Tekninen onnistuminen oli erinomainen, 100 %.</w:t>
      </w:r>
    </w:p>
    <w:p w14:paraId="5E4FF29D" w14:textId="77777777" w:rsidR="00175362" w:rsidRDefault="0059412C">
      <w:pPr>
        <w:pStyle w:val="ListParagraph"/>
        <w:numPr>
          <w:ilvl w:val="0"/>
          <w:numId w:val="6"/>
        </w:numPr>
        <w:spacing w:after="0" w:afterAutospacing="0" w:line="240" w:lineRule="auto"/>
        <w:rPr>
          <w:rFonts w:eastAsia="Times New Roman" w:cs="Times New Roman"/>
          <w:iCs/>
          <w:szCs w:val="24"/>
          <w:lang w:val="de-DE"/>
        </w:rPr>
      </w:pPr>
      <w:r>
        <w:rPr>
          <w:rFonts w:eastAsia="Times New Roman" w:cs="Times New Roman"/>
          <w:szCs w:val="24"/>
          <w:lang w:val="fi-FI"/>
        </w:rPr>
        <w:t>Kliininen onnistuminen oli 94,5 %, hieman alle 97,4 %:n kynnysarvon.</w:t>
      </w:r>
    </w:p>
    <w:p w14:paraId="3C1B64CD" w14:textId="77777777" w:rsidR="00175362" w:rsidRDefault="0059412C">
      <w:pPr>
        <w:pStyle w:val="ListParagraph"/>
        <w:numPr>
          <w:ilvl w:val="0"/>
          <w:numId w:val="6"/>
        </w:numPr>
        <w:spacing w:after="0" w:afterAutospacing="0" w:line="240" w:lineRule="auto"/>
        <w:rPr>
          <w:rFonts w:eastAsia="Times New Roman" w:cs="Times New Roman"/>
          <w:iCs/>
          <w:szCs w:val="24"/>
          <w:lang w:val="de-DE"/>
        </w:rPr>
      </w:pPr>
      <w:r>
        <w:rPr>
          <w:rFonts w:eastAsia="Times New Roman" w:cs="Times New Roman"/>
          <w:szCs w:val="24"/>
          <w:lang w:val="fi-FI"/>
        </w:rPr>
        <w:t>Yleinen komplikaatioprosentti, perforaatio/kudosvauriot ja kliininen onnistuminen eivät täyttäneet hyväksymiskriteerejä.</w:t>
      </w:r>
    </w:p>
    <w:p w14:paraId="01F6D84E" w14:textId="77777777" w:rsidR="00175362" w:rsidRDefault="0059412C">
      <w:pPr>
        <w:pStyle w:val="ListParagraph"/>
        <w:numPr>
          <w:ilvl w:val="0"/>
          <w:numId w:val="6"/>
        </w:numPr>
        <w:spacing w:after="0" w:afterAutospacing="0" w:line="240" w:lineRule="auto"/>
        <w:rPr>
          <w:rFonts w:eastAsia="Times New Roman" w:cs="Times New Roman"/>
          <w:iCs/>
          <w:szCs w:val="24"/>
          <w:lang w:val="de-DE"/>
        </w:rPr>
      </w:pPr>
      <w:r>
        <w:rPr>
          <w:rFonts w:eastAsia="Times New Roman" w:cs="Times New Roman"/>
          <w:szCs w:val="24"/>
          <w:lang w:val="fi-FI"/>
        </w:rPr>
        <w:t>Embolia-, kipu- ja kuolleisuusasteet olivat 0 % ja täyttivät kriteerit.</w:t>
      </w:r>
    </w:p>
    <w:p w14:paraId="75D4D4EA" w14:textId="77777777" w:rsidR="00175362" w:rsidRDefault="00175362">
      <w:pPr>
        <w:pStyle w:val="ListParagraph"/>
        <w:spacing w:after="0" w:afterAutospacing="0" w:line="240" w:lineRule="auto"/>
        <w:rPr>
          <w:rFonts w:eastAsia="Times New Roman" w:cs="Times New Roman"/>
          <w:iCs/>
          <w:szCs w:val="24"/>
          <w:lang w:val="de-DE"/>
        </w:rPr>
      </w:pPr>
    </w:p>
    <w:p w14:paraId="00F91824" w14:textId="77777777" w:rsidR="00175362" w:rsidRDefault="0059412C" w:rsidP="003165A1">
      <w:pPr>
        <w:spacing w:afterAutospacing="0" w:line="228" w:lineRule="auto"/>
        <w:rPr>
          <w:rFonts w:eastAsia="Times New Roman" w:cs="Times New Roman"/>
          <w:iCs/>
          <w:szCs w:val="24"/>
          <w:lang w:val="de-DE"/>
        </w:rPr>
      </w:pPr>
      <w:r>
        <w:rPr>
          <w:rFonts w:eastAsia="Times New Roman" w:cs="Times New Roman"/>
          <w:szCs w:val="24"/>
          <w:lang w:val="fi-FI"/>
        </w:rPr>
        <w:lastRenderedPageBreak/>
        <w:t>Huolimatta siitä, että jotkin turvallisuutta koskevat päätepisteet ylittivät kynnysarvot, hyöty-riskiprofiili pysyi suotuisana korkean teknisen onnistumisen ja lievien komplikaatioiden ansiosta.</w:t>
      </w:r>
    </w:p>
    <w:p w14:paraId="6F1FBC52" w14:textId="77777777" w:rsidR="00175362" w:rsidRDefault="00175362">
      <w:pPr>
        <w:spacing w:afterAutospacing="0" w:line="228" w:lineRule="auto"/>
        <w:rPr>
          <w:rFonts w:eastAsia="Times New Roman" w:cs="Times New Roman"/>
          <w:iCs/>
          <w:szCs w:val="24"/>
          <w:lang w:val="de-DE"/>
        </w:rPr>
      </w:pPr>
    </w:p>
    <w:p w14:paraId="2F888C2E" w14:textId="77777777" w:rsidR="00175362" w:rsidRPr="003165A1" w:rsidRDefault="0059412C">
      <w:pPr>
        <w:spacing w:afterAutospacing="0" w:line="228" w:lineRule="auto"/>
        <w:rPr>
          <w:lang w:val="de-DE"/>
        </w:rPr>
      </w:pPr>
      <w:r w:rsidRPr="003165A1">
        <w:rPr>
          <w:rFonts w:eastAsia="Times New Roman" w:cs="Times New Roman"/>
          <w:szCs w:val="24"/>
          <w:lang w:val="fi-FI"/>
        </w:rPr>
        <w:t>Kliiniset väitteet käyttöohjeissa (IFU) ja markkinointimateriaaleissa</w:t>
      </w:r>
    </w:p>
    <w:p w14:paraId="710353B5" w14:textId="77777777" w:rsidR="00175362" w:rsidRDefault="0059412C" w:rsidP="003165A1">
      <w:pPr>
        <w:spacing w:afterAutospacing="0" w:line="228" w:lineRule="auto"/>
        <w:rPr>
          <w:rFonts w:cs="Times New Roman"/>
          <w:iCs/>
          <w:szCs w:val="24"/>
          <w:lang w:val="de-DE"/>
        </w:rPr>
      </w:pPr>
      <w:r>
        <w:rPr>
          <w:rFonts w:cs="Times New Roman"/>
          <w:szCs w:val="24"/>
          <w:lang w:val="fi-FI"/>
        </w:rPr>
        <w:t>Kliininen arviointi tukee seuraavia väitteitä:</w:t>
      </w:r>
    </w:p>
    <w:p w14:paraId="27AF422A" w14:textId="77777777" w:rsidR="00175362" w:rsidRDefault="00175362" w:rsidP="003165A1">
      <w:pPr>
        <w:spacing w:afterAutospacing="0" w:line="228" w:lineRule="auto"/>
        <w:rPr>
          <w:rFonts w:cs="Times New Roman"/>
          <w:iCs/>
          <w:sz w:val="14"/>
          <w:szCs w:val="14"/>
          <w:lang w:val="de-DE"/>
        </w:rPr>
      </w:pPr>
    </w:p>
    <w:p w14:paraId="0989FF08" w14:textId="77777777" w:rsidR="00175362" w:rsidRDefault="0059412C" w:rsidP="003165A1">
      <w:pPr>
        <w:pStyle w:val="ListParagraph"/>
        <w:numPr>
          <w:ilvl w:val="0"/>
          <w:numId w:val="7"/>
        </w:numPr>
        <w:spacing w:after="0" w:afterAutospacing="0" w:line="228" w:lineRule="auto"/>
        <w:rPr>
          <w:rFonts w:cs="Times New Roman"/>
          <w:iCs/>
          <w:szCs w:val="24"/>
          <w:lang w:val="de-DE"/>
        </w:rPr>
      </w:pPr>
      <w:r>
        <w:rPr>
          <w:rFonts w:cs="Times New Roman"/>
          <w:szCs w:val="24"/>
          <w:lang w:val="fi-FI"/>
        </w:rPr>
        <w:t>Vierasesineiden perkutaaninen poisto/käsittely – Perustuu kirjallisuudessa esitettyyn 100 %:n tekniseen onnistumiseen.</w:t>
      </w:r>
    </w:p>
    <w:p w14:paraId="0E098B1C" w14:textId="77777777" w:rsidR="00175362" w:rsidRDefault="0059412C" w:rsidP="003165A1">
      <w:pPr>
        <w:pStyle w:val="ListParagraph"/>
        <w:numPr>
          <w:ilvl w:val="0"/>
          <w:numId w:val="7"/>
        </w:numPr>
        <w:spacing w:after="0" w:afterAutospacing="0" w:line="228" w:lineRule="auto"/>
        <w:rPr>
          <w:rFonts w:cs="Times New Roman"/>
          <w:iCs/>
          <w:szCs w:val="24"/>
          <w:lang w:val="de-DE"/>
        </w:rPr>
      </w:pPr>
      <w:r>
        <w:rPr>
          <w:rFonts w:cs="Times New Roman"/>
          <w:szCs w:val="24"/>
          <w:lang w:val="fi-FI"/>
        </w:rPr>
        <w:t>Pienemmät komplikaatioiden esiintymisluvut kuin kirurgisilla toimenpiteillä – Perustuu vertailevaan kirjallisuuteen ja huipputason analyysiin.</w:t>
      </w:r>
    </w:p>
    <w:p w14:paraId="1F2A634D" w14:textId="77777777" w:rsidR="00175362" w:rsidRDefault="0059412C" w:rsidP="003165A1">
      <w:pPr>
        <w:pStyle w:val="ListParagraph"/>
        <w:numPr>
          <w:ilvl w:val="0"/>
          <w:numId w:val="7"/>
        </w:numPr>
        <w:spacing w:after="0" w:afterAutospacing="0" w:line="228" w:lineRule="auto"/>
        <w:rPr>
          <w:rFonts w:cs="Times New Roman"/>
          <w:iCs/>
          <w:szCs w:val="24"/>
          <w:lang w:val="de-DE"/>
        </w:rPr>
      </w:pPr>
      <w:r>
        <w:rPr>
          <w:rFonts w:cs="Times New Roman"/>
          <w:szCs w:val="24"/>
          <w:lang w:val="fi-FI"/>
        </w:rPr>
        <w:t>Käyttö lisätoimenpiteissä (esim. fibriinivaipan poistaminen, katetrin uudelleenasennus) – Perustuu kliinisiin tapausselostuksiin ja toimenpideohjeisiin.</w:t>
      </w:r>
    </w:p>
    <w:p w14:paraId="3830484E" w14:textId="77777777" w:rsidR="00175362" w:rsidRDefault="0059412C" w:rsidP="003165A1">
      <w:pPr>
        <w:pStyle w:val="ListParagraph"/>
        <w:numPr>
          <w:ilvl w:val="0"/>
          <w:numId w:val="7"/>
        </w:numPr>
        <w:spacing w:after="0" w:afterAutospacing="0" w:line="228" w:lineRule="auto"/>
        <w:rPr>
          <w:rFonts w:cs="Times New Roman"/>
          <w:iCs/>
          <w:szCs w:val="24"/>
          <w:lang w:val="de-DE"/>
        </w:rPr>
      </w:pPr>
      <w:r>
        <w:rPr>
          <w:rFonts w:cs="Times New Roman"/>
          <w:szCs w:val="24"/>
          <w:lang w:val="fi-FI"/>
        </w:rPr>
        <w:t>Turvallinen käyttää aikuisväestössä – Perustuu markkinoille saattamisen jälkeiseen seurantaan ja kirjallisuustietoihin.</w:t>
      </w:r>
    </w:p>
    <w:p w14:paraId="2F52AF2E" w14:textId="77777777" w:rsidR="00175362" w:rsidRDefault="00175362">
      <w:pPr>
        <w:spacing w:afterAutospacing="0" w:line="228" w:lineRule="auto"/>
        <w:rPr>
          <w:rFonts w:cs="Times New Roman"/>
          <w:iCs/>
          <w:szCs w:val="24"/>
          <w:lang w:val="de-DE"/>
        </w:rPr>
      </w:pPr>
    </w:p>
    <w:p w14:paraId="12173F32" w14:textId="316BB1B3" w:rsidR="00175362" w:rsidRPr="003165A1" w:rsidRDefault="0059412C">
      <w:pPr>
        <w:spacing w:afterAutospacing="0" w:line="228" w:lineRule="auto"/>
      </w:pPr>
      <w:r w:rsidRPr="003165A1">
        <w:rPr>
          <w:rFonts w:cs="Times New Roman"/>
          <w:szCs w:val="24"/>
          <w:lang w:val="fi-FI"/>
        </w:rPr>
        <w:t>Atrieve Vaskulaariset Snare -laitteet osoittavat suotuisan hyöty-riskiprofiilin, niillä on vahva kliininen suorituskyky, ja turvallisuus on tuettu kirjallisuudella, testeillä ja markkinoille saattamisen jälkeisillä tiedoilla. Ne ovat sääntelystandardien mukaisia ja soveltuvat jatkuvaan kliiniseen käyttöön.</w:t>
      </w:r>
    </w:p>
    <w:p w14:paraId="20E01F95" w14:textId="77777777" w:rsidR="00175362" w:rsidRDefault="00175362">
      <w:pPr>
        <w:spacing w:afterAutospacing="0" w:line="240" w:lineRule="auto"/>
        <w:rPr>
          <w:rFonts w:cs="Times New Roman"/>
          <w:iCs/>
          <w:szCs w:val="24"/>
        </w:rPr>
      </w:pPr>
    </w:p>
    <w:p w14:paraId="5128565E" w14:textId="77777777" w:rsidR="00175362" w:rsidRDefault="0059412C">
      <w:pPr>
        <w:pStyle w:val="Heading1"/>
        <w:rPr>
          <w:rFonts w:cs="Times New Roman"/>
          <w:color w:val="auto"/>
        </w:rPr>
      </w:pPr>
      <w:bookmarkStart w:id="76" w:name="_Toc222741359"/>
      <w:r>
        <w:rPr>
          <w:rFonts w:cs="Times New Roman"/>
          <w:bCs/>
          <w:color w:val="auto"/>
          <w:lang w:val="fi-FI"/>
        </w:rPr>
        <w:t>Käynnissä tai suunnitteilla oleva markkinoille saattamisen jälkeinen kliininen seuranta</w:t>
      </w:r>
      <w:bookmarkEnd w:id="76"/>
    </w:p>
    <w:p w14:paraId="138639AE" w14:textId="0B8D00EA" w:rsidR="00175362" w:rsidRDefault="0059412C">
      <w:pPr>
        <w:spacing w:after="280" w:line="240" w:lineRule="auto"/>
        <w:rPr>
          <w:rFonts w:cs="Times New Roman"/>
          <w:highlight w:val="yellow"/>
          <w:lang w:val="fi-FI"/>
        </w:rPr>
      </w:pPr>
      <w:r>
        <w:rPr>
          <w:rFonts w:cs="Times New Roman"/>
          <w:lang w:val="fi-FI"/>
        </w:rPr>
        <w:t xml:space="preserve">Atrieve Vaskulaarisen Snare -laitteen markkinoille saattamisen jälkeinen kliininen seuranta suoritetaan raportin PMCFP-029 Rev C mukaisesti ja lääkintälaiteasetuksen </w:t>
      </w:r>
      <w:r w:rsidRPr="0059412C">
        <w:rPr>
          <w:rFonts w:cs="Times New Roman"/>
          <w:szCs w:val="24"/>
          <w:lang w:val="fi-FI"/>
        </w:rPr>
        <w:t>(</w:t>
      </w:r>
      <w:r w:rsidRPr="003165A1">
        <w:rPr>
          <w:rFonts w:cs="Times New Roman"/>
          <w:szCs w:val="24"/>
        </w:rPr>
        <w:t>MDR</w:t>
      </w:r>
      <w:r w:rsidRPr="0059412C">
        <w:rPr>
          <w:rFonts w:cs="Times New Roman"/>
          <w:szCs w:val="24"/>
          <w:lang w:val="fi-FI"/>
        </w:rPr>
        <w:t xml:space="preserve">) </w:t>
      </w:r>
      <w:r>
        <w:rPr>
          <w:rFonts w:cs="Times New Roman"/>
          <w:lang w:val="fi-FI"/>
        </w:rPr>
        <w:t>liitteen XIV osan B vaatimuksia noudattaen. Markkinoille saattamisen jälkeisen kliinisen seurannan (PMCF) tarkoituksena on ennakoivasti varmistaa laitteen turvallisuus ja suorituskyky rutiininomaisessa kliinisessä käytännössä, tunnistaa mahdolliset ilmenevät riskit ja varmistaa, että hyöty-riskiprofiili on edelleen hyväksyttävä.</w:t>
      </w:r>
    </w:p>
    <w:p w14:paraId="2DCDF877" w14:textId="77777777" w:rsidR="00175362" w:rsidRDefault="0059412C" w:rsidP="003165A1">
      <w:pPr>
        <w:pStyle w:val="NormalWeb"/>
        <w:spacing w:before="280" w:after="0" w:afterAutospacing="0" w:line="228" w:lineRule="auto"/>
        <w:rPr>
          <w:sz w:val="14"/>
          <w:szCs w:val="14"/>
          <w:lang w:val="fi-FI"/>
        </w:rPr>
      </w:pPr>
      <w:r>
        <w:rPr>
          <w:rStyle w:val="Strong"/>
          <w:lang w:val="fi-FI"/>
        </w:rPr>
        <w:t>Käynnissä olevat PMCF-toimet</w:t>
      </w:r>
      <w:r>
        <w:rPr>
          <w:lang w:val="fi-FI"/>
        </w:rPr>
        <w:br/>
        <w:t>Laitteen elinkaaren aikana on tarkoitus suorittaa seuraavat jatkuvat toimenpiteet:</w:t>
      </w:r>
      <w:r>
        <w:rPr>
          <w:lang w:val="fi-FI"/>
        </w:rPr>
        <w:br/>
      </w:r>
    </w:p>
    <w:p w14:paraId="51C1A92C" w14:textId="77777777" w:rsidR="00175362" w:rsidRDefault="0059412C" w:rsidP="003165A1">
      <w:pPr>
        <w:pStyle w:val="NormalWeb"/>
        <w:numPr>
          <w:ilvl w:val="0"/>
          <w:numId w:val="8"/>
        </w:numPr>
        <w:spacing w:beforeAutospacing="0" w:line="228" w:lineRule="auto"/>
        <w:rPr>
          <w:lang w:val="fi-FI"/>
        </w:rPr>
      </w:pPr>
      <w:r>
        <w:rPr>
          <w:rStyle w:val="Strong"/>
          <w:b w:val="0"/>
          <w:bCs w:val="0"/>
          <w:lang w:val="fi-FI"/>
        </w:rPr>
        <w:t>Vuosittainen systemaattinen kirjallisuuskatsaus:</w:t>
      </w:r>
      <w:r>
        <w:rPr>
          <w:lang w:val="fi-FI"/>
        </w:rPr>
        <w:t xml:space="preserve"> Verisuonisilmukkalaitteisiin ja vastaaviin laitteisiin liittyvään julkaistuun kliiniseen näyttöön tehdään strukturoitu katsaus, jotta voidaan tunnistaa uutta tietoa turvallisuudesta, suorituskyvystä, kliinisistä tekniikoista tai ilmenevistä riskeistä.</w:t>
      </w:r>
    </w:p>
    <w:p w14:paraId="0D83E2D1" w14:textId="77777777" w:rsidR="00175362" w:rsidRDefault="0059412C" w:rsidP="003165A1">
      <w:pPr>
        <w:pStyle w:val="NormalWeb"/>
        <w:numPr>
          <w:ilvl w:val="0"/>
          <w:numId w:val="8"/>
        </w:numPr>
        <w:spacing w:line="228" w:lineRule="auto"/>
        <w:rPr>
          <w:lang w:val="fi-FI"/>
        </w:rPr>
      </w:pPr>
      <w:r>
        <w:rPr>
          <w:rStyle w:val="Strong"/>
          <w:b w:val="0"/>
          <w:bCs w:val="0"/>
          <w:lang w:val="fi-FI"/>
        </w:rPr>
        <w:t>Vuosittainen arviointi viimeisimmästä kehityksestä (SOA):</w:t>
      </w:r>
      <w:r>
        <w:rPr>
          <w:lang w:val="fi-FI"/>
        </w:rPr>
        <w:t xml:space="preserve"> Kliinisen käytännön ohjeita, kansainvälisiä standardeja ja kilpailevia teknologioita arvioidaan niiden jatkuvan yhdenmukaisuuden varmistamiseksi nykyisten kliinisen ja teknisen käytännön kanssa.</w:t>
      </w:r>
    </w:p>
    <w:p w14:paraId="17A119A3" w14:textId="77777777" w:rsidR="00175362" w:rsidRDefault="0059412C" w:rsidP="003165A1">
      <w:pPr>
        <w:pStyle w:val="NormalWeb"/>
        <w:numPr>
          <w:ilvl w:val="0"/>
          <w:numId w:val="8"/>
        </w:numPr>
        <w:spacing w:line="228" w:lineRule="auto"/>
        <w:rPr>
          <w:lang w:val="fi-FI"/>
        </w:rPr>
      </w:pPr>
      <w:r>
        <w:rPr>
          <w:rStyle w:val="Strong"/>
          <w:b w:val="0"/>
          <w:bCs w:val="0"/>
          <w:lang w:val="fi-FI"/>
        </w:rPr>
        <w:t>Valitusten ja haittavaikutusten tietojen jatkuva tarkastelu:</w:t>
      </w:r>
      <w:r>
        <w:rPr>
          <w:lang w:val="fi-FI"/>
        </w:rPr>
        <w:t xml:space="preserve"> Vaikka tämä on pikemminkin PMS-toimi kuin PMCF-toimi, keskeiset havainnot arvioidaan PMCF-prosessin puitteissa sen määrittämiseksi, tarvitaanko kliinisiä lisäseurantaa.</w:t>
      </w:r>
    </w:p>
    <w:p w14:paraId="1A612E0D" w14:textId="3B68BF2A" w:rsidR="00175362" w:rsidRDefault="0059412C">
      <w:pPr>
        <w:pStyle w:val="NormalWeb"/>
        <w:spacing w:before="280"/>
        <w:rPr>
          <w:lang w:val="fi-FI"/>
        </w:rPr>
      </w:pPr>
      <w:r>
        <w:rPr>
          <w:rStyle w:val="Strong"/>
          <w:lang w:val="fi-FI"/>
        </w:rPr>
        <w:t>Suunnitellut PMCF-toimet</w:t>
      </w:r>
      <w:r>
        <w:rPr>
          <w:lang w:val="fi-FI"/>
        </w:rPr>
        <w:br/>
        <w:t>Seuraava toiminta on suunniteltu keräämään kohdennettua reaalimaailman näyttöä Atrieve Vaskulaarinen Snare -tarvikesarjasta:</w:t>
      </w:r>
    </w:p>
    <w:p w14:paraId="1D30662B" w14:textId="77777777" w:rsidR="00175362" w:rsidRDefault="0059412C">
      <w:pPr>
        <w:pStyle w:val="NormalWeb"/>
        <w:numPr>
          <w:ilvl w:val="0"/>
          <w:numId w:val="10"/>
        </w:numPr>
        <w:spacing w:before="280"/>
        <w:rPr>
          <w:lang w:val="fi-FI"/>
        </w:rPr>
      </w:pPr>
      <w:r>
        <w:rPr>
          <w:rStyle w:val="Strong"/>
          <w:lang w:val="fi-FI"/>
        </w:rPr>
        <w:t>PMCF-lääkärikysely:</w:t>
      </w:r>
      <w:r>
        <w:rPr>
          <w:lang w:val="fi-FI"/>
        </w:rPr>
        <w:br/>
        <w:t xml:space="preserve">Kliinisten käyttäjien keskuudessa toteutetaan strukturoitu kysely, jonka tarkoituksena on kartoittaa heidän kokemuksiaan laitteen käytöstä, arvioida sen suorituskykyä rutiinikäytännössä ja tunnistaa </w:t>
      </w:r>
      <w:r>
        <w:rPr>
          <w:lang w:val="fi-FI"/>
        </w:rPr>
        <w:lastRenderedPageBreak/>
        <w:t>mahdolliset havaitut komplikaatiot tai odottamattomat tapahtumat. Kyselyn tulokset analysoidaan ja sisällytetään PMCF-arviointiraporttiin. Tulokset vaikuttavat päätöksiin, jotka koskevat PMCF-lisätoimenpiteiden tarvetta tai kliinisen arviointiraportin (CER) ja riskienhallintaraportin (RMR) päivittämisen tarvetta.</w:t>
      </w:r>
    </w:p>
    <w:p w14:paraId="64CC30FF" w14:textId="3C7A83E7" w:rsidR="00175362" w:rsidRDefault="0059412C">
      <w:pPr>
        <w:pStyle w:val="NormalWeb"/>
        <w:spacing w:before="280"/>
        <w:rPr>
          <w:lang w:val="fi-FI"/>
        </w:rPr>
      </w:pPr>
      <w:r>
        <w:rPr>
          <w:rStyle w:val="Strong"/>
          <w:lang w:val="fi-FI"/>
        </w:rPr>
        <w:t>PMCF-lähestymistavan perustelu</w:t>
      </w:r>
      <w:r>
        <w:rPr>
          <w:lang w:val="fi-FI"/>
        </w:rPr>
        <w:br/>
        <w:t>Nykyisen kliinisen arvioinnin, kirjallisuustiedon ja markkinoille saattamisen jälkeisen kokemuksen perusteella ei ole tunnistettu uusia tai ilmeneviä riskejä, jotka edellyttäisivät laitekohtaista kliinistä tutkimusta. Nykyiset PMCF-toimet, vuosittaiset kirjallisuuskatsaukset ja kohdennetun lääkäripalautteen tukemat SOA-katsaukset katsotaan riittäviksi vahvistamaan tämän vakiintuneen luokan III perinteisen Atrieve Vaskulaarisen Snare -tarvikesarjan jatkuvan turvallisuuden ja suorituskyvyn.</w:t>
      </w:r>
    </w:p>
    <w:p w14:paraId="08809B61" w14:textId="77777777" w:rsidR="00175362" w:rsidRDefault="0059412C">
      <w:pPr>
        <w:pStyle w:val="NormalWeb"/>
        <w:spacing w:beforeAutospacing="0" w:after="0" w:afterAutospacing="0"/>
        <w:rPr>
          <w:lang w:val="fi-FI"/>
        </w:rPr>
      </w:pPr>
      <w:r>
        <w:rPr>
          <w:rStyle w:val="Strong"/>
          <w:lang w:val="fi-FI"/>
        </w:rPr>
        <w:t>PMCF-raportointi</w:t>
      </w:r>
    </w:p>
    <w:p w14:paraId="48D58B90" w14:textId="77777777" w:rsidR="00175362" w:rsidRDefault="0059412C">
      <w:pPr>
        <w:pStyle w:val="NormalWeb"/>
        <w:spacing w:beforeAutospacing="0" w:after="0" w:afterAutospacing="0"/>
        <w:rPr>
          <w:lang w:val="fi-FI"/>
        </w:rPr>
      </w:pPr>
      <w:r>
        <w:rPr>
          <w:lang w:val="fi-FI"/>
        </w:rPr>
        <w:t>PMCF-raportti laaditaan määritellyin väliajoin ja aina kun tulee saataville uutta tietoa, joka voi vaikuttaa hyöty-riskiprofiiliin. Kaikkia markkinoille saattamisen jälkeisiä (PMCF) tuloksia käytetään vaatimusten mukaisesti kliinisen arviointiraportin (CER), riskienhallintaraportin (RMR) ja muiden vaadittujen markkinoille saattamisen jälkeisten prosessien pohjana.</w:t>
      </w:r>
    </w:p>
    <w:p w14:paraId="4357FD69" w14:textId="77777777" w:rsidR="00175362" w:rsidRDefault="00175362">
      <w:pPr>
        <w:pStyle w:val="NormalWeb"/>
        <w:spacing w:beforeAutospacing="0" w:after="0" w:afterAutospacing="0"/>
        <w:rPr>
          <w:lang w:val="fi-FI"/>
        </w:rPr>
      </w:pPr>
    </w:p>
    <w:p w14:paraId="21A186C7" w14:textId="77777777" w:rsidR="00175362" w:rsidRDefault="0059412C">
      <w:pPr>
        <w:pStyle w:val="Heading1"/>
        <w:numPr>
          <w:ilvl w:val="0"/>
          <w:numId w:val="2"/>
        </w:numPr>
        <w:rPr>
          <w:rFonts w:cs="Times New Roman"/>
        </w:rPr>
      </w:pPr>
      <w:bookmarkStart w:id="77" w:name="_Toc222741360"/>
      <w:r>
        <w:rPr>
          <w:rFonts w:cs="Times New Roman"/>
          <w:bCs/>
          <w:lang w:val="fi-FI"/>
        </w:rPr>
        <w:t>Mahdolliset diagnostiset vaihtoehdot tai hoitovaihtoehdot</w:t>
      </w:r>
      <w:bookmarkEnd w:id="77"/>
      <w:r>
        <w:rPr>
          <w:rFonts w:cs="Times New Roman"/>
          <w:bCs/>
          <w:lang w:val="fi-FI"/>
        </w:rPr>
        <w:t xml:space="preserve"> </w:t>
      </w:r>
    </w:p>
    <w:p w14:paraId="4CBC4DC5" w14:textId="77777777" w:rsidR="00175362" w:rsidRDefault="0059412C">
      <w:pPr>
        <w:spacing w:after="280"/>
        <w:rPr>
          <w:rFonts w:cs="Times New Roman"/>
          <w:lang w:val="fi-FI"/>
        </w:rPr>
      </w:pPr>
      <w:r>
        <w:rPr>
          <w:rFonts w:cs="Times New Roman"/>
          <w:lang w:val="fi-FI"/>
        </w:rPr>
        <w:t>Raportin CER-029 Rev B mukaan vierasesineen poistamiseen (FB) kardiovaskulaarisessa järjestelmästä on kolme päävaihtoehtoa. Oireettomille tai riskialttiille kirurgisille potilaille suositellaan konservatiivista hoitoa, jossa luotetaan tiiviiseen seurantaan ja kuvantamiseen, kun toimenpide voi aiheuttaa suurempia riskejä. Minimaalisesti invasiiviset tekniikat ovat ensisijainen lähestymistapa, ja silmukkakoukkuja, erityisesti hanhenkaulakoukkuja, käytetään laajalti sekä tavanomaisissa että monimutkaisissa poistoissa. Pihdit tarjoavat tarkan otteen ja sopivat vaikeisiin tapauksiin, kuten murtuneisiin tai upottuneisiin laitteisiin. Kirurginen poisto, kuten torakotomia tai sternotomia, on viimeinen keino sen invasiivisen luonteensa ja suuremman potilasriskin vuoksi. Yleisesti ottaen endovaskulaarinen poisto on edelleen standardihoito, jossa hoito räätälöidään potilaan tilan ja vierasesineen ominaisuuksien mukaan.</w:t>
      </w:r>
    </w:p>
    <w:p w14:paraId="7A3E2B9B" w14:textId="77777777" w:rsidR="00175362" w:rsidRDefault="0059412C">
      <w:pPr>
        <w:pStyle w:val="Heading1"/>
        <w:numPr>
          <w:ilvl w:val="0"/>
          <w:numId w:val="2"/>
        </w:numPr>
        <w:rPr>
          <w:rFonts w:cs="Times New Roman"/>
        </w:rPr>
      </w:pPr>
      <w:bookmarkStart w:id="78" w:name="_Toc222741361"/>
      <w:r>
        <w:rPr>
          <w:rFonts w:cs="Times New Roman"/>
          <w:bCs/>
          <w:lang w:val="fi-FI"/>
        </w:rPr>
        <w:t>Käyttäjille suositeltava profiili ja koulutus</w:t>
      </w:r>
      <w:bookmarkEnd w:id="78"/>
    </w:p>
    <w:p w14:paraId="3E1BDCCF" w14:textId="77777777" w:rsidR="00175362" w:rsidRDefault="0059412C">
      <w:pPr>
        <w:spacing w:afterAutospacing="0" w:line="240" w:lineRule="auto"/>
        <w:rPr>
          <w:rFonts w:eastAsia="Calibri" w:cs="Times New Roman"/>
          <w:szCs w:val="24"/>
        </w:rPr>
      </w:pPr>
      <w:r>
        <w:rPr>
          <w:rFonts w:eastAsia="Calibri" w:cs="Times New Roman"/>
          <w:szCs w:val="24"/>
          <w:lang w:val="fi-FI"/>
        </w:rPr>
        <w:t>Tuotetta on tarkoitettu läketieteen ammattilaisten käyttöön, ja sitä saa käyttää vain pätevä henkilöstö, joka on perehtynyt kyseiseen menetelmään.</w:t>
      </w:r>
    </w:p>
    <w:p w14:paraId="4DF2C2A5" w14:textId="77777777" w:rsidR="00175362" w:rsidRDefault="00175362">
      <w:pPr>
        <w:spacing w:afterAutospacing="0" w:line="240" w:lineRule="auto"/>
        <w:rPr>
          <w:rFonts w:cs="Times New Roman"/>
          <w:i/>
          <w:color w:val="FF0000"/>
          <w:highlight w:val="yellow"/>
        </w:rPr>
      </w:pPr>
    </w:p>
    <w:p w14:paraId="75221EC9" w14:textId="77777777" w:rsidR="00175362" w:rsidRDefault="0059412C">
      <w:pPr>
        <w:pStyle w:val="Heading1"/>
        <w:numPr>
          <w:ilvl w:val="0"/>
          <w:numId w:val="2"/>
        </w:numPr>
        <w:rPr>
          <w:rFonts w:cs="Times New Roman"/>
        </w:rPr>
      </w:pPr>
      <w:bookmarkStart w:id="79" w:name="_Toc222741362"/>
      <w:r>
        <w:rPr>
          <w:rFonts w:cs="Times New Roman"/>
          <w:bCs/>
          <w:lang w:val="fi-FI"/>
        </w:rPr>
        <w:t>Yhdenmukaistetut standardit / yleiset vaatimukset</w:t>
      </w:r>
      <w:bookmarkEnd w:id="79"/>
    </w:p>
    <w:tbl>
      <w:tblPr>
        <w:tblStyle w:val="TableGrid"/>
        <w:tblW w:w="5000" w:type="pct"/>
        <w:tblInd w:w="-5" w:type="dxa"/>
        <w:tblLayout w:type="fixed"/>
        <w:tblLook w:val="04A0" w:firstRow="1" w:lastRow="0" w:firstColumn="1" w:lastColumn="0" w:noHBand="0" w:noVBand="1"/>
      </w:tblPr>
      <w:tblGrid>
        <w:gridCol w:w="2490"/>
        <w:gridCol w:w="7940"/>
      </w:tblGrid>
      <w:tr w:rsidR="00175362" w14:paraId="6321BE67" w14:textId="77777777" w:rsidTr="003165A1">
        <w:trPr>
          <w:tblHeader/>
        </w:trPr>
        <w:tc>
          <w:tcPr>
            <w:tcW w:w="2493" w:type="dxa"/>
          </w:tcPr>
          <w:p w14:paraId="390405F9" w14:textId="77777777" w:rsidR="00175362" w:rsidRDefault="0059412C">
            <w:pPr>
              <w:spacing w:afterAutospacing="0" w:line="240" w:lineRule="auto"/>
              <w:jc w:val="center"/>
              <w:rPr>
                <w:rFonts w:cs="Times New Roman"/>
                <w:b/>
                <w:bCs/>
              </w:rPr>
            </w:pPr>
            <w:r>
              <w:rPr>
                <w:rFonts w:eastAsia="Calibri" w:cs="Times New Roman"/>
                <w:b/>
                <w:bCs/>
                <w:sz w:val="22"/>
                <w:lang w:val="fi-FI"/>
              </w:rPr>
              <w:t>Argon-vaatimustenmukaisuus päivämäärä/versio</w:t>
            </w:r>
          </w:p>
        </w:tc>
        <w:tc>
          <w:tcPr>
            <w:tcW w:w="7951" w:type="dxa"/>
          </w:tcPr>
          <w:p w14:paraId="6A65EC29" w14:textId="77777777" w:rsidR="00175362" w:rsidRDefault="0059412C">
            <w:pPr>
              <w:spacing w:afterAutospacing="0" w:line="240" w:lineRule="auto"/>
              <w:jc w:val="center"/>
              <w:rPr>
                <w:rFonts w:cs="Times New Roman"/>
                <w:b/>
                <w:bCs/>
              </w:rPr>
            </w:pPr>
            <w:r>
              <w:rPr>
                <w:rFonts w:eastAsia="Calibri" w:cs="Times New Roman"/>
                <w:b/>
                <w:bCs/>
                <w:sz w:val="22"/>
                <w:lang w:val="fi-FI"/>
              </w:rPr>
              <w:t>Standardin otsikko</w:t>
            </w:r>
          </w:p>
        </w:tc>
      </w:tr>
      <w:tr w:rsidR="00175362" w14:paraId="2BEB3B21" w14:textId="77777777" w:rsidTr="003165A1">
        <w:tc>
          <w:tcPr>
            <w:tcW w:w="10444" w:type="dxa"/>
            <w:gridSpan w:val="2"/>
            <w:shd w:val="clear" w:color="auto" w:fill="E7E6E6" w:themeFill="background2"/>
          </w:tcPr>
          <w:p w14:paraId="209269A2" w14:textId="77777777" w:rsidR="00175362" w:rsidRDefault="0059412C">
            <w:pPr>
              <w:spacing w:afterAutospacing="0" w:line="240" w:lineRule="auto"/>
              <w:jc w:val="center"/>
              <w:rPr>
                <w:rFonts w:cs="Times New Roman"/>
                <w:b/>
                <w:bCs/>
              </w:rPr>
            </w:pPr>
            <w:r>
              <w:rPr>
                <w:rFonts w:eastAsia="Calibri" w:cs="Times New Roman"/>
                <w:b/>
                <w:bCs/>
                <w:sz w:val="22"/>
                <w:lang w:val="fi-FI"/>
              </w:rPr>
              <w:t>Merkinnät</w:t>
            </w:r>
          </w:p>
        </w:tc>
      </w:tr>
      <w:tr w:rsidR="00175362" w14:paraId="3C549C36" w14:textId="77777777" w:rsidTr="003165A1">
        <w:tc>
          <w:tcPr>
            <w:tcW w:w="2493" w:type="dxa"/>
          </w:tcPr>
          <w:p w14:paraId="7A481B34" w14:textId="77777777" w:rsidR="00175362" w:rsidRDefault="0059412C">
            <w:pPr>
              <w:spacing w:afterAutospacing="0" w:line="240" w:lineRule="auto"/>
              <w:rPr>
                <w:rFonts w:cs="Times New Roman"/>
              </w:rPr>
            </w:pPr>
            <w:r>
              <w:rPr>
                <w:rFonts w:eastAsia="Times New Roman" w:cs="Times New Roman"/>
                <w:sz w:val="22"/>
                <w:lang w:val="fi-FI"/>
              </w:rPr>
              <w:t>EN ISO 15223-1:2021</w:t>
            </w:r>
          </w:p>
        </w:tc>
        <w:tc>
          <w:tcPr>
            <w:tcW w:w="7951" w:type="dxa"/>
          </w:tcPr>
          <w:p w14:paraId="3B489F43" w14:textId="77777777" w:rsidR="00175362" w:rsidRDefault="0059412C">
            <w:pPr>
              <w:spacing w:afterAutospacing="0" w:line="240" w:lineRule="auto"/>
              <w:rPr>
                <w:rFonts w:cs="Times New Roman"/>
              </w:rPr>
            </w:pPr>
            <w:r>
              <w:rPr>
                <w:rFonts w:eastAsia="Calibri" w:cs="Times New Roman"/>
                <w:sz w:val="22"/>
                <w:lang w:val="fi-FI"/>
              </w:rPr>
              <w:t xml:space="preserve">Lääkinnälliset laitteet - Lääkinnällisten laitteiden yhteydessä käytettävät symbolit. </w:t>
            </w:r>
          </w:p>
          <w:p w14:paraId="6C12B377" w14:textId="77777777" w:rsidR="00175362" w:rsidRDefault="0059412C">
            <w:pPr>
              <w:spacing w:afterAutospacing="0" w:line="240" w:lineRule="auto"/>
              <w:rPr>
                <w:rFonts w:cs="Times New Roman"/>
              </w:rPr>
            </w:pPr>
            <w:r>
              <w:rPr>
                <w:rFonts w:eastAsia="Calibri" w:cs="Times New Roman"/>
                <w:sz w:val="22"/>
                <w:lang w:val="fi-FI"/>
              </w:rPr>
              <w:t xml:space="preserve">Toimitettavat etiketit, merkinnät ja tiedot - Osa 1: Yleiset vaatimukset. </w:t>
            </w:r>
          </w:p>
          <w:p w14:paraId="247BCC2D" w14:textId="77777777" w:rsidR="00175362" w:rsidRDefault="00175362">
            <w:pPr>
              <w:spacing w:afterAutospacing="0" w:line="240" w:lineRule="auto"/>
              <w:rPr>
                <w:rFonts w:cs="Times New Roman"/>
              </w:rPr>
            </w:pPr>
          </w:p>
        </w:tc>
      </w:tr>
      <w:tr w:rsidR="00175362" w14:paraId="54C5FFA7" w14:textId="77777777" w:rsidTr="003165A1">
        <w:tc>
          <w:tcPr>
            <w:tcW w:w="2493" w:type="dxa"/>
          </w:tcPr>
          <w:p w14:paraId="14F9907F" w14:textId="77777777" w:rsidR="00175362" w:rsidRDefault="0059412C">
            <w:pPr>
              <w:spacing w:afterAutospacing="0" w:line="240" w:lineRule="auto"/>
              <w:rPr>
                <w:rFonts w:cs="Times New Roman"/>
              </w:rPr>
            </w:pPr>
            <w:r>
              <w:rPr>
                <w:rFonts w:eastAsia="Calibri" w:cs="Times New Roman"/>
                <w:sz w:val="22"/>
                <w:lang w:val="fi-FI"/>
              </w:rPr>
              <w:t>EN ISO 20417:2021</w:t>
            </w:r>
          </w:p>
        </w:tc>
        <w:tc>
          <w:tcPr>
            <w:tcW w:w="7951" w:type="dxa"/>
          </w:tcPr>
          <w:p w14:paraId="4529198D" w14:textId="77777777" w:rsidR="00175362" w:rsidRDefault="0059412C">
            <w:pPr>
              <w:spacing w:afterAutospacing="0" w:line="240" w:lineRule="auto"/>
              <w:rPr>
                <w:rFonts w:cs="Times New Roman"/>
              </w:rPr>
            </w:pPr>
            <w:r>
              <w:rPr>
                <w:rFonts w:eastAsia="Calibri" w:cs="Times New Roman"/>
                <w:sz w:val="22"/>
                <w:lang w:val="fi-FI"/>
              </w:rPr>
              <w:t>Lääkinnällisten laitteiden mukana toimitettavat terminologiat, symbolit ja tiedot: Valmistajan lääkinnällisten laitteiden mukana toimittamat tiedot</w:t>
            </w:r>
          </w:p>
        </w:tc>
      </w:tr>
      <w:tr w:rsidR="00175362" w14:paraId="14E66362" w14:textId="77777777" w:rsidTr="003165A1">
        <w:tc>
          <w:tcPr>
            <w:tcW w:w="10444" w:type="dxa"/>
            <w:gridSpan w:val="2"/>
            <w:shd w:val="clear" w:color="auto" w:fill="E7E6E6" w:themeFill="background2"/>
          </w:tcPr>
          <w:p w14:paraId="4AED83CE" w14:textId="77777777" w:rsidR="00175362" w:rsidRDefault="0059412C">
            <w:pPr>
              <w:spacing w:afterAutospacing="0" w:line="240" w:lineRule="auto"/>
              <w:jc w:val="center"/>
              <w:rPr>
                <w:rFonts w:cs="Times New Roman"/>
                <w:b/>
                <w:bCs/>
              </w:rPr>
            </w:pPr>
            <w:r>
              <w:rPr>
                <w:rFonts w:eastAsia="Calibri" w:cs="Times New Roman"/>
                <w:b/>
                <w:bCs/>
                <w:sz w:val="22"/>
                <w:lang w:val="fi-FI"/>
              </w:rPr>
              <w:lastRenderedPageBreak/>
              <w:t>Yleiset standardit – Sterilointi</w:t>
            </w:r>
          </w:p>
        </w:tc>
      </w:tr>
      <w:tr w:rsidR="00175362" w14:paraId="57E9574E" w14:textId="77777777" w:rsidTr="003165A1">
        <w:tc>
          <w:tcPr>
            <w:tcW w:w="2493" w:type="dxa"/>
          </w:tcPr>
          <w:p w14:paraId="657F6F81" w14:textId="77777777" w:rsidR="00175362" w:rsidRDefault="0059412C">
            <w:pPr>
              <w:spacing w:afterAutospacing="0" w:line="240" w:lineRule="auto"/>
              <w:rPr>
                <w:rFonts w:cs="Times New Roman"/>
              </w:rPr>
            </w:pPr>
            <w:r>
              <w:rPr>
                <w:rFonts w:eastAsia="Calibri" w:cs="Times New Roman"/>
                <w:sz w:val="22"/>
                <w:lang w:val="fi-FI"/>
              </w:rPr>
              <w:t>ISO 10555-1:2013</w:t>
            </w:r>
          </w:p>
        </w:tc>
        <w:tc>
          <w:tcPr>
            <w:tcW w:w="7951" w:type="dxa"/>
          </w:tcPr>
          <w:p w14:paraId="64E59DF3" w14:textId="77777777" w:rsidR="00175362" w:rsidRDefault="0059412C">
            <w:pPr>
              <w:spacing w:afterAutospacing="0" w:line="240" w:lineRule="auto"/>
              <w:rPr>
                <w:rFonts w:cs="Times New Roman"/>
              </w:rPr>
            </w:pPr>
            <w:r>
              <w:rPr>
                <w:rFonts w:eastAsia="Calibri" w:cs="Times New Roman"/>
                <w:sz w:val="22"/>
                <w:lang w:val="fi-FI"/>
              </w:rPr>
              <w:t xml:space="preserve">Laskimonsisäiset katetrit – Steriilit ja kertakäyttöiset katetrit </w:t>
            </w:r>
            <w:r>
              <w:rPr>
                <w:rFonts w:eastAsia="Calibri" w:cs="Times New Roman"/>
                <w:i/>
                <w:iCs/>
                <w:sz w:val="22"/>
                <w:lang w:val="fi-FI"/>
              </w:rPr>
              <w:t xml:space="preserve">– </w:t>
            </w:r>
            <w:r>
              <w:rPr>
                <w:rFonts w:eastAsia="Calibri" w:cs="Times New Roman"/>
                <w:sz w:val="22"/>
                <w:lang w:val="fi-FI"/>
              </w:rPr>
              <w:t>Osa 1: Yleisvaatimukset</w:t>
            </w:r>
          </w:p>
        </w:tc>
      </w:tr>
      <w:tr w:rsidR="00175362" w14:paraId="0A3FC8C4" w14:textId="77777777" w:rsidTr="003165A1">
        <w:tc>
          <w:tcPr>
            <w:tcW w:w="2493" w:type="dxa"/>
          </w:tcPr>
          <w:p w14:paraId="2DC737FC" w14:textId="77777777" w:rsidR="00175362" w:rsidRDefault="0059412C">
            <w:pPr>
              <w:spacing w:afterAutospacing="0" w:line="240" w:lineRule="auto"/>
              <w:rPr>
                <w:rFonts w:cs="Times New Roman"/>
              </w:rPr>
            </w:pPr>
            <w:r>
              <w:rPr>
                <w:rFonts w:eastAsia="Calibri" w:cs="Times New Roman"/>
                <w:sz w:val="22"/>
                <w:lang w:val="fi-FI"/>
              </w:rPr>
              <w:t>EN 556-1:2024</w:t>
            </w:r>
          </w:p>
        </w:tc>
        <w:tc>
          <w:tcPr>
            <w:tcW w:w="7951" w:type="dxa"/>
          </w:tcPr>
          <w:p w14:paraId="4EBB808F" w14:textId="77777777" w:rsidR="00175362" w:rsidRDefault="0059412C">
            <w:pPr>
              <w:spacing w:afterAutospacing="0" w:line="240" w:lineRule="auto"/>
              <w:rPr>
                <w:rFonts w:cs="Times New Roman"/>
              </w:rPr>
            </w:pPr>
            <w:r>
              <w:rPr>
                <w:rFonts w:eastAsia="Calibri" w:cs="Times New Roman"/>
                <w:sz w:val="22"/>
                <w:lang w:val="fi-FI"/>
              </w:rPr>
              <w:t>Lääkinnällisten laitteiden sterilointi. Vaatimukset lääkinnällisille laitteille, joiden tulee olla STERIILEJÄ. Vaatimukset terminaalisesti steriloiduille lääkinnällisille laitteille</w:t>
            </w:r>
          </w:p>
        </w:tc>
      </w:tr>
      <w:tr w:rsidR="00175362" w14:paraId="2BE0052F" w14:textId="77777777" w:rsidTr="003165A1">
        <w:tc>
          <w:tcPr>
            <w:tcW w:w="2493" w:type="dxa"/>
          </w:tcPr>
          <w:p w14:paraId="4C05C05F" w14:textId="77777777" w:rsidR="00175362" w:rsidRDefault="0059412C">
            <w:pPr>
              <w:spacing w:afterAutospacing="0" w:line="240" w:lineRule="auto"/>
              <w:rPr>
                <w:rFonts w:cs="Times New Roman"/>
              </w:rPr>
            </w:pPr>
            <w:r>
              <w:rPr>
                <w:rFonts w:eastAsia="Calibri" w:cs="Times New Roman"/>
                <w:sz w:val="22"/>
                <w:lang w:val="fi-FI"/>
              </w:rPr>
              <w:t>EN ISO 11135:2019</w:t>
            </w:r>
          </w:p>
        </w:tc>
        <w:tc>
          <w:tcPr>
            <w:tcW w:w="7951" w:type="dxa"/>
          </w:tcPr>
          <w:p w14:paraId="13B1ED0F" w14:textId="77777777" w:rsidR="00175362" w:rsidRDefault="0059412C">
            <w:pPr>
              <w:spacing w:afterAutospacing="0" w:line="240" w:lineRule="auto"/>
              <w:rPr>
                <w:rFonts w:cs="Times New Roman"/>
              </w:rPr>
            </w:pPr>
            <w:r>
              <w:rPr>
                <w:rFonts w:eastAsia="Calibri" w:cs="Times New Roman"/>
                <w:sz w:val="22"/>
                <w:lang w:val="fi-FI"/>
              </w:rPr>
              <w:t>Terveydenhuollon tuotteiden sterilointi – Etyleenioksidi – Osa 1: Lääkinnällisten laitteiden sterilointiprosessin kehittämistä, validointia ja rutiinivalvontaa koskevat vaatimukset</w:t>
            </w:r>
          </w:p>
        </w:tc>
      </w:tr>
      <w:tr w:rsidR="00175362" w14:paraId="6E9EAF20" w14:textId="77777777" w:rsidTr="003165A1">
        <w:tc>
          <w:tcPr>
            <w:tcW w:w="2493" w:type="dxa"/>
          </w:tcPr>
          <w:p w14:paraId="4C33A069" w14:textId="77777777" w:rsidR="00175362" w:rsidRDefault="0059412C">
            <w:pPr>
              <w:spacing w:afterAutospacing="0" w:line="240" w:lineRule="auto"/>
              <w:rPr>
                <w:rFonts w:cs="Times New Roman"/>
              </w:rPr>
            </w:pPr>
            <w:r>
              <w:rPr>
                <w:rFonts w:eastAsia="Calibri" w:cs="Times New Roman"/>
                <w:sz w:val="22"/>
                <w:lang w:val="fi-FI"/>
              </w:rPr>
              <w:t>AAMI TIR28:2016</w:t>
            </w:r>
          </w:p>
          <w:p w14:paraId="739DA8CB" w14:textId="77777777" w:rsidR="00175362" w:rsidRDefault="00175362">
            <w:pPr>
              <w:spacing w:afterAutospacing="0" w:line="240" w:lineRule="auto"/>
              <w:jc w:val="center"/>
              <w:rPr>
                <w:rFonts w:cs="Times New Roman"/>
              </w:rPr>
            </w:pPr>
          </w:p>
        </w:tc>
        <w:tc>
          <w:tcPr>
            <w:tcW w:w="7951" w:type="dxa"/>
          </w:tcPr>
          <w:p w14:paraId="02616CFC" w14:textId="77777777" w:rsidR="00175362" w:rsidRDefault="0059412C">
            <w:pPr>
              <w:spacing w:afterAutospacing="0" w:line="240" w:lineRule="auto"/>
              <w:rPr>
                <w:rFonts w:cs="Times New Roman"/>
              </w:rPr>
            </w:pPr>
            <w:r>
              <w:rPr>
                <w:rFonts w:eastAsia="Calibri" w:cs="Times New Roman"/>
                <w:sz w:val="22"/>
                <w:lang w:val="fi-FI"/>
              </w:rPr>
              <w:t>Tuotteen käyttöönotto ja prosessin vastaavuus etyleenioksidisteriloinnissa</w:t>
            </w:r>
          </w:p>
        </w:tc>
      </w:tr>
      <w:tr w:rsidR="00175362" w14:paraId="290A7858" w14:textId="77777777" w:rsidTr="003165A1">
        <w:tc>
          <w:tcPr>
            <w:tcW w:w="2493" w:type="dxa"/>
          </w:tcPr>
          <w:p w14:paraId="58B14594" w14:textId="77777777" w:rsidR="00175362" w:rsidRDefault="0059412C">
            <w:pPr>
              <w:spacing w:afterAutospacing="0" w:line="240" w:lineRule="auto"/>
              <w:jc w:val="center"/>
              <w:rPr>
                <w:rFonts w:cs="Times New Roman"/>
              </w:rPr>
            </w:pPr>
            <w:r>
              <w:rPr>
                <w:rFonts w:eastAsia="Calibri" w:cs="Times New Roman"/>
                <w:sz w:val="22"/>
                <w:lang w:val="fi-FI"/>
              </w:rPr>
              <w:t>EN ISO 14644-1:2015</w:t>
            </w:r>
          </w:p>
        </w:tc>
        <w:tc>
          <w:tcPr>
            <w:tcW w:w="7951" w:type="dxa"/>
          </w:tcPr>
          <w:p w14:paraId="23C71F5A" w14:textId="77777777" w:rsidR="00175362" w:rsidRDefault="0059412C">
            <w:pPr>
              <w:spacing w:afterAutospacing="0" w:line="240" w:lineRule="auto"/>
              <w:rPr>
                <w:rFonts w:cs="Times New Roman"/>
              </w:rPr>
            </w:pPr>
            <w:r>
              <w:rPr>
                <w:rFonts w:eastAsia="Calibri" w:cs="Times New Roman"/>
                <w:sz w:val="22"/>
                <w:lang w:val="fi-FI"/>
              </w:rPr>
              <w:t>Ilmanpuhtauden luokittelu, puhdastilat ja niihin liittyvät valvotut ympäristöt. Osa 1: Ilmanpuhtauden luokittelu</w:t>
            </w:r>
          </w:p>
        </w:tc>
      </w:tr>
      <w:tr w:rsidR="00175362" w14:paraId="3DDFD233" w14:textId="77777777" w:rsidTr="003165A1">
        <w:trPr>
          <w:trHeight w:val="1097"/>
        </w:trPr>
        <w:tc>
          <w:tcPr>
            <w:tcW w:w="2493" w:type="dxa"/>
          </w:tcPr>
          <w:p w14:paraId="11B787BC" w14:textId="77777777" w:rsidR="00175362" w:rsidRDefault="0059412C">
            <w:pPr>
              <w:spacing w:afterAutospacing="0" w:line="240" w:lineRule="auto"/>
              <w:jc w:val="center"/>
              <w:rPr>
                <w:rFonts w:cs="Times New Roman"/>
              </w:rPr>
            </w:pPr>
            <w:r>
              <w:rPr>
                <w:rFonts w:eastAsia="Calibri" w:cs="Times New Roman"/>
                <w:sz w:val="22"/>
                <w:lang w:val="fi-FI"/>
              </w:rPr>
              <w:t>EN ISO 14644-2:2015</w:t>
            </w:r>
          </w:p>
        </w:tc>
        <w:tc>
          <w:tcPr>
            <w:tcW w:w="7951" w:type="dxa"/>
          </w:tcPr>
          <w:p w14:paraId="48DF00E0" w14:textId="77777777" w:rsidR="00175362" w:rsidRDefault="0059412C">
            <w:pPr>
              <w:spacing w:afterAutospacing="0" w:line="240" w:lineRule="auto"/>
              <w:rPr>
                <w:rFonts w:cs="Times New Roman"/>
              </w:rPr>
            </w:pPr>
            <w:r>
              <w:rPr>
                <w:rFonts w:eastAsia="Calibri" w:cs="Times New Roman"/>
                <w:sz w:val="22"/>
                <w:lang w:val="fi-FI"/>
              </w:rPr>
              <w:t xml:space="preserve">Puhdastilat ja niihin liittyvät valvotut ympäristöt - Osa 2: Puhdastilan tilan osoittamiseen tarkoitettu valvonta. </w:t>
            </w:r>
          </w:p>
          <w:p w14:paraId="2E317974" w14:textId="77777777" w:rsidR="00175362" w:rsidRDefault="0059412C">
            <w:pPr>
              <w:spacing w:afterAutospacing="0" w:line="240" w:lineRule="auto"/>
              <w:rPr>
                <w:rFonts w:cs="Times New Roman"/>
              </w:rPr>
            </w:pPr>
            <w:r>
              <w:rPr>
                <w:rFonts w:eastAsia="Calibri" w:cs="Times New Roman"/>
                <w:sz w:val="22"/>
                <w:lang w:val="fi-FI"/>
              </w:rPr>
              <w:t xml:space="preserve">Hiukkasten aiheuttamaan ilmanpuhtauteen liittyvä suorituskyky. </w:t>
            </w:r>
          </w:p>
          <w:p w14:paraId="3B0D1615" w14:textId="77777777" w:rsidR="00175362" w:rsidRDefault="0059412C">
            <w:pPr>
              <w:spacing w:afterAutospacing="0" w:line="240" w:lineRule="auto"/>
              <w:rPr>
                <w:rFonts w:cs="Times New Roman"/>
              </w:rPr>
            </w:pPr>
            <w:r>
              <w:rPr>
                <w:rFonts w:eastAsia="Calibri" w:cs="Times New Roman"/>
                <w:sz w:val="22"/>
                <w:lang w:val="fi-FI"/>
              </w:rPr>
              <w:t>pitoisuus</w:t>
            </w:r>
          </w:p>
        </w:tc>
      </w:tr>
      <w:tr w:rsidR="00175362" w14:paraId="38C7F66D" w14:textId="77777777" w:rsidTr="003165A1">
        <w:tc>
          <w:tcPr>
            <w:tcW w:w="2493" w:type="dxa"/>
            <w:vAlign w:val="center"/>
          </w:tcPr>
          <w:p w14:paraId="4E8FCFB6" w14:textId="77777777" w:rsidR="00175362" w:rsidRDefault="0059412C">
            <w:pPr>
              <w:spacing w:afterAutospacing="0" w:line="240" w:lineRule="auto"/>
              <w:jc w:val="center"/>
              <w:rPr>
                <w:rFonts w:cs="Times New Roman"/>
              </w:rPr>
            </w:pPr>
            <w:r>
              <w:rPr>
                <w:rFonts w:eastAsia="Times New Roman" w:cs="Times New Roman"/>
                <w:sz w:val="22"/>
                <w:lang w:val="fi-FI"/>
              </w:rPr>
              <w:t>EN ISO 11737-1:2018</w:t>
            </w:r>
          </w:p>
        </w:tc>
        <w:tc>
          <w:tcPr>
            <w:tcW w:w="7951" w:type="dxa"/>
            <w:vAlign w:val="center"/>
          </w:tcPr>
          <w:p w14:paraId="7E2050C8" w14:textId="77777777" w:rsidR="00175362" w:rsidRDefault="0059412C">
            <w:pPr>
              <w:spacing w:afterAutospacing="0" w:line="240" w:lineRule="auto"/>
              <w:rPr>
                <w:rFonts w:cs="Times New Roman"/>
              </w:rPr>
            </w:pPr>
            <w:r>
              <w:rPr>
                <w:rFonts w:eastAsia="Times New Roman" w:cs="Times New Roman"/>
                <w:sz w:val="22"/>
                <w:lang w:val="fi-FI"/>
              </w:rPr>
              <w:t>Lääkinnällisten laitteiden sterilointi – Mikrobiologiset menetelmät – Osa 1: Mikro-organismipopulaation määrittäminen tuotteissa</w:t>
            </w:r>
          </w:p>
        </w:tc>
      </w:tr>
      <w:tr w:rsidR="00175362" w14:paraId="19469FE9" w14:textId="77777777" w:rsidTr="003165A1">
        <w:tc>
          <w:tcPr>
            <w:tcW w:w="2493" w:type="dxa"/>
            <w:vAlign w:val="center"/>
          </w:tcPr>
          <w:p w14:paraId="6A45917B" w14:textId="77777777" w:rsidR="00175362" w:rsidRDefault="0059412C">
            <w:pPr>
              <w:spacing w:afterAutospacing="0" w:line="240" w:lineRule="auto"/>
              <w:jc w:val="center"/>
              <w:rPr>
                <w:rFonts w:cs="Times New Roman"/>
              </w:rPr>
            </w:pPr>
            <w:r>
              <w:rPr>
                <w:rFonts w:eastAsia="Times New Roman" w:cs="Times New Roman"/>
                <w:sz w:val="22"/>
                <w:lang w:val="fi-FI"/>
              </w:rPr>
              <w:t>EN ISO 10993-7:2022</w:t>
            </w:r>
          </w:p>
        </w:tc>
        <w:tc>
          <w:tcPr>
            <w:tcW w:w="7951" w:type="dxa"/>
            <w:vAlign w:val="center"/>
          </w:tcPr>
          <w:p w14:paraId="09EB0C61" w14:textId="77777777" w:rsidR="00175362" w:rsidRDefault="0059412C">
            <w:pPr>
              <w:spacing w:afterAutospacing="0" w:line="240" w:lineRule="auto"/>
              <w:rPr>
                <w:rFonts w:cs="Times New Roman"/>
              </w:rPr>
            </w:pPr>
            <w:r>
              <w:rPr>
                <w:rFonts w:eastAsia="Times New Roman" w:cs="Times New Roman"/>
                <w:sz w:val="22"/>
                <w:lang w:val="fi-FI"/>
              </w:rPr>
              <w:t>Lääkinnällisten laitteiden biologinen arviointi. Etyleenioksidisteriloinnin jäämät</w:t>
            </w:r>
          </w:p>
        </w:tc>
      </w:tr>
      <w:tr w:rsidR="00175362" w14:paraId="2B5042A4" w14:textId="77777777" w:rsidTr="003165A1">
        <w:tc>
          <w:tcPr>
            <w:tcW w:w="2493" w:type="dxa"/>
          </w:tcPr>
          <w:p w14:paraId="457169BD" w14:textId="77777777" w:rsidR="00175362" w:rsidRDefault="0059412C">
            <w:pPr>
              <w:spacing w:afterAutospacing="0" w:line="240" w:lineRule="auto"/>
              <w:rPr>
                <w:rFonts w:cs="Times New Roman"/>
              </w:rPr>
            </w:pPr>
            <w:r>
              <w:rPr>
                <w:rFonts w:eastAsia="Calibri" w:cs="Times New Roman"/>
                <w:sz w:val="22"/>
                <w:lang w:val="fi-FI"/>
              </w:rPr>
              <w:t>NSI/AAMI ST72:2019</w:t>
            </w:r>
          </w:p>
        </w:tc>
        <w:tc>
          <w:tcPr>
            <w:tcW w:w="7951" w:type="dxa"/>
          </w:tcPr>
          <w:p w14:paraId="2AF24510" w14:textId="77777777" w:rsidR="00175362" w:rsidRDefault="0059412C">
            <w:pPr>
              <w:spacing w:afterAutospacing="0" w:line="240" w:lineRule="auto"/>
              <w:rPr>
                <w:rFonts w:cs="Times New Roman"/>
              </w:rPr>
            </w:pPr>
            <w:r>
              <w:rPr>
                <w:rFonts w:eastAsia="Calibri" w:cs="Times New Roman"/>
                <w:sz w:val="22"/>
                <w:lang w:val="fi-FI"/>
              </w:rPr>
              <w:t>Bakteerien endotoksiinitesti</w:t>
            </w:r>
          </w:p>
        </w:tc>
      </w:tr>
      <w:tr w:rsidR="00175362" w14:paraId="0598D172" w14:textId="77777777" w:rsidTr="003165A1">
        <w:tc>
          <w:tcPr>
            <w:tcW w:w="10444" w:type="dxa"/>
            <w:gridSpan w:val="2"/>
            <w:shd w:val="clear" w:color="auto" w:fill="E7E6E6" w:themeFill="background2"/>
          </w:tcPr>
          <w:p w14:paraId="41196086" w14:textId="77777777" w:rsidR="00175362" w:rsidRDefault="0059412C">
            <w:pPr>
              <w:spacing w:afterAutospacing="0" w:line="240" w:lineRule="auto"/>
              <w:jc w:val="center"/>
              <w:rPr>
                <w:rFonts w:cs="Times New Roman"/>
                <w:b/>
                <w:bCs/>
              </w:rPr>
            </w:pPr>
            <w:r>
              <w:rPr>
                <w:rFonts w:eastAsia="Calibri" w:cs="Times New Roman"/>
                <w:b/>
                <w:bCs/>
                <w:sz w:val="22"/>
                <w:lang w:val="fi-FI"/>
              </w:rPr>
              <w:t>Yleiset standardit – laatujärjestelmät</w:t>
            </w:r>
          </w:p>
        </w:tc>
      </w:tr>
      <w:tr w:rsidR="00175362" w14:paraId="47C0641B" w14:textId="77777777" w:rsidTr="003165A1">
        <w:tc>
          <w:tcPr>
            <w:tcW w:w="2493" w:type="dxa"/>
            <w:vAlign w:val="center"/>
          </w:tcPr>
          <w:p w14:paraId="52A7B0F2" w14:textId="77777777" w:rsidR="00175362" w:rsidRDefault="0059412C">
            <w:pPr>
              <w:spacing w:afterAutospacing="0" w:line="240" w:lineRule="auto"/>
              <w:rPr>
                <w:rFonts w:cs="Times New Roman"/>
              </w:rPr>
            </w:pPr>
            <w:r>
              <w:rPr>
                <w:rFonts w:eastAsia="Times New Roman" w:cs="Times New Roman"/>
                <w:sz w:val="22"/>
                <w:lang w:val="fi-FI"/>
              </w:rPr>
              <w:t>EN ISO 13485:2016</w:t>
            </w:r>
          </w:p>
        </w:tc>
        <w:tc>
          <w:tcPr>
            <w:tcW w:w="7951" w:type="dxa"/>
            <w:vAlign w:val="center"/>
          </w:tcPr>
          <w:p w14:paraId="063C060A" w14:textId="77777777" w:rsidR="00175362" w:rsidRDefault="0059412C">
            <w:pPr>
              <w:spacing w:afterAutospacing="0" w:line="240" w:lineRule="auto"/>
              <w:rPr>
                <w:rFonts w:cs="Times New Roman"/>
              </w:rPr>
            </w:pPr>
            <w:r>
              <w:rPr>
                <w:rFonts w:eastAsia="Times New Roman" w:cs="Times New Roman"/>
                <w:sz w:val="22"/>
                <w:lang w:val="fi-FI"/>
              </w:rPr>
              <w:t>Lääkinnälliset laitteet. Laadunhallintajärjestelmät. Vaatimukset viranomaismääräyksiä varten</w:t>
            </w:r>
          </w:p>
        </w:tc>
      </w:tr>
      <w:tr w:rsidR="00175362" w14:paraId="6E77037B" w14:textId="77777777" w:rsidTr="003165A1">
        <w:tc>
          <w:tcPr>
            <w:tcW w:w="10444" w:type="dxa"/>
            <w:gridSpan w:val="2"/>
            <w:shd w:val="clear" w:color="auto" w:fill="E7E6E6" w:themeFill="background2"/>
          </w:tcPr>
          <w:p w14:paraId="3ACD3BAC" w14:textId="77777777" w:rsidR="00175362" w:rsidRDefault="0059412C">
            <w:pPr>
              <w:spacing w:afterAutospacing="0" w:line="240" w:lineRule="auto"/>
              <w:jc w:val="center"/>
              <w:rPr>
                <w:rFonts w:cs="Times New Roman"/>
                <w:b/>
                <w:bCs/>
              </w:rPr>
            </w:pPr>
            <w:r>
              <w:rPr>
                <w:rFonts w:eastAsia="Calibri" w:cs="Times New Roman"/>
                <w:b/>
                <w:bCs/>
                <w:sz w:val="22"/>
                <w:lang w:val="fi-FI"/>
              </w:rPr>
              <w:t>Riskienhallinta</w:t>
            </w:r>
          </w:p>
        </w:tc>
      </w:tr>
      <w:tr w:rsidR="00175362" w14:paraId="7EC8E02E" w14:textId="77777777" w:rsidTr="003165A1">
        <w:tc>
          <w:tcPr>
            <w:tcW w:w="2493" w:type="dxa"/>
          </w:tcPr>
          <w:p w14:paraId="66CD8941" w14:textId="77777777" w:rsidR="00175362" w:rsidRDefault="0059412C">
            <w:pPr>
              <w:spacing w:afterAutospacing="0" w:line="240" w:lineRule="auto"/>
              <w:rPr>
                <w:rFonts w:cs="Times New Roman"/>
              </w:rPr>
            </w:pPr>
            <w:r>
              <w:rPr>
                <w:rFonts w:eastAsia="Calibri" w:cs="Times New Roman"/>
                <w:sz w:val="22"/>
                <w:lang w:val="fi-FI"/>
              </w:rPr>
              <w:t>EN ISO 14971:2019</w:t>
            </w:r>
          </w:p>
        </w:tc>
        <w:tc>
          <w:tcPr>
            <w:tcW w:w="7951" w:type="dxa"/>
          </w:tcPr>
          <w:p w14:paraId="76178150" w14:textId="77777777" w:rsidR="00175362" w:rsidRDefault="0059412C">
            <w:pPr>
              <w:spacing w:afterAutospacing="0" w:line="240" w:lineRule="auto"/>
              <w:rPr>
                <w:rFonts w:cs="Times New Roman"/>
              </w:rPr>
            </w:pPr>
            <w:r>
              <w:rPr>
                <w:rFonts w:eastAsia="Calibri" w:cs="Times New Roman"/>
                <w:sz w:val="22"/>
                <w:lang w:val="fi-FI"/>
              </w:rPr>
              <w:t>Lääkinnälliset laitteet – Riskinhallinan soveltaminen lääkinnällisiin laitteisiin</w:t>
            </w:r>
          </w:p>
        </w:tc>
      </w:tr>
      <w:tr w:rsidR="00175362" w14:paraId="5F288D71" w14:textId="77777777" w:rsidTr="003165A1">
        <w:tc>
          <w:tcPr>
            <w:tcW w:w="10444" w:type="dxa"/>
            <w:gridSpan w:val="2"/>
            <w:shd w:val="clear" w:color="auto" w:fill="E7E6E6" w:themeFill="background2"/>
          </w:tcPr>
          <w:p w14:paraId="7B4D4A4E" w14:textId="77777777" w:rsidR="00175362" w:rsidRDefault="0059412C">
            <w:pPr>
              <w:spacing w:afterAutospacing="0" w:line="240" w:lineRule="auto"/>
              <w:jc w:val="center"/>
              <w:rPr>
                <w:rFonts w:cs="Times New Roman"/>
              </w:rPr>
            </w:pPr>
            <w:r>
              <w:rPr>
                <w:rFonts w:eastAsia="Arial" w:cs="Times New Roman"/>
                <w:b/>
                <w:bCs/>
                <w:sz w:val="22"/>
                <w:lang w:val="fi-FI"/>
              </w:rPr>
              <w:t>Biologinen turvallisuus</w:t>
            </w:r>
          </w:p>
        </w:tc>
      </w:tr>
      <w:tr w:rsidR="00175362" w14:paraId="6A3C9278" w14:textId="77777777" w:rsidTr="003165A1">
        <w:tc>
          <w:tcPr>
            <w:tcW w:w="2493" w:type="dxa"/>
          </w:tcPr>
          <w:p w14:paraId="31C712AD" w14:textId="77777777" w:rsidR="00175362" w:rsidRDefault="0059412C">
            <w:pPr>
              <w:spacing w:afterAutospacing="0" w:line="240" w:lineRule="auto"/>
              <w:rPr>
                <w:rFonts w:cs="Times New Roman"/>
                <w:bCs/>
              </w:rPr>
            </w:pPr>
            <w:r>
              <w:rPr>
                <w:rFonts w:eastAsia="Arial" w:cs="Times New Roman"/>
                <w:sz w:val="22"/>
                <w:lang w:val="fi-FI"/>
              </w:rPr>
              <w:t>EN ISO 10993-1:2020 + LC:2021</w:t>
            </w:r>
          </w:p>
        </w:tc>
        <w:tc>
          <w:tcPr>
            <w:tcW w:w="7951" w:type="dxa"/>
          </w:tcPr>
          <w:p w14:paraId="3D243C88" w14:textId="77777777" w:rsidR="00175362" w:rsidRDefault="0059412C">
            <w:pPr>
              <w:spacing w:after="14" w:afterAutospacing="0" w:line="240" w:lineRule="auto"/>
              <w:rPr>
                <w:rFonts w:cs="Times New Roman"/>
                <w:lang w:val="de-DE"/>
              </w:rPr>
            </w:pPr>
            <w:r>
              <w:rPr>
                <w:rFonts w:eastAsia="Arial" w:cs="Times New Roman"/>
                <w:sz w:val="22"/>
                <w:lang w:val="fi-FI"/>
              </w:rPr>
              <w:t xml:space="preserve">Lääkinnällisten laitteiden biologinen arviointi – Osa 1: </w:t>
            </w:r>
          </w:p>
          <w:p w14:paraId="32330466" w14:textId="77777777" w:rsidR="00175362" w:rsidRDefault="0059412C">
            <w:pPr>
              <w:tabs>
                <w:tab w:val="left" w:pos="1320"/>
              </w:tabs>
              <w:spacing w:afterAutospacing="0" w:line="240" w:lineRule="auto"/>
              <w:rPr>
                <w:rFonts w:cs="Times New Roman"/>
              </w:rPr>
            </w:pPr>
            <w:r>
              <w:rPr>
                <w:rFonts w:eastAsia="Arial" w:cs="Times New Roman"/>
                <w:sz w:val="22"/>
                <w:lang w:val="fi-FI"/>
              </w:rPr>
              <w:t xml:space="preserve">Arviointi ja testaus  </w:t>
            </w:r>
          </w:p>
        </w:tc>
      </w:tr>
      <w:tr w:rsidR="00175362" w14:paraId="17679A1D" w14:textId="77777777" w:rsidTr="003165A1">
        <w:tc>
          <w:tcPr>
            <w:tcW w:w="2493" w:type="dxa"/>
          </w:tcPr>
          <w:p w14:paraId="30CC087F" w14:textId="77777777" w:rsidR="00175362" w:rsidRDefault="0059412C">
            <w:pPr>
              <w:spacing w:afterAutospacing="0" w:line="240" w:lineRule="auto"/>
              <w:rPr>
                <w:rFonts w:cs="Times New Roman"/>
                <w:bCs/>
              </w:rPr>
            </w:pPr>
            <w:r>
              <w:rPr>
                <w:rFonts w:eastAsia="Arial" w:cs="Times New Roman"/>
                <w:sz w:val="22"/>
                <w:lang w:val="fi-FI"/>
              </w:rPr>
              <w:t>EN ISO 10993-3:2014</w:t>
            </w:r>
          </w:p>
        </w:tc>
        <w:tc>
          <w:tcPr>
            <w:tcW w:w="7951" w:type="dxa"/>
          </w:tcPr>
          <w:p w14:paraId="1E6EB021" w14:textId="77777777" w:rsidR="00175362" w:rsidRDefault="0059412C">
            <w:pPr>
              <w:spacing w:afterAutospacing="0" w:line="240" w:lineRule="auto"/>
              <w:rPr>
                <w:rFonts w:cs="Times New Roman"/>
              </w:rPr>
            </w:pPr>
            <w:r>
              <w:rPr>
                <w:rFonts w:eastAsia="Arial" w:cs="Times New Roman"/>
                <w:sz w:val="22"/>
                <w:lang w:val="fi-FI"/>
              </w:rPr>
              <w:t xml:space="preserve">Lääkinnällisten laitteiden biologinen arviointi -- Osa 3: Genotoksisuuden, karsinogeenisuuden ja lisääntymistoksisuuden testit </w:t>
            </w:r>
          </w:p>
        </w:tc>
      </w:tr>
      <w:tr w:rsidR="00175362" w14:paraId="49888B92" w14:textId="77777777" w:rsidTr="003165A1">
        <w:tc>
          <w:tcPr>
            <w:tcW w:w="2493" w:type="dxa"/>
          </w:tcPr>
          <w:p w14:paraId="7C8FFFE1" w14:textId="77777777" w:rsidR="00175362" w:rsidRDefault="0059412C">
            <w:pPr>
              <w:spacing w:afterAutospacing="0" w:line="240" w:lineRule="auto"/>
              <w:rPr>
                <w:rFonts w:cs="Times New Roman"/>
                <w:bCs/>
              </w:rPr>
            </w:pPr>
            <w:r>
              <w:rPr>
                <w:rFonts w:eastAsia="Arial" w:cs="Times New Roman"/>
                <w:sz w:val="22"/>
                <w:lang w:val="fi-FI"/>
              </w:rPr>
              <w:t>EN ISO 10993-4:2017</w:t>
            </w:r>
          </w:p>
        </w:tc>
        <w:tc>
          <w:tcPr>
            <w:tcW w:w="7951" w:type="dxa"/>
          </w:tcPr>
          <w:p w14:paraId="3B586787" w14:textId="77777777" w:rsidR="00175362" w:rsidRDefault="0059412C">
            <w:pPr>
              <w:spacing w:afterAutospacing="0" w:line="240" w:lineRule="auto"/>
              <w:rPr>
                <w:rFonts w:cs="Times New Roman"/>
              </w:rPr>
            </w:pPr>
            <w:r>
              <w:rPr>
                <w:rFonts w:eastAsia="Arial" w:cs="Times New Roman"/>
                <w:sz w:val="22"/>
                <w:lang w:val="fi-FI"/>
              </w:rPr>
              <w:t xml:space="preserve">Lääkinnällisten laitteiden biologinen arviointi – Osa 4: Testit vereen liittyviä toimenpiteitä varten </w:t>
            </w:r>
          </w:p>
        </w:tc>
      </w:tr>
      <w:tr w:rsidR="00175362" w:rsidRPr="00DE0C6B" w14:paraId="6B872AA5" w14:textId="77777777" w:rsidTr="003165A1">
        <w:tc>
          <w:tcPr>
            <w:tcW w:w="2493" w:type="dxa"/>
          </w:tcPr>
          <w:p w14:paraId="165F3E9A" w14:textId="77777777" w:rsidR="00175362" w:rsidRDefault="0059412C">
            <w:pPr>
              <w:spacing w:afterAutospacing="0" w:line="240" w:lineRule="auto"/>
              <w:rPr>
                <w:rFonts w:cs="Times New Roman"/>
                <w:bCs/>
              </w:rPr>
            </w:pPr>
            <w:r>
              <w:rPr>
                <w:rFonts w:eastAsia="Arial" w:cs="Times New Roman"/>
                <w:sz w:val="22"/>
                <w:lang w:val="fi-FI"/>
              </w:rPr>
              <w:t>EN ISO 10993-5:2009</w:t>
            </w:r>
          </w:p>
        </w:tc>
        <w:tc>
          <w:tcPr>
            <w:tcW w:w="7951" w:type="dxa"/>
          </w:tcPr>
          <w:p w14:paraId="5EF15643" w14:textId="77777777" w:rsidR="00175362" w:rsidRDefault="0059412C">
            <w:pPr>
              <w:spacing w:afterAutospacing="0" w:line="240" w:lineRule="auto"/>
              <w:rPr>
                <w:rFonts w:cs="Times New Roman"/>
                <w:lang w:val="de-DE"/>
              </w:rPr>
            </w:pPr>
            <w:r>
              <w:rPr>
                <w:rFonts w:eastAsia="Arial" w:cs="Times New Roman"/>
                <w:sz w:val="22"/>
                <w:lang w:val="fi-FI"/>
              </w:rPr>
              <w:t xml:space="preserve">Lääkinnällisten laitteiden biologinen arviointi -- Osa 5: Sytotoksisuuden in vitro -testit </w:t>
            </w:r>
          </w:p>
        </w:tc>
      </w:tr>
      <w:tr w:rsidR="00175362" w:rsidRPr="00DE0C6B" w14:paraId="4B211D48" w14:textId="77777777" w:rsidTr="003165A1">
        <w:tc>
          <w:tcPr>
            <w:tcW w:w="2493" w:type="dxa"/>
          </w:tcPr>
          <w:p w14:paraId="3B7BE1C5" w14:textId="77777777" w:rsidR="00175362" w:rsidRDefault="0059412C">
            <w:pPr>
              <w:spacing w:afterAutospacing="0" w:line="240" w:lineRule="auto"/>
              <w:rPr>
                <w:rFonts w:cs="Times New Roman"/>
                <w:bCs/>
              </w:rPr>
            </w:pPr>
            <w:r>
              <w:rPr>
                <w:rFonts w:eastAsia="Arial" w:cs="Times New Roman"/>
                <w:sz w:val="22"/>
                <w:lang w:val="fi-FI"/>
              </w:rPr>
              <w:t>EN ISO 10993-10:2013</w:t>
            </w:r>
          </w:p>
        </w:tc>
        <w:tc>
          <w:tcPr>
            <w:tcW w:w="7951" w:type="dxa"/>
          </w:tcPr>
          <w:p w14:paraId="1A9116B7" w14:textId="77777777" w:rsidR="00175362" w:rsidRDefault="0059412C">
            <w:pPr>
              <w:spacing w:afterAutospacing="0" w:line="240" w:lineRule="auto"/>
              <w:rPr>
                <w:rFonts w:cs="Times New Roman"/>
                <w:lang w:val="de-DE"/>
              </w:rPr>
            </w:pPr>
            <w:r>
              <w:rPr>
                <w:rFonts w:eastAsia="Arial" w:cs="Times New Roman"/>
                <w:sz w:val="22"/>
                <w:lang w:val="fi-FI"/>
              </w:rPr>
              <w:t xml:space="preserve">Lääkinnällisten laitteiden biologinen arviointi -- Osa 10: Ärsytyksen ja ihoherkistymisen testit </w:t>
            </w:r>
          </w:p>
        </w:tc>
      </w:tr>
      <w:tr w:rsidR="00175362" w14:paraId="3C7A6790" w14:textId="77777777" w:rsidTr="003165A1">
        <w:tc>
          <w:tcPr>
            <w:tcW w:w="2493" w:type="dxa"/>
          </w:tcPr>
          <w:p w14:paraId="506D32D7" w14:textId="77777777" w:rsidR="00175362" w:rsidRDefault="0059412C">
            <w:pPr>
              <w:spacing w:afterAutospacing="0" w:line="240" w:lineRule="auto"/>
              <w:rPr>
                <w:rFonts w:cs="Times New Roman"/>
                <w:bCs/>
              </w:rPr>
            </w:pPr>
            <w:r>
              <w:rPr>
                <w:rFonts w:eastAsia="Arial" w:cs="Times New Roman"/>
                <w:sz w:val="22"/>
                <w:lang w:val="fi-FI"/>
              </w:rPr>
              <w:t>EN ISO 10993-11:2018</w:t>
            </w:r>
          </w:p>
        </w:tc>
        <w:tc>
          <w:tcPr>
            <w:tcW w:w="7951" w:type="dxa"/>
          </w:tcPr>
          <w:p w14:paraId="08443A3A" w14:textId="77777777" w:rsidR="00175362" w:rsidRDefault="0059412C">
            <w:pPr>
              <w:spacing w:afterAutospacing="0" w:line="240" w:lineRule="auto"/>
              <w:rPr>
                <w:rFonts w:cs="Times New Roman"/>
              </w:rPr>
            </w:pPr>
            <w:r>
              <w:rPr>
                <w:rFonts w:eastAsia="Arial" w:cs="Times New Roman"/>
                <w:sz w:val="22"/>
                <w:lang w:val="fi-FI"/>
              </w:rPr>
              <w:t xml:space="preserve">Lääkinnällisten laitteiden biologinen arviointi -- Osa 11: Systeemisen myrkyllisyyden testit </w:t>
            </w:r>
          </w:p>
        </w:tc>
      </w:tr>
      <w:tr w:rsidR="00175362" w14:paraId="62F443C8" w14:textId="77777777" w:rsidTr="003165A1">
        <w:tc>
          <w:tcPr>
            <w:tcW w:w="2493" w:type="dxa"/>
          </w:tcPr>
          <w:p w14:paraId="3EE3C466" w14:textId="77777777" w:rsidR="00175362" w:rsidRDefault="0059412C">
            <w:pPr>
              <w:spacing w:afterAutospacing="0" w:line="240" w:lineRule="auto"/>
              <w:rPr>
                <w:rFonts w:cs="Times New Roman"/>
                <w:bCs/>
              </w:rPr>
            </w:pPr>
            <w:r>
              <w:rPr>
                <w:rFonts w:eastAsia="Arial" w:cs="Times New Roman"/>
                <w:sz w:val="22"/>
                <w:lang w:val="fi-FI"/>
              </w:rPr>
              <w:t>EN ISO 10993-12:2021</w:t>
            </w:r>
          </w:p>
        </w:tc>
        <w:tc>
          <w:tcPr>
            <w:tcW w:w="7951" w:type="dxa"/>
          </w:tcPr>
          <w:p w14:paraId="42F242AA" w14:textId="77777777" w:rsidR="00175362" w:rsidRDefault="0059412C">
            <w:pPr>
              <w:spacing w:afterAutospacing="0" w:line="240" w:lineRule="auto"/>
              <w:rPr>
                <w:rFonts w:cs="Times New Roman"/>
              </w:rPr>
            </w:pPr>
            <w:r>
              <w:rPr>
                <w:rFonts w:eastAsia="Arial" w:cs="Times New Roman"/>
                <w:sz w:val="22"/>
                <w:lang w:val="fi-FI"/>
              </w:rPr>
              <w:t xml:space="preserve">Lääkinnällisten laitteiden biologinen arviointi – Osa 12: Näytteen valmistus ja vertailumateriaalit </w:t>
            </w:r>
          </w:p>
        </w:tc>
      </w:tr>
      <w:tr w:rsidR="00175362" w:rsidRPr="00DE0C6B" w14:paraId="12A03D07" w14:textId="77777777" w:rsidTr="003165A1">
        <w:tc>
          <w:tcPr>
            <w:tcW w:w="2493" w:type="dxa"/>
          </w:tcPr>
          <w:p w14:paraId="4FD92932" w14:textId="77777777" w:rsidR="00175362" w:rsidRDefault="0059412C">
            <w:pPr>
              <w:spacing w:afterAutospacing="0" w:line="240" w:lineRule="auto"/>
              <w:rPr>
                <w:rFonts w:eastAsia="Arial" w:cs="Times New Roman"/>
                <w:bCs/>
              </w:rPr>
            </w:pPr>
            <w:r>
              <w:rPr>
                <w:rFonts w:eastAsia="Arial" w:cs="Times New Roman"/>
                <w:sz w:val="22"/>
                <w:lang w:val="fi-FI"/>
              </w:rPr>
              <w:t>EN ISO 10993-17:2023</w:t>
            </w:r>
          </w:p>
        </w:tc>
        <w:tc>
          <w:tcPr>
            <w:tcW w:w="7951" w:type="dxa"/>
          </w:tcPr>
          <w:p w14:paraId="590E3F53" w14:textId="77777777" w:rsidR="00175362" w:rsidRDefault="0059412C">
            <w:pPr>
              <w:spacing w:afterAutospacing="0" w:line="240" w:lineRule="auto"/>
              <w:rPr>
                <w:rFonts w:eastAsia="Arial" w:cs="Times New Roman"/>
                <w:lang w:val="de-DE"/>
              </w:rPr>
            </w:pPr>
            <w:r>
              <w:rPr>
                <w:rFonts w:eastAsia="Arial" w:cs="Times New Roman"/>
                <w:sz w:val="22"/>
                <w:lang w:val="fi-FI"/>
              </w:rPr>
              <w:t>Lääkinnällisten laitteiden komponenttien toksikologinen riskinarviointi</w:t>
            </w:r>
          </w:p>
        </w:tc>
      </w:tr>
      <w:tr w:rsidR="00175362" w14:paraId="6D2DEAE7" w14:textId="77777777" w:rsidTr="003165A1">
        <w:tc>
          <w:tcPr>
            <w:tcW w:w="10444" w:type="dxa"/>
            <w:gridSpan w:val="2"/>
            <w:shd w:val="clear" w:color="auto" w:fill="E7E6E6" w:themeFill="background2"/>
          </w:tcPr>
          <w:p w14:paraId="28520245" w14:textId="77777777" w:rsidR="00175362" w:rsidRDefault="0059412C">
            <w:pPr>
              <w:spacing w:afterAutospacing="0" w:line="240" w:lineRule="auto"/>
              <w:jc w:val="center"/>
              <w:rPr>
                <w:rFonts w:cs="Times New Roman"/>
              </w:rPr>
            </w:pPr>
            <w:r>
              <w:rPr>
                <w:rFonts w:eastAsia="Arial" w:cs="Times New Roman"/>
                <w:b/>
                <w:bCs/>
                <w:sz w:val="22"/>
                <w:lang w:val="fi-FI"/>
              </w:rPr>
              <w:t>Kliininen arviointi</w:t>
            </w:r>
          </w:p>
        </w:tc>
      </w:tr>
      <w:tr w:rsidR="00175362" w:rsidRPr="00DE0C6B" w14:paraId="29E141E3" w14:textId="77777777" w:rsidTr="003165A1">
        <w:tc>
          <w:tcPr>
            <w:tcW w:w="2493" w:type="dxa"/>
          </w:tcPr>
          <w:p w14:paraId="159997F5" w14:textId="77777777" w:rsidR="00175362" w:rsidRDefault="0059412C">
            <w:pPr>
              <w:spacing w:afterAutospacing="0" w:line="240" w:lineRule="auto"/>
              <w:rPr>
                <w:rFonts w:cs="Times New Roman"/>
                <w:bCs/>
              </w:rPr>
            </w:pPr>
            <w:r>
              <w:rPr>
                <w:rFonts w:eastAsia="Arial" w:cs="Times New Roman"/>
                <w:sz w:val="22"/>
                <w:lang w:val="fi-FI"/>
              </w:rPr>
              <w:t>MEDDEV 2.7/1 Rev4</w:t>
            </w:r>
          </w:p>
        </w:tc>
        <w:tc>
          <w:tcPr>
            <w:tcW w:w="7951" w:type="dxa"/>
          </w:tcPr>
          <w:p w14:paraId="54D5D1DF" w14:textId="77777777" w:rsidR="00175362" w:rsidRDefault="0059412C">
            <w:pPr>
              <w:spacing w:afterAutospacing="0" w:line="240" w:lineRule="auto"/>
              <w:rPr>
                <w:rFonts w:cs="Times New Roman"/>
                <w:lang w:val="fr-FR"/>
              </w:rPr>
            </w:pPr>
            <w:r>
              <w:rPr>
                <w:rFonts w:eastAsia="Calibri" w:cs="Times New Roman"/>
                <w:sz w:val="22"/>
                <w:lang w:val="fi-FI"/>
              </w:rPr>
              <w:t>Kliininen arviointi: Opas valmistajille ja ilmoitetuille laitoksille</w:t>
            </w:r>
          </w:p>
        </w:tc>
      </w:tr>
      <w:tr w:rsidR="00175362" w14:paraId="1BF527A4" w14:textId="77777777" w:rsidTr="003165A1">
        <w:tc>
          <w:tcPr>
            <w:tcW w:w="10444" w:type="dxa"/>
            <w:gridSpan w:val="2"/>
            <w:shd w:val="clear" w:color="auto" w:fill="E7E6E6" w:themeFill="background2"/>
          </w:tcPr>
          <w:p w14:paraId="41A96E31" w14:textId="77777777" w:rsidR="00175362" w:rsidRDefault="0059412C">
            <w:pPr>
              <w:spacing w:afterAutospacing="0" w:line="240" w:lineRule="auto"/>
              <w:jc w:val="center"/>
              <w:rPr>
                <w:rFonts w:cs="Times New Roman"/>
              </w:rPr>
            </w:pPr>
            <w:r>
              <w:rPr>
                <w:rFonts w:eastAsia="Arial" w:cs="Times New Roman"/>
                <w:b/>
                <w:bCs/>
                <w:sz w:val="22"/>
                <w:lang w:val="fi-FI"/>
              </w:rPr>
              <w:t>Suunnittelun hallinta</w:t>
            </w:r>
          </w:p>
        </w:tc>
      </w:tr>
      <w:tr w:rsidR="00175362" w14:paraId="451B21CE" w14:textId="77777777" w:rsidTr="003165A1">
        <w:tc>
          <w:tcPr>
            <w:tcW w:w="2493" w:type="dxa"/>
          </w:tcPr>
          <w:p w14:paraId="26FE9040" w14:textId="77777777" w:rsidR="00175362" w:rsidRDefault="0059412C">
            <w:pPr>
              <w:spacing w:afterAutospacing="0" w:line="240" w:lineRule="auto"/>
              <w:rPr>
                <w:rFonts w:cs="Times New Roman"/>
              </w:rPr>
            </w:pPr>
            <w:r>
              <w:rPr>
                <w:rFonts w:eastAsia="Calibri" w:cs="Times New Roman"/>
                <w:sz w:val="22"/>
                <w:lang w:val="fi-FI"/>
              </w:rPr>
              <w:t>EN ISO 14971</w:t>
            </w:r>
          </w:p>
        </w:tc>
        <w:tc>
          <w:tcPr>
            <w:tcW w:w="7951" w:type="dxa"/>
          </w:tcPr>
          <w:p w14:paraId="0EF0C0A5" w14:textId="77777777" w:rsidR="00175362" w:rsidRDefault="0059412C">
            <w:pPr>
              <w:spacing w:afterAutospacing="0" w:line="240" w:lineRule="auto"/>
              <w:rPr>
                <w:rFonts w:cs="Times New Roman"/>
              </w:rPr>
            </w:pPr>
            <w:r>
              <w:rPr>
                <w:rFonts w:eastAsia="Calibri" w:cs="Times New Roman"/>
                <w:sz w:val="22"/>
                <w:lang w:val="fi-FI"/>
              </w:rPr>
              <w:t>Lääkinnälliset laitteet – Riskinhallinan soveltaminen lääkinnällisiin laitteisiin</w:t>
            </w:r>
          </w:p>
        </w:tc>
      </w:tr>
      <w:tr w:rsidR="00175362" w14:paraId="5F2D2742" w14:textId="77777777" w:rsidTr="003165A1">
        <w:tc>
          <w:tcPr>
            <w:tcW w:w="2493" w:type="dxa"/>
          </w:tcPr>
          <w:p w14:paraId="3CECA797" w14:textId="77777777" w:rsidR="00175362" w:rsidRDefault="00175362">
            <w:pPr>
              <w:spacing w:afterAutospacing="0" w:line="240" w:lineRule="auto"/>
              <w:jc w:val="center"/>
              <w:rPr>
                <w:rFonts w:cs="Times New Roman"/>
              </w:rPr>
            </w:pPr>
          </w:p>
        </w:tc>
        <w:tc>
          <w:tcPr>
            <w:tcW w:w="7951" w:type="dxa"/>
          </w:tcPr>
          <w:p w14:paraId="5DE617D5" w14:textId="77777777" w:rsidR="00175362" w:rsidRDefault="00175362">
            <w:pPr>
              <w:spacing w:afterAutospacing="0" w:line="240" w:lineRule="auto"/>
              <w:rPr>
                <w:rFonts w:cs="Times New Roman"/>
              </w:rPr>
            </w:pPr>
          </w:p>
        </w:tc>
      </w:tr>
      <w:tr w:rsidR="00175362" w14:paraId="00AF1292" w14:textId="77777777" w:rsidTr="003165A1">
        <w:tc>
          <w:tcPr>
            <w:tcW w:w="10444" w:type="dxa"/>
            <w:gridSpan w:val="2"/>
            <w:shd w:val="clear" w:color="auto" w:fill="E7E6E6" w:themeFill="background2"/>
          </w:tcPr>
          <w:p w14:paraId="624809DB" w14:textId="77777777" w:rsidR="00175362" w:rsidRDefault="0059412C">
            <w:pPr>
              <w:spacing w:afterAutospacing="0" w:line="240" w:lineRule="auto"/>
              <w:jc w:val="center"/>
              <w:rPr>
                <w:rFonts w:cs="Times New Roman"/>
                <w:b/>
                <w:bCs/>
              </w:rPr>
            </w:pPr>
            <w:r>
              <w:rPr>
                <w:rFonts w:eastAsia="Calibri" w:cs="Times New Roman"/>
                <w:b/>
                <w:bCs/>
                <w:sz w:val="22"/>
                <w:lang w:val="fi-FI"/>
              </w:rPr>
              <w:t>Käytettävyys</w:t>
            </w:r>
          </w:p>
        </w:tc>
      </w:tr>
      <w:tr w:rsidR="00175362" w14:paraId="31D70873" w14:textId="77777777" w:rsidTr="003165A1">
        <w:tc>
          <w:tcPr>
            <w:tcW w:w="2493" w:type="dxa"/>
          </w:tcPr>
          <w:p w14:paraId="57680FC1" w14:textId="77777777" w:rsidR="00175362" w:rsidRDefault="0059412C">
            <w:pPr>
              <w:spacing w:afterAutospacing="0" w:line="240" w:lineRule="auto"/>
              <w:rPr>
                <w:rFonts w:cs="Times New Roman"/>
              </w:rPr>
            </w:pPr>
            <w:r>
              <w:rPr>
                <w:rFonts w:eastAsia="Calibri" w:cs="Times New Roman"/>
                <w:sz w:val="22"/>
                <w:lang w:val="fi-FI"/>
              </w:rPr>
              <w:t>IEC 62366-1:2015 ja</w:t>
            </w:r>
          </w:p>
          <w:p w14:paraId="4E31391A" w14:textId="77777777" w:rsidR="00175362" w:rsidRDefault="0059412C">
            <w:pPr>
              <w:spacing w:afterAutospacing="0" w:line="240" w:lineRule="auto"/>
              <w:rPr>
                <w:rFonts w:cs="Times New Roman"/>
              </w:rPr>
            </w:pPr>
            <w:r>
              <w:rPr>
                <w:rFonts w:eastAsia="Calibri" w:cs="Times New Roman"/>
                <w:sz w:val="22"/>
                <w:lang w:val="fi-FI"/>
              </w:rPr>
              <w:t>IEC 62366-1:2015/ COR1:2016</w:t>
            </w:r>
          </w:p>
        </w:tc>
        <w:tc>
          <w:tcPr>
            <w:tcW w:w="7951" w:type="dxa"/>
          </w:tcPr>
          <w:p w14:paraId="51688584" w14:textId="77777777" w:rsidR="00175362" w:rsidRDefault="0059412C">
            <w:pPr>
              <w:spacing w:afterAutospacing="0" w:line="240" w:lineRule="auto"/>
              <w:rPr>
                <w:rFonts w:cs="Times New Roman"/>
              </w:rPr>
            </w:pPr>
            <w:r>
              <w:rPr>
                <w:rFonts w:eastAsia="Calibri" w:cs="Times New Roman"/>
                <w:sz w:val="22"/>
                <w:lang w:val="fi-FI"/>
              </w:rPr>
              <w:t>Lääkinnälliset laitteet – Käytettävyystekniikan soveltaminen lääkinnällisiin laitteisiin</w:t>
            </w:r>
          </w:p>
        </w:tc>
      </w:tr>
      <w:tr w:rsidR="00175362" w14:paraId="42CB97AA" w14:textId="77777777" w:rsidTr="003165A1">
        <w:tc>
          <w:tcPr>
            <w:tcW w:w="10444" w:type="dxa"/>
            <w:gridSpan w:val="2"/>
            <w:shd w:val="clear" w:color="auto" w:fill="E7E6E6" w:themeFill="background2"/>
          </w:tcPr>
          <w:p w14:paraId="216BE20C" w14:textId="77777777" w:rsidR="00175362" w:rsidRDefault="0059412C">
            <w:pPr>
              <w:spacing w:afterAutospacing="0" w:line="240" w:lineRule="auto"/>
              <w:jc w:val="center"/>
              <w:rPr>
                <w:rFonts w:cs="Times New Roman"/>
                <w:b/>
                <w:bCs/>
              </w:rPr>
            </w:pPr>
            <w:r>
              <w:rPr>
                <w:rFonts w:eastAsia="Calibri" w:cs="Times New Roman"/>
                <w:b/>
                <w:bCs/>
                <w:sz w:val="22"/>
                <w:lang w:val="fi-FI"/>
              </w:rPr>
              <w:t>Pakkaus</w:t>
            </w:r>
          </w:p>
        </w:tc>
      </w:tr>
      <w:tr w:rsidR="00175362" w14:paraId="281356E7" w14:textId="77777777" w:rsidTr="003165A1">
        <w:tc>
          <w:tcPr>
            <w:tcW w:w="2493" w:type="dxa"/>
          </w:tcPr>
          <w:p w14:paraId="17861C2B" w14:textId="77777777" w:rsidR="00175362" w:rsidRDefault="0059412C">
            <w:pPr>
              <w:spacing w:afterAutospacing="0" w:line="240" w:lineRule="auto"/>
              <w:rPr>
                <w:rFonts w:cs="Times New Roman"/>
                <w:bCs/>
              </w:rPr>
            </w:pPr>
            <w:r>
              <w:rPr>
                <w:rFonts w:eastAsia="Arial" w:cs="Times New Roman"/>
                <w:sz w:val="22"/>
                <w:lang w:val="fi-FI"/>
              </w:rPr>
              <w:t>EN ISO 11607-1:2020</w:t>
            </w:r>
          </w:p>
        </w:tc>
        <w:tc>
          <w:tcPr>
            <w:tcW w:w="7951" w:type="dxa"/>
          </w:tcPr>
          <w:p w14:paraId="0EF35512" w14:textId="77777777" w:rsidR="00175362" w:rsidRDefault="0059412C">
            <w:pPr>
              <w:spacing w:afterAutospacing="0" w:line="240" w:lineRule="auto"/>
              <w:rPr>
                <w:rFonts w:cs="Times New Roman"/>
              </w:rPr>
            </w:pPr>
            <w:r>
              <w:rPr>
                <w:rFonts w:eastAsia="Arial" w:cs="Times New Roman"/>
                <w:sz w:val="22"/>
                <w:lang w:val="fi-FI"/>
              </w:rPr>
              <w:t xml:space="preserve">Pakkaus terminaalisesti steriloiduille lääkinnällisille laitteille. Osa 1: Materiaali-, steriileiden suojajärjestelmien ja pakkausjärjestelmien vaatumukset. </w:t>
            </w:r>
          </w:p>
        </w:tc>
      </w:tr>
      <w:tr w:rsidR="00175362" w14:paraId="59563F30" w14:textId="77777777" w:rsidTr="003165A1">
        <w:tc>
          <w:tcPr>
            <w:tcW w:w="2493" w:type="dxa"/>
          </w:tcPr>
          <w:p w14:paraId="08F99AB6" w14:textId="77777777" w:rsidR="00175362" w:rsidRDefault="0059412C">
            <w:pPr>
              <w:spacing w:after="16" w:afterAutospacing="0" w:line="240" w:lineRule="auto"/>
              <w:ind w:left="1"/>
              <w:rPr>
                <w:rFonts w:cs="Times New Roman"/>
                <w:bCs/>
              </w:rPr>
            </w:pPr>
            <w:r>
              <w:rPr>
                <w:rFonts w:eastAsia="Arial" w:cs="Times New Roman"/>
                <w:sz w:val="22"/>
                <w:lang w:val="fi-FI"/>
              </w:rPr>
              <w:t>EN ISO 11607-2:2020</w:t>
            </w:r>
          </w:p>
          <w:p w14:paraId="6AB0F3D5" w14:textId="77777777" w:rsidR="00175362" w:rsidRDefault="00175362">
            <w:pPr>
              <w:spacing w:afterAutospacing="0" w:line="240" w:lineRule="auto"/>
              <w:rPr>
                <w:rFonts w:cs="Times New Roman"/>
                <w:bCs/>
              </w:rPr>
            </w:pPr>
          </w:p>
        </w:tc>
        <w:tc>
          <w:tcPr>
            <w:tcW w:w="7951" w:type="dxa"/>
          </w:tcPr>
          <w:p w14:paraId="218729AB" w14:textId="77777777" w:rsidR="00175362" w:rsidRDefault="0059412C">
            <w:pPr>
              <w:spacing w:afterAutospacing="0" w:line="240" w:lineRule="auto"/>
              <w:rPr>
                <w:rFonts w:cs="Times New Roman"/>
              </w:rPr>
            </w:pPr>
            <w:r>
              <w:rPr>
                <w:rFonts w:eastAsia="Arial" w:cs="Times New Roman"/>
                <w:sz w:val="22"/>
                <w:lang w:val="fi-FI"/>
              </w:rPr>
              <w:t xml:space="preserve">Pakkaus terminaalisesti steriloiduille lääkinnällisille laitteille. Osa 2: Validointivaatimukset muovaus-, tiivistys- ja kokoonpanoprosesseille </w:t>
            </w:r>
          </w:p>
        </w:tc>
      </w:tr>
      <w:tr w:rsidR="00175362" w14:paraId="3F681B14" w14:textId="77777777" w:rsidTr="003165A1">
        <w:tc>
          <w:tcPr>
            <w:tcW w:w="2493" w:type="dxa"/>
          </w:tcPr>
          <w:p w14:paraId="5CC30BDF" w14:textId="77777777" w:rsidR="00175362" w:rsidRDefault="0059412C">
            <w:pPr>
              <w:spacing w:after="14" w:afterAutospacing="0" w:line="240" w:lineRule="auto"/>
              <w:ind w:left="1"/>
              <w:rPr>
                <w:rFonts w:cs="Times New Roman"/>
                <w:bCs/>
              </w:rPr>
            </w:pPr>
            <w:r>
              <w:rPr>
                <w:rFonts w:eastAsia="Arial" w:cs="Times New Roman"/>
                <w:sz w:val="22"/>
                <w:lang w:val="fi-FI"/>
              </w:rPr>
              <w:t>EN ISO 2233:2001</w:t>
            </w:r>
          </w:p>
          <w:p w14:paraId="41AB5862" w14:textId="77777777" w:rsidR="00175362" w:rsidRDefault="00175362">
            <w:pPr>
              <w:spacing w:afterAutospacing="0" w:line="240" w:lineRule="auto"/>
              <w:rPr>
                <w:rFonts w:cs="Times New Roman"/>
                <w:bCs/>
              </w:rPr>
            </w:pPr>
          </w:p>
        </w:tc>
        <w:tc>
          <w:tcPr>
            <w:tcW w:w="7951" w:type="dxa"/>
          </w:tcPr>
          <w:p w14:paraId="656A706E" w14:textId="77777777" w:rsidR="00175362" w:rsidRDefault="0059412C">
            <w:pPr>
              <w:spacing w:afterAutospacing="0" w:line="240" w:lineRule="auto"/>
              <w:rPr>
                <w:rFonts w:cs="Times New Roman"/>
              </w:rPr>
            </w:pPr>
            <w:r>
              <w:rPr>
                <w:rFonts w:eastAsia="Arial" w:cs="Times New Roman"/>
                <w:sz w:val="22"/>
                <w:lang w:val="fi-FI"/>
              </w:rPr>
              <w:t xml:space="preserve">Pakkaus -- Täydelliset, täytetyt kuljetuspakkaukset ja yksikkökuormat -- Testauskäsittely </w:t>
            </w:r>
          </w:p>
        </w:tc>
      </w:tr>
      <w:tr w:rsidR="00175362" w14:paraId="712572DA" w14:textId="77777777" w:rsidTr="003165A1">
        <w:tc>
          <w:tcPr>
            <w:tcW w:w="2493" w:type="dxa"/>
          </w:tcPr>
          <w:p w14:paraId="17E3B66B" w14:textId="77777777" w:rsidR="00175362" w:rsidRDefault="0059412C">
            <w:pPr>
              <w:spacing w:afterAutospacing="0" w:line="240" w:lineRule="auto"/>
              <w:rPr>
                <w:rFonts w:cs="Times New Roman"/>
                <w:bCs/>
              </w:rPr>
            </w:pPr>
            <w:hyperlink r:id="rId14">
              <w:r>
                <w:rPr>
                  <w:rFonts w:eastAsia="Arial" w:cs="Times New Roman"/>
                  <w:sz w:val="22"/>
                  <w:lang w:val="fi-FI"/>
                </w:rPr>
                <w:t xml:space="preserve">ASTM D4169 </w:t>
              </w:r>
            </w:hyperlink>
            <w:r>
              <w:rPr>
                <w:rFonts w:eastAsia="Arial" w:cs="Times New Roman"/>
                <w:sz w:val="22"/>
                <w:lang w:val="fi-FI"/>
              </w:rPr>
              <w:t>:2022</w:t>
            </w:r>
            <w:hyperlink r:id="rId15">
              <w:r>
                <w:rPr>
                  <w:rFonts w:eastAsia="Arial" w:cs="Times New Roman"/>
                  <w:sz w:val="22"/>
                  <w:lang w:val="fi-FI"/>
                </w:rPr>
                <w:t xml:space="preserve"> </w:t>
              </w:r>
            </w:hyperlink>
          </w:p>
        </w:tc>
        <w:tc>
          <w:tcPr>
            <w:tcW w:w="7951" w:type="dxa"/>
          </w:tcPr>
          <w:p w14:paraId="645D7A30" w14:textId="77777777" w:rsidR="00175362" w:rsidRDefault="0059412C">
            <w:pPr>
              <w:spacing w:afterAutospacing="0" w:line="240" w:lineRule="auto"/>
              <w:rPr>
                <w:rFonts w:cs="Times New Roman"/>
              </w:rPr>
            </w:pPr>
            <w:r>
              <w:rPr>
                <w:rFonts w:eastAsia="Arial" w:cs="Times New Roman"/>
                <w:sz w:val="22"/>
                <w:lang w:val="fi-FI"/>
              </w:rPr>
              <w:t xml:space="preserve">Kuljetuskonttien ja -järjestelmien suorituskyvyn testauksen vakiokäytäntö - </w:t>
            </w:r>
          </w:p>
        </w:tc>
      </w:tr>
      <w:tr w:rsidR="00175362" w14:paraId="74595931" w14:textId="77777777" w:rsidTr="003165A1">
        <w:tc>
          <w:tcPr>
            <w:tcW w:w="2493" w:type="dxa"/>
          </w:tcPr>
          <w:p w14:paraId="44B41938" w14:textId="77777777" w:rsidR="00175362" w:rsidRDefault="0059412C">
            <w:pPr>
              <w:spacing w:afterAutospacing="0" w:line="240" w:lineRule="auto"/>
              <w:rPr>
                <w:rFonts w:cs="Times New Roman"/>
                <w:bCs/>
              </w:rPr>
            </w:pPr>
            <w:hyperlink r:id="rId16">
              <w:r>
                <w:rPr>
                  <w:rFonts w:eastAsia="Arial" w:cs="Times New Roman"/>
                  <w:sz w:val="22"/>
                  <w:lang w:val="fi-FI"/>
                </w:rPr>
                <w:t xml:space="preserve">ASTM F2096 </w:t>
              </w:r>
            </w:hyperlink>
            <w:hyperlink r:id="rId17">
              <w:r>
                <w:rPr>
                  <w:rFonts w:eastAsia="Arial" w:cs="Times New Roman"/>
                  <w:sz w:val="22"/>
                  <w:lang w:val="fi-FI"/>
                </w:rPr>
                <w:t xml:space="preserve">– </w:t>
              </w:r>
            </w:hyperlink>
            <w:r>
              <w:rPr>
                <w:rFonts w:eastAsia="Arial" w:cs="Times New Roman"/>
                <w:sz w:val="22"/>
                <w:lang w:val="fi-FI"/>
              </w:rPr>
              <w:t>20</w:t>
            </w:r>
            <w:hyperlink r:id="rId18">
              <w:r>
                <w:rPr>
                  <w:rFonts w:eastAsia="Arial" w:cs="Times New Roman"/>
                  <w:sz w:val="22"/>
                  <w:lang w:val="fi-FI"/>
                </w:rPr>
                <w:t xml:space="preserve">11 (R2019) </w:t>
              </w:r>
            </w:hyperlink>
            <w:hyperlink r:id="rId19">
              <w:r>
                <w:rPr>
                  <w:rFonts w:eastAsia="Arial" w:cs="Times New Roman"/>
                  <w:sz w:val="22"/>
                  <w:lang w:val="fi-FI"/>
                </w:rPr>
                <w:t xml:space="preserve"> </w:t>
              </w:r>
            </w:hyperlink>
          </w:p>
        </w:tc>
        <w:tc>
          <w:tcPr>
            <w:tcW w:w="7951" w:type="dxa"/>
          </w:tcPr>
          <w:p w14:paraId="4C385548" w14:textId="77777777" w:rsidR="00175362" w:rsidRDefault="0059412C">
            <w:pPr>
              <w:spacing w:after="14" w:afterAutospacing="0" w:line="240" w:lineRule="auto"/>
              <w:rPr>
                <w:rFonts w:cs="Times New Roman"/>
              </w:rPr>
            </w:pPr>
            <w:r>
              <w:rPr>
                <w:rFonts w:eastAsia="Arial" w:cs="Times New Roman"/>
                <w:sz w:val="22"/>
                <w:lang w:val="fi-FI"/>
              </w:rPr>
              <w:t xml:space="preserve">Vakiotestimenetelmä karkeiden vuotojen havaitsemiseksi </w:t>
            </w:r>
          </w:p>
          <w:p w14:paraId="282C8020" w14:textId="77777777" w:rsidR="00175362" w:rsidRDefault="0059412C">
            <w:pPr>
              <w:spacing w:after="16" w:afterAutospacing="0" w:line="240" w:lineRule="auto"/>
              <w:rPr>
                <w:rFonts w:cs="Times New Roman"/>
              </w:rPr>
            </w:pPr>
            <w:r>
              <w:rPr>
                <w:rFonts w:eastAsia="Arial" w:cs="Times New Roman"/>
                <w:sz w:val="22"/>
                <w:lang w:val="fi-FI"/>
              </w:rPr>
              <w:t xml:space="preserve">Lääketieteellinen pakkaus sisäisellä paineistuksella (kuplakoe) </w:t>
            </w:r>
          </w:p>
          <w:p w14:paraId="4E3C24B7" w14:textId="77777777" w:rsidR="00175362" w:rsidRDefault="0059412C">
            <w:pPr>
              <w:spacing w:afterAutospacing="0" w:line="240" w:lineRule="auto"/>
              <w:rPr>
                <w:rFonts w:cs="Times New Roman"/>
              </w:rPr>
            </w:pPr>
            <w:r>
              <w:rPr>
                <w:rFonts w:eastAsia="Arial" w:cs="Times New Roman"/>
                <w:sz w:val="22"/>
                <w:lang w:val="fi-FI"/>
              </w:rPr>
              <w:t xml:space="preserve">- ASTM F 2096-11 (2019) </w:t>
            </w:r>
          </w:p>
        </w:tc>
      </w:tr>
      <w:tr w:rsidR="00175362" w14:paraId="3EB7D500" w14:textId="77777777" w:rsidTr="003165A1">
        <w:tc>
          <w:tcPr>
            <w:tcW w:w="2493" w:type="dxa"/>
          </w:tcPr>
          <w:p w14:paraId="22BFAF67" w14:textId="77777777" w:rsidR="00175362" w:rsidRDefault="0059412C">
            <w:pPr>
              <w:spacing w:afterAutospacing="0" w:line="240" w:lineRule="auto"/>
              <w:rPr>
                <w:rFonts w:cs="Times New Roman"/>
                <w:bCs/>
              </w:rPr>
            </w:pPr>
            <w:hyperlink r:id="rId20">
              <w:r>
                <w:rPr>
                  <w:rFonts w:eastAsia="Arial" w:cs="Times New Roman"/>
                  <w:sz w:val="22"/>
                  <w:lang w:val="fi-FI"/>
                </w:rPr>
                <w:t xml:space="preserve">ASTM F1929 </w:t>
              </w:r>
            </w:hyperlink>
            <w:hyperlink r:id="rId21">
              <w:r>
                <w:rPr>
                  <w:rFonts w:eastAsia="Arial" w:cs="Times New Roman"/>
                  <w:sz w:val="22"/>
                  <w:lang w:val="fi-FI"/>
                </w:rPr>
                <w:t xml:space="preserve">- </w:t>
              </w:r>
            </w:hyperlink>
            <w:hyperlink r:id="rId22">
              <w:r>
                <w:rPr>
                  <w:rFonts w:eastAsia="Arial" w:cs="Times New Roman"/>
                  <w:sz w:val="22"/>
                  <w:lang w:val="fi-FI"/>
                </w:rPr>
                <w:t xml:space="preserve">15 </w:t>
              </w:r>
            </w:hyperlink>
            <w:hyperlink r:id="rId23">
              <w:r>
                <w:rPr>
                  <w:rFonts w:eastAsia="Arial" w:cs="Times New Roman"/>
                  <w:sz w:val="22"/>
                  <w:lang w:val="fi-FI"/>
                </w:rPr>
                <w:t xml:space="preserve"> </w:t>
              </w:r>
            </w:hyperlink>
          </w:p>
        </w:tc>
        <w:tc>
          <w:tcPr>
            <w:tcW w:w="7951" w:type="dxa"/>
          </w:tcPr>
          <w:p w14:paraId="2EB8CCF9" w14:textId="77777777" w:rsidR="00175362" w:rsidRDefault="0059412C">
            <w:pPr>
              <w:spacing w:after="14" w:afterAutospacing="0" w:line="240" w:lineRule="auto"/>
              <w:rPr>
                <w:rFonts w:cs="Times New Roman"/>
              </w:rPr>
            </w:pPr>
            <w:r>
              <w:rPr>
                <w:rFonts w:eastAsia="Arial" w:cs="Times New Roman"/>
                <w:sz w:val="22"/>
                <w:lang w:val="fi-FI"/>
              </w:rPr>
              <w:t xml:space="preserve">Standardoitu testausmenetelmä tiivistevuotojen havaitsemiseksi huokoisissa materiaaleissa </w:t>
            </w:r>
          </w:p>
          <w:p w14:paraId="029C3C09" w14:textId="77777777" w:rsidR="00175362" w:rsidRDefault="0059412C">
            <w:pPr>
              <w:spacing w:afterAutospacing="0" w:line="240" w:lineRule="auto"/>
              <w:rPr>
                <w:rFonts w:cs="Times New Roman"/>
              </w:rPr>
            </w:pPr>
            <w:r>
              <w:rPr>
                <w:rFonts w:eastAsia="Arial" w:cs="Times New Roman"/>
                <w:sz w:val="22"/>
                <w:lang w:val="fi-FI"/>
              </w:rPr>
              <w:t xml:space="preserve">Lääketieteellinen pakkaus väriaineen tunkeutumisella - ASTM F 1929 </w:t>
            </w:r>
          </w:p>
        </w:tc>
      </w:tr>
      <w:tr w:rsidR="00175362" w14:paraId="29117D7E" w14:textId="77777777" w:rsidTr="003165A1">
        <w:tc>
          <w:tcPr>
            <w:tcW w:w="2493" w:type="dxa"/>
          </w:tcPr>
          <w:p w14:paraId="2D732F87" w14:textId="77777777" w:rsidR="00175362" w:rsidRDefault="0059412C">
            <w:pPr>
              <w:spacing w:afterAutospacing="0" w:line="240" w:lineRule="auto"/>
              <w:rPr>
                <w:rFonts w:cs="Times New Roman"/>
                <w:bCs/>
              </w:rPr>
            </w:pPr>
            <w:hyperlink r:id="rId24">
              <w:r>
                <w:rPr>
                  <w:rFonts w:eastAsia="Arial" w:cs="Times New Roman"/>
                  <w:sz w:val="22"/>
                  <w:lang w:val="fi-FI"/>
                </w:rPr>
                <w:t xml:space="preserve">ASTM F88 / F88M </w:t>
              </w:r>
            </w:hyperlink>
            <w:hyperlink r:id="rId25">
              <w:r>
                <w:rPr>
                  <w:rFonts w:eastAsia="Arial" w:cs="Times New Roman"/>
                  <w:sz w:val="22"/>
                  <w:lang w:val="fi-FI"/>
                </w:rPr>
                <w:t xml:space="preserve">- </w:t>
              </w:r>
            </w:hyperlink>
            <w:r>
              <w:rPr>
                <w:rFonts w:eastAsia="Arial" w:cs="Times New Roman"/>
                <w:sz w:val="22"/>
                <w:lang w:val="fi-FI"/>
              </w:rPr>
              <w:t>2021</w:t>
            </w:r>
            <w:hyperlink r:id="rId26">
              <w:r>
                <w:rPr>
                  <w:rFonts w:eastAsia="Arial" w:cs="Times New Roman"/>
                  <w:sz w:val="22"/>
                  <w:lang w:val="fi-FI"/>
                </w:rPr>
                <w:t xml:space="preserve"> </w:t>
              </w:r>
            </w:hyperlink>
          </w:p>
        </w:tc>
        <w:tc>
          <w:tcPr>
            <w:tcW w:w="7951" w:type="dxa"/>
          </w:tcPr>
          <w:p w14:paraId="36F3264F" w14:textId="77777777" w:rsidR="00175362" w:rsidRDefault="0059412C">
            <w:pPr>
              <w:spacing w:afterAutospacing="0" w:line="240" w:lineRule="auto"/>
              <w:rPr>
                <w:rFonts w:cs="Times New Roman"/>
              </w:rPr>
            </w:pPr>
            <w:r>
              <w:rPr>
                <w:rFonts w:eastAsia="Arial" w:cs="Times New Roman"/>
                <w:sz w:val="22"/>
                <w:lang w:val="fi-FI"/>
              </w:rPr>
              <w:t xml:space="preserve">Joustavien suojamateriaalien tiivistelujuuden standarditestausmenetelmä - ASTM F88 </w:t>
            </w:r>
          </w:p>
        </w:tc>
      </w:tr>
      <w:tr w:rsidR="00175362" w14:paraId="63F22174" w14:textId="77777777" w:rsidTr="003165A1">
        <w:tc>
          <w:tcPr>
            <w:tcW w:w="2493" w:type="dxa"/>
          </w:tcPr>
          <w:p w14:paraId="1F08079E" w14:textId="77777777" w:rsidR="00175362" w:rsidRDefault="0059412C">
            <w:pPr>
              <w:spacing w:afterAutospacing="0" w:line="240" w:lineRule="auto"/>
              <w:rPr>
                <w:rFonts w:cs="Times New Roman"/>
                <w:bCs/>
              </w:rPr>
            </w:pPr>
            <w:hyperlink r:id="rId27">
              <w:r>
                <w:rPr>
                  <w:rFonts w:eastAsia="Arial" w:cs="Times New Roman"/>
                  <w:sz w:val="22"/>
                  <w:lang w:val="fi-FI"/>
                </w:rPr>
                <w:t xml:space="preserve">ASTM F1980 </w:t>
              </w:r>
            </w:hyperlink>
            <w:hyperlink r:id="rId28">
              <w:r>
                <w:rPr>
                  <w:rFonts w:eastAsia="Arial" w:cs="Times New Roman"/>
                  <w:sz w:val="22"/>
                  <w:lang w:val="fi-FI"/>
                </w:rPr>
                <w:t xml:space="preserve">- </w:t>
              </w:r>
            </w:hyperlink>
            <w:r>
              <w:rPr>
                <w:rFonts w:eastAsia="Arial" w:cs="Times New Roman"/>
                <w:sz w:val="22"/>
                <w:lang w:val="fi-FI"/>
              </w:rPr>
              <w:t>2021</w:t>
            </w:r>
            <w:hyperlink r:id="rId29">
              <w:r>
                <w:rPr>
                  <w:rFonts w:eastAsia="Arial" w:cs="Times New Roman"/>
                  <w:sz w:val="22"/>
                  <w:lang w:val="fi-FI"/>
                </w:rPr>
                <w:t xml:space="preserve"> </w:t>
              </w:r>
            </w:hyperlink>
            <w:hyperlink r:id="rId30">
              <w:r>
                <w:rPr>
                  <w:rFonts w:eastAsia="Arial" w:cs="Times New Roman"/>
                  <w:sz w:val="22"/>
                  <w:lang w:val="fi-FI"/>
                </w:rPr>
                <w:t xml:space="preserve"> </w:t>
              </w:r>
            </w:hyperlink>
          </w:p>
        </w:tc>
        <w:tc>
          <w:tcPr>
            <w:tcW w:w="7951" w:type="dxa"/>
          </w:tcPr>
          <w:p w14:paraId="1218FEC2" w14:textId="77777777" w:rsidR="00175362" w:rsidRDefault="0059412C">
            <w:pPr>
              <w:spacing w:afterAutospacing="0" w:line="240" w:lineRule="auto"/>
              <w:rPr>
                <w:rFonts w:cs="Times New Roman"/>
              </w:rPr>
            </w:pPr>
            <w:r>
              <w:rPr>
                <w:rFonts w:eastAsia="Arial" w:cs="Times New Roman"/>
                <w:sz w:val="22"/>
                <w:lang w:val="fi-FI"/>
              </w:rPr>
              <w:t xml:space="preserve">Lääkinnällisten laitteiden steriilien suojajärjestelmien kiihdytettyyn vanhenemiseen tarkoitettu standardiopas - ASTM F1980 </w:t>
            </w:r>
          </w:p>
        </w:tc>
      </w:tr>
      <w:tr w:rsidR="00175362" w:rsidRPr="00DE0C6B" w14:paraId="51AFCA12" w14:textId="77777777" w:rsidTr="003165A1">
        <w:tc>
          <w:tcPr>
            <w:tcW w:w="10444" w:type="dxa"/>
            <w:gridSpan w:val="2"/>
            <w:shd w:val="clear" w:color="auto" w:fill="E7E6E6" w:themeFill="background2"/>
          </w:tcPr>
          <w:p w14:paraId="5AFA5C32" w14:textId="77777777" w:rsidR="00175362" w:rsidRDefault="0059412C">
            <w:pPr>
              <w:spacing w:afterAutospacing="0" w:line="240" w:lineRule="auto"/>
              <w:jc w:val="center"/>
              <w:rPr>
                <w:rFonts w:cs="Times New Roman"/>
                <w:b/>
                <w:bCs/>
                <w:lang w:val="de-DE"/>
              </w:rPr>
            </w:pPr>
            <w:r>
              <w:rPr>
                <w:rFonts w:eastAsia="Calibri" w:cs="Times New Roman"/>
                <w:b/>
                <w:bCs/>
                <w:sz w:val="22"/>
                <w:lang w:val="fi-FI"/>
              </w:rPr>
              <w:t>Markkinoille saattamisen jälkeinen kliininen seuranta</w:t>
            </w:r>
          </w:p>
        </w:tc>
      </w:tr>
      <w:tr w:rsidR="00175362" w:rsidRPr="00DE0C6B" w14:paraId="3A33DF67" w14:textId="77777777" w:rsidTr="003165A1">
        <w:tc>
          <w:tcPr>
            <w:tcW w:w="2493" w:type="dxa"/>
          </w:tcPr>
          <w:p w14:paraId="5FE8018F" w14:textId="77777777" w:rsidR="00175362" w:rsidRDefault="0059412C">
            <w:pPr>
              <w:spacing w:afterAutospacing="0" w:line="240" w:lineRule="auto"/>
              <w:jc w:val="center"/>
              <w:rPr>
                <w:rFonts w:cs="Times New Roman"/>
              </w:rPr>
            </w:pPr>
            <w:r>
              <w:rPr>
                <w:rFonts w:eastAsia="Calibri" w:cs="Times New Roman"/>
                <w:sz w:val="22"/>
                <w:lang w:val="fi-FI"/>
              </w:rPr>
              <w:t>MEDDEV 2.12/2 Rev2</w:t>
            </w:r>
          </w:p>
        </w:tc>
        <w:tc>
          <w:tcPr>
            <w:tcW w:w="7951" w:type="dxa"/>
          </w:tcPr>
          <w:p w14:paraId="63B5380B" w14:textId="77777777" w:rsidR="00175362" w:rsidRDefault="0059412C">
            <w:pPr>
              <w:spacing w:afterAutospacing="0" w:line="240" w:lineRule="auto"/>
              <w:rPr>
                <w:rFonts w:cs="Times New Roman"/>
                <w:lang w:val="de-DE"/>
              </w:rPr>
            </w:pPr>
            <w:r>
              <w:rPr>
                <w:rFonts w:eastAsia="Calibri" w:cs="Times New Roman"/>
                <w:sz w:val="22"/>
                <w:lang w:val="fi-FI"/>
              </w:rPr>
              <w:t>Markkinoille saattamisen jälkeinen kliininen seuranta</w:t>
            </w:r>
          </w:p>
        </w:tc>
      </w:tr>
      <w:tr w:rsidR="00175362" w14:paraId="0753C8DC" w14:textId="77777777" w:rsidTr="003165A1">
        <w:tc>
          <w:tcPr>
            <w:tcW w:w="10444" w:type="dxa"/>
            <w:gridSpan w:val="2"/>
            <w:shd w:val="clear" w:color="auto" w:fill="E7E6E6" w:themeFill="background2"/>
          </w:tcPr>
          <w:p w14:paraId="730E5159" w14:textId="77777777" w:rsidR="00175362" w:rsidRDefault="0059412C">
            <w:pPr>
              <w:spacing w:afterAutospacing="0" w:line="240" w:lineRule="auto"/>
              <w:jc w:val="center"/>
              <w:rPr>
                <w:rFonts w:cs="Times New Roman"/>
                <w:b/>
                <w:bCs/>
              </w:rPr>
            </w:pPr>
            <w:r>
              <w:rPr>
                <w:rFonts w:eastAsia="Calibri" w:cs="Times New Roman"/>
                <w:sz w:val="22"/>
                <w:lang w:val="fi-FI"/>
              </w:rPr>
              <w:t>Vigilance</w:t>
            </w:r>
          </w:p>
        </w:tc>
      </w:tr>
      <w:tr w:rsidR="00175362" w14:paraId="3A376C26" w14:textId="77777777" w:rsidTr="003165A1">
        <w:tc>
          <w:tcPr>
            <w:tcW w:w="2493" w:type="dxa"/>
          </w:tcPr>
          <w:p w14:paraId="344D4769" w14:textId="77777777" w:rsidR="00175362" w:rsidRDefault="0059412C">
            <w:pPr>
              <w:spacing w:afterAutospacing="0" w:line="240" w:lineRule="auto"/>
              <w:jc w:val="center"/>
              <w:rPr>
                <w:rFonts w:cs="Times New Roman"/>
              </w:rPr>
            </w:pPr>
            <w:r>
              <w:rPr>
                <w:rFonts w:eastAsia="Calibri" w:cs="Times New Roman"/>
                <w:sz w:val="22"/>
                <w:lang w:val="fi-FI"/>
              </w:rPr>
              <w:t>MEDDEV 2.12/1 Rev8</w:t>
            </w:r>
          </w:p>
        </w:tc>
        <w:tc>
          <w:tcPr>
            <w:tcW w:w="7951" w:type="dxa"/>
          </w:tcPr>
          <w:p w14:paraId="48352774" w14:textId="77777777" w:rsidR="00175362" w:rsidRDefault="0059412C">
            <w:pPr>
              <w:spacing w:afterAutospacing="0" w:line="240" w:lineRule="auto"/>
              <w:rPr>
                <w:rFonts w:cs="Times New Roman"/>
              </w:rPr>
            </w:pPr>
            <w:r>
              <w:rPr>
                <w:rFonts w:eastAsia="Calibri" w:cs="Times New Roman"/>
                <w:sz w:val="22"/>
                <w:lang w:val="fi-FI"/>
              </w:rPr>
              <w:t>Lääkinnällisten laitteiden Vigilance-järjestelmää koskevat ohjeet</w:t>
            </w:r>
          </w:p>
        </w:tc>
      </w:tr>
    </w:tbl>
    <w:p w14:paraId="7B3CD3EE" w14:textId="77777777" w:rsidR="00175362" w:rsidRDefault="00175362">
      <w:pPr>
        <w:spacing w:afterAutospacing="0" w:line="240" w:lineRule="auto"/>
        <w:rPr>
          <w:rFonts w:cs="Times New Roman"/>
        </w:rPr>
      </w:pPr>
    </w:p>
    <w:p w14:paraId="679B4167" w14:textId="77777777" w:rsidR="00175362" w:rsidRDefault="00175362">
      <w:pPr>
        <w:spacing w:afterAutospacing="0" w:line="240" w:lineRule="auto"/>
        <w:rPr>
          <w:rFonts w:cs="Times New Roman"/>
        </w:rPr>
      </w:pPr>
    </w:p>
    <w:p w14:paraId="4A28F4A5" w14:textId="77777777" w:rsidR="00175362" w:rsidRDefault="0059412C">
      <w:pPr>
        <w:pStyle w:val="Heading1"/>
        <w:numPr>
          <w:ilvl w:val="0"/>
          <w:numId w:val="2"/>
        </w:numPr>
        <w:rPr>
          <w:rFonts w:cs="Times New Roman"/>
        </w:rPr>
      </w:pPr>
      <w:bookmarkStart w:id="80" w:name="_Toc222741363"/>
      <w:bookmarkStart w:id="81" w:name="_Toc181362715"/>
      <w:r>
        <w:rPr>
          <w:rFonts w:cs="Times New Roman"/>
          <w:bCs/>
          <w:lang w:val="fi-FI"/>
        </w:rPr>
        <w:t>Tarkistushistoria</w:t>
      </w:r>
      <w:bookmarkEnd w:id="80"/>
      <w:bookmarkEnd w:id="81"/>
    </w:p>
    <w:tbl>
      <w:tblPr>
        <w:tblStyle w:val="TableGrid"/>
        <w:tblW w:w="5000" w:type="pct"/>
        <w:tblInd w:w="113" w:type="dxa"/>
        <w:tblLayout w:type="fixed"/>
        <w:tblLook w:val="04A0" w:firstRow="1" w:lastRow="0" w:firstColumn="1" w:lastColumn="0" w:noHBand="0" w:noVBand="1"/>
      </w:tblPr>
      <w:tblGrid>
        <w:gridCol w:w="1121"/>
        <w:gridCol w:w="1782"/>
        <w:gridCol w:w="4111"/>
        <w:gridCol w:w="3416"/>
      </w:tblGrid>
      <w:tr w:rsidR="00175362" w14:paraId="1DDFC625" w14:textId="77777777">
        <w:tc>
          <w:tcPr>
            <w:tcW w:w="1122" w:type="dxa"/>
          </w:tcPr>
          <w:p w14:paraId="203E2AD2" w14:textId="77777777" w:rsidR="00175362" w:rsidRDefault="0059412C">
            <w:pPr>
              <w:spacing w:afterAutospacing="0" w:line="240" w:lineRule="auto"/>
              <w:rPr>
                <w:rFonts w:cs="Times New Roman"/>
                <w:b/>
              </w:rPr>
            </w:pPr>
            <w:r>
              <w:rPr>
                <w:rFonts w:eastAsia="Calibri" w:cs="Times New Roman"/>
                <w:b/>
                <w:bCs/>
                <w:sz w:val="22"/>
                <w:lang w:val="fi-FI"/>
              </w:rPr>
              <w:t>Tarkistus</w:t>
            </w:r>
          </w:p>
        </w:tc>
        <w:tc>
          <w:tcPr>
            <w:tcW w:w="1784" w:type="dxa"/>
          </w:tcPr>
          <w:p w14:paraId="0BFD7BB4" w14:textId="77777777" w:rsidR="00175362" w:rsidRDefault="0059412C">
            <w:pPr>
              <w:spacing w:afterAutospacing="0" w:line="240" w:lineRule="auto"/>
              <w:rPr>
                <w:rFonts w:cs="Times New Roman"/>
                <w:b/>
              </w:rPr>
            </w:pPr>
            <w:r>
              <w:rPr>
                <w:rFonts w:eastAsia="Calibri" w:cs="Times New Roman"/>
                <w:b/>
                <w:bCs/>
                <w:sz w:val="22"/>
                <w:lang w:val="fi-FI"/>
              </w:rPr>
              <w:t>Päivämäärä</w:t>
            </w:r>
          </w:p>
        </w:tc>
        <w:tc>
          <w:tcPr>
            <w:tcW w:w="4115" w:type="dxa"/>
          </w:tcPr>
          <w:p w14:paraId="167F71D3" w14:textId="77777777" w:rsidR="00175362" w:rsidRDefault="0059412C">
            <w:pPr>
              <w:spacing w:afterAutospacing="0" w:line="240" w:lineRule="auto"/>
              <w:rPr>
                <w:rFonts w:cs="Times New Roman"/>
                <w:b/>
              </w:rPr>
            </w:pPr>
            <w:r>
              <w:rPr>
                <w:rFonts w:eastAsia="Calibri" w:cs="Times New Roman"/>
                <w:b/>
                <w:bCs/>
                <w:sz w:val="22"/>
                <w:lang w:val="fi-FI"/>
              </w:rPr>
              <w:t>Muutoksen kuvaus</w:t>
            </w:r>
          </w:p>
        </w:tc>
        <w:tc>
          <w:tcPr>
            <w:tcW w:w="3419" w:type="dxa"/>
          </w:tcPr>
          <w:p w14:paraId="323E5F6E" w14:textId="77777777" w:rsidR="00175362" w:rsidRDefault="0059412C">
            <w:pPr>
              <w:spacing w:afterAutospacing="0" w:line="240" w:lineRule="auto"/>
              <w:rPr>
                <w:rFonts w:cs="Times New Roman"/>
                <w:b/>
              </w:rPr>
            </w:pPr>
            <w:r>
              <w:rPr>
                <w:rFonts w:eastAsia="Calibri" w:cs="Times New Roman"/>
                <w:b/>
                <w:bCs/>
                <w:sz w:val="22"/>
                <w:lang w:val="fi-FI"/>
              </w:rPr>
              <w:t>Ilmoitetun laitoksen vahvistama tarkistus?</w:t>
            </w:r>
          </w:p>
        </w:tc>
      </w:tr>
      <w:tr w:rsidR="00175362" w14:paraId="65AD2316" w14:textId="77777777">
        <w:tc>
          <w:tcPr>
            <w:tcW w:w="1122" w:type="dxa"/>
          </w:tcPr>
          <w:p w14:paraId="2CC14259" w14:textId="77777777" w:rsidR="00175362" w:rsidRDefault="0059412C">
            <w:pPr>
              <w:spacing w:afterAutospacing="0" w:line="240" w:lineRule="auto"/>
              <w:rPr>
                <w:rFonts w:cs="Times New Roman"/>
              </w:rPr>
            </w:pPr>
            <w:r>
              <w:rPr>
                <w:rFonts w:eastAsia="Calibri" w:cs="Times New Roman"/>
                <w:sz w:val="22"/>
                <w:lang w:val="fi-FI"/>
              </w:rPr>
              <w:t>A</w:t>
            </w:r>
          </w:p>
        </w:tc>
        <w:tc>
          <w:tcPr>
            <w:tcW w:w="1784" w:type="dxa"/>
          </w:tcPr>
          <w:p w14:paraId="0D1B200F" w14:textId="77777777" w:rsidR="00175362" w:rsidRDefault="0059412C">
            <w:pPr>
              <w:spacing w:afterAutospacing="0" w:line="240" w:lineRule="auto"/>
              <w:rPr>
                <w:rFonts w:cs="Times New Roman"/>
                <w:iCs/>
              </w:rPr>
            </w:pPr>
            <w:r>
              <w:rPr>
                <w:rFonts w:eastAsia="Calibri" w:cs="Times New Roman"/>
                <w:sz w:val="22"/>
                <w:lang w:val="fi-FI"/>
              </w:rPr>
              <w:t>Julkaisupäivä: 22. toukokuuta 2022</w:t>
            </w:r>
          </w:p>
        </w:tc>
        <w:tc>
          <w:tcPr>
            <w:tcW w:w="4115" w:type="dxa"/>
          </w:tcPr>
          <w:p w14:paraId="64A99D1D" w14:textId="77777777" w:rsidR="00175362" w:rsidRDefault="0059412C">
            <w:pPr>
              <w:spacing w:afterAutospacing="0" w:line="240" w:lineRule="auto"/>
              <w:rPr>
                <w:rFonts w:cs="Times New Roman"/>
              </w:rPr>
            </w:pPr>
            <w:r>
              <w:rPr>
                <w:rFonts w:eastAsia="Calibri" w:cs="Times New Roman"/>
                <w:sz w:val="22"/>
                <w:lang w:val="fi-FI"/>
              </w:rPr>
              <w:t>Alkuperäinen sisäinen julkaisu – BSI ei ole validoinut</w:t>
            </w:r>
          </w:p>
        </w:tc>
        <w:tc>
          <w:tcPr>
            <w:tcW w:w="3419" w:type="dxa"/>
          </w:tcPr>
          <w:p w14:paraId="59FD4E2E" w14:textId="77777777" w:rsidR="00175362" w:rsidRDefault="00000000">
            <w:pPr>
              <w:spacing w:afterAutospacing="0" w:line="240" w:lineRule="auto"/>
              <w:rPr>
                <w:rFonts w:cs="Times New Roman"/>
              </w:rPr>
            </w:pPr>
            <w:sdt>
              <w:sdtPr>
                <w:id w:val="-216212727"/>
                <w14:checkbox>
                  <w14:checked w14:val="1"/>
                  <w14:checkedState w14:val="2612" w14:font="MS Gothic"/>
                  <w14:uncheckedState w14:val="2610" w14:font="MS Gothic"/>
                </w14:checkbox>
              </w:sdtPr>
              <w:sdtContent>
                <w:r w:rsidR="0059412C">
                  <w:rPr>
                    <w:rFonts w:ascii="Segoe UI Symbol" w:eastAsia="MS Gothic" w:hAnsi="Segoe UI Symbol" w:cs="Segoe UI Symbol"/>
                    <w:sz w:val="22"/>
                    <w:lang w:val="fi-FI"/>
                  </w:rPr>
                  <w:t>☒</w:t>
                </w:r>
              </w:sdtContent>
            </w:sdt>
            <w:r w:rsidR="0059412C">
              <w:rPr>
                <w:rFonts w:eastAsia="MS Gothic" w:cs="Arial"/>
                <w:sz w:val="22"/>
                <w:lang w:val="fi-FI"/>
              </w:rPr>
              <w:t xml:space="preserve"> Vain sisäiseen käyttöön</w:t>
            </w:r>
          </w:p>
        </w:tc>
      </w:tr>
      <w:tr w:rsidR="00175362" w14:paraId="10AE925C" w14:textId="77777777">
        <w:tc>
          <w:tcPr>
            <w:tcW w:w="1122" w:type="dxa"/>
          </w:tcPr>
          <w:p w14:paraId="3E27DDCE" w14:textId="77777777" w:rsidR="00175362" w:rsidRDefault="0059412C">
            <w:pPr>
              <w:spacing w:afterAutospacing="0" w:line="240" w:lineRule="auto"/>
              <w:rPr>
                <w:rFonts w:cs="Times New Roman"/>
              </w:rPr>
            </w:pPr>
            <w:r>
              <w:rPr>
                <w:rFonts w:eastAsia="Calibri" w:cs="Times New Roman"/>
                <w:sz w:val="22"/>
                <w:lang w:val="fi-FI"/>
              </w:rPr>
              <w:t xml:space="preserve">B </w:t>
            </w:r>
          </w:p>
        </w:tc>
        <w:tc>
          <w:tcPr>
            <w:tcW w:w="1784" w:type="dxa"/>
          </w:tcPr>
          <w:p w14:paraId="1A75075F" w14:textId="77777777" w:rsidR="00175362" w:rsidRDefault="0059412C">
            <w:pPr>
              <w:spacing w:afterAutospacing="0" w:line="240" w:lineRule="auto"/>
              <w:rPr>
                <w:rFonts w:cs="Times New Roman"/>
                <w:iCs/>
              </w:rPr>
            </w:pPr>
            <w:r>
              <w:rPr>
                <w:rFonts w:eastAsia="Calibri" w:cs="Times New Roman"/>
                <w:sz w:val="22"/>
                <w:lang w:val="fi-FI"/>
              </w:rPr>
              <w:t xml:space="preserve">15. joulukuuta 2025 </w:t>
            </w:r>
          </w:p>
          <w:p w14:paraId="16A891B2" w14:textId="77777777" w:rsidR="00175362" w:rsidRDefault="00175362">
            <w:pPr>
              <w:spacing w:afterAutospacing="0" w:line="240" w:lineRule="auto"/>
              <w:rPr>
                <w:rFonts w:cs="Times New Roman"/>
                <w:iCs/>
              </w:rPr>
            </w:pPr>
          </w:p>
        </w:tc>
        <w:tc>
          <w:tcPr>
            <w:tcW w:w="4115" w:type="dxa"/>
          </w:tcPr>
          <w:p w14:paraId="5BEA0665" w14:textId="77777777" w:rsidR="00175362" w:rsidRDefault="0059412C">
            <w:pPr>
              <w:spacing w:afterAutospacing="0" w:line="240" w:lineRule="auto"/>
              <w:rPr>
                <w:rFonts w:cs="Times New Roman"/>
              </w:rPr>
            </w:pPr>
            <w:r>
              <w:rPr>
                <w:rFonts w:eastAsia="Calibri" w:cs="Times New Roman"/>
                <w:sz w:val="22"/>
                <w:lang w:val="fi-FI"/>
              </w:rPr>
              <w:t>Alustava lähetys BSI:lle tarkastettavaksi</w:t>
            </w:r>
          </w:p>
          <w:p w14:paraId="3C043B64" w14:textId="77777777" w:rsidR="00175362" w:rsidRDefault="0059412C">
            <w:pPr>
              <w:spacing w:afterAutospacing="0" w:line="240" w:lineRule="auto"/>
              <w:rPr>
                <w:rFonts w:cs="Times New Roman"/>
              </w:rPr>
            </w:pPr>
            <w:r>
              <w:rPr>
                <w:rFonts w:eastAsia="Calibri" w:cs="Times New Roman"/>
                <w:sz w:val="22"/>
                <w:lang w:val="fi-FI"/>
              </w:rPr>
              <w:t xml:space="preserve"> </w:t>
            </w:r>
          </w:p>
        </w:tc>
        <w:tc>
          <w:tcPr>
            <w:tcW w:w="3419" w:type="dxa"/>
          </w:tcPr>
          <w:p w14:paraId="096737FC" w14:textId="77777777" w:rsidR="00175362" w:rsidRDefault="00000000">
            <w:pPr>
              <w:spacing w:afterAutospacing="0" w:line="240" w:lineRule="auto"/>
              <w:rPr>
                <w:rFonts w:cs="Times New Roman"/>
              </w:rPr>
            </w:pPr>
            <w:sdt>
              <w:sdtPr>
                <w:id w:val="1250311691"/>
                <w14:checkbox>
                  <w14:checked w14:val="1"/>
                  <w14:checkedState w14:val="2612" w14:font="MS Gothic"/>
                  <w14:uncheckedState w14:val="2610" w14:font="MS Gothic"/>
                </w14:checkbox>
              </w:sdtPr>
              <w:sdtContent>
                <w:r w:rsidR="0059412C">
                  <w:rPr>
                    <w:rFonts w:ascii="Segoe UI Symbol" w:eastAsia="MS Gothic" w:hAnsi="Segoe UI Symbol" w:cs="Segoe UI Symbol"/>
                    <w:sz w:val="22"/>
                    <w:lang w:val="fi-FI"/>
                  </w:rPr>
                  <w:t>☒</w:t>
                </w:r>
              </w:sdtContent>
            </w:sdt>
            <w:r w:rsidR="0059412C">
              <w:rPr>
                <w:rFonts w:eastAsia="MS Gothic" w:cs="Arial"/>
                <w:sz w:val="22"/>
                <w:lang w:val="fi-FI"/>
              </w:rPr>
              <w:t xml:space="preserve"> Kyllä </w:t>
            </w:r>
          </w:p>
          <w:p w14:paraId="57DB6B0E" w14:textId="77777777" w:rsidR="00175362" w:rsidRDefault="0059412C">
            <w:pPr>
              <w:spacing w:afterAutospacing="0" w:line="240" w:lineRule="auto"/>
              <w:rPr>
                <w:rFonts w:cs="Times New Roman"/>
              </w:rPr>
            </w:pPr>
            <w:r>
              <w:rPr>
                <w:rFonts w:eastAsia="Calibri" w:cs="Times New Roman"/>
                <w:sz w:val="22"/>
                <w:lang w:val="fi-FI"/>
              </w:rPr>
              <w:t xml:space="preserve">Hyväksyntäkieli: </w:t>
            </w:r>
          </w:p>
          <w:p w14:paraId="17A6CDE2" w14:textId="77777777" w:rsidR="00175362" w:rsidRDefault="0059412C">
            <w:pPr>
              <w:spacing w:afterAutospacing="0" w:line="240" w:lineRule="auto"/>
              <w:rPr>
                <w:rFonts w:cs="Times New Roman"/>
              </w:rPr>
            </w:pPr>
            <w:r>
              <w:rPr>
                <w:rFonts w:eastAsia="Calibri" w:cs="Times New Roman"/>
                <w:sz w:val="22"/>
                <w:lang w:val="fi-FI"/>
              </w:rPr>
              <w:t>suomi</w:t>
            </w:r>
          </w:p>
          <w:p w14:paraId="753509C0" w14:textId="7A35CE0B" w:rsidR="00175362" w:rsidRDefault="0059412C">
            <w:pPr>
              <w:spacing w:afterAutospacing="0" w:line="240" w:lineRule="auto"/>
              <w:rPr>
                <w:rFonts w:cs="Times New Roman"/>
                <w:highlight w:val="yellow"/>
              </w:rPr>
            </w:pPr>
            <w:r>
              <w:rPr>
                <w:rFonts w:ascii="Segoe UI Symbol" w:eastAsia="Calibri" w:hAnsi="Segoe UI Symbol" w:cs="Arial"/>
                <w:sz w:val="22"/>
                <w:lang w:val="fi-FI"/>
              </w:rPr>
              <w:t>☐</w:t>
            </w:r>
            <w:r>
              <w:rPr>
                <w:rFonts w:eastAsia="Calibri" w:cs="Arial"/>
                <w:sz w:val="22"/>
                <w:lang w:val="fi-FI"/>
              </w:rPr>
              <w:t xml:space="preserve">Ei (sovellettavissa vain luokan IIa tai joidenkin luokan IIb laitteisiin, joiden SSCP-raporttia ilmoitettu laitos </w:t>
            </w:r>
            <w:r>
              <w:rPr>
                <w:rFonts w:eastAsia="Calibri" w:cs="Arial"/>
                <w:lang w:val="fi-FI"/>
              </w:rPr>
              <w:t xml:space="preserve">(NB) </w:t>
            </w:r>
            <w:r>
              <w:rPr>
                <w:rFonts w:eastAsia="Calibri" w:cs="Arial"/>
                <w:sz w:val="22"/>
                <w:lang w:val="fi-FI"/>
              </w:rPr>
              <w:t>ei ole vielä hyväksynyt)</w:t>
            </w:r>
          </w:p>
        </w:tc>
      </w:tr>
    </w:tbl>
    <w:p w14:paraId="14317E22" w14:textId="77777777" w:rsidR="00175362" w:rsidRDefault="00175362">
      <w:pPr>
        <w:tabs>
          <w:tab w:val="left" w:pos="3633"/>
        </w:tabs>
        <w:spacing w:after="280"/>
        <w:rPr>
          <w:rFonts w:cs="Times New Roman"/>
        </w:rPr>
      </w:pPr>
    </w:p>
    <w:sectPr w:rsidR="00175362">
      <w:headerReference w:type="even" r:id="rId31"/>
      <w:headerReference w:type="default" r:id="rId32"/>
      <w:footerReference w:type="even" r:id="rId33"/>
      <w:footerReference w:type="default" r:id="rId34"/>
      <w:headerReference w:type="first" r:id="rId35"/>
      <w:footerReference w:type="first" r:id="rId36"/>
      <w:pgSz w:w="12240" w:h="15840"/>
      <w:pgMar w:top="1800" w:right="720" w:bottom="1440" w:left="1080" w:header="360" w:footer="36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95A8" w14:textId="77777777" w:rsidR="006537FC" w:rsidRDefault="006537FC">
      <w:pPr>
        <w:spacing w:line="240" w:lineRule="auto"/>
      </w:pPr>
      <w:r>
        <w:separator/>
      </w:r>
    </w:p>
  </w:endnote>
  <w:endnote w:type="continuationSeparator" w:id="0">
    <w:p w14:paraId="58D8A5D1" w14:textId="77777777" w:rsidR="006537FC" w:rsidRDefault="00653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G Times 12pt">
    <w:altName w:val="Cambria"/>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1249" w14:textId="77777777" w:rsidR="00175362" w:rsidRDefault="00175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4253" w14:textId="77777777" w:rsidR="00175362" w:rsidRDefault="0059412C">
    <w:pPr>
      <w:pStyle w:val="Footer"/>
      <w:spacing w:after="280"/>
      <w:rPr>
        <w:szCs w:val="24"/>
      </w:rPr>
    </w:pPr>
    <w:r>
      <w:rPr>
        <w:b/>
        <w:bCs/>
        <w:sz w:val="18"/>
        <w:szCs w:val="18"/>
        <w:lang w:val="fi-FI"/>
      </w:rPr>
      <w:t xml:space="preserve">CAQ-QA-025-F1 </w:t>
    </w:r>
    <w:r>
      <w:rPr>
        <w:b/>
        <w:bCs/>
        <w:sz w:val="18"/>
        <w:szCs w:val="18"/>
        <w:lang w:val="fi-FI"/>
      </w:rPr>
      <w:t>Rev G: Turvallisuuden ja kliinisen suorituskyvyn tiivistelmä (SSCP)</w:t>
    </w:r>
    <w:r>
      <w:rPr>
        <w:lang w:val="fi-FI"/>
      </w:rPr>
      <w:t xml:space="preserve"> </w:t>
    </w:r>
    <w:r>
      <w:rPr>
        <w:lang w:val="fi-FI"/>
      </w:rPr>
      <w:tab/>
      <w:t xml:space="preserve">Sivu </w:t>
    </w:r>
    <w:r>
      <w:rPr>
        <w:lang w:val="fi-FI"/>
      </w:rPr>
      <w:fldChar w:fldCharType="begin"/>
    </w:r>
    <w:r>
      <w:rPr>
        <w:lang w:val="fi-FI"/>
      </w:rPr>
      <w:instrText xml:space="preserve"> PAGE \* ARABIC </w:instrText>
    </w:r>
    <w:r>
      <w:rPr>
        <w:lang w:val="fi-FI"/>
      </w:rPr>
      <w:fldChar w:fldCharType="separate"/>
    </w:r>
    <w:r>
      <w:rPr>
        <w:lang w:val="fi-FI"/>
      </w:rPr>
      <w:t>14</w:t>
    </w:r>
    <w:r>
      <w:rPr>
        <w:lang w:val="fi-FI"/>
      </w:rPr>
      <w:fldChar w:fldCharType="end"/>
    </w:r>
    <w:r>
      <w:rPr>
        <w:lang w:val="fi-FI"/>
      </w:rPr>
      <w:t xml:space="preserve"> / </w:t>
    </w:r>
    <w:r>
      <w:fldChar w:fldCharType="begin"/>
    </w:r>
    <w:r>
      <w:instrText xml:space="preserve"> NUMPAGES </w:instrText>
    </w:r>
    <w:r>
      <w:fldChar w:fldCharType="separate"/>
    </w:r>
    <w:r>
      <w:t>14</w:t>
    </w:r>
    <w:r>
      <w:fldChar w:fldCharType="end"/>
    </w:r>
    <w:r>
      <w:rPr>
        <w:lang w:val="fi-FI"/>
      </w:rPr>
      <w:t xml:space="preserve">  </w:t>
    </w:r>
    <w:r>
      <w:rPr>
        <w:lang w:val="fi-FI"/>
      </w:rPr>
      <w:tab/>
    </w:r>
    <w:r>
      <w:rPr>
        <w:lang w:val="fi-F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EC54" w14:textId="77777777" w:rsidR="00175362" w:rsidRDefault="0059412C">
    <w:pPr>
      <w:pStyle w:val="Footer"/>
      <w:spacing w:after="280"/>
      <w:rPr>
        <w:szCs w:val="24"/>
      </w:rPr>
    </w:pPr>
    <w:r>
      <w:rPr>
        <w:b/>
        <w:bCs/>
        <w:sz w:val="18"/>
        <w:szCs w:val="18"/>
        <w:lang w:val="fi-FI"/>
      </w:rPr>
      <w:t xml:space="preserve">CAQ-QA-025-F1 </w:t>
    </w:r>
    <w:r>
      <w:rPr>
        <w:b/>
        <w:bCs/>
        <w:sz w:val="18"/>
        <w:szCs w:val="18"/>
        <w:lang w:val="fi-FI"/>
      </w:rPr>
      <w:t>Rev G: Turvallisuuden ja kliinisen suorituskyvyn tiivistelmä (SSCP)</w:t>
    </w:r>
    <w:r>
      <w:rPr>
        <w:lang w:val="fi-FI"/>
      </w:rPr>
      <w:t xml:space="preserve"> </w:t>
    </w:r>
    <w:r>
      <w:rPr>
        <w:lang w:val="fi-FI"/>
      </w:rPr>
      <w:tab/>
      <w:t xml:space="preserve">Sivu </w:t>
    </w:r>
    <w:r>
      <w:rPr>
        <w:lang w:val="fi-FI"/>
      </w:rPr>
      <w:fldChar w:fldCharType="begin"/>
    </w:r>
    <w:r>
      <w:rPr>
        <w:lang w:val="fi-FI"/>
      </w:rPr>
      <w:instrText xml:space="preserve"> PAGE \* ARABIC </w:instrText>
    </w:r>
    <w:r>
      <w:rPr>
        <w:lang w:val="fi-FI"/>
      </w:rPr>
      <w:fldChar w:fldCharType="separate"/>
    </w:r>
    <w:r>
      <w:rPr>
        <w:lang w:val="fi-FI"/>
      </w:rPr>
      <w:t>14</w:t>
    </w:r>
    <w:r>
      <w:rPr>
        <w:lang w:val="fi-FI"/>
      </w:rPr>
      <w:fldChar w:fldCharType="end"/>
    </w:r>
    <w:r>
      <w:rPr>
        <w:lang w:val="fi-FI"/>
      </w:rPr>
      <w:t xml:space="preserve"> / </w:t>
    </w:r>
    <w:r>
      <w:fldChar w:fldCharType="begin"/>
    </w:r>
    <w:r>
      <w:instrText xml:space="preserve"> NUMPAGES </w:instrText>
    </w:r>
    <w:r>
      <w:fldChar w:fldCharType="separate"/>
    </w:r>
    <w:r>
      <w:t>14</w:t>
    </w:r>
    <w:r>
      <w:fldChar w:fldCharType="end"/>
    </w:r>
    <w:r>
      <w:rPr>
        <w:lang w:val="fi-FI"/>
      </w:rPr>
      <w:t xml:space="preserve">  </w:t>
    </w:r>
    <w:r>
      <w:rPr>
        <w:lang w:val="fi-FI"/>
      </w:rPr>
      <w:tab/>
    </w:r>
    <w:r>
      <w:rPr>
        <w:lang w:val="fi-F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D958" w14:textId="77777777" w:rsidR="006537FC" w:rsidRDefault="006537FC">
      <w:pPr>
        <w:spacing w:line="240" w:lineRule="auto"/>
      </w:pPr>
      <w:r>
        <w:separator/>
      </w:r>
    </w:p>
  </w:footnote>
  <w:footnote w:type="continuationSeparator" w:id="0">
    <w:p w14:paraId="0DA16C82" w14:textId="77777777" w:rsidR="006537FC" w:rsidRDefault="006537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C7C8" w14:textId="77777777" w:rsidR="00175362" w:rsidRDefault="00175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30" w:type="dxa"/>
      <w:tblInd w:w="108" w:type="dxa"/>
      <w:tblLayout w:type="fixed"/>
      <w:tblLook w:val="04A0" w:firstRow="1" w:lastRow="0" w:firstColumn="1" w:lastColumn="0" w:noHBand="0" w:noVBand="1"/>
    </w:tblPr>
    <w:tblGrid>
      <w:gridCol w:w="3079"/>
      <w:gridCol w:w="7351"/>
    </w:tblGrid>
    <w:tr w:rsidR="00175362" w14:paraId="009EF806" w14:textId="77777777">
      <w:tc>
        <w:tcPr>
          <w:tcW w:w="3079" w:type="dxa"/>
          <w:tcBorders>
            <w:top w:val="nil"/>
            <w:left w:val="nil"/>
            <w:bottom w:val="nil"/>
            <w:right w:val="nil"/>
          </w:tcBorders>
        </w:tcPr>
        <w:p w14:paraId="63246E65" w14:textId="77777777" w:rsidR="00175362" w:rsidRDefault="0059412C">
          <w:pPr>
            <w:pStyle w:val="Header"/>
            <w:spacing w:after="0"/>
            <w:jc w:val="left"/>
          </w:pPr>
          <w:r>
            <w:rPr>
              <w:noProof/>
            </w:rPr>
            <w:drawing>
              <wp:inline distT="0" distB="0" distL="0" distR="0" wp14:anchorId="7EE6ED02" wp14:editId="7C1F69AC">
                <wp:extent cx="1016000" cy="63500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noChangeArrowheads="1"/>
                        </pic:cNvPicPr>
                      </pic:nvPicPr>
                      <pic:blipFill>
                        <a:blip r:embed="rId1"/>
                        <a:stretch>
                          <a:fillRect/>
                        </a:stretch>
                      </pic:blipFill>
                      <pic:spPr bwMode="auto">
                        <a:xfrm>
                          <a:off x="0" y="0"/>
                          <a:ext cx="1016000" cy="635000"/>
                        </a:xfrm>
                        <a:prstGeom prst="rect">
                          <a:avLst/>
                        </a:prstGeom>
                        <a:noFill/>
                      </pic:spPr>
                    </pic:pic>
                  </a:graphicData>
                </a:graphic>
              </wp:inline>
            </w:drawing>
          </w:r>
        </w:p>
      </w:tc>
      <w:tc>
        <w:tcPr>
          <w:tcW w:w="7351" w:type="dxa"/>
          <w:tcBorders>
            <w:top w:val="nil"/>
            <w:left w:val="nil"/>
            <w:bottom w:val="nil"/>
            <w:right w:val="nil"/>
          </w:tcBorders>
        </w:tcPr>
        <w:p w14:paraId="07ABFCF3" w14:textId="77777777" w:rsidR="00175362" w:rsidRDefault="0059412C">
          <w:pPr>
            <w:spacing w:afterAutospacing="0" w:line="240" w:lineRule="auto"/>
            <w:rPr>
              <w:rFonts w:ascii="Arial" w:hAnsi="Arial" w:cs="Arial"/>
              <w:b/>
              <w:bCs/>
              <w:sz w:val="28"/>
              <w:szCs w:val="28"/>
            </w:rPr>
          </w:pPr>
          <w:r>
            <w:rPr>
              <w:rFonts w:ascii="Arial" w:eastAsia="Calibri" w:hAnsi="Arial" w:cs="Arial"/>
              <w:b/>
              <w:bCs/>
              <w:sz w:val="28"/>
              <w:szCs w:val="28"/>
              <w:lang w:val="fi-FI"/>
            </w:rPr>
            <w:t>Tiivistelmä turvallisuudesta ja kliinisestä suorituskyvystä (SSCP)</w:t>
          </w:r>
        </w:p>
        <w:p w14:paraId="6C13AB19" w14:textId="776D54B1" w:rsidR="00175362" w:rsidRDefault="0059412C">
          <w:pPr>
            <w:spacing w:afterAutospacing="0" w:line="240" w:lineRule="auto"/>
            <w:rPr>
              <w:rFonts w:ascii="Arial" w:hAnsi="Arial" w:cs="Arial"/>
              <w:sz w:val="18"/>
              <w:szCs w:val="18"/>
            </w:rPr>
          </w:pPr>
          <w:r>
            <w:rPr>
              <w:rFonts w:ascii="Arial" w:eastAsia="Calibri" w:hAnsi="Arial" w:cs="Arial"/>
              <w:b/>
              <w:bCs/>
              <w:sz w:val="18"/>
              <w:szCs w:val="18"/>
              <w:lang w:val="fi-FI"/>
            </w:rPr>
            <w:t xml:space="preserve">SSCP-0006: </w:t>
          </w:r>
          <w:r>
            <w:rPr>
              <w:rFonts w:ascii="Arial" w:eastAsia="Calibri" w:hAnsi="Arial" w:cs="Arial"/>
              <w:sz w:val="18"/>
              <w:szCs w:val="18"/>
              <w:lang w:val="fi-FI"/>
            </w:rPr>
            <w:t>Atrieve Vaskulaarinen Snare -</w:t>
          </w:r>
          <w:r>
            <w:rPr>
              <w:rFonts w:ascii="Arial" w:eastAsia="Calibri" w:hAnsi="Arial" w:cs="Times New Roman"/>
              <w:sz w:val="18"/>
              <w:szCs w:val="18"/>
              <w:lang w:val="fi-FI"/>
            </w:rPr>
            <w:t>tarvike</w:t>
          </w:r>
          <w:r>
            <w:rPr>
              <w:rFonts w:ascii="Arial" w:eastAsia="Calibri" w:hAnsi="Arial" w:cs="Arial"/>
              <w:sz w:val="18"/>
              <w:szCs w:val="18"/>
              <w:lang w:val="fi-FI"/>
            </w:rPr>
            <w:t>sarja</w:t>
          </w:r>
        </w:p>
        <w:p w14:paraId="4997E075" w14:textId="77777777" w:rsidR="00175362" w:rsidRDefault="0059412C">
          <w:pPr>
            <w:spacing w:afterAutospacing="0" w:line="240" w:lineRule="auto"/>
            <w:rPr>
              <w:rFonts w:ascii="Arial" w:hAnsi="Arial" w:cs="Arial"/>
              <w:sz w:val="18"/>
              <w:szCs w:val="18"/>
            </w:rPr>
          </w:pPr>
          <w:r>
            <w:rPr>
              <w:rFonts w:ascii="Arial" w:eastAsia="Calibri" w:hAnsi="Arial" w:cs="Arial"/>
              <w:sz w:val="18"/>
              <w:szCs w:val="18"/>
              <w:lang w:val="fi-FI"/>
            </w:rPr>
            <w:t>Tarkistus: B</w:t>
          </w:r>
        </w:p>
        <w:p w14:paraId="628AC470" w14:textId="77777777" w:rsidR="00175362" w:rsidRDefault="0059412C">
          <w:pPr>
            <w:pStyle w:val="Header"/>
            <w:spacing w:after="0"/>
            <w:jc w:val="left"/>
            <w:rPr>
              <w:rFonts w:ascii="Arial" w:hAnsi="Arial" w:cs="Arial"/>
              <w:sz w:val="18"/>
            </w:rPr>
          </w:pPr>
          <w:r>
            <w:rPr>
              <w:rFonts w:ascii="Calibri" w:eastAsiaTheme="minorHAnsi" w:hAnsi="Calibri" w:cs="Calibri"/>
              <w:sz w:val="18"/>
              <w:szCs w:val="18"/>
              <w:lang w:val="fi-FI"/>
            </w:rPr>
            <w:t>Argonin toimipaikka: Kaikki toimipaikat</w:t>
          </w:r>
        </w:p>
      </w:tc>
    </w:tr>
  </w:tbl>
  <w:p w14:paraId="6D9DB0E7" w14:textId="77777777" w:rsidR="00175362" w:rsidRDefault="00175362">
    <w:pPr>
      <w:pStyle w:val="Header"/>
      <w:spacing w:after="2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30" w:type="dxa"/>
      <w:tblInd w:w="108" w:type="dxa"/>
      <w:tblLayout w:type="fixed"/>
      <w:tblLook w:val="04A0" w:firstRow="1" w:lastRow="0" w:firstColumn="1" w:lastColumn="0" w:noHBand="0" w:noVBand="1"/>
    </w:tblPr>
    <w:tblGrid>
      <w:gridCol w:w="3079"/>
      <w:gridCol w:w="7351"/>
    </w:tblGrid>
    <w:tr w:rsidR="00175362" w14:paraId="5C9FD64A" w14:textId="77777777">
      <w:tc>
        <w:tcPr>
          <w:tcW w:w="3079" w:type="dxa"/>
          <w:tcBorders>
            <w:top w:val="nil"/>
            <w:left w:val="nil"/>
            <w:bottom w:val="nil"/>
            <w:right w:val="nil"/>
          </w:tcBorders>
        </w:tcPr>
        <w:p w14:paraId="5865FA69" w14:textId="77777777" w:rsidR="00175362" w:rsidRDefault="0059412C">
          <w:pPr>
            <w:pStyle w:val="Header"/>
            <w:spacing w:after="0"/>
            <w:jc w:val="left"/>
          </w:pPr>
          <w:r>
            <w:rPr>
              <w:noProof/>
            </w:rPr>
            <w:drawing>
              <wp:inline distT="0" distB="0" distL="0" distR="0" wp14:anchorId="5C25E6BD" wp14:editId="3511D939">
                <wp:extent cx="1016000" cy="635000"/>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4"/>
                        <pic:cNvPicPr>
                          <a:picLocks noChangeAspect="1" noChangeArrowheads="1"/>
                        </pic:cNvPicPr>
                      </pic:nvPicPr>
                      <pic:blipFill>
                        <a:blip r:embed="rId1"/>
                        <a:stretch>
                          <a:fillRect/>
                        </a:stretch>
                      </pic:blipFill>
                      <pic:spPr bwMode="auto">
                        <a:xfrm>
                          <a:off x="0" y="0"/>
                          <a:ext cx="1016000" cy="635000"/>
                        </a:xfrm>
                        <a:prstGeom prst="rect">
                          <a:avLst/>
                        </a:prstGeom>
                        <a:noFill/>
                      </pic:spPr>
                    </pic:pic>
                  </a:graphicData>
                </a:graphic>
              </wp:inline>
            </w:drawing>
          </w:r>
        </w:p>
      </w:tc>
      <w:tc>
        <w:tcPr>
          <w:tcW w:w="7351" w:type="dxa"/>
          <w:tcBorders>
            <w:top w:val="nil"/>
            <w:left w:val="nil"/>
            <w:bottom w:val="nil"/>
            <w:right w:val="nil"/>
          </w:tcBorders>
        </w:tcPr>
        <w:p w14:paraId="5B447DF0" w14:textId="77777777" w:rsidR="00175362" w:rsidRDefault="0059412C">
          <w:pPr>
            <w:spacing w:afterAutospacing="0" w:line="240" w:lineRule="auto"/>
            <w:rPr>
              <w:rFonts w:ascii="Arial" w:hAnsi="Arial" w:cs="Arial"/>
              <w:b/>
              <w:bCs/>
              <w:sz w:val="28"/>
              <w:szCs w:val="28"/>
            </w:rPr>
          </w:pPr>
          <w:r>
            <w:rPr>
              <w:rFonts w:ascii="Arial" w:eastAsia="Calibri" w:hAnsi="Arial" w:cs="Arial"/>
              <w:b/>
              <w:bCs/>
              <w:sz w:val="28"/>
              <w:szCs w:val="28"/>
              <w:lang w:val="fi-FI"/>
            </w:rPr>
            <w:t>Tiivistelmä turvallisuudesta ja kliinisestä suorituskyvystä (SSCP)</w:t>
          </w:r>
        </w:p>
        <w:p w14:paraId="6DA03A53" w14:textId="3856F35A" w:rsidR="00175362" w:rsidRDefault="0059412C">
          <w:pPr>
            <w:spacing w:afterAutospacing="0" w:line="240" w:lineRule="auto"/>
            <w:rPr>
              <w:rFonts w:ascii="Arial" w:hAnsi="Arial" w:cs="Arial"/>
              <w:sz w:val="18"/>
              <w:szCs w:val="18"/>
            </w:rPr>
          </w:pPr>
          <w:r>
            <w:rPr>
              <w:rFonts w:ascii="Arial" w:eastAsia="Calibri" w:hAnsi="Arial" w:cs="Arial"/>
              <w:b/>
              <w:bCs/>
              <w:sz w:val="18"/>
              <w:szCs w:val="18"/>
              <w:lang w:val="fi-FI"/>
            </w:rPr>
            <w:t xml:space="preserve">SSCP-0006: </w:t>
          </w:r>
          <w:bookmarkStart w:id="82" w:name="_Hlk196721157"/>
          <w:r>
            <w:rPr>
              <w:rFonts w:ascii="Arial" w:eastAsia="Calibri" w:hAnsi="Arial" w:cs="Arial"/>
              <w:sz w:val="18"/>
              <w:szCs w:val="18"/>
              <w:lang w:val="fi-FI"/>
            </w:rPr>
            <w:t>Atrieve Vaskulaarinen Snare -</w:t>
          </w:r>
          <w:r>
            <w:rPr>
              <w:rFonts w:ascii="Arial" w:eastAsia="Calibri" w:hAnsi="Arial" w:cs="Times New Roman"/>
              <w:sz w:val="18"/>
              <w:szCs w:val="18"/>
              <w:lang w:val="fi-FI"/>
            </w:rPr>
            <w:t>tarvike</w:t>
          </w:r>
          <w:r>
            <w:rPr>
              <w:rFonts w:ascii="Arial" w:eastAsia="Calibri" w:hAnsi="Arial" w:cs="Arial"/>
              <w:sz w:val="18"/>
              <w:szCs w:val="18"/>
              <w:lang w:val="fi-FI"/>
            </w:rPr>
            <w:t>sarja</w:t>
          </w:r>
          <w:bookmarkEnd w:id="82"/>
        </w:p>
        <w:p w14:paraId="36EA6FB3" w14:textId="77777777" w:rsidR="00175362" w:rsidRDefault="0059412C">
          <w:pPr>
            <w:spacing w:afterAutospacing="0" w:line="240" w:lineRule="auto"/>
            <w:rPr>
              <w:rFonts w:ascii="Arial" w:hAnsi="Arial" w:cs="Arial"/>
              <w:sz w:val="18"/>
              <w:szCs w:val="18"/>
            </w:rPr>
          </w:pPr>
          <w:r>
            <w:rPr>
              <w:rFonts w:ascii="Arial" w:eastAsia="Calibri" w:hAnsi="Arial" w:cs="Arial"/>
              <w:sz w:val="18"/>
              <w:szCs w:val="18"/>
              <w:lang w:val="fi-FI"/>
            </w:rPr>
            <w:t>Tarkistus: B</w:t>
          </w:r>
        </w:p>
        <w:p w14:paraId="5ACBEF15" w14:textId="77777777" w:rsidR="00175362" w:rsidRDefault="0059412C">
          <w:pPr>
            <w:pStyle w:val="Header"/>
            <w:spacing w:after="0"/>
            <w:jc w:val="left"/>
            <w:rPr>
              <w:rFonts w:ascii="Arial" w:hAnsi="Arial" w:cs="Arial"/>
              <w:sz w:val="18"/>
            </w:rPr>
          </w:pPr>
          <w:r>
            <w:rPr>
              <w:rFonts w:ascii="Calibri" w:eastAsiaTheme="minorHAnsi" w:hAnsi="Calibri" w:cs="Calibri"/>
              <w:sz w:val="18"/>
              <w:szCs w:val="18"/>
              <w:lang w:val="fi-FI"/>
            </w:rPr>
            <w:t>Argonin toimipaikka: Kaikki toimipaikat</w:t>
          </w:r>
        </w:p>
      </w:tc>
    </w:tr>
  </w:tbl>
  <w:p w14:paraId="7AECB0AB" w14:textId="77777777" w:rsidR="00175362" w:rsidRDefault="00175362">
    <w:pPr>
      <w:pStyle w:val="Header"/>
      <w:spacing w:after="2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BB3"/>
    <w:multiLevelType w:val="multilevel"/>
    <w:tmpl w:val="AE0A232E"/>
    <w:lvl w:ilvl="0">
      <w:start w:val="1"/>
      <w:numFmt w:val="decimal"/>
      <w:pStyle w:val="Heading5"/>
      <w:lvlText w:val="%1"/>
      <w:lvlJc w:val="left"/>
      <w:pPr>
        <w:tabs>
          <w:tab w:val="num" w:pos="720"/>
        </w:tabs>
        <w:ind w:left="720" w:hanging="720"/>
      </w:pPr>
      <w:rPr>
        <w:u w:val="none"/>
      </w:rPr>
    </w:lvl>
    <w:lvl w:ilvl="1">
      <w:start w:val="1"/>
      <w:numFmt w:val="decimal"/>
      <w:pStyle w:val="Heading2"/>
      <w:isLgl/>
      <w:lvlText w:val="%1.%2."/>
      <w:lvlJc w:val="left"/>
      <w:pPr>
        <w:tabs>
          <w:tab w:val="num" w:pos="1440"/>
        </w:tabs>
        <w:ind w:left="1440" w:hanging="72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560"/>
        </w:tabs>
        <w:ind w:left="7560" w:hanging="1800"/>
      </w:pPr>
    </w:lvl>
  </w:abstractNum>
  <w:abstractNum w:abstractNumId="1" w15:restartNumberingAfterBreak="0">
    <w:nsid w:val="0FCB2346"/>
    <w:multiLevelType w:val="multilevel"/>
    <w:tmpl w:val="F2F2B8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73E62FA"/>
    <w:multiLevelType w:val="multilevel"/>
    <w:tmpl w:val="9D44E9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2DA4CE8"/>
    <w:multiLevelType w:val="multilevel"/>
    <w:tmpl w:val="5A2482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41203CF"/>
    <w:multiLevelType w:val="multilevel"/>
    <w:tmpl w:val="742420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39B3410B"/>
    <w:multiLevelType w:val="multilevel"/>
    <w:tmpl w:val="0A7A293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CD71E9C"/>
    <w:multiLevelType w:val="multilevel"/>
    <w:tmpl w:val="1F6AA0DE"/>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37E5E0F"/>
    <w:multiLevelType w:val="multilevel"/>
    <w:tmpl w:val="3ECA37E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5B45352C"/>
    <w:multiLevelType w:val="multilevel"/>
    <w:tmpl w:val="4C6ADA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2592DD8"/>
    <w:multiLevelType w:val="multilevel"/>
    <w:tmpl w:val="EBEAF5B8"/>
    <w:lvl w:ilvl="0">
      <w:start w:val="1"/>
      <w:numFmt w:val="decimal"/>
      <w:lvlText w:val="%1."/>
      <w:lvlJc w:val="left"/>
      <w:pPr>
        <w:tabs>
          <w:tab w:val="num" w:pos="0"/>
        </w:tabs>
        <w:ind w:left="360" w:hanging="360"/>
      </w:pPr>
      <w:rPr>
        <w:b/>
        <w:bCs w:val="0"/>
      </w:rPr>
    </w:lvl>
    <w:lvl w:ilvl="1">
      <w:start w:val="1"/>
      <w:numFmt w:val="decimal"/>
      <w:pStyle w:val="Heading1"/>
      <w:lvlText w:val="%1.%2."/>
      <w:lvlJc w:val="left"/>
      <w:pPr>
        <w:tabs>
          <w:tab w:val="num" w:pos="0"/>
        </w:tabs>
        <w:ind w:left="97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6DB758C3"/>
    <w:multiLevelType w:val="multilevel"/>
    <w:tmpl w:val="EFE25E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28536725">
    <w:abstractNumId w:val="0"/>
  </w:num>
  <w:num w:numId="2" w16cid:durableId="772940752">
    <w:abstractNumId w:val="9"/>
  </w:num>
  <w:num w:numId="3" w16cid:durableId="1309090740">
    <w:abstractNumId w:val="1"/>
  </w:num>
  <w:num w:numId="4" w16cid:durableId="1628851473">
    <w:abstractNumId w:val="7"/>
  </w:num>
  <w:num w:numId="5" w16cid:durableId="520627183">
    <w:abstractNumId w:val="3"/>
  </w:num>
  <w:num w:numId="6" w16cid:durableId="1958023019">
    <w:abstractNumId w:val="6"/>
  </w:num>
  <w:num w:numId="7" w16cid:durableId="1688827787">
    <w:abstractNumId w:val="5"/>
  </w:num>
  <w:num w:numId="8" w16cid:durableId="1440679444">
    <w:abstractNumId w:val="10"/>
  </w:num>
  <w:num w:numId="9" w16cid:durableId="1815221586">
    <w:abstractNumId w:val="2"/>
  </w:num>
  <w:num w:numId="10" w16cid:durableId="1566599352">
    <w:abstractNumId w:val="4"/>
  </w:num>
  <w:num w:numId="11" w16cid:durableId="618412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62"/>
    <w:rsid w:val="00175362"/>
    <w:rsid w:val="001F7D77"/>
    <w:rsid w:val="003165A1"/>
    <w:rsid w:val="0059412C"/>
    <w:rsid w:val="006537FC"/>
    <w:rsid w:val="00995A9F"/>
    <w:rsid w:val="00BB10A1"/>
    <w:rsid w:val="00C738F8"/>
    <w:rsid w:val="00D7728B"/>
    <w:rsid w:val="00DE0C6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9466"/>
  <w15:docId w15:val="{7598BC4F-D94D-4D2B-B096-E54B456D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Autospacing="1" w:line="259" w:lineRule="auto"/>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qFormat/>
    <w:rsid w:val="0005411A"/>
    <w:rPr>
      <w:rFonts w:ascii="Times New Roman" w:eastAsia="Times New Roman" w:hAnsi="Times New Roman" w:cs="Times New Roman"/>
      <w:b/>
      <w:sz w:val="36"/>
      <w:szCs w:val="24"/>
      <w:lang w:val="en-GB" w:eastAsia="en-GB"/>
    </w:rPr>
  </w:style>
  <w:style w:type="character" w:customStyle="1" w:styleId="HeaderChar">
    <w:name w:val="Header Char"/>
    <w:basedOn w:val="DefaultParagraphFont"/>
    <w:link w:val="Header"/>
    <w:qFormat/>
    <w:rsid w:val="0005411A"/>
    <w:rPr>
      <w:rFonts w:ascii="CG Times 12pt" w:eastAsia="Times New Roman" w:hAnsi="CG Times 12pt" w:cs="Times New Roman"/>
      <w:sz w:val="24"/>
      <w:szCs w:val="24"/>
      <w:lang w:val="en-GB" w:eastAsia="en-GB"/>
    </w:rPr>
  </w:style>
  <w:style w:type="character" w:customStyle="1" w:styleId="BodyText3Char">
    <w:name w:val="Body Text 3 Char"/>
    <w:basedOn w:val="DefaultParagraphFont"/>
    <w:link w:val="BodyText3"/>
    <w:qFormat/>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qFormat/>
    <w:rsid w:val="00042B91"/>
    <w:rPr>
      <w:rFonts w:ascii="Times New Roman" w:hAnsi="Times New Roman"/>
      <w:b/>
      <w:color w:val="000000" w:themeColor="text1"/>
      <w:sz w:val="24"/>
      <w:lang w:eastAsia="en-GB"/>
    </w:rPr>
  </w:style>
  <w:style w:type="character" w:customStyle="1" w:styleId="Heading3Char">
    <w:name w:val="Heading 3 Char"/>
    <w:basedOn w:val="DefaultParagraphFont"/>
    <w:link w:val="Heading3"/>
    <w:uiPriority w:val="9"/>
    <w:semiHidden/>
    <w:qFormat/>
    <w:rsid w:val="006F0810"/>
    <w:rPr>
      <w:rFonts w:asciiTheme="majorHAnsi" w:eastAsiaTheme="majorEastAsia" w:hAnsiTheme="majorHAnsi" w:cstheme="majorBidi"/>
      <w:color w:val="1F3763" w:themeColor="accent1" w:themeShade="7F"/>
      <w:sz w:val="24"/>
      <w:szCs w:val="24"/>
    </w:rPr>
  </w:style>
  <w:style w:type="character" w:customStyle="1" w:styleId="BodyText2Char">
    <w:name w:val="Body Text 2 Char"/>
    <w:basedOn w:val="DefaultParagraphFont"/>
    <w:link w:val="BodyText2"/>
    <w:uiPriority w:val="99"/>
    <w:semiHidden/>
    <w:qFormat/>
    <w:rsid w:val="006F0810"/>
  </w:style>
  <w:style w:type="character" w:customStyle="1" w:styleId="Heading2Char">
    <w:name w:val="Heading 2 Char"/>
    <w:basedOn w:val="DefaultParagraphFont"/>
    <w:link w:val="Heading2"/>
    <w:uiPriority w:val="9"/>
    <w:qFormat/>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qFormat/>
    <w:rsid w:val="006F0810"/>
    <w:rPr>
      <w:rFonts w:asciiTheme="majorHAnsi" w:eastAsiaTheme="majorEastAsia" w:hAnsiTheme="majorHAnsi" w:cstheme="majorBidi"/>
      <w:color w:val="2F5496" w:themeColor="accent1" w:themeShade="BF"/>
      <w:sz w:val="24"/>
      <w:lang w:eastAsia="en-GB"/>
    </w:rPr>
  </w:style>
  <w:style w:type="character" w:customStyle="1" w:styleId="FooterChar">
    <w:name w:val="Footer Char"/>
    <w:basedOn w:val="DefaultParagraphFont"/>
    <w:link w:val="Footer"/>
    <w:uiPriority w:val="99"/>
    <w:qFormat/>
    <w:rsid w:val="00394151"/>
  </w:style>
  <w:style w:type="character" w:customStyle="1" w:styleId="normaltextrun">
    <w:name w:val="normaltextrun"/>
    <w:basedOn w:val="DefaultParagraphFont"/>
    <w:qFormat/>
    <w:rsid w:val="000D2F57"/>
  </w:style>
  <w:style w:type="character" w:customStyle="1" w:styleId="eop">
    <w:name w:val="eop"/>
    <w:basedOn w:val="DefaultParagraphFont"/>
    <w:qFormat/>
    <w:rsid w:val="000D2F57"/>
  </w:style>
  <w:style w:type="character" w:customStyle="1" w:styleId="spellingerror">
    <w:name w:val="spellingerror"/>
    <w:basedOn w:val="DefaultParagraphFont"/>
    <w:qFormat/>
    <w:rsid w:val="000D2F57"/>
  </w:style>
  <w:style w:type="character" w:customStyle="1" w:styleId="TableHeading-Font10Char">
    <w:name w:val="Table Heading-Font 10 Char"/>
    <w:link w:val="TableHeading-Font10"/>
    <w:qFormat/>
    <w:rsid w:val="00AC1EE8"/>
    <w:rPr>
      <w:rFonts w:ascii="Arial" w:hAnsi="Arial" w:cs="Arial"/>
      <w:b/>
      <w:bCs/>
      <w:kern w:val="2"/>
      <w:sz w:val="20"/>
      <w:szCs w:val="20"/>
    </w:rPr>
  </w:style>
  <w:style w:type="character" w:customStyle="1" w:styleId="TableTextLeftChar">
    <w:name w:val="Table Text Left Char"/>
    <w:basedOn w:val="DefaultParagraphFont"/>
    <w:link w:val="TableTextLeft"/>
    <w:qFormat/>
    <w:rsid w:val="00AC1EE8"/>
    <w:rPr>
      <w:rFonts w:ascii="Arial" w:eastAsia="Arial Unicode MS" w:hAnsi="Arial" w:cs="Arial"/>
      <w:iCs/>
      <w:sz w:val="20"/>
      <w:szCs w:val="20"/>
      <w:lang w:eastAsia="en-GB"/>
    </w:rPr>
  </w:style>
  <w:style w:type="character" w:customStyle="1" w:styleId="BodyTextChar">
    <w:name w:val="Body Text Char"/>
    <w:basedOn w:val="DefaultParagraphFont"/>
    <w:link w:val="BodyText"/>
    <w:uiPriority w:val="99"/>
    <w:qFormat/>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qFormat/>
    <w:rsid w:val="009F4223"/>
    <w:rPr>
      <w:sz w:val="16"/>
      <w:szCs w:val="16"/>
    </w:rPr>
  </w:style>
  <w:style w:type="character" w:customStyle="1" w:styleId="CommentTextChar">
    <w:name w:val="Comment Text Char"/>
    <w:basedOn w:val="DefaultParagraphFont"/>
    <w:link w:val="CommentText"/>
    <w:uiPriority w:val="99"/>
    <w:qFormat/>
    <w:rsid w:val="009F4223"/>
    <w:rPr>
      <w:rFonts w:ascii="Arial" w:eastAsia="Arial" w:hAnsi="Arial" w:cs="Arial"/>
      <w:sz w:val="20"/>
      <w:szCs w:val="20"/>
    </w:rPr>
  </w:style>
  <w:style w:type="character" w:customStyle="1" w:styleId="BT1BodyTextI1Char">
    <w:name w:val="BT1: Body Text I1 Char"/>
    <w:basedOn w:val="DefaultParagraphFont"/>
    <w:link w:val="BT1BodyTextI1"/>
    <w:qFormat/>
    <w:locked/>
    <w:rsid w:val="00476A48"/>
    <w:rPr>
      <w:rFonts w:ascii="Arial" w:eastAsia="Calibri" w:hAnsi="Arial" w:cs="Arial"/>
      <w:iCs/>
    </w:rPr>
  </w:style>
  <w:style w:type="character" w:customStyle="1" w:styleId="ListParagraphChar">
    <w:name w:val="List Paragraph Char"/>
    <w:link w:val="ListParagraph"/>
    <w:uiPriority w:val="34"/>
    <w:qFormat/>
    <w:locked/>
    <w:rsid w:val="00EA2539"/>
    <w:rPr>
      <w:rFonts w:ascii="Times New Roman" w:hAnsi="Times New Roman"/>
      <w:sz w:val="24"/>
      <w:lang w:eastAsia="en-GB"/>
    </w:rPr>
  </w:style>
  <w:style w:type="character" w:customStyle="1" w:styleId="CaptionChar">
    <w:name w:val="Caption Char"/>
    <w:link w:val="Caption"/>
    <w:qFormat/>
    <w:rsid w:val="00ED6077"/>
    <w:rPr>
      <w:rFonts w:ascii="Arial" w:eastAsia="Times New Roman" w:hAnsi="Arial" w:cs="Arial"/>
      <w:b/>
      <w:bCs/>
      <w:lang w:val="en-AU"/>
    </w:rPr>
  </w:style>
  <w:style w:type="character" w:styleId="Strong">
    <w:name w:val="Strong"/>
    <w:basedOn w:val="DefaultParagraphFont"/>
    <w:uiPriority w:val="22"/>
    <w:qFormat/>
    <w:rsid w:val="00E11D92"/>
    <w:rPr>
      <w:b/>
      <w:bCs/>
    </w:rPr>
  </w:style>
  <w:style w:type="character" w:customStyle="1" w:styleId="CommentSubjectChar">
    <w:name w:val="Comment Subject Char"/>
    <w:basedOn w:val="CommentTextChar"/>
    <w:link w:val="CommentSubject"/>
    <w:uiPriority w:val="99"/>
    <w:semiHidden/>
    <w:qFormat/>
    <w:rsid w:val="007C646E"/>
    <w:rPr>
      <w:rFonts w:ascii="Times New Roman" w:eastAsia="Arial" w:hAnsi="Times New Roman" w:cs="Arial"/>
      <w:b/>
      <w:bCs/>
      <w:sz w:val="20"/>
      <w:szCs w:val="20"/>
      <w:lang w:eastAsia="en-GB"/>
    </w:rPr>
  </w:style>
  <w:style w:type="character" w:customStyle="1" w:styleId="IndexLink">
    <w:name w:val="Index Link"/>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uiPriority w:val="99"/>
    <w:unhideWhenUsed/>
    <w:rsid w:val="00D75D87"/>
    <w:pPr>
      <w:spacing w:after="120"/>
    </w:pPr>
  </w:style>
  <w:style w:type="paragraph" w:styleId="List">
    <w:name w:val="List"/>
    <w:basedOn w:val="BodyText"/>
    <w:rPr>
      <w:rFonts w:cs="Noto Sans Devanagari"/>
    </w:rPr>
  </w:style>
  <w:style w:type="paragraph" w:styleId="Caption">
    <w:name w:val="caption"/>
    <w:next w:val="Normal"/>
    <w:link w:val="CaptionChar"/>
    <w:qFormat/>
    <w:rsid w:val="00ED6077"/>
    <w:pPr>
      <w:keepNext/>
      <w:spacing w:before="240" w:after="240"/>
      <w:ind w:left="1411" w:hanging="1411"/>
    </w:pPr>
    <w:rPr>
      <w:rFonts w:ascii="Arial" w:eastAsia="Times New Roman" w:hAnsi="Arial"/>
      <w:b/>
      <w:bCs/>
      <w:lang w:val="en-AU"/>
    </w:rPr>
  </w:style>
  <w:style w:type="paragraph" w:customStyle="1" w:styleId="Index">
    <w:name w:val="Index"/>
    <w:basedOn w:val="Normal"/>
    <w:qFormat/>
    <w:pPr>
      <w:suppressLineNumbers/>
    </w:pPr>
    <w:rPr>
      <w:rFonts w:cs="Noto Sans Devanagari"/>
    </w:rPr>
  </w:style>
  <w:style w:type="paragraph" w:styleId="ListParagraph">
    <w:name w:val="List Paragraph"/>
    <w:basedOn w:val="Normal"/>
    <w:link w:val="ListParagraphChar"/>
    <w:uiPriority w:val="34"/>
    <w:qFormat/>
    <w:rsid w:val="007811AA"/>
    <w:pPr>
      <w:spacing w:after="280"/>
      <w:ind w:left="720"/>
      <w:contextualSpacing/>
    </w:pPr>
  </w:style>
  <w:style w:type="paragraph" w:customStyle="1" w:styleId="HeaderandFooter">
    <w:name w:val="Header and Footer"/>
    <w:basedOn w:val="Normal"/>
    <w:qFormat/>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paragraph" w:styleId="BodyText3">
    <w:name w:val="Body Text 3"/>
    <w:basedOn w:val="Normal"/>
    <w:link w:val="BodyText3Char"/>
    <w:qFormat/>
    <w:rsid w:val="0005411A"/>
    <w:pPr>
      <w:spacing w:after="120" w:line="240" w:lineRule="auto"/>
      <w:jc w:val="center"/>
    </w:pPr>
    <w:rPr>
      <w:rFonts w:eastAsia="Times New Roman" w:cs="Times New Roman"/>
      <w:b/>
      <w:sz w:val="28"/>
      <w:szCs w:val="24"/>
      <w:lang w:val="en-GB"/>
    </w:rPr>
  </w:style>
  <w:style w:type="paragraph" w:styleId="IndexHeading">
    <w:name w:val="index heading"/>
    <w:basedOn w:val="Heading"/>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Autospacing="0" w:line="240" w:lineRule="auto"/>
      <w:ind w:left="720" w:right="1710" w:hanging="720"/>
      <w:jc w:val="both"/>
    </w:pPr>
    <w:rPr>
      <w:rFonts w:eastAsia="Times New Roman" w:cs="Times New Roman"/>
      <w:szCs w:val="24"/>
      <w:lang w:val="en-GB"/>
    </w:rPr>
  </w:style>
  <w:style w:type="paragraph" w:styleId="BodyText2">
    <w:name w:val="Body Text 2"/>
    <w:basedOn w:val="Normal"/>
    <w:link w:val="BodyText2Char"/>
    <w:uiPriority w:val="99"/>
    <w:semiHidden/>
    <w:unhideWhenUsed/>
    <w:qFormat/>
    <w:rsid w:val="006F0810"/>
    <w:pPr>
      <w:spacing w:after="120" w:line="480" w:lineRule="auto"/>
    </w:p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line="240" w:lineRule="auto"/>
    </w:pPr>
  </w:style>
  <w:style w:type="paragraph" w:customStyle="1" w:styleId="paragraph">
    <w:name w:val="paragraph"/>
    <w:basedOn w:val="Normal"/>
    <w:qFormat/>
    <w:rsid w:val="000D2F57"/>
    <w:pPr>
      <w:spacing w:beforeAutospacing="1" w:after="280" w:line="240" w:lineRule="auto"/>
    </w:pPr>
    <w:rPr>
      <w:rFonts w:eastAsia="Times New Roman" w:cs="Times New Roman"/>
      <w:szCs w:val="24"/>
    </w:rPr>
  </w:style>
  <w:style w:type="paragraph" w:styleId="Revision">
    <w:name w:val="Revision"/>
    <w:uiPriority w:val="99"/>
    <w:semiHidden/>
    <w:qFormat/>
    <w:rsid w:val="00A2055A"/>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b/>
      <w:bCs/>
      <w:kern w:val="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paragraph" w:styleId="CommentText">
    <w:name w:val="annotation text"/>
    <w:basedOn w:val="Normal"/>
    <w:link w:val="CommentTextChar"/>
    <w:uiPriority w:val="99"/>
    <w:unhideWhenUsed/>
    <w:rsid w:val="009F4223"/>
    <w:pPr>
      <w:widowControl w:val="0"/>
      <w:spacing w:afterAutospacing="0" w:line="240" w:lineRule="auto"/>
    </w:pPr>
    <w:rPr>
      <w:rFonts w:ascii="Arial" w:eastAsia="Arial" w:hAnsi="Arial" w:cs="Arial"/>
      <w:sz w:val="20"/>
      <w:szCs w:val="20"/>
      <w:lang w:eastAsia="en-US"/>
    </w:r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paragraph" w:customStyle="1" w:styleId="Tablefootnotetext">
    <w:name w:val="Table footnote text"/>
    <w:basedOn w:val="Normal"/>
    <w:qFormat/>
    <w:locked/>
    <w:rsid w:val="00ED6077"/>
    <w:pPr>
      <w:spacing w:before="4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qFormat/>
    <w:rsid w:val="00E11D92"/>
    <w:pPr>
      <w:spacing w:beforeAutospacing="1" w:after="280" w:line="240" w:lineRule="auto"/>
    </w:pPr>
    <w:rPr>
      <w:rFonts w:eastAsia="Times New Roman" w:cs="Times New Roman"/>
      <w:szCs w:val="24"/>
      <w:lang w:eastAsia="en-US"/>
    </w:rPr>
  </w:style>
  <w:style w:type="paragraph" w:customStyle="1" w:styleId="pf0">
    <w:name w:val="pf0"/>
    <w:basedOn w:val="Normal"/>
    <w:qFormat/>
    <w:rsid w:val="003B70D7"/>
    <w:pPr>
      <w:spacing w:beforeAutospacing="1" w:after="280" w:line="240" w:lineRule="auto"/>
    </w:pPr>
    <w:rPr>
      <w:rFonts w:eastAsia="Times New Roman" w:cs="Times New Roman"/>
      <w:szCs w:val="24"/>
      <w:lang w:val="en-GB"/>
    </w:rPr>
  </w:style>
  <w:style w:type="paragraph" w:styleId="CommentSubject">
    <w:name w:val="annotation subject"/>
    <w:basedOn w:val="CommentText"/>
    <w:next w:val="CommentText"/>
    <w:link w:val="CommentSubjectChar"/>
    <w:uiPriority w:val="99"/>
    <w:semiHidden/>
    <w:unhideWhenUsed/>
    <w:qFormat/>
    <w:rsid w:val="007C646E"/>
    <w:pPr>
      <w:widowControl/>
      <w:spacing w:afterAutospacing="1"/>
    </w:pPr>
    <w:rPr>
      <w:rFonts w:ascii="Times New Roman" w:eastAsiaTheme="minorHAnsi" w:hAnsi="Times New Roman" w:cstheme="minorBidi"/>
      <w:b/>
      <w:bCs/>
      <w:lang w:eastAsia="en-GB"/>
    </w:rPr>
  </w:style>
  <w:style w:type="paragraph" w:customStyle="1" w:styleId="FrameContents">
    <w:name w:val="Frame Contents"/>
    <w:basedOn w:val="Normal"/>
    <w:qFormat/>
  </w:style>
  <w:style w:type="paragraph" w:customStyle="1" w:styleId="Comment">
    <w:name w:val="Comment"/>
    <w:basedOn w:val="Normal"/>
    <w:qFormat/>
    <w:pPr>
      <w:spacing w:before="56" w:line="240" w:lineRule="auto"/>
      <w:ind w:left="57" w:right="57"/>
    </w:pPr>
    <w:rPr>
      <w:sz w:val="20"/>
      <w:szCs w:val="20"/>
    </w:rPr>
  </w:style>
  <w:style w:type="table" w:styleId="TableGrid">
    <w:name w:val="Table Grid"/>
    <w:basedOn w:val="TableNormal"/>
    <w:uiPriority w:val="39"/>
    <w:qFormat/>
    <w:rsid w:val="006F0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93B5B"/>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8A210D"/>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rPr>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21" Type="http://schemas.openxmlformats.org/officeDocument/2006/relationships/hyperlink" Target="https://www.astm.org/Standards/F1929.htm"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845168FB229E64BB02D823972441852" ma:contentTypeVersion="8" ma:contentTypeDescription="Create a new document." ma:contentTypeScope="" ma:versionID="930cde1784db80892a686ca36e180a82">
  <xsd:schema xmlns:xsd="http://www.w3.org/2001/XMLSchema" xmlns:xs="http://www.w3.org/2001/XMLSchema" xmlns:p="http://schemas.microsoft.com/office/2006/metadata/properties" xmlns:ns1="http://schemas.microsoft.com/sharepoint/v3" xmlns:ns2="98998320-5229-49fa-b545-1146fcc196c3" xmlns:ns3="7df48557-8e40-41cc-b42f-0234d1441c26" xmlns:ns4="533d7803-0b09-441b-8841-a7d5d61164fa" targetNamespace="http://schemas.microsoft.com/office/2006/metadata/properties" ma:root="true" ma:fieldsID="a2decff7a4d88684e1e04d71338e4e58" ns1:_="" ns2:_="" ns3:_="" ns4:_="">
    <xsd:import namespace="http://schemas.microsoft.com/sharepoint/v3"/>
    <xsd:import namespace="98998320-5229-49fa-b545-1146fcc196c3"/>
    <xsd:import namespace="7df48557-8e40-41cc-b42f-0234d1441c26"/>
    <xsd:import namespace="533d7803-0b09-441b-8841-a7d5d61164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98320-5229-49fa-b545-1146fcc196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f48557-8e40-41cc-b42f-0234d1441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d7803-0b09-441b-8841-a7d5d61164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8998320-5229-49fa-b545-1146fcc196c3">X6KQWXAJUN6C-1856867172-302</_dlc_DocId>
    <_dlc_DocIdUrl xmlns="98998320-5229-49fa-b545-1146fcc196c3">
      <Url>https://argonmedical.sharepoint.com/Quality/PME/_layouts/15/DocIdRedir.aspx?ID=X6KQWXAJUN6C-1856867172-302</Url>
      <Description>X6KQWXAJUN6C-1856867172-302</Description>
    </_dlc_DocIdUrl>
    <SharedWithUsers xmlns="533d7803-0b09-441b-8841-a7d5d61164fa">
      <UserInfo>
        <DisplayName>Nneoma Oparah</DisplayName>
        <AccountId>317</AccountId>
        <AccountType/>
      </UserInfo>
      <UserInfo>
        <DisplayName>Gedaa Hassan</DisplayName>
        <AccountId>752</AccountId>
        <AccountType/>
      </UserInfo>
      <UserInfo>
        <DisplayName>Nadira Lotus</DisplayName>
        <AccountId>672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36AD9-7C49-4C9F-8758-EEFFA6AB49F4}">
  <ds:schemaRefs>
    <ds:schemaRef ds:uri="http://schemas.microsoft.com/sharepoint/events"/>
  </ds:schemaRefs>
</ds:datastoreItem>
</file>

<file path=customXml/itemProps2.xml><?xml version="1.0" encoding="utf-8"?>
<ds:datastoreItem xmlns:ds="http://schemas.openxmlformats.org/officeDocument/2006/customXml" ds:itemID="{431F52C6-68E5-4D12-B750-4728A895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98320-5229-49fa-b545-1146fcc196c3"/>
    <ds:schemaRef ds:uri="7df48557-8e40-41cc-b42f-0234d1441c26"/>
    <ds:schemaRef ds:uri="533d7803-0b09-441b-8841-a7d5d611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98998320-5229-49fa-b545-1146fcc196c3"/>
    <ds:schemaRef ds:uri="533d7803-0b09-441b-8841-a7d5d61164fa"/>
    <ds:schemaRef ds:uri="http://schemas.microsoft.com/sharepoint/v3"/>
  </ds:schemaRefs>
</ds:datastoreItem>
</file>

<file path=customXml/itemProps4.xml><?xml version="1.0" encoding="utf-8"?>
<ds:datastoreItem xmlns:ds="http://schemas.openxmlformats.org/officeDocument/2006/customXml" ds:itemID="{C47BDF46-C2A2-49C5-B0CE-B782C57F7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4791</Words>
  <Characters>27310</Characters>
  <Application>Microsoft Office Word</Application>
  <DocSecurity>0</DocSecurity>
  <Lines>227</Lines>
  <Paragraphs>64</Paragraphs>
  <ScaleCrop>false</ScaleCrop>
  <Company/>
  <LinksUpToDate>false</LinksUpToDate>
  <CharactersWithSpaces>32037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dc:description/>
  <cp:lastModifiedBy>Pablo Lopez</cp:lastModifiedBy>
  <cp:revision>6</cp:revision>
  <cp:lastPrinted>2026-02-23T12:15:00Z</cp:lastPrinted>
  <dcterms:created xsi:type="dcterms:W3CDTF">2026-02-25T15:40:00Z</dcterms:created>
  <dcterms:modified xsi:type="dcterms:W3CDTF">2026-02-25T22:19:00Z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0x010100A845168FB229E64BB02D823972441852</vt:lpwstr>
  </property>
  <property fmtid="{D5CDD505-2E9C-101B-9397-08002B2CF9AE}" pid="3" name="_dlc_DocIdItemGuid">
    <vt:lpwstr>449f7a72-25d5-43c5-bfd7-104e0d46ffec</vt:lpwstr>
  </property>
</Properties>
</file>