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9461CC" w:rsidRDefault="0005411A" w:rsidP="00042B91">
      <w:pPr>
        <w:pStyle w:val="BodyText3"/>
        <w:spacing w:after="0" w:afterAutospacing="0"/>
        <w:rPr>
          <w:sz w:val="24"/>
        </w:rPr>
      </w:pPr>
    </w:p>
    <w:p w14:paraId="2D72A510" w14:textId="58A5ED92" w:rsidR="0005411A" w:rsidRPr="009461CC" w:rsidRDefault="00E91403" w:rsidP="00042B91">
      <w:pPr>
        <w:pStyle w:val="BodyText3"/>
        <w:spacing w:after="0" w:afterAutospacing="0"/>
      </w:pPr>
      <w:r>
        <w:rPr>
          <w:bCs/>
          <w:noProof/>
          <w:lang w:val="fr-FR"/>
        </w:rPr>
        <mc:AlternateContent>
          <mc:Choice Requires="wps">
            <w:drawing>
              <wp:anchor distT="0" distB="0" distL="114300" distR="114300" simplePos="0" relativeHeight="251659264" behindDoc="0" locked="0" layoutInCell="1" allowOverlap="1" wp14:anchorId="6FC0C8B7" wp14:editId="5420719C">
                <wp:simplePos x="0" y="0"/>
                <wp:positionH relativeFrom="column">
                  <wp:posOffset>-191262</wp:posOffset>
                </wp:positionH>
                <wp:positionV relativeFrom="paragraph">
                  <wp:posOffset>68961</wp:posOffset>
                </wp:positionV>
                <wp:extent cx="6448425" cy="1285494"/>
                <wp:effectExtent l="25400" t="25400" r="41275" b="355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85494"/>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CE53A8" w:rsidRDefault="006F0810" w:rsidP="006D00F2">
                            <w:pPr>
                              <w:pStyle w:val="Heading7"/>
                              <w:spacing w:after="0" w:afterAutospacing="0"/>
                              <w:rPr>
                                <w:sz w:val="32"/>
                                <w:szCs w:val="32"/>
                                <w:lang w:val="fr-FR"/>
                              </w:rPr>
                            </w:pPr>
                            <w:r>
                              <w:rPr>
                                <w:bCs/>
                                <w:sz w:val="32"/>
                                <w:szCs w:val="32"/>
                                <w:lang w:val="fr-FR"/>
                              </w:rPr>
                              <w:t>RÉSUMÉ DES CARACTÉRISTIQUES DE SÉCURITÉ ET DES PERFORMANCES CLINIQUES (SSCP)</w:t>
                            </w:r>
                          </w:p>
                          <w:p w14:paraId="0E1996B2" w14:textId="77777777" w:rsidR="005D4A52" w:rsidRPr="00CE53A8" w:rsidRDefault="005D4A52" w:rsidP="006D00F2">
                            <w:pPr>
                              <w:pStyle w:val="Heading7"/>
                              <w:spacing w:after="0" w:afterAutospacing="0"/>
                              <w:rPr>
                                <w:sz w:val="32"/>
                                <w:szCs w:val="32"/>
                                <w:lang w:val="fr-FR"/>
                              </w:rPr>
                            </w:pPr>
                            <w:r>
                              <w:rPr>
                                <w:bCs/>
                                <w:sz w:val="32"/>
                                <w:szCs w:val="32"/>
                                <w:lang w:val="fr-FR"/>
                              </w:rPr>
                              <w:t>SSCP-0006</w:t>
                            </w:r>
                          </w:p>
                          <w:p w14:paraId="06B6F153" w14:textId="20D0A669" w:rsidR="005D4A52" w:rsidRPr="00CE53A8" w:rsidRDefault="00F1569C" w:rsidP="006D00F2">
                            <w:pPr>
                              <w:pStyle w:val="Heading7"/>
                              <w:spacing w:after="0" w:afterAutospacing="0"/>
                              <w:rPr>
                                <w:sz w:val="32"/>
                                <w:szCs w:val="32"/>
                                <w:lang w:val="fr-FR"/>
                              </w:rPr>
                            </w:pPr>
                            <w:r>
                              <w:rPr>
                                <w:bCs/>
                                <w:sz w:val="32"/>
                                <w:szCs w:val="32"/>
                                <w:lang w:val="fr-FR"/>
                              </w:rPr>
                              <w:t xml:space="preserve">Kit de </w:t>
                            </w:r>
                            <w:proofErr w:type="spellStart"/>
                            <w:r w:rsidR="00D61385">
                              <w:rPr>
                                <w:bCs/>
                                <w:sz w:val="32"/>
                                <w:szCs w:val="32"/>
                                <w:lang w:val="fr-FR"/>
                              </w:rPr>
                              <w:t>Snare</w:t>
                            </w:r>
                            <w:proofErr w:type="spellEnd"/>
                            <w:r w:rsidR="00D61385">
                              <w:rPr>
                                <w:bCs/>
                                <w:sz w:val="32"/>
                                <w:szCs w:val="32"/>
                                <w:lang w:val="fr-FR"/>
                              </w:rPr>
                              <w:t xml:space="preserve"> </w:t>
                            </w:r>
                            <w:r>
                              <w:rPr>
                                <w:bCs/>
                                <w:sz w:val="32"/>
                                <w:szCs w:val="32"/>
                                <w:lang w:val="fr-FR"/>
                              </w:rPr>
                              <w:t xml:space="preserve">vasculaire </w:t>
                            </w:r>
                            <w:proofErr w:type="spellStart"/>
                            <w:r>
                              <w:rPr>
                                <w:bCs/>
                                <w:sz w:val="32"/>
                                <w:szCs w:val="32"/>
                                <w:lang w:val="fr-FR"/>
                              </w:rPr>
                              <w:t>Atrieve</w:t>
                            </w:r>
                            <w:r>
                              <w:rPr>
                                <w:bCs/>
                                <w:sz w:val="32"/>
                                <w:szCs w:val="32"/>
                                <w:vertAlign w:val="superscript"/>
                                <w:lang w:val="fr-FR"/>
                              </w:rPr>
                              <w:t>TM</w:t>
                            </w:r>
                            <w:proofErr w:type="spellEnd"/>
                          </w:p>
                          <w:p w14:paraId="3354BBA5" w14:textId="08AF297F" w:rsidR="005D4A52" w:rsidRPr="00C36DF6" w:rsidRDefault="005D4A52" w:rsidP="006D00F2">
                            <w:pPr>
                              <w:spacing w:after="0" w:afterAutospacing="0"/>
                              <w:jc w:val="center"/>
                              <w:rPr>
                                <w:b/>
                                <w:bCs/>
                                <w:sz w:val="32"/>
                                <w:szCs w:val="32"/>
                                <w:lang w:val="fr-FR"/>
                              </w:rPr>
                            </w:pPr>
                            <w:r>
                              <w:rPr>
                                <w:b/>
                                <w:bCs/>
                                <w:sz w:val="32"/>
                                <w:szCs w:val="32"/>
                                <w:lang w:val="fr-FR"/>
                              </w:rPr>
                              <w:t>DHF-82248</w:t>
                            </w:r>
                          </w:p>
                          <w:p w14:paraId="3CF39942" w14:textId="77777777" w:rsidR="0005411A" w:rsidRPr="00C36DF6" w:rsidRDefault="0005411A" w:rsidP="009855C3">
                            <w:pPr>
                              <w:rPr>
                                <w:lang w:val="fr-FR"/>
                              </w:rPr>
                            </w:pPr>
                          </w:p>
                          <w:p w14:paraId="684B57C2" w14:textId="77777777" w:rsidR="0005411A" w:rsidRPr="00267292" w:rsidRDefault="0005411A" w:rsidP="009855C3">
                            <w:r>
                              <w:rPr>
                                <w:lang w:val="fr-FR"/>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15.05pt;margin-top:5.45pt;width:507.75pt;height:1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" strokeweight="4.5pt">
                <v:stroke linestyle="thinThick"/>
                <v:textbox>
                  <w:txbxContent>
                    <w:p w14:paraId="488C1F47" w14:textId="77777777" w:rsidR="0005411A" w:rsidRPr="00CE53A8" w:rsidRDefault="006F0810" w:rsidP="006D00F2">
                      <w:pPr>
                        <w:pStyle w:val="Heading7"/>
                        <w:spacing w:after="0" w:afterAutospacing="0"/>
                        <w:rPr>
                          <w:sz w:val="32"/>
                          <w:szCs w:val="32"/>
                          <w:lang w:val="fr-FR"/>
                        </w:rPr>
                      </w:pPr>
                      <w:r>
                        <w:rPr>
                          <w:bCs/>
                          <w:sz w:val="32"/>
                          <w:szCs w:val="32"/>
                          <w:lang w:val="fr-FR"/>
                        </w:rPr>
                        <w:t>RÉSUMÉ DES CARACTÉRISTIQUES DE SÉCURITÉ ET DES PERFORMANCES CLINIQUES (SSCP)</w:t>
                      </w:r>
                    </w:p>
                    <w:p w14:paraId="0E1996B2" w14:textId="77777777" w:rsidR="005D4A52" w:rsidRPr="00CE53A8" w:rsidRDefault="005D4A52" w:rsidP="006D00F2">
                      <w:pPr>
                        <w:pStyle w:val="Heading7"/>
                        <w:spacing w:after="0" w:afterAutospacing="0"/>
                        <w:rPr>
                          <w:sz w:val="32"/>
                          <w:szCs w:val="32"/>
                          <w:lang w:val="fr-FR"/>
                        </w:rPr>
                      </w:pPr>
                      <w:r>
                        <w:rPr>
                          <w:bCs/>
                          <w:sz w:val="32"/>
                          <w:szCs w:val="32"/>
                          <w:lang w:val="fr-FR"/>
                        </w:rPr>
                        <w:t>SSCP-0006</w:t>
                      </w:r>
                    </w:p>
                    <w:p w14:paraId="06B6F153" w14:textId="20D0A669" w:rsidR="005D4A52" w:rsidRPr="00CE53A8" w:rsidRDefault="00F1569C" w:rsidP="006D00F2">
                      <w:pPr>
                        <w:pStyle w:val="Heading7"/>
                        <w:spacing w:after="0" w:afterAutospacing="0"/>
                        <w:rPr>
                          <w:sz w:val="32"/>
                          <w:szCs w:val="32"/>
                          <w:lang w:val="fr-FR"/>
                        </w:rPr>
                      </w:pPr>
                      <w:r>
                        <w:rPr>
                          <w:bCs/>
                          <w:sz w:val="32"/>
                          <w:szCs w:val="32"/>
                          <w:lang w:val="fr-FR"/>
                        </w:rPr>
                        <w:t xml:space="preserve">Kit de </w:t>
                      </w:r>
                      <w:proofErr w:type="spellStart"/>
                      <w:r w:rsidR="00D61385">
                        <w:rPr>
                          <w:bCs/>
                          <w:sz w:val="32"/>
                          <w:szCs w:val="32"/>
                          <w:lang w:val="fr-FR"/>
                        </w:rPr>
                        <w:t>Snare</w:t>
                      </w:r>
                      <w:proofErr w:type="spellEnd"/>
                      <w:r w:rsidR="00D61385">
                        <w:rPr>
                          <w:bCs/>
                          <w:sz w:val="32"/>
                          <w:szCs w:val="32"/>
                          <w:lang w:val="fr-FR"/>
                        </w:rPr>
                        <w:t xml:space="preserve"> </w:t>
                      </w:r>
                      <w:r>
                        <w:rPr>
                          <w:bCs/>
                          <w:sz w:val="32"/>
                          <w:szCs w:val="32"/>
                          <w:lang w:val="fr-FR"/>
                        </w:rPr>
                        <w:t xml:space="preserve">vasculaire </w:t>
                      </w:r>
                      <w:proofErr w:type="spellStart"/>
                      <w:r>
                        <w:rPr>
                          <w:bCs/>
                          <w:sz w:val="32"/>
                          <w:szCs w:val="32"/>
                          <w:lang w:val="fr-FR"/>
                        </w:rPr>
                        <w:t>Atrieve</w:t>
                      </w:r>
                      <w:r>
                        <w:rPr>
                          <w:bCs/>
                          <w:sz w:val="32"/>
                          <w:szCs w:val="32"/>
                          <w:vertAlign w:val="superscript"/>
                          <w:lang w:val="fr-FR"/>
                        </w:rPr>
                        <w:t>TM</w:t>
                      </w:r>
                      <w:proofErr w:type="spellEnd"/>
                    </w:p>
                    <w:p w14:paraId="3354BBA5" w14:textId="08AF297F" w:rsidR="005D4A52" w:rsidRPr="00C36DF6" w:rsidRDefault="005D4A52" w:rsidP="006D00F2">
                      <w:pPr>
                        <w:spacing w:after="0" w:afterAutospacing="0"/>
                        <w:jc w:val="center"/>
                        <w:rPr>
                          <w:b/>
                          <w:bCs/>
                          <w:sz w:val="32"/>
                          <w:szCs w:val="32"/>
                          <w:lang w:val="fr-FR"/>
                        </w:rPr>
                      </w:pPr>
                      <w:r>
                        <w:rPr>
                          <w:b/>
                          <w:bCs/>
                          <w:sz w:val="32"/>
                          <w:szCs w:val="32"/>
                          <w:lang w:val="fr-FR"/>
                        </w:rPr>
                        <w:t>DHF-82248</w:t>
                      </w:r>
                    </w:p>
                    <w:p w14:paraId="3CF39942" w14:textId="77777777" w:rsidR="0005411A" w:rsidRPr="00C36DF6" w:rsidRDefault="0005411A" w:rsidP="009855C3">
                      <w:pPr>
                        <w:rPr>
                          <w:lang w:val="fr-FR"/>
                        </w:rPr>
                      </w:pPr>
                    </w:p>
                    <w:p w14:paraId="684B57C2" w14:textId="77777777" w:rsidR="0005411A" w:rsidRPr="00267292" w:rsidRDefault="0005411A" w:rsidP="009855C3">
                      <w:r>
                        <w:rPr>
                          <w:lang w:val="fr-FR"/>
                        </w:rPr>
                        <w:t>[DATE]</w:t>
                      </w:r>
                    </w:p>
                  </w:txbxContent>
                </v:textbox>
              </v:shape>
            </w:pict>
          </mc:Fallback>
        </mc:AlternateContent>
      </w:r>
    </w:p>
    <w:p w14:paraId="22332CC2" w14:textId="77777777" w:rsidR="0005411A" w:rsidRPr="009461CC" w:rsidRDefault="0005411A" w:rsidP="00042B91">
      <w:pPr>
        <w:pStyle w:val="BodyText3"/>
        <w:spacing w:after="0" w:afterAutospacing="0"/>
      </w:pPr>
    </w:p>
    <w:p w14:paraId="2048CF11" w14:textId="77777777" w:rsidR="0005411A" w:rsidRPr="009461CC" w:rsidRDefault="0005411A" w:rsidP="00042B91">
      <w:pPr>
        <w:pStyle w:val="BodyText3"/>
        <w:spacing w:after="0" w:afterAutospacing="0"/>
      </w:pPr>
    </w:p>
    <w:p w14:paraId="243C88AF" w14:textId="77777777" w:rsidR="0005411A" w:rsidRPr="009461CC" w:rsidRDefault="0005411A" w:rsidP="00042B91">
      <w:pPr>
        <w:pStyle w:val="BodyText3"/>
        <w:spacing w:after="0" w:afterAutospacing="0"/>
      </w:pPr>
    </w:p>
    <w:p w14:paraId="41545C51" w14:textId="2690A02B" w:rsidR="0005411A" w:rsidRPr="009461CC" w:rsidRDefault="0005411A" w:rsidP="00042B91">
      <w:pPr>
        <w:spacing w:after="0" w:afterAutospacing="0" w:line="240" w:lineRule="auto"/>
        <w:rPr>
          <w:rFonts w:cs="Times New Roman"/>
        </w:rPr>
      </w:pPr>
    </w:p>
    <w:p w14:paraId="155D5FB3" w14:textId="51695512" w:rsidR="00042B91" w:rsidRPr="009461CC" w:rsidRDefault="00042B91" w:rsidP="00042B91">
      <w:pPr>
        <w:spacing w:after="0" w:afterAutospacing="0" w:line="240" w:lineRule="auto"/>
        <w:rPr>
          <w:rFonts w:cs="Times New Roman"/>
        </w:rPr>
      </w:pPr>
    </w:p>
    <w:p w14:paraId="50F16F2D" w14:textId="5942F0CE" w:rsidR="00042B91" w:rsidRPr="009461CC" w:rsidRDefault="00042B91" w:rsidP="00042B91">
      <w:pPr>
        <w:spacing w:after="0" w:afterAutospacing="0" w:line="240" w:lineRule="auto"/>
        <w:rPr>
          <w:rFonts w:cs="Times New Roman"/>
        </w:rPr>
      </w:pPr>
    </w:p>
    <w:p w14:paraId="781CF868" w14:textId="0A72AB5D" w:rsidR="00042B91" w:rsidRPr="009461CC" w:rsidRDefault="00042B91" w:rsidP="00042B91">
      <w:pPr>
        <w:spacing w:after="0" w:afterAutospacing="0" w:line="240" w:lineRule="auto"/>
        <w:rPr>
          <w:rFonts w:cs="Times New Roman"/>
        </w:rPr>
      </w:pPr>
    </w:p>
    <w:p w14:paraId="7525C55B" w14:textId="09737261" w:rsidR="00042B91" w:rsidRPr="009461CC" w:rsidRDefault="00042B91" w:rsidP="00042B91">
      <w:pPr>
        <w:spacing w:after="0" w:afterAutospacing="0" w:line="240" w:lineRule="auto"/>
        <w:rPr>
          <w:rFonts w:cs="Times New Roman"/>
        </w:rPr>
      </w:pPr>
    </w:p>
    <w:p w14:paraId="2CF7AE6F" w14:textId="1272C31A" w:rsidR="00E91403" w:rsidRPr="009461CC" w:rsidRDefault="00E91403" w:rsidP="00042B91">
      <w:pPr>
        <w:spacing w:after="0" w:afterAutospacing="0" w:line="240" w:lineRule="auto"/>
        <w:rPr>
          <w:rFonts w:cs="Times New Roman"/>
        </w:rPr>
      </w:pPr>
      <w:r>
        <w:rPr>
          <w:rFonts w:cs="Times New Roman"/>
          <w:lang w:val="fr-FR"/>
        </w:rPr>
        <w:t xml:space="preserve">Pour publication dans </w:t>
      </w:r>
      <w:proofErr w:type="spellStart"/>
      <w:r>
        <w:rPr>
          <w:rFonts w:cs="Times New Roman"/>
          <w:lang w:val="fr-FR"/>
        </w:rPr>
        <w:t>Eudamed</w:t>
      </w:r>
      <w:proofErr w:type="spellEnd"/>
    </w:p>
    <w:p w14:paraId="57B38593" w14:textId="77777777" w:rsidR="00E91403" w:rsidRPr="009461CC"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20"/>
        <w:gridCol w:w="1629"/>
        <w:gridCol w:w="7200"/>
      </w:tblGrid>
      <w:tr w:rsidR="00E91403" w:rsidRPr="009461CC" w14:paraId="481127A2" w14:textId="77777777" w:rsidTr="00E91403">
        <w:tc>
          <w:tcPr>
            <w:tcW w:w="1125" w:type="dxa"/>
            <w:tcBorders>
              <w:top w:val="single" w:sz="18" w:space="0" w:color="auto"/>
              <w:bottom w:val="double" w:sz="4" w:space="0" w:color="auto"/>
            </w:tcBorders>
            <w:shd w:val="clear" w:color="auto" w:fill="E0E0E0"/>
          </w:tcPr>
          <w:p w14:paraId="164CC73A" w14:textId="77777777" w:rsidR="00E91403" w:rsidRPr="009461CC" w:rsidRDefault="00E91403" w:rsidP="00842611">
            <w:pPr>
              <w:jc w:val="center"/>
              <w:rPr>
                <w:rFonts w:cs="Times New Roman"/>
                <w:b/>
                <w:szCs w:val="24"/>
              </w:rPr>
            </w:pPr>
            <w:r>
              <w:rPr>
                <w:rFonts w:cs="Times New Roman"/>
                <w:b/>
                <w:bCs/>
                <w:szCs w:val="24"/>
                <w:lang w:val="fr-FR"/>
              </w:rPr>
              <w:t>RÔLE</w:t>
            </w:r>
          </w:p>
        </w:tc>
        <w:tc>
          <w:tcPr>
            <w:tcW w:w="1305" w:type="dxa"/>
            <w:tcBorders>
              <w:top w:val="single" w:sz="18" w:space="0" w:color="auto"/>
              <w:bottom w:val="double" w:sz="4" w:space="0" w:color="auto"/>
            </w:tcBorders>
            <w:shd w:val="clear" w:color="auto" w:fill="E0E0E0"/>
          </w:tcPr>
          <w:p w14:paraId="1A83C01C" w14:textId="77777777" w:rsidR="00E91403" w:rsidRPr="009461CC" w:rsidRDefault="00E91403" w:rsidP="00842611">
            <w:pPr>
              <w:jc w:val="center"/>
              <w:rPr>
                <w:rFonts w:cs="Times New Roman"/>
                <w:b/>
                <w:szCs w:val="24"/>
              </w:rPr>
            </w:pPr>
            <w:r>
              <w:rPr>
                <w:rFonts w:cs="Times New Roman"/>
                <w:b/>
                <w:bCs/>
                <w:szCs w:val="24"/>
                <w:lang w:val="fr-FR"/>
              </w:rPr>
              <w:t>DÉPT</w:t>
            </w:r>
          </w:p>
        </w:tc>
        <w:tc>
          <w:tcPr>
            <w:tcW w:w="7519" w:type="dxa"/>
            <w:tcBorders>
              <w:top w:val="single" w:sz="18" w:space="0" w:color="auto"/>
              <w:bottom w:val="double" w:sz="4" w:space="0" w:color="auto"/>
            </w:tcBorders>
            <w:shd w:val="clear" w:color="auto" w:fill="E0E0E0"/>
          </w:tcPr>
          <w:p w14:paraId="4B6DA2F3" w14:textId="77777777" w:rsidR="00E91403" w:rsidRPr="009461CC" w:rsidRDefault="00E91403" w:rsidP="00842611">
            <w:pPr>
              <w:jc w:val="center"/>
              <w:rPr>
                <w:rFonts w:cs="Times New Roman"/>
                <w:b/>
                <w:szCs w:val="24"/>
              </w:rPr>
            </w:pPr>
            <w:r>
              <w:rPr>
                <w:rFonts w:cs="Times New Roman"/>
                <w:b/>
                <w:bCs/>
                <w:szCs w:val="24"/>
                <w:lang w:val="fr-FR"/>
              </w:rPr>
              <w:t>NOM/TITRE</w:t>
            </w:r>
          </w:p>
        </w:tc>
      </w:tr>
      <w:tr w:rsidR="006E0847" w:rsidRPr="003E0201" w14:paraId="45F6CF0D" w14:textId="77777777" w:rsidTr="008E1D43">
        <w:trPr>
          <w:trHeight w:val="582"/>
        </w:trPr>
        <w:tc>
          <w:tcPr>
            <w:tcW w:w="1125" w:type="dxa"/>
            <w:tcBorders>
              <w:top w:val="double" w:sz="4" w:space="0" w:color="auto"/>
            </w:tcBorders>
            <w:vAlign w:val="center"/>
          </w:tcPr>
          <w:p w14:paraId="552A4625" w14:textId="77777777" w:rsidR="006E0847" w:rsidRPr="009461CC" w:rsidRDefault="006E0847" w:rsidP="006E0847">
            <w:pPr>
              <w:jc w:val="center"/>
              <w:rPr>
                <w:rFonts w:cs="Times New Roman"/>
                <w:b/>
                <w:szCs w:val="24"/>
              </w:rPr>
            </w:pPr>
            <w:r>
              <w:rPr>
                <w:rFonts w:cs="Times New Roman"/>
                <w:b/>
                <w:bCs/>
                <w:szCs w:val="24"/>
                <w:lang w:val="fr-FR"/>
              </w:rPr>
              <w:t>Préparé par</w:t>
            </w:r>
          </w:p>
        </w:tc>
        <w:tc>
          <w:tcPr>
            <w:tcW w:w="1305" w:type="dxa"/>
            <w:tcBorders>
              <w:top w:val="double" w:sz="4" w:space="0" w:color="auto"/>
            </w:tcBorders>
          </w:tcPr>
          <w:p w14:paraId="51D1E08B" w14:textId="5374772E" w:rsidR="006E0847" w:rsidRPr="009461CC" w:rsidRDefault="006E0847" w:rsidP="006E0847">
            <w:pPr>
              <w:jc w:val="center"/>
              <w:rPr>
                <w:rFonts w:cs="Times New Roman"/>
                <w:szCs w:val="24"/>
              </w:rPr>
            </w:pPr>
            <w:r>
              <w:rPr>
                <w:rFonts w:cs="Times New Roman"/>
                <w:szCs w:val="24"/>
                <w:lang w:val="fr-FR"/>
              </w:rPr>
              <w:t>Affaires réglementaires</w:t>
            </w:r>
          </w:p>
        </w:tc>
        <w:tc>
          <w:tcPr>
            <w:tcW w:w="7519" w:type="dxa"/>
            <w:tcBorders>
              <w:top w:val="double" w:sz="4" w:space="0" w:color="auto"/>
            </w:tcBorders>
          </w:tcPr>
          <w:p w14:paraId="360D10DB" w14:textId="77777777" w:rsidR="006E0847" w:rsidRPr="00CE53A8" w:rsidRDefault="006E0847" w:rsidP="006E0847">
            <w:pPr>
              <w:spacing w:after="0" w:afterAutospacing="0"/>
              <w:jc w:val="center"/>
              <w:rPr>
                <w:rFonts w:cs="Times New Roman"/>
                <w:szCs w:val="24"/>
                <w:lang w:val="fr-FR"/>
              </w:rPr>
            </w:pPr>
            <w:r>
              <w:rPr>
                <w:rFonts w:cs="Times New Roman"/>
                <w:szCs w:val="24"/>
                <w:lang w:val="fr-FR"/>
              </w:rPr>
              <w:t>Nadira Lotus</w:t>
            </w:r>
          </w:p>
          <w:p w14:paraId="7BA00BEF" w14:textId="2E4C5FAD" w:rsidR="006E0847" w:rsidRPr="00CE53A8" w:rsidRDefault="006E0847" w:rsidP="006E0847">
            <w:pPr>
              <w:jc w:val="center"/>
              <w:rPr>
                <w:rFonts w:cs="Times New Roman"/>
                <w:szCs w:val="24"/>
                <w:lang w:val="fr-FR"/>
              </w:rPr>
            </w:pPr>
            <w:r>
              <w:rPr>
                <w:rFonts w:cs="Times New Roman"/>
                <w:szCs w:val="24"/>
                <w:lang w:val="fr-FR"/>
              </w:rPr>
              <w:t>Responsable, Surveillance post-commercialisation</w:t>
            </w:r>
          </w:p>
        </w:tc>
      </w:tr>
    </w:tbl>
    <w:p w14:paraId="45EA3393" w14:textId="77777777" w:rsidR="00E91403" w:rsidRPr="00CE53A8" w:rsidRDefault="00E91403" w:rsidP="00E91403">
      <w:pPr>
        <w:jc w:val="center"/>
        <w:rPr>
          <w:rFonts w:cs="Times New Roman"/>
          <w:b/>
          <w:lang w:val="fr-FR"/>
        </w:rPr>
      </w:pPr>
    </w:p>
    <w:p w14:paraId="3ADE6C89" w14:textId="0496458B" w:rsidR="00E91403" w:rsidRPr="00CE53A8" w:rsidRDefault="00E91403" w:rsidP="00E91403">
      <w:pPr>
        <w:tabs>
          <w:tab w:val="center" w:pos="5220"/>
          <w:tab w:val="right" w:pos="10440"/>
        </w:tabs>
        <w:rPr>
          <w:rFonts w:cs="Times New Roman"/>
          <w:b/>
          <w:lang w:val="fr-FR"/>
        </w:rPr>
      </w:pPr>
      <w:r>
        <w:rPr>
          <w:rFonts w:cs="Times New Roman"/>
          <w:lang w:val="fr-FR"/>
        </w:rPr>
        <w:tab/>
      </w:r>
      <w:r>
        <w:rPr>
          <w:rFonts w:cs="Times New Roman"/>
          <w:b/>
          <w:bCs/>
          <w:lang w:val="fr-FR"/>
        </w:rPr>
        <w:t>Matrice d’approbation des signatures</w:t>
      </w:r>
      <w:r>
        <w:rPr>
          <w:rFonts w:cs="Times New Roman"/>
          <w:lang w:val="fr-FR"/>
        </w:rPr>
        <w:tab/>
      </w:r>
    </w:p>
    <w:p w14:paraId="01F684E3" w14:textId="77777777" w:rsidR="00E91403" w:rsidRPr="00CE53A8" w:rsidRDefault="00E91403" w:rsidP="00E91403">
      <w:pPr>
        <w:spacing w:after="60"/>
        <w:ind w:right="274"/>
        <w:rPr>
          <w:rFonts w:cs="Times New Roman"/>
          <w:sz w:val="20"/>
          <w:szCs w:val="20"/>
          <w:lang w:val="fr-FR"/>
        </w:rPr>
      </w:pPr>
      <w:r>
        <w:rPr>
          <w:rFonts w:cs="Times New Roman"/>
          <w:sz w:val="20"/>
          <w:szCs w:val="20"/>
          <w:lang w:val="fr-FR"/>
        </w:rPr>
        <w:t>Ce document doit être examiné et approuvé par toutes les personnes énumérées ci-dessous ou par leurs représentants autorisés.</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37"/>
        <w:gridCol w:w="1629"/>
        <w:gridCol w:w="6783"/>
      </w:tblGrid>
      <w:tr w:rsidR="00E91403" w:rsidRPr="009461CC"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9461CC" w:rsidRDefault="00E91403" w:rsidP="00842611">
            <w:pPr>
              <w:jc w:val="center"/>
              <w:rPr>
                <w:rFonts w:cs="Times New Roman"/>
                <w:b/>
                <w:szCs w:val="24"/>
              </w:rPr>
            </w:pPr>
            <w:r>
              <w:rPr>
                <w:rFonts w:cs="Times New Roman"/>
                <w:b/>
                <w:bCs/>
                <w:szCs w:val="24"/>
                <w:lang w:val="fr-FR"/>
              </w:rPr>
              <w:t>RÔLE</w:t>
            </w:r>
          </w:p>
        </w:tc>
        <w:tc>
          <w:tcPr>
            <w:tcW w:w="1305" w:type="dxa"/>
            <w:tcBorders>
              <w:top w:val="single" w:sz="18" w:space="0" w:color="auto"/>
              <w:bottom w:val="double" w:sz="4" w:space="0" w:color="auto"/>
            </w:tcBorders>
            <w:shd w:val="clear" w:color="auto" w:fill="E0E0E0"/>
          </w:tcPr>
          <w:p w14:paraId="6F71F870" w14:textId="77777777" w:rsidR="00E91403" w:rsidRPr="009461CC" w:rsidRDefault="00E91403" w:rsidP="00842611">
            <w:pPr>
              <w:jc w:val="center"/>
              <w:rPr>
                <w:rFonts w:cs="Times New Roman"/>
                <w:b/>
                <w:szCs w:val="24"/>
              </w:rPr>
            </w:pPr>
            <w:r>
              <w:rPr>
                <w:rFonts w:cs="Times New Roman"/>
                <w:b/>
                <w:bCs/>
                <w:szCs w:val="24"/>
                <w:lang w:val="fr-FR"/>
              </w:rPr>
              <w:t>DÉPT</w:t>
            </w:r>
          </w:p>
        </w:tc>
        <w:tc>
          <w:tcPr>
            <w:tcW w:w="7519" w:type="dxa"/>
            <w:tcBorders>
              <w:top w:val="single" w:sz="18" w:space="0" w:color="auto"/>
              <w:bottom w:val="double" w:sz="4" w:space="0" w:color="auto"/>
            </w:tcBorders>
            <w:shd w:val="clear" w:color="auto" w:fill="E0E0E0"/>
          </w:tcPr>
          <w:p w14:paraId="0254E3BE" w14:textId="77777777" w:rsidR="00E91403" w:rsidRPr="009461CC" w:rsidRDefault="00E91403" w:rsidP="00842611">
            <w:pPr>
              <w:jc w:val="center"/>
              <w:rPr>
                <w:rFonts w:cs="Times New Roman"/>
                <w:b/>
                <w:szCs w:val="24"/>
              </w:rPr>
            </w:pPr>
            <w:r>
              <w:rPr>
                <w:rFonts w:cs="Times New Roman"/>
                <w:b/>
                <w:bCs/>
                <w:szCs w:val="24"/>
                <w:lang w:val="fr-FR"/>
              </w:rPr>
              <w:t>NOM/TITRE</w:t>
            </w:r>
          </w:p>
        </w:tc>
      </w:tr>
      <w:tr w:rsidR="00386F47" w:rsidRPr="003E0201" w14:paraId="658FB919" w14:textId="77777777" w:rsidTr="00E91403">
        <w:trPr>
          <w:trHeight w:val="606"/>
        </w:trPr>
        <w:tc>
          <w:tcPr>
            <w:tcW w:w="1125" w:type="dxa"/>
            <w:vAlign w:val="center"/>
          </w:tcPr>
          <w:p w14:paraId="41D60951" w14:textId="77777777" w:rsidR="00386F47" w:rsidRPr="009461CC" w:rsidRDefault="00386F47" w:rsidP="00386F47">
            <w:pPr>
              <w:jc w:val="center"/>
              <w:rPr>
                <w:rFonts w:cs="Times New Roman"/>
                <w:b/>
                <w:szCs w:val="24"/>
              </w:rPr>
            </w:pPr>
            <w:r>
              <w:rPr>
                <w:rFonts w:cs="Times New Roman"/>
                <w:b/>
                <w:bCs/>
                <w:szCs w:val="24"/>
                <w:lang w:val="fr-FR"/>
              </w:rPr>
              <w:t>Approbation</w:t>
            </w:r>
          </w:p>
        </w:tc>
        <w:tc>
          <w:tcPr>
            <w:tcW w:w="1305" w:type="dxa"/>
            <w:vAlign w:val="center"/>
          </w:tcPr>
          <w:p w14:paraId="4B304E07" w14:textId="2D98EABD" w:rsidR="00386F47" w:rsidRPr="009461CC" w:rsidRDefault="00386F47" w:rsidP="00386F47">
            <w:pPr>
              <w:jc w:val="center"/>
              <w:rPr>
                <w:rFonts w:cs="Times New Roman"/>
                <w:szCs w:val="24"/>
              </w:rPr>
            </w:pPr>
            <w:r>
              <w:rPr>
                <w:rFonts w:cs="Times New Roman"/>
                <w:szCs w:val="24"/>
                <w:lang w:val="fr-FR"/>
              </w:rPr>
              <w:t>Affaires cliniques</w:t>
            </w:r>
          </w:p>
        </w:tc>
        <w:tc>
          <w:tcPr>
            <w:tcW w:w="7519" w:type="dxa"/>
            <w:vAlign w:val="center"/>
          </w:tcPr>
          <w:p w14:paraId="613876EC" w14:textId="77777777" w:rsidR="00386F47" w:rsidRPr="00CE53A8" w:rsidRDefault="00386F47" w:rsidP="00386F47">
            <w:pPr>
              <w:spacing w:after="0" w:afterAutospacing="0"/>
              <w:jc w:val="center"/>
              <w:rPr>
                <w:rFonts w:cs="Times New Roman"/>
                <w:szCs w:val="24"/>
                <w:lang w:val="fr-FR"/>
              </w:rPr>
            </w:pPr>
            <w:r>
              <w:rPr>
                <w:rFonts w:cs="Times New Roman"/>
                <w:szCs w:val="24"/>
                <w:lang w:val="fr-FR"/>
              </w:rPr>
              <w:t>Danyel Carr</w:t>
            </w:r>
          </w:p>
          <w:p w14:paraId="172E4813" w14:textId="2E4F9175" w:rsidR="00386F47" w:rsidRPr="00CE53A8" w:rsidRDefault="00E03D31" w:rsidP="00386F47">
            <w:pPr>
              <w:jc w:val="center"/>
              <w:rPr>
                <w:rFonts w:cs="Times New Roman"/>
                <w:szCs w:val="24"/>
                <w:lang w:val="fr-FR"/>
              </w:rPr>
            </w:pPr>
            <w:r>
              <w:rPr>
                <w:rFonts w:cs="Times New Roman"/>
                <w:szCs w:val="24"/>
                <w:lang w:val="fr-FR"/>
              </w:rPr>
              <w:t>Directeur principal, Affaires cliniques</w:t>
            </w:r>
          </w:p>
        </w:tc>
      </w:tr>
      <w:tr w:rsidR="00386F47" w:rsidRPr="003E0201" w14:paraId="526E9923" w14:textId="77777777" w:rsidTr="00E91403">
        <w:trPr>
          <w:trHeight w:val="624"/>
        </w:trPr>
        <w:tc>
          <w:tcPr>
            <w:tcW w:w="1125" w:type="dxa"/>
            <w:vAlign w:val="center"/>
          </w:tcPr>
          <w:p w14:paraId="55BCD6C3" w14:textId="77777777" w:rsidR="00386F47" w:rsidRPr="009461CC" w:rsidRDefault="00386F47" w:rsidP="00386F47">
            <w:pPr>
              <w:jc w:val="center"/>
              <w:rPr>
                <w:rFonts w:cs="Times New Roman"/>
                <w:b/>
                <w:szCs w:val="24"/>
              </w:rPr>
            </w:pPr>
            <w:r>
              <w:rPr>
                <w:rFonts w:cs="Times New Roman"/>
                <w:b/>
                <w:bCs/>
                <w:szCs w:val="24"/>
                <w:lang w:val="fr-FR"/>
              </w:rPr>
              <w:t>Approbation</w:t>
            </w:r>
          </w:p>
        </w:tc>
        <w:tc>
          <w:tcPr>
            <w:tcW w:w="1305" w:type="dxa"/>
            <w:vAlign w:val="center"/>
          </w:tcPr>
          <w:p w14:paraId="4887D925" w14:textId="1B032CD4" w:rsidR="00386F47" w:rsidRPr="009461CC" w:rsidRDefault="00386F47" w:rsidP="00386F47">
            <w:pPr>
              <w:jc w:val="center"/>
              <w:rPr>
                <w:rFonts w:cs="Times New Roman"/>
                <w:szCs w:val="24"/>
              </w:rPr>
            </w:pPr>
            <w:r>
              <w:rPr>
                <w:rFonts w:cs="Times New Roman"/>
                <w:szCs w:val="24"/>
                <w:lang w:val="fr-FR"/>
              </w:rPr>
              <w:t xml:space="preserve">Qualité </w:t>
            </w:r>
          </w:p>
        </w:tc>
        <w:tc>
          <w:tcPr>
            <w:tcW w:w="7519" w:type="dxa"/>
            <w:vAlign w:val="center"/>
          </w:tcPr>
          <w:p w14:paraId="3D954801" w14:textId="77777777" w:rsidR="00F07DD1" w:rsidRPr="00CE53A8" w:rsidRDefault="00F07DD1" w:rsidP="004065D7">
            <w:pPr>
              <w:spacing w:after="0" w:afterAutospacing="0"/>
              <w:jc w:val="center"/>
              <w:rPr>
                <w:rFonts w:cs="Times New Roman"/>
                <w:szCs w:val="24"/>
                <w:lang w:val="fr-FR"/>
              </w:rPr>
            </w:pPr>
            <w:r>
              <w:rPr>
                <w:rFonts w:cs="Times New Roman"/>
                <w:szCs w:val="24"/>
                <w:lang w:val="fr-FR"/>
              </w:rPr>
              <w:t xml:space="preserve">James Stephens </w:t>
            </w:r>
          </w:p>
          <w:p w14:paraId="1EA24645" w14:textId="5BC698A1" w:rsidR="00386F47" w:rsidRPr="00CE53A8" w:rsidRDefault="00547353" w:rsidP="004065D7">
            <w:pPr>
              <w:spacing w:after="0" w:afterAutospacing="0"/>
              <w:jc w:val="center"/>
              <w:rPr>
                <w:rFonts w:cs="Times New Roman"/>
                <w:szCs w:val="24"/>
                <w:lang w:val="fr-FR"/>
              </w:rPr>
            </w:pPr>
            <w:r>
              <w:rPr>
                <w:rFonts w:cs="Times New Roman"/>
                <w:szCs w:val="24"/>
                <w:lang w:val="fr-FR"/>
              </w:rPr>
              <w:t>Directeur principal, Opérations qualité</w:t>
            </w:r>
          </w:p>
        </w:tc>
      </w:tr>
      <w:tr w:rsidR="00386F47" w:rsidRPr="003E0201" w14:paraId="01329AB2" w14:textId="77777777" w:rsidTr="00E91403">
        <w:trPr>
          <w:trHeight w:val="624"/>
        </w:trPr>
        <w:tc>
          <w:tcPr>
            <w:tcW w:w="1125" w:type="dxa"/>
            <w:vAlign w:val="center"/>
          </w:tcPr>
          <w:p w14:paraId="77F5A5E8" w14:textId="77777777" w:rsidR="00386F47" w:rsidRPr="009461CC" w:rsidRDefault="00386F47" w:rsidP="00386F47">
            <w:pPr>
              <w:jc w:val="center"/>
              <w:rPr>
                <w:rFonts w:cs="Times New Roman"/>
                <w:b/>
                <w:szCs w:val="24"/>
              </w:rPr>
            </w:pPr>
            <w:r>
              <w:rPr>
                <w:rFonts w:cs="Times New Roman"/>
                <w:b/>
                <w:bCs/>
                <w:szCs w:val="24"/>
                <w:lang w:val="fr-FR"/>
              </w:rPr>
              <w:t>Approbation</w:t>
            </w:r>
          </w:p>
        </w:tc>
        <w:tc>
          <w:tcPr>
            <w:tcW w:w="1305" w:type="dxa"/>
            <w:vAlign w:val="center"/>
          </w:tcPr>
          <w:p w14:paraId="25EABF73" w14:textId="63DB84E6" w:rsidR="00386F47" w:rsidRPr="009461CC" w:rsidRDefault="00386F47" w:rsidP="00386F47">
            <w:pPr>
              <w:jc w:val="center"/>
              <w:rPr>
                <w:rFonts w:cs="Times New Roman"/>
                <w:szCs w:val="24"/>
              </w:rPr>
            </w:pPr>
            <w:r>
              <w:rPr>
                <w:rFonts w:cs="Times New Roman"/>
                <w:szCs w:val="24"/>
                <w:lang w:val="fr-FR"/>
              </w:rPr>
              <w:t xml:space="preserve">Affaires réglementaires </w:t>
            </w:r>
          </w:p>
        </w:tc>
        <w:tc>
          <w:tcPr>
            <w:tcW w:w="7519" w:type="dxa"/>
            <w:vAlign w:val="center"/>
          </w:tcPr>
          <w:p w14:paraId="7676555E" w14:textId="77777777" w:rsidR="00386F47" w:rsidRPr="00CE53A8" w:rsidRDefault="00386F47" w:rsidP="00386F47">
            <w:pPr>
              <w:spacing w:after="0" w:afterAutospacing="0" w:line="240" w:lineRule="auto"/>
              <w:jc w:val="center"/>
              <w:rPr>
                <w:rFonts w:eastAsia="Times New Roman" w:cs="Times New Roman"/>
                <w:color w:val="000000" w:themeColor="text1"/>
                <w:szCs w:val="24"/>
                <w:lang w:val="fr-FR"/>
              </w:rPr>
            </w:pPr>
            <w:r>
              <w:rPr>
                <w:rFonts w:eastAsia="Times New Roman" w:cs="Times New Roman"/>
                <w:color w:val="000000" w:themeColor="text1"/>
                <w:szCs w:val="24"/>
                <w:lang w:val="fr-FR"/>
              </w:rPr>
              <w:t>Scott Bishop</w:t>
            </w:r>
          </w:p>
          <w:p w14:paraId="39BF7685" w14:textId="4DD9DE97" w:rsidR="00386F47" w:rsidRPr="00CE53A8" w:rsidRDefault="00E950A1" w:rsidP="00386F47">
            <w:pPr>
              <w:jc w:val="center"/>
              <w:rPr>
                <w:rFonts w:cs="Times New Roman"/>
                <w:szCs w:val="24"/>
                <w:lang w:val="fr-FR"/>
              </w:rPr>
            </w:pPr>
            <w:r>
              <w:rPr>
                <w:rFonts w:eastAsia="Times New Roman" w:cs="Times New Roman"/>
                <w:color w:val="000000" w:themeColor="text1"/>
                <w:szCs w:val="24"/>
                <w:lang w:val="fr-FR"/>
              </w:rPr>
              <w:t>Vice-président, Affaires réglementaires et assurance qualité mondiales</w:t>
            </w:r>
          </w:p>
        </w:tc>
      </w:tr>
    </w:tbl>
    <w:p w14:paraId="51DA0A01" w14:textId="5402C604" w:rsidR="00E91403" w:rsidRPr="009461CC" w:rsidRDefault="00E91403" w:rsidP="00E91403">
      <w:pPr>
        <w:jc w:val="center"/>
        <w:rPr>
          <w:rFonts w:cs="Times New Roman"/>
          <w:b/>
        </w:rPr>
      </w:pPr>
      <w:r>
        <w:rPr>
          <w:rFonts w:cs="Times New Roman"/>
          <w:b/>
          <w:bCs/>
          <w:lang w:val="fr-FR"/>
        </w:rPr>
        <w:t>Historique des révisions</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8"/>
        <w:gridCol w:w="1310"/>
        <w:gridCol w:w="1145"/>
        <w:gridCol w:w="4342"/>
        <w:gridCol w:w="1782"/>
      </w:tblGrid>
      <w:tr w:rsidR="00E91403" w:rsidRPr="003E0201" w14:paraId="38F29FD4" w14:textId="77777777" w:rsidTr="00740900">
        <w:tc>
          <w:tcPr>
            <w:tcW w:w="1214" w:type="dxa"/>
            <w:tcBorders>
              <w:top w:val="single" w:sz="18" w:space="0" w:color="auto"/>
              <w:bottom w:val="double" w:sz="4" w:space="0" w:color="auto"/>
            </w:tcBorders>
            <w:shd w:val="clear" w:color="auto" w:fill="E0E0E0"/>
          </w:tcPr>
          <w:p w14:paraId="34BEB815" w14:textId="77777777" w:rsidR="00E91403" w:rsidRPr="009461CC" w:rsidRDefault="00E91403" w:rsidP="00842611">
            <w:pPr>
              <w:jc w:val="center"/>
              <w:rPr>
                <w:rFonts w:cs="Times New Roman"/>
                <w:b/>
                <w:szCs w:val="24"/>
              </w:rPr>
            </w:pPr>
            <w:r>
              <w:rPr>
                <w:rFonts w:cs="Times New Roman"/>
                <w:b/>
                <w:bCs/>
                <w:szCs w:val="24"/>
                <w:lang w:val="fr-FR"/>
              </w:rPr>
              <w:t>Révision</w:t>
            </w:r>
          </w:p>
        </w:tc>
        <w:tc>
          <w:tcPr>
            <w:tcW w:w="1128" w:type="dxa"/>
            <w:tcBorders>
              <w:top w:val="single" w:sz="18" w:space="0" w:color="auto"/>
              <w:bottom w:val="double" w:sz="4" w:space="0" w:color="auto"/>
            </w:tcBorders>
            <w:shd w:val="clear" w:color="auto" w:fill="E0E0E0"/>
          </w:tcPr>
          <w:p w14:paraId="13A8D0CD" w14:textId="77777777" w:rsidR="00E91403" w:rsidRPr="009461CC" w:rsidRDefault="00E91403" w:rsidP="00842611">
            <w:pPr>
              <w:jc w:val="center"/>
              <w:rPr>
                <w:rFonts w:cs="Times New Roman"/>
                <w:b/>
                <w:szCs w:val="24"/>
              </w:rPr>
            </w:pPr>
            <w:r>
              <w:rPr>
                <w:rFonts w:cs="Times New Roman"/>
                <w:b/>
                <w:bCs/>
                <w:szCs w:val="24"/>
                <w:lang w:val="fr-FR"/>
              </w:rPr>
              <w:t>Date</w:t>
            </w:r>
          </w:p>
        </w:tc>
        <w:tc>
          <w:tcPr>
            <w:tcW w:w="1150" w:type="dxa"/>
            <w:tcBorders>
              <w:top w:val="single" w:sz="18" w:space="0" w:color="auto"/>
              <w:bottom w:val="double" w:sz="4" w:space="0" w:color="auto"/>
            </w:tcBorders>
            <w:shd w:val="clear" w:color="auto" w:fill="E0E0E0"/>
          </w:tcPr>
          <w:p w14:paraId="4E5F13C6" w14:textId="77777777" w:rsidR="00E91403" w:rsidRPr="009461CC" w:rsidRDefault="00E91403" w:rsidP="00842611">
            <w:pPr>
              <w:jc w:val="center"/>
              <w:rPr>
                <w:rFonts w:cs="Times New Roman"/>
                <w:b/>
                <w:szCs w:val="24"/>
              </w:rPr>
            </w:pPr>
            <w:r>
              <w:rPr>
                <w:rFonts w:cs="Times New Roman"/>
                <w:b/>
                <w:bCs/>
                <w:szCs w:val="24"/>
                <w:lang w:val="fr-FR"/>
              </w:rPr>
              <w:t>Sections</w:t>
            </w:r>
          </w:p>
        </w:tc>
        <w:tc>
          <w:tcPr>
            <w:tcW w:w="4496" w:type="dxa"/>
            <w:tcBorders>
              <w:top w:val="single" w:sz="18" w:space="0" w:color="auto"/>
              <w:bottom w:val="double" w:sz="4" w:space="0" w:color="auto"/>
            </w:tcBorders>
            <w:shd w:val="clear" w:color="auto" w:fill="E0E0E0"/>
          </w:tcPr>
          <w:p w14:paraId="308681D3" w14:textId="77777777" w:rsidR="00E91403" w:rsidRPr="009461CC" w:rsidRDefault="00E91403" w:rsidP="00842611">
            <w:pPr>
              <w:jc w:val="center"/>
              <w:rPr>
                <w:rFonts w:cs="Times New Roman"/>
                <w:b/>
                <w:szCs w:val="24"/>
              </w:rPr>
            </w:pPr>
            <w:r>
              <w:rPr>
                <w:rFonts w:cs="Times New Roman"/>
                <w:b/>
                <w:bCs/>
                <w:szCs w:val="24"/>
                <w:lang w:val="fr-FR"/>
              </w:rPr>
              <w:t>Description de la révision</w:t>
            </w:r>
          </w:p>
        </w:tc>
        <w:tc>
          <w:tcPr>
            <w:tcW w:w="1799" w:type="dxa"/>
            <w:tcBorders>
              <w:top w:val="single" w:sz="18" w:space="0" w:color="auto"/>
              <w:bottom w:val="double" w:sz="4" w:space="0" w:color="auto"/>
            </w:tcBorders>
            <w:shd w:val="clear" w:color="auto" w:fill="E0E0E0"/>
          </w:tcPr>
          <w:p w14:paraId="332F4EE6" w14:textId="77777777" w:rsidR="00E91403" w:rsidRPr="00CE53A8" w:rsidRDefault="00E91403" w:rsidP="00842611">
            <w:pPr>
              <w:tabs>
                <w:tab w:val="left" w:pos="465"/>
              </w:tabs>
              <w:jc w:val="center"/>
              <w:rPr>
                <w:rFonts w:cs="Times New Roman"/>
                <w:b/>
                <w:szCs w:val="24"/>
                <w:lang w:val="fr-FR"/>
              </w:rPr>
            </w:pPr>
            <w:r>
              <w:rPr>
                <w:rFonts w:cs="Times New Roman"/>
                <w:b/>
                <w:bCs/>
                <w:szCs w:val="24"/>
                <w:lang w:val="fr-FR"/>
              </w:rPr>
              <w:t>N° de demande de changement</w:t>
            </w:r>
          </w:p>
        </w:tc>
      </w:tr>
      <w:tr w:rsidR="00740900" w:rsidRPr="009461CC" w14:paraId="47D66140" w14:textId="77777777" w:rsidTr="00740900">
        <w:tc>
          <w:tcPr>
            <w:tcW w:w="1214" w:type="dxa"/>
            <w:tcBorders>
              <w:top w:val="double" w:sz="4" w:space="0" w:color="auto"/>
              <w:bottom w:val="single" w:sz="4" w:space="0" w:color="auto"/>
            </w:tcBorders>
          </w:tcPr>
          <w:p w14:paraId="4EEA4C6D" w14:textId="5A95910B" w:rsidR="00740900" w:rsidRPr="009461CC" w:rsidRDefault="00740900" w:rsidP="00740900">
            <w:pPr>
              <w:jc w:val="center"/>
              <w:rPr>
                <w:rFonts w:cs="Times New Roman"/>
                <w:szCs w:val="24"/>
              </w:rPr>
            </w:pPr>
            <w:r>
              <w:rPr>
                <w:rFonts w:cs="Times New Roman"/>
                <w:szCs w:val="24"/>
                <w:lang w:val="fr-FR"/>
              </w:rPr>
              <w:t>A</w:t>
            </w:r>
          </w:p>
        </w:tc>
        <w:tc>
          <w:tcPr>
            <w:tcW w:w="1128" w:type="dxa"/>
            <w:tcBorders>
              <w:top w:val="double" w:sz="4" w:space="0" w:color="auto"/>
              <w:bottom w:val="single" w:sz="4" w:space="0" w:color="auto"/>
            </w:tcBorders>
          </w:tcPr>
          <w:p w14:paraId="0D82C539" w14:textId="6206AFE6" w:rsidR="00740900" w:rsidRPr="009461CC" w:rsidRDefault="00740900" w:rsidP="00740900">
            <w:pPr>
              <w:jc w:val="center"/>
              <w:rPr>
                <w:rFonts w:cs="Times New Roman"/>
                <w:szCs w:val="24"/>
              </w:rPr>
            </w:pPr>
            <w:r>
              <w:rPr>
                <w:rFonts w:cs="Times New Roman"/>
                <w:szCs w:val="24"/>
                <w:lang w:val="fr-FR"/>
              </w:rPr>
              <w:t>22/05/2022</w:t>
            </w:r>
          </w:p>
        </w:tc>
        <w:tc>
          <w:tcPr>
            <w:tcW w:w="1150" w:type="dxa"/>
            <w:tcBorders>
              <w:top w:val="double" w:sz="4" w:space="0" w:color="auto"/>
              <w:bottom w:val="single" w:sz="4" w:space="0" w:color="auto"/>
            </w:tcBorders>
          </w:tcPr>
          <w:p w14:paraId="6CD4C417" w14:textId="536D40E4" w:rsidR="00740900" w:rsidRPr="009461CC" w:rsidRDefault="00740900" w:rsidP="00740900">
            <w:pPr>
              <w:jc w:val="center"/>
              <w:rPr>
                <w:rFonts w:cs="Times New Roman"/>
                <w:szCs w:val="24"/>
              </w:rPr>
            </w:pPr>
            <w:r>
              <w:rPr>
                <w:rFonts w:cs="Times New Roman"/>
                <w:szCs w:val="24"/>
                <w:lang w:val="fr-FR"/>
              </w:rPr>
              <w:t>Tout</w:t>
            </w:r>
          </w:p>
        </w:tc>
        <w:tc>
          <w:tcPr>
            <w:tcW w:w="4496" w:type="dxa"/>
            <w:tcBorders>
              <w:top w:val="double" w:sz="4" w:space="0" w:color="auto"/>
              <w:bottom w:val="single" w:sz="4" w:space="0" w:color="auto"/>
            </w:tcBorders>
          </w:tcPr>
          <w:p w14:paraId="3973A2E3" w14:textId="3D8B33BA" w:rsidR="00740900" w:rsidRPr="00CE53A8" w:rsidRDefault="00740900" w:rsidP="00740900">
            <w:pPr>
              <w:rPr>
                <w:rFonts w:cs="Times New Roman"/>
                <w:szCs w:val="24"/>
                <w:lang w:val="fr-FR"/>
              </w:rPr>
            </w:pPr>
            <w:r>
              <w:rPr>
                <w:rFonts w:cs="Times New Roman"/>
                <w:szCs w:val="24"/>
                <w:lang w:val="fr-FR"/>
              </w:rPr>
              <w:t>Rapport initial pour usage interne uniquement</w:t>
            </w:r>
          </w:p>
        </w:tc>
        <w:tc>
          <w:tcPr>
            <w:tcW w:w="1799" w:type="dxa"/>
            <w:tcBorders>
              <w:top w:val="double" w:sz="4" w:space="0" w:color="auto"/>
              <w:bottom w:val="single" w:sz="4" w:space="0" w:color="auto"/>
            </w:tcBorders>
          </w:tcPr>
          <w:p w14:paraId="243CB41C" w14:textId="62833BA2" w:rsidR="00740900" w:rsidRPr="009461CC" w:rsidRDefault="00740900" w:rsidP="00740900">
            <w:pPr>
              <w:rPr>
                <w:rFonts w:cs="Times New Roman"/>
                <w:szCs w:val="24"/>
              </w:rPr>
            </w:pPr>
            <w:r>
              <w:rPr>
                <w:rFonts w:cs="Times New Roman"/>
                <w:szCs w:val="24"/>
                <w:lang w:val="fr-FR"/>
              </w:rPr>
              <w:t>S. O.</w:t>
            </w:r>
          </w:p>
        </w:tc>
      </w:tr>
      <w:tr w:rsidR="00923982" w:rsidRPr="009461CC" w14:paraId="495D8A1C" w14:textId="77777777" w:rsidTr="00740900">
        <w:tc>
          <w:tcPr>
            <w:tcW w:w="1214" w:type="dxa"/>
            <w:tcBorders>
              <w:top w:val="single" w:sz="4" w:space="0" w:color="auto"/>
              <w:bottom w:val="single" w:sz="12" w:space="0" w:color="auto"/>
            </w:tcBorders>
          </w:tcPr>
          <w:p w14:paraId="065DAE3E" w14:textId="16DC1CE4" w:rsidR="00923982" w:rsidRPr="009461CC" w:rsidRDefault="00923982" w:rsidP="00923982">
            <w:pPr>
              <w:jc w:val="center"/>
              <w:rPr>
                <w:rFonts w:cs="Times New Roman"/>
                <w:szCs w:val="24"/>
              </w:rPr>
            </w:pPr>
            <w:r>
              <w:rPr>
                <w:rFonts w:cs="Times New Roman"/>
                <w:szCs w:val="24"/>
                <w:lang w:val="fr-FR"/>
              </w:rPr>
              <w:t>B</w:t>
            </w:r>
          </w:p>
        </w:tc>
        <w:tc>
          <w:tcPr>
            <w:tcW w:w="1128" w:type="dxa"/>
            <w:tcBorders>
              <w:top w:val="single" w:sz="4" w:space="0" w:color="auto"/>
              <w:bottom w:val="single" w:sz="12" w:space="0" w:color="auto"/>
            </w:tcBorders>
          </w:tcPr>
          <w:p w14:paraId="52F239C5" w14:textId="69AD5128" w:rsidR="00923982" w:rsidRPr="009461CC" w:rsidRDefault="006F76E2" w:rsidP="00923982">
            <w:pPr>
              <w:jc w:val="center"/>
              <w:rPr>
                <w:rFonts w:cs="Times New Roman"/>
                <w:szCs w:val="24"/>
              </w:rPr>
            </w:pPr>
            <w:r>
              <w:rPr>
                <w:rFonts w:cs="Times New Roman"/>
                <w:szCs w:val="24"/>
                <w:lang w:val="fr-FR"/>
              </w:rPr>
              <w:t>15/12/2025</w:t>
            </w:r>
          </w:p>
        </w:tc>
        <w:tc>
          <w:tcPr>
            <w:tcW w:w="1150" w:type="dxa"/>
            <w:tcBorders>
              <w:top w:val="single" w:sz="4" w:space="0" w:color="auto"/>
              <w:bottom w:val="single" w:sz="12" w:space="0" w:color="auto"/>
            </w:tcBorders>
          </w:tcPr>
          <w:p w14:paraId="319F0BB7" w14:textId="488E18A0" w:rsidR="00923982" w:rsidRPr="009461CC" w:rsidRDefault="00923982" w:rsidP="00923982">
            <w:pPr>
              <w:jc w:val="center"/>
              <w:rPr>
                <w:rFonts w:cs="Times New Roman"/>
                <w:szCs w:val="24"/>
              </w:rPr>
            </w:pPr>
            <w:r>
              <w:rPr>
                <w:rFonts w:cs="Times New Roman"/>
                <w:szCs w:val="24"/>
                <w:lang w:val="fr-FR"/>
              </w:rPr>
              <w:t>Tout</w:t>
            </w:r>
          </w:p>
        </w:tc>
        <w:tc>
          <w:tcPr>
            <w:tcW w:w="4496" w:type="dxa"/>
            <w:tcBorders>
              <w:top w:val="single" w:sz="4" w:space="0" w:color="auto"/>
              <w:bottom w:val="single" w:sz="12" w:space="0" w:color="auto"/>
            </w:tcBorders>
          </w:tcPr>
          <w:p w14:paraId="3D913A75" w14:textId="09B5D375" w:rsidR="00923982" w:rsidRPr="009461CC" w:rsidRDefault="0080432B" w:rsidP="00923982">
            <w:pPr>
              <w:rPr>
                <w:rFonts w:cs="Times New Roman"/>
                <w:szCs w:val="24"/>
              </w:rPr>
            </w:pPr>
            <w:r>
              <w:rPr>
                <w:rFonts w:cs="Times New Roman"/>
                <w:szCs w:val="24"/>
                <w:lang w:val="fr-FR"/>
              </w:rPr>
              <w:t>Soumission MDR UE</w:t>
            </w:r>
          </w:p>
        </w:tc>
        <w:tc>
          <w:tcPr>
            <w:tcW w:w="1799" w:type="dxa"/>
            <w:tcBorders>
              <w:top w:val="single" w:sz="4" w:space="0" w:color="auto"/>
              <w:bottom w:val="single" w:sz="12" w:space="0" w:color="auto"/>
            </w:tcBorders>
          </w:tcPr>
          <w:p w14:paraId="077C5F38" w14:textId="76003B93" w:rsidR="00923982" w:rsidRPr="009461CC" w:rsidRDefault="008735FE" w:rsidP="00923982">
            <w:pPr>
              <w:rPr>
                <w:rFonts w:cs="Times New Roman"/>
                <w:szCs w:val="24"/>
              </w:rPr>
            </w:pPr>
            <w:r>
              <w:rPr>
                <w:rFonts w:cs="Times New Roman"/>
                <w:szCs w:val="24"/>
                <w:lang w:val="fr-FR"/>
              </w:rPr>
              <w:t>07919</w:t>
            </w:r>
          </w:p>
        </w:tc>
      </w:tr>
    </w:tbl>
    <w:p w14:paraId="5C951A98" w14:textId="6A651DC3" w:rsidR="0005411A" w:rsidRPr="00CE53A8" w:rsidRDefault="00E91403" w:rsidP="00E91403">
      <w:pPr>
        <w:jc w:val="center"/>
        <w:rPr>
          <w:rFonts w:cs="Times New Roman"/>
          <w:lang w:val="fr-FR"/>
        </w:rPr>
      </w:pPr>
      <w:r>
        <w:rPr>
          <w:rFonts w:cs="Times New Roman"/>
          <w:i/>
          <w:iCs/>
          <w:lang w:val="fr-FR"/>
        </w:rPr>
        <w:t>Remarque : les approbations seront capturées via la demande de changement associée.</w:t>
      </w:r>
    </w:p>
    <w:p w14:paraId="700C8B5F" w14:textId="34A53550" w:rsidR="006F0810" w:rsidRPr="009461CC" w:rsidRDefault="0005411A" w:rsidP="00042B91">
      <w:pPr>
        <w:spacing w:after="0" w:afterAutospacing="0" w:line="240" w:lineRule="auto"/>
        <w:rPr>
          <w:rFonts w:cs="Times New Roman"/>
        </w:rPr>
      </w:pPr>
      <w:r>
        <w:rPr>
          <w:rFonts w:cs="Times New Roman"/>
          <w:szCs w:val="24"/>
          <w:lang w:val="fr-FR"/>
        </w:rPr>
        <w:br w:type="page"/>
      </w:r>
      <w:r>
        <w:rPr>
          <w:rFonts w:cs="Times New Roman"/>
          <w:lang w:val="fr-FR"/>
        </w:rPr>
        <w:lastRenderedPageBreak/>
        <w:t>Table des matières</w:t>
      </w:r>
    </w:p>
    <w:p w14:paraId="0161C1D5" w14:textId="599D8AF0" w:rsidR="00A377B2" w:rsidRDefault="006F0810">
      <w:pPr>
        <w:pStyle w:val="TOC1"/>
        <w:rPr>
          <w:rFonts w:asciiTheme="minorHAnsi" w:eastAsiaTheme="minorEastAsia" w:hAnsiTheme="minorHAnsi" w:cstheme="minorBidi"/>
          <w:noProof/>
          <w:kern w:val="2"/>
          <w:lang w:eastAsia="zh-CN"/>
          <w14:ligatures w14:val="standardContextual"/>
        </w:rPr>
      </w:pPr>
      <w:r>
        <w:rPr>
          <w:lang w:val="fr-FR"/>
        </w:rPr>
        <w:fldChar w:fldCharType="begin"/>
      </w:r>
      <w:r>
        <w:instrText xml:space="preserve"> TOC \o "1-3" \h \z \u </w:instrText>
      </w:r>
      <w:r>
        <w:fldChar w:fldCharType="separate"/>
      </w:r>
      <w:hyperlink w:anchor="_Toc222741364" w:history="1">
        <w:r w:rsidR="00A377B2" w:rsidRPr="00717CAA">
          <w:rPr>
            <w:rStyle w:val="Hyperlink"/>
            <w:noProof/>
          </w:rPr>
          <w:t>1.</w:t>
        </w:r>
        <w:r w:rsidR="00A377B2">
          <w:rPr>
            <w:rFonts w:asciiTheme="minorHAnsi" w:eastAsiaTheme="minorEastAsia" w:hAnsiTheme="minorHAnsi" w:cstheme="minorBidi"/>
            <w:noProof/>
            <w:kern w:val="2"/>
            <w:lang w:eastAsia="zh-CN"/>
            <w14:ligatures w14:val="standardContextual"/>
          </w:rPr>
          <w:tab/>
        </w:r>
        <w:r w:rsidR="00A377B2" w:rsidRPr="00717CAA">
          <w:rPr>
            <w:rStyle w:val="Hyperlink"/>
            <w:bCs/>
            <w:noProof/>
            <w:lang w:val="fr-FR"/>
          </w:rPr>
          <w:t>Portée de ce résumé des caractéristiques de sécurité et des performances cliniques (SSCP) :</w:t>
        </w:r>
        <w:r w:rsidR="00A377B2">
          <w:rPr>
            <w:noProof/>
            <w:webHidden/>
          </w:rPr>
          <w:tab/>
        </w:r>
        <w:r w:rsidR="00A377B2">
          <w:rPr>
            <w:noProof/>
            <w:webHidden/>
          </w:rPr>
          <w:fldChar w:fldCharType="begin"/>
        </w:r>
        <w:r w:rsidR="00A377B2">
          <w:rPr>
            <w:noProof/>
            <w:webHidden/>
          </w:rPr>
          <w:instrText xml:space="preserve"> PAGEREF _Toc222741364 \h </w:instrText>
        </w:r>
        <w:r w:rsidR="00A377B2">
          <w:rPr>
            <w:noProof/>
            <w:webHidden/>
          </w:rPr>
        </w:r>
        <w:r w:rsidR="00A377B2">
          <w:rPr>
            <w:noProof/>
            <w:webHidden/>
          </w:rPr>
          <w:fldChar w:fldCharType="separate"/>
        </w:r>
        <w:r w:rsidR="007B19AD">
          <w:rPr>
            <w:noProof/>
            <w:webHidden/>
          </w:rPr>
          <w:t>3</w:t>
        </w:r>
        <w:r w:rsidR="00A377B2">
          <w:rPr>
            <w:noProof/>
            <w:webHidden/>
          </w:rPr>
          <w:fldChar w:fldCharType="end"/>
        </w:r>
      </w:hyperlink>
    </w:p>
    <w:p w14:paraId="1E55C659" w14:textId="429594FB" w:rsidR="00A377B2" w:rsidRDefault="00A377B2">
      <w:pPr>
        <w:pStyle w:val="TOC1"/>
        <w:rPr>
          <w:rFonts w:asciiTheme="minorHAnsi" w:eastAsiaTheme="minorEastAsia" w:hAnsiTheme="minorHAnsi" w:cstheme="minorBidi"/>
          <w:noProof/>
          <w:kern w:val="2"/>
          <w:lang w:eastAsia="zh-CN"/>
          <w14:ligatures w14:val="standardContextual"/>
        </w:rPr>
      </w:pPr>
      <w:hyperlink w:anchor="_Toc222741365" w:history="1">
        <w:r w:rsidRPr="00717CAA">
          <w:rPr>
            <w:rStyle w:val="Hyperlink"/>
            <w:noProof/>
          </w:rPr>
          <w:t>1.1.</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Nom commercial du dispositif :</w:t>
        </w:r>
        <w:r>
          <w:rPr>
            <w:noProof/>
            <w:webHidden/>
          </w:rPr>
          <w:tab/>
        </w:r>
        <w:r>
          <w:rPr>
            <w:noProof/>
            <w:webHidden/>
          </w:rPr>
          <w:fldChar w:fldCharType="begin"/>
        </w:r>
        <w:r>
          <w:rPr>
            <w:noProof/>
            <w:webHidden/>
          </w:rPr>
          <w:instrText xml:space="preserve"> PAGEREF _Toc222741365 \h </w:instrText>
        </w:r>
        <w:r>
          <w:rPr>
            <w:noProof/>
            <w:webHidden/>
          </w:rPr>
        </w:r>
        <w:r>
          <w:rPr>
            <w:noProof/>
            <w:webHidden/>
          </w:rPr>
          <w:fldChar w:fldCharType="separate"/>
        </w:r>
        <w:r w:rsidR="007B19AD">
          <w:rPr>
            <w:noProof/>
            <w:webHidden/>
          </w:rPr>
          <w:t>3</w:t>
        </w:r>
        <w:r>
          <w:rPr>
            <w:noProof/>
            <w:webHidden/>
          </w:rPr>
          <w:fldChar w:fldCharType="end"/>
        </w:r>
      </w:hyperlink>
    </w:p>
    <w:p w14:paraId="5BA70020" w14:textId="1BAE07C2" w:rsidR="00A377B2" w:rsidRDefault="00A377B2">
      <w:pPr>
        <w:pStyle w:val="TOC1"/>
        <w:rPr>
          <w:rFonts w:asciiTheme="minorHAnsi" w:eastAsiaTheme="minorEastAsia" w:hAnsiTheme="minorHAnsi" w:cstheme="minorBidi"/>
          <w:noProof/>
          <w:kern w:val="2"/>
          <w:lang w:eastAsia="zh-CN"/>
          <w14:ligatures w14:val="standardContextual"/>
        </w:rPr>
      </w:pPr>
      <w:hyperlink w:anchor="_Toc222741366" w:history="1">
        <w:r w:rsidRPr="00717CAA">
          <w:rPr>
            <w:rStyle w:val="Hyperlink"/>
            <w:noProof/>
            <w:lang w:val="it-IT"/>
          </w:rPr>
          <w:t>1.2.</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Description du dispositif, UDI-DI de base et classification UE :</w:t>
        </w:r>
        <w:r>
          <w:rPr>
            <w:noProof/>
            <w:webHidden/>
          </w:rPr>
          <w:tab/>
        </w:r>
        <w:r>
          <w:rPr>
            <w:noProof/>
            <w:webHidden/>
          </w:rPr>
          <w:fldChar w:fldCharType="begin"/>
        </w:r>
        <w:r>
          <w:rPr>
            <w:noProof/>
            <w:webHidden/>
          </w:rPr>
          <w:instrText xml:space="preserve"> PAGEREF _Toc222741366 \h </w:instrText>
        </w:r>
        <w:r>
          <w:rPr>
            <w:noProof/>
            <w:webHidden/>
          </w:rPr>
        </w:r>
        <w:r>
          <w:rPr>
            <w:noProof/>
            <w:webHidden/>
          </w:rPr>
          <w:fldChar w:fldCharType="separate"/>
        </w:r>
        <w:r w:rsidR="007B19AD">
          <w:rPr>
            <w:noProof/>
            <w:webHidden/>
          </w:rPr>
          <w:t>3</w:t>
        </w:r>
        <w:r>
          <w:rPr>
            <w:noProof/>
            <w:webHidden/>
          </w:rPr>
          <w:fldChar w:fldCharType="end"/>
        </w:r>
      </w:hyperlink>
    </w:p>
    <w:p w14:paraId="30BCAF05" w14:textId="20AEC12C" w:rsidR="00A377B2" w:rsidRDefault="00A377B2">
      <w:pPr>
        <w:pStyle w:val="TOC1"/>
        <w:rPr>
          <w:rFonts w:asciiTheme="minorHAnsi" w:eastAsiaTheme="minorEastAsia" w:hAnsiTheme="minorHAnsi" w:cstheme="minorBidi"/>
          <w:noProof/>
          <w:kern w:val="2"/>
          <w:lang w:eastAsia="zh-CN"/>
          <w14:ligatures w14:val="standardContextual"/>
        </w:rPr>
      </w:pPr>
      <w:hyperlink w:anchor="_Toc222741367" w:history="1">
        <w:r w:rsidRPr="00717CAA">
          <w:rPr>
            <w:rStyle w:val="Hyperlink"/>
            <w:noProof/>
            <w:lang w:val="it-IT"/>
          </w:rPr>
          <w:t>1.3.</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Année de délivrance du premier certificat (CE) couvrant le dispositif :</w:t>
        </w:r>
        <w:r>
          <w:rPr>
            <w:noProof/>
            <w:webHidden/>
          </w:rPr>
          <w:tab/>
        </w:r>
        <w:r>
          <w:rPr>
            <w:noProof/>
            <w:webHidden/>
          </w:rPr>
          <w:fldChar w:fldCharType="begin"/>
        </w:r>
        <w:r>
          <w:rPr>
            <w:noProof/>
            <w:webHidden/>
          </w:rPr>
          <w:instrText xml:space="preserve"> PAGEREF _Toc222741367 \h </w:instrText>
        </w:r>
        <w:r>
          <w:rPr>
            <w:noProof/>
            <w:webHidden/>
          </w:rPr>
        </w:r>
        <w:r>
          <w:rPr>
            <w:noProof/>
            <w:webHidden/>
          </w:rPr>
          <w:fldChar w:fldCharType="separate"/>
        </w:r>
        <w:r w:rsidR="007B19AD">
          <w:rPr>
            <w:noProof/>
            <w:webHidden/>
          </w:rPr>
          <w:t>3</w:t>
        </w:r>
        <w:r>
          <w:rPr>
            <w:noProof/>
            <w:webHidden/>
          </w:rPr>
          <w:fldChar w:fldCharType="end"/>
        </w:r>
      </w:hyperlink>
    </w:p>
    <w:p w14:paraId="51931773" w14:textId="7BEC7D6A" w:rsidR="00A377B2" w:rsidRDefault="00A377B2">
      <w:pPr>
        <w:pStyle w:val="TOC1"/>
        <w:rPr>
          <w:rFonts w:asciiTheme="minorHAnsi" w:eastAsiaTheme="minorEastAsia" w:hAnsiTheme="minorHAnsi" w:cstheme="minorBidi"/>
          <w:noProof/>
          <w:kern w:val="2"/>
          <w:lang w:eastAsia="zh-CN"/>
          <w14:ligatures w14:val="standardContextual"/>
        </w:rPr>
      </w:pPr>
      <w:hyperlink w:anchor="_Toc222741368" w:history="1">
        <w:r w:rsidRPr="00717CAA">
          <w:rPr>
            <w:rStyle w:val="Hyperlink"/>
            <w:noProof/>
            <w:lang w:val="de-DE"/>
          </w:rPr>
          <w:t>1.4.</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Nom, adresse et SRN du fabricant :</w:t>
        </w:r>
        <w:r>
          <w:rPr>
            <w:noProof/>
            <w:webHidden/>
          </w:rPr>
          <w:tab/>
        </w:r>
        <w:r>
          <w:rPr>
            <w:noProof/>
            <w:webHidden/>
          </w:rPr>
          <w:fldChar w:fldCharType="begin"/>
        </w:r>
        <w:r>
          <w:rPr>
            <w:noProof/>
            <w:webHidden/>
          </w:rPr>
          <w:instrText xml:space="preserve"> PAGEREF _Toc222741368 \h </w:instrText>
        </w:r>
        <w:r>
          <w:rPr>
            <w:noProof/>
            <w:webHidden/>
          </w:rPr>
        </w:r>
        <w:r>
          <w:rPr>
            <w:noProof/>
            <w:webHidden/>
          </w:rPr>
          <w:fldChar w:fldCharType="separate"/>
        </w:r>
        <w:r w:rsidR="007B19AD">
          <w:rPr>
            <w:noProof/>
            <w:webHidden/>
          </w:rPr>
          <w:t>4</w:t>
        </w:r>
        <w:r>
          <w:rPr>
            <w:noProof/>
            <w:webHidden/>
          </w:rPr>
          <w:fldChar w:fldCharType="end"/>
        </w:r>
      </w:hyperlink>
    </w:p>
    <w:p w14:paraId="12F77F4E" w14:textId="64B9676A" w:rsidR="00A377B2" w:rsidRDefault="00A377B2">
      <w:pPr>
        <w:pStyle w:val="TOC1"/>
        <w:rPr>
          <w:rFonts w:asciiTheme="minorHAnsi" w:eastAsiaTheme="minorEastAsia" w:hAnsiTheme="minorHAnsi" w:cstheme="minorBidi"/>
          <w:noProof/>
          <w:kern w:val="2"/>
          <w:lang w:eastAsia="zh-CN"/>
          <w14:ligatures w14:val="standardContextual"/>
        </w:rPr>
      </w:pPr>
      <w:hyperlink w:anchor="_Toc222741369" w:history="1">
        <w:r w:rsidRPr="00717CAA">
          <w:rPr>
            <w:rStyle w:val="Hyperlink"/>
            <w:noProof/>
            <w:lang w:val="de-DE"/>
          </w:rPr>
          <w:t>1.5.</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Nom et SRN du représentant autorisé :</w:t>
        </w:r>
        <w:r>
          <w:rPr>
            <w:noProof/>
            <w:webHidden/>
          </w:rPr>
          <w:tab/>
        </w:r>
        <w:r>
          <w:rPr>
            <w:noProof/>
            <w:webHidden/>
          </w:rPr>
          <w:fldChar w:fldCharType="begin"/>
        </w:r>
        <w:r>
          <w:rPr>
            <w:noProof/>
            <w:webHidden/>
          </w:rPr>
          <w:instrText xml:space="preserve"> PAGEREF _Toc222741369 \h </w:instrText>
        </w:r>
        <w:r>
          <w:rPr>
            <w:noProof/>
            <w:webHidden/>
          </w:rPr>
        </w:r>
        <w:r>
          <w:rPr>
            <w:noProof/>
            <w:webHidden/>
          </w:rPr>
          <w:fldChar w:fldCharType="separate"/>
        </w:r>
        <w:r w:rsidR="007B19AD">
          <w:rPr>
            <w:noProof/>
            <w:webHidden/>
          </w:rPr>
          <w:t>4</w:t>
        </w:r>
        <w:r>
          <w:rPr>
            <w:noProof/>
            <w:webHidden/>
          </w:rPr>
          <w:fldChar w:fldCharType="end"/>
        </w:r>
      </w:hyperlink>
    </w:p>
    <w:p w14:paraId="3BDB95B9" w14:textId="0D593618" w:rsidR="00A377B2" w:rsidRDefault="00A377B2">
      <w:pPr>
        <w:pStyle w:val="TOC1"/>
        <w:rPr>
          <w:rFonts w:asciiTheme="minorHAnsi" w:eastAsiaTheme="minorEastAsia" w:hAnsiTheme="minorHAnsi" w:cstheme="minorBidi"/>
          <w:noProof/>
          <w:kern w:val="2"/>
          <w:lang w:eastAsia="zh-CN"/>
          <w14:ligatures w14:val="standardContextual"/>
        </w:rPr>
      </w:pPr>
      <w:hyperlink w:anchor="_Toc222741370" w:history="1">
        <w:r w:rsidRPr="00717CAA">
          <w:rPr>
            <w:rStyle w:val="Hyperlink"/>
            <w:noProof/>
          </w:rPr>
          <w:t>1.6.</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Nom et numéro d’identification unique de l’organisme notifié :</w:t>
        </w:r>
        <w:r>
          <w:rPr>
            <w:noProof/>
            <w:webHidden/>
          </w:rPr>
          <w:tab/>
        </w:r>
        <w:r>
          <w:rPr>
            <w:noProof/>
            <w:webHidden/>
          </w:rPr>
          <w:fldChar w:fldCharType="begin"/>
        </w:r>
        <w:r>
          <w:rPr>
            <w:noProof/>
            <w:webHidden/>
          </w:rPr>
          <w:instrText xml:space="preserve"> PAGEREF _Toc222741370 \h </w:instrText>
        </w:r>
        <w:r>
          <w:rPr>
            <w:noProof/>
            <w:webHidden/>
          </w:rPr>
        </w:r>
        <w:r>
          <w:rPr>
            <w:noProof/>
            <w:webHidden/>
          </w:rPr>
          <w:fldChar w:fldCharType="separate"/>
        </w:r>
        <w:r w:rsidR="007B19AD">
          <w:rPr>
            <w:noProof/>
            <w:webHidden/>
          </w:rPr>
          <w:t>4</w:t>
        </w:r>
        <w:r>
          <w:rPr>
            <w:noProof/>
            <w:webHidden/>
          </w:rPr>
          <w:fldChar w:fldCharType="end"/>
        </w:r>
      </w:hyperlink>
    </w:p>
    <w:p w14:paraId="720BB17F" w14:textId="4C098578" w:rsidR="00A377B2" w:rsidRDefault="00A377B2">
      <w:pPr>
        <w:pStyle w:val="TOC1"/>
        <w:rPr>
          <w:rFonts w:asciiTheme="minorHAnsi" w:eastAsiaTheme="minorEastAsia" w:hAnsiTheme="minorHAnsi" w:cstheme="minorBidi"/>
          <w:noProof/>
          <w:kern w:val="2"/>
          <w:lang w:eastAsia="zh-CN"/>
          <w14:ligatures w14:val="standardContextual"/>
        </w:rPr>
      </w:pPr>
      <w:hyperlink w:anchor="_Toc222741371" w:history="1">
        <w:r w:rsidRPr="00717CAA">
          <w:rPr>
            <w:rStyle w:val="Hyperlink"/>
            <w:noProof/>
          </w:rPr>
          <w:t>2.</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Utilisation</w:t>
        </w:r>
        <w:r w:rsidR="00DE7820">
          <w:rPr>
            <w:rStyle w:val="Hyperlink"/>
            <w:bCs/>
            <w:noProof/>
            <w:lang w:val="fr-FR"/>
          </w:rPr>
          <w:t xml:space="preserve"> </w:t>
        </w:r>
        <w:r w:rsidRPr="00717CAA">
          <w:rPr>
            <w:rStyle w:val="Hyperlink"/>
            <w:bCs/>
            <w:noProof/>
            <w:lang w:val="fr-FR"/>
          </w:rPr>
          <w:t>/</w:t>
        </w:r>
        <w:r w:rsidR="00DE7820">
          <w:rPr>
            <w:rStyle w:val="Hyperlink"/>
            <w:bCs/>
            <w:noProof/>
            <w:lang w:val="fr-FR"/>
          </w:rPr>
          <w:t xml:space="preserve"> </w:t>
        </w:r>
        <w:r w:rsidRPr="00717CAA">
          <w:rPr>
            <w:rStyle w:val="Hyperlink"/>
            <w:bCs/>
            <w:noProof/>
            <w:lang w:val="fr-FR"/>
          </w:rPr>
          <w:t>finalité du dispositif</w:t>
        </w:r>
        <w:r>
          <w:rPr>
            <w:noProof/>
            <w:webHidden/>
          </w:rPr>
          <w:tab/>
        </w:r>
        <w:r>
          <w:rPr>
            <w:noProof/>
            <w:webHidden/>
          </w:rPr>
          <w:fldChar w:fldCharType="begin"/>
        </w:r>
        <w:r>
          <w:rPr>
            <w:noProof/>
            <w:webHidden/>
          </w:rPr>
          <w:instrText xml:space="preserve"> PAGEREF _Toc222741371 \h </w:instrText>
        </w:r>
        <w:r>
          <w:rPr>
            <w:noProof/>
            <w:webHidden/>
          </w:rPr>
        </w:r>
        <w:r>
          <w:rPr>
            <w:noProof/>
            <w:webHidden/>
          </w:rPr>
          <w:fldChar w:fldCharType="separate"/>
        </w:r>
        <w:r w:rsidR="007B19AD">
          <w:rPr>
            <w:noProof/>
            <w:webHidden/>
          </w:rPr>
          <w:t>4</w:t>
        </w:r>
        <w:r>
          <w:rPr>
            <w:noProof/>
            <w:webHidden/>
          </w:rPr>
          <w:fldChar w:fldCharType="end"/>
        </w:r>
      </w:hyperlink>
    </w:p>
    <w:p w14:paraId="45A5466E" w14:textId="609540CD" w:rsidR="00A377B2" w:rsidRDefault="003E0201">
      <w:pPr>
        <w:pStyle w:val="TOC1"/>
        <w:rPr>
          <w:rFonts w:asciiTheme="minorHAnsi" w:eastAsiaTheme="minorEastAsia" w:hAnsiTheme="minorHAnsi" w:cstheme="minorBidi"/>
          <w:noProof/>
          <w:kern w:val="2"/>
          <w:lang w:eastAsia="zh-CN"/>
          <w14:ligatures w14:val="standardContextual"/>
        </w:rPr>
      </w:pPr>
      <w:hyperlink w:anchor="_Toc222741372" w:history="1">
        <w:r w:rsidRPr="00717CAA">
          <w:rPr>
            <w:rStyle w:val="Hyperlink"/>
            <w:noProof/>
          </w:rPr>
          <w:t>2.1.</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Finalité / Utilisation prévue</w:t>
        </w:r>
        <w:r>
          <w:rPr>
            <w:noProof/>
            <w:webHidden/>
          </w:rPr>
          <w:tab/>
          <w:t>4</w:t>
        </w:r>
      </w:hyperlink>
    </w:p>
    <w:p w14:paraId="708BB603" w14:textId="58E3DE99" w:rsidR="00A377B2" w:rsidRDefault="003E0201">
      <w:pPr>
        <w:pStyle w:val="TOC1"/>
        <w:rPr>
          <w:rFonts w:asciiTheme="minorHAnsi" w:eastAsiaTheme="minorEastAsia" w:hAnsiTheme="minorHAnsi" w:cstheme="minorBidi"/>
          <w:noProof/>
          <w:kern w:val="2"/>
          <w:lang w:eastAsia="zh-CN"/>
          <w14:ligatures w14:val="standardContextual"/>
        </w:rPr>
      </w:pPr>
      <w:hyperlink w:anchor="_Toc222741373" w:history="1">
        <w:r w:rsidRPr="00717CAA">
          <w:rPr>
            <w:rStyle w:val="Hyperlink"/>
            <w:noProof/>
          </w:rPr>
          <w:t>2.2.</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Indications d’utilisation</w:t>
        </w:r>
        <w:r>
          <w:rPr>
            <w:noProof/>
            <w:webHidden/>
          </w:rPr>
          <w:tab/>
          <w:t>4</w:t>
        </w:r>
      </w:hyperlink>
    </w:p>
    <w:p w14:paraId="3AD278F1" w14:textId="180FE742" w:rsidR="00A377B2" w:rsidRDefault="00A377B2">
      <w:pPr>
        <w:pStyle w:val="TOC1"/>
        <w:rPr>
          <w:rFonts w:asciiTheme="minorHAnsi" w:eastAsiaTheme="minorEastAsia" w:hAnsiTheme="minorHAnsi" w:cstheme="minorBidi"/>
          <w:noProof/>
          <w:kern w:val="2"/>
          <w:lang w:eastAsia="zh-CN"/>
          <w14:ligatures w14:val="standardContextual"/>
        </w:rPr>
      </w:pPr>
      <w:hyperlink w:anchor="_Toc222741374" w:history="1">
        <w:r w:rsidRPr="00717CAA">
          <w:rPr>
            <w:rStyle w:val="Hyperlink"/>
            <w:noProof/>
          </w:rPr>
          <w:t>2.3.</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Population cible</w:t>
        </w:r>
        <w:r>
          <w:rPr>
            <w:noProof/>
            <w:webHidden/>
          </w:rPr>
          <w:tab/>
        </w:r>
        <w:r>
          <w:rPr>
            <w:noProof/>
            <w:webHidden/>
          </w:rPr>
          <w:fldChar w:fldCharType="begin"/>
        </w:r>
        <w:r>
          <w:rPr>
            <w:noProof/>
            <w:webHidden/>
          </w:rPr>
          <w:instrText xml:space="preserve"> PAGEREF _Toc222741374 \h </w:instrText>
        </w:r>
        <w:r>
          <w:rPr>
            <w:noProof/>
            <w:webHidden/>
          </w:rPr>
        </w:r>
        <w:r>
          <w:rPr>
            <w:noProof/>
            <w:webHidden/>
          </w:rPr>
          <w:fldChar w:fldCharType="separate"/>
        </w:r>
        <w:r w:rsidR="007B19AD">
          <w:rPr>
            <w:noProof/>
            <w:webHidden/>
          </w:rPr>
          <w:t>5</w:t>
        </w:r>
        <w:r>
          <w:rPr>
            <w:noProof/>
            <w:webHidden/>
          </w:rPr>
          <w:fldChar w:fldCharType="end"/>
        </w:r>
      </w:hyperlink>
    </w:p>
    <w:p w14:paraId="377685F3" w14:textId="47CA2D8E" w:rsidR="00A377B2" w:rsidRDefault="00A377B2">
      <w:pPr>
        <w:pStyle w:val="TOC1"/>
        <w:rPr>
          <w:rFonts w:asciiTheme="minorHAnsi" w:eastAsiaTheme="minorEastAsia" w:hAnsiTheme="minorHAnsi" w:cstheme="minorBidi"/>
          <w:noProof/>
          <w:kern w:val="2"/>
          <w:lang w:eastAsia="zh-CN"/>
          <w14:ligatures w14:val="standardContextual"/>
        </w:rPr>
      </w:pPr>
      <w:hyperlink w:anchor="_Toc222741375" w:history="1">
        <w:r w:rsidRPr="00717CAA">
          <w:rPr>
            <w:rStyle w:val="Hyperlink"/>
            <w:noProof/>
          </w:rPr>
          <w:t>2.4.</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Contre-indications</w:t>
        </w:r>
        <w:r>
          <w:rPr>
            <w:noProof/>
            <w:webHidden/>
          </w:rPr>
          <w:tab/>
        </w:r>
        <w:r>
          <w:rPr>
            <w:noProof/>
            <w:webHidden/>
          </w:rPr>
          <w:fldChar w:fldCharType="begin"/>
        </w:r>
        <w:r>
          <w:rPr>
            <w:noProof/>
            <w:webHidden/>
          </w:rPr>
          <w:instrText xml:space="preserve"> PAGEREF _Toc222741375 \h </w:instrText>
        </w:r>
        <w:r>
          <w:rPr>
            <w:noProof/>
            <w:webHidden/>
          </w:rPr>
        </w:r>
        <w:r>
          <w:rPr>
            <w:noProof/>
            <w:webHidden/>
          </w:rPr>
          <w:fldChar w:fldCharType="separate"/>
        </w:r>
        <w:r w:rsidR="007B19AD">
          <w:rPr>
            <w:noProof/>
            <w:webHidden/>
          </w:rPr>
          <w:t>5</w:t>
        </w:r>
        <w:r>
          <w:rPr>
            <w:noProof/>
            <w:webHidden/>
          </w:rPr>
          <w:fldChar w:fldCharType="end"/>
        </w:r>
      </w:hyperlink>
    </w:p>
    <w:p w14:paraId="58FD914B" w14:textId="3A120846" w:rsidR="00A377B2" w:rsidRDefault="00A377B2">
      <w:pPr>
        <w:pStyle w:val="TOC1"/>
        <w:rPr>
          <w:rFonts w:asciiTheme="minorHAnsi" w:eastAsiaTheme="minorEastAsia" w:hAnsiTheme="minorHAnsi" w:cstheme="minorBidi"/>
          <w:noProof/>
          <w:kern w:val="2"/>
          <w:lang w:eastAsia="zh-CN"/>
          <w14:ligatures w14:val="standardContextual"/>
        </w:rPr>
      </w:pPr>
      <w:hyperlink w:anchor="_Toc222741376" w:history="1">
        <w:r w:rsidRPr="00717CAA">
          <w:rPr>
            <w:rStyle w:val="Hyperlink"/>
            <w:noProof/>
          </w:rPr>
          <w:t>3.</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Description du dispositif</w:t>
        </w:r>
        <w:r>
          <w:rPr>
            <w:noProof/>
            <w:webHidden/>
          </w:rPr>
          <w:tab/>
        </w:r>
        <w:r>
          <w:rPr>
            <w:noProof/>
            <w:webHidden/>
          </w:rPr>
          <w:fldChar w:fldCharType="begin"/>
        </w:r>
        <w:r>
          <w:rPr>
            <w:noProof/>
            <w:webHidden/>
          </w:rPr>
          <w:instrText xml:space="preserve"> PAGEREF _Toc222741376 \h </w:instrText>
        </w:r>
        <w:r>
          <w:rPr>
            <w:noProof/>
            <w:webHidden/>
          </w:rPr>
        </w:r>
        <w:r>
          <w:rPr>
            <w:noProof/>
            <w:webHidden/>
          </w:rPr>
          <w:fldChar w:fldCharType="separate"/>
        </w:r>
        <w:r w:rsidR="007B19AD">
          <w:rPr>
            <w:noProof/>
            <w:webHidden/>
          </w:rPr>
          <w:t>5</w:t>
        </w:r>
        <w:r>
          <w:rPr>
            <w:noProof/>
            <w:webHidden/>
          </w:rPr>
          <w:fldChar w:fldCharType="end"/>
        </w:r>
      </w:hyperlink>
    </w:p>
    <w:p w14:paraId="12BBD82B" w14:textId="46617035" w:rsidR="00A377B2" w:rsidRDefault="00A377B2">
      <w:pPr>
        <w:pStyle w:val="TOC1"/>
        <w:rPr>
          <w:rFonts w:asciiTheme="minorHAnsi" w:eastAsiaTheme="minorEastAsia" w:hAnsiTheme="minorHAnsi" w:cstheme="minorBidi"/>
          <w:noProof/>
          <w:kern w:val="2"/>
          <w:lang w:eastAsia="zh-CN"/>
          <w14:ligatures w14:val="standardContextual"/>
        </w:rPr>
      </w:pPr>
      <w:hyperlink w:anchor="_Toc222741377" w:history="1">
        <w:r w:rsidRPr="00717CAA">
          <w:rPr>
            <w:rStyle w:val="Hyperlink"/>
            <w:noProof/>
          </w:rPr>
          <w:t>3.1.</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Description du dispositif</w:t>
        </w:r>
        <w:r>
          <w:rPr>
            <w:noProof/>
            <w:webHidden/>
          </w:rPr>
          <w:tab/>
        </w:r>
        <w:r>
          <w:rPr>
            <w:noProof/>
            <w:webHidden/>
          </w:rPr>
          <w:fldChar w:fldCharType="begin"/>
        </w:r>
        <w:r>
          <w:rPr>
            <w:noProof/>
            <w:webHidden/>
          </w:rPr>
          <w:instrText xml:space="preserve"> PAGEREF _Toc222741377 \h </w:instrText>
        </w:r>
        <w:r>
          <w:rPr>
            <w:noProof/>
            <w:webHidden/>
          </w:rPr>
        </w:r>
        <w:r>
          <w:rPr>
            <w:noProof/>
            <w:webHidden/>
          </w:rPr>
          <w:fldChar w:fldCharType="separate"/>
        </w:r>
        <w:r w:rsidR="007B19AD">
          <w:rPr>
            <w:noProof/>
            <w:webHidden/>
          </w:rPr>
          <w:t>5</w:t>
        </w:r>
        <w:r>
          <w:rPr>
            <w:noProof/>
            <w:webHidden/>
          </w:rPr>
          <w:fldChar w:fldCharType="end"/>
        </w:r>
      </w:hyperlink>
    </w:p>
    <w:p w14:paraId="4B60AF01" w14:textId="38DF8387" w:rsidR="00A377B2" w:rsidRDefault="00C462E5">
      <w:pPr>
        <w:pStyle w:val="TOC1"/>
        <w:rPr>
          <w:rFonts w:asciiTheme="minorHAnsi" w:eastAsiaTheme="minorEastAsia" w:hAnsiTheme="minorHAnsi" w:cstheme="minorBidi"/>
          <w:noProof/>
          <w:kern w:val="2"/>
          <w:lang w:eastAsia="zh-CN"/>
          <w14:ligatures w14:val="standardContextual"/>
        </w:rPr>
      </w:pPr>
      <w:hyperlink w:anchor="_Toc222741378" w:history="1">
        <w:r w:rsidRPr="00717CAA">
          <w:rPr>
            <w:rStyle w:val="Hyperlink"/>
            <w:noProof/>
          </w:rPr>
          <w:t>3.2.</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Variantes précédentes et leurs différences</w:t>
        </w:r>
        <w:r>
          <w:rPr>
            <w:noProof/>
            <w:webHidden/>
          </w:rPr>
          <w:tab/>
          <w:t>5</w:t>
        </w:r>
      </w:hyperlink>
    </w:p>
    <w:p w14:paraId="57269AD8" w14:textId="71C593C1" w:rsidR="00A377B2" w:rsidRDefault="00C462E5">
      <w:pPr>
        <w:pStyle w:val="TOC1"/>
        <w:rPr>
          <w:rFonts w:asciiTheme="minorHAnsi" w:eastAsiaTheme="minorEastAsia" w:hAnsiTheme="minorHAnsi" w:cstheme="minorBidi"/>
          <w:noProof/>
          <w:kern w:val="2"/>
          <w:lang w:eastAsia="zh-CN"/>
          <w14:ligatures w14:val="standardContextual"/>
        </w:rPr>
      </w:pPr>
      <w:hyperlink w:anchor="_Toc222741379" w:history="1">
        <w:r w:rsidRPr="00717CAA">
          <w:rPr>
            <w:rStyle w:val="Hyperlink"/>
            <w:noProof/>
          </w:rPr>
          <w:t>3.3.</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Accessoires, dispositifs compatibles et autres produits utilisés en combinaison</w:t>
        </w:r>
        <w:r>
          <w:rPr>
            <w:noProof/>
            <w:webHidden/>
          </w:rPr>
          <w:tab/>
          <w:t>5</w:t>
        </w:r>
      </w:hyperlink>
    </w:p>
    <w:p w14:paraId="7F0F365E" w14:textId="4B1B2CC0" w:rsidR="00A377B2" w:rsidRDefault="00A377B2">
      <w:pPr>
        <w:pStyle w:val="TOC1"/>
        <w:rPr>
          <w:rFonts w:asciiTheme="minorHAnsi" w:eastAsiaTheme="minorEastAsia" w:hAnsiTheme="minorHAnsi" w:cstheme="minorBidi"/>
          <w:noProof/>
          <w:kern w:val="2"/>
          <w:lang w:eastAsia="zh-CN"/>
          <w14:ligatures w14:val="standardContextual"/>
        </w:rPr>
      </w:pPr>
      <w:hyperlink w:anchor="_Toc222741380" w:history="1">
        <w:r w:rsidRPr="00717CAA">
          <w:rPr>
            <w:rStyle w:val="Hyperlink"/>
            <w:noProof/>
          </w:rPr>
          <w:t>4.</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Risques et avertissements</w:t>
        </w:r>
        <w:r>
          <w:rPr>
            <w:noProof/>
            <w:webHidden/>
          </w:rPr>
          <w:tab/>
        </w:r>
        <w:r>
          <w:rPr>
            <w:noProof/>
            <w:webHidden/>
          </w:rPr>
          <w:fldChar w:fldCharType="begin"/>
        </w:r>
        <w:r>
          <w:rPr>
            <w:noProof/>
            <w:webHidden/>
          </w:rPr>
          <w:instrText xml:space="preserve"> PAGEREF _Toc222741380 \h </w:instrText>
        </w:r>
        <w:r>
          <w:rPr>
            <w:noProof/>
            <w:webHidden/>
          </w:rPr>
        </w:r>
        <w:r>
          <w:rPr>
            <w:noProof/>
            <w:webHidden/>
          </w:rPr>
          <w:fldChar w:fldCharType="separate"/>
        </w:r>
        <w:r w:rsidR="007B19AD">
          <w:rPr>
            <w:noProof/>
            <w:webHidden/>
          </w:rPr>
          <w:t>6</w:t>
        </w:r>
        <w:r>
          <w:rPr>
            <w:noProof/>
            <w:webHidden/>
          </w:rPr>
          <w:fldChar w:fldCharType="end"/>
        </w:r>
      </w:hyperlink>
    </w:p>
    <w:p w14:paraId="05A5B58E" w14:textId="03E9F34E" w:rsidR="00A377B2" w:rsidRDefault="00A377B2">
      <w:pPr>
        <w:pStyle w:val="TOC1"/>
        <w:rPr>
          <w:rFonts w:asciiTheme="minorHAnsi" w:eastAsiaTheme="minorEastAsia" w:hAnsiTheme="minorHAnsi" w:cstheme="minorBidi"/>
          <w:noProof/>
          <w:kern w:val="2"/>
          <w:lang w:eastAsia="zh-CN"/>
          <w14:ligatures w14:val="standardContextual"/>
        </w:rPr>
      </w:pPr>
      <w:hyperlink w:anchor="_Toc222741381" w:history="1">
        <w:r w:rsidRPr="00717CAA">
          <w:rPr>
            <w:rStyle w:val="Hyperlink"/>
            <w:noProof/>
          </w:rPr>
          <w:t>4.1.</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Risques résiduels et effets secondaires indésirables</w:t>
        </w:r>
        <w:r>
          <w:rPr>
            <w:noProof/>
            <w:webHidden/>
          </w:rPr>
          <w:tab/>
        </w:r>
        <w:r>
          <w:rPr>
            <w:noProof/>
            <w:webHidden/>
          </w:rPr>
          <w:fldChar w:fldCharType="begin"/>
        </w:r>
        <w:r>
          <w:rPr>
            <w:noProof/>
            <w:webHidden/>
          </w:rPr>
          <w:instrText xml:space="preserve"> PAGEREF _Toc222741381 \h </w:instrText>
        </w:r>
        <w:r>
          <w:rPr>
            <w:noProof/>
            <w:webHidden/>
          </w:rPr>
        </w:r>
        <w:r>
          <w:rPr>
            <w:noProof/>
            <w:webHidden/>
          </w:rPr>
          <w:fldChar w:fldCharType="separate"/>
        </w:r>
        <w:r w:rsidR="007B19AD">
          <w:rPr>
            <w:noProof/>
            <w:webHidden/>
          </w:rPr>
          <w:t>6</w:t>
        </w:r>
        <w:r>
          <w:rPr>
            <w:noProof/>
            <w:webHidden/>
          </w:rPr>
          <w:fldChar w:fldCharType="end"/>
        </w:r>
      </w:hyperlink>
    </w:p>
    <w:p w14:paraId="4132B060" w14:textId="43C2386B" w:rsidR="00A377B2" w:rsidRDefault="00C462E5">
      <w:pPr>
        <w:pStyle w:val="TOC1"/>
        <w:rPr>
          <w:rFonts w:asciiTheme="minorHAnsi" w:eastAsiaTheme="minorEastAsia" w:hAnsiTheme="minorHAnsi" w:cstheme="minorBidi"/>
          <w:noProof/>
          <w:kern w:val="2"/>
          <w:lang w:eastAsia="zh-CN"/>
          <w14:ligatures w14:val="standardContextual"/>
        </w:rPr>
      </w:pPr>
      <w:hyperlink w:anchor="_Toc222741382" w:history="1">
        <w:r w:rsidRPr="00717CAA">
          <w:rPr>
            <w:rStyle w:val="Hyperlink"/>
            <w:noProof/>
          </w:rPr>
          <w:t>4.2.</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Avertissements et mises en garde</w:t>
        </w:r>
        <w:r>
          <w:rPr>
            <w:noProof/>
            <w:webHidden/>
          </w:rPr>
          <w:tab/>
          <w:t>6</w:t>
        </w:r>
      </w:hyperlink>
    </w:p>
    <w:p w14:paraId="50A517A9" w14:textId="0CFB2A87" w:rsidR="00A377B2" w:rsidRDefault="00C462E5">
      <w:pPr>
        <w:pStyle w:val="TOC1"/>
        <w:rPr>
          <w:rFonts w:asciiTheme="minorHAnsi" w:eastAsiaTheme="minorEastAsia" w:hAnsiTheme="minorHAnsi" w:cstheme="minorBidi"/>
          <w:noProof/>
          <w:kern w:val="2"/>
          <w:lang w:eastAsia="zh-CN"/>
          <w14:ligatures w14:val="standardContextual"/>
        </w:rPr>
      </w:pPr>
      <w:hyperlink w:anchor="_Toc222741383" w:history="1">
        <w:r w:rsidRPr="00717CAA">
          <w:rPr>
            <w:rStyle w:val="Hyperlink"/>
            <w:noProof/>
          </w:rPr>
          <w:t>4.3.</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Autres aspects relatifs à la sécurité, y compris un résumé de toute action corrective de sécurité sur le terrain (FSCA, y compris FSN), le cas échéant</w:t>
        </w:r>
        <w:r>
          <w:rPr>
            <w:noProof/>
            <w:webHidden/>
          </w:rPr>
          <w:tab/>
          <w:t>7</w:t>
        </w:r>
      </w:hyperlink>
    </w:p>
    <w:p w14:paraId="68897E7E" w14:textId="1A9B45BA" w:rsidR="00A377B2" w:rsidRDefault="00C462E5">
      <w:pPr>
        <w:pStyle w:val="TOC1"/>
        <w:rPr>
          <w:rFonts w:asciiTheme="minorHAnsi" w:eastAsiaTheme="minorEastAsia" w:hAnsiTheme="minorHAnsi" w:cstheme="minorBidi"/>
          <w:noProof/>
          <w:kern w:val="2"/>
          <w:lang w:eastAsia="zh-CN"/>
          <w14:ligatures w14:val="standardContextual"/>
        </w:rPr>
      </w:pPr>
      <w:hyperlink w:anchor="_Toc222741384" w:history="1">
        <w:r w:rsidRPr="00717CAA">
          <w:rPr>
            <w:rStyle w:val="Hyperlink"/>
            <w:noProof/>
          </w:rPr>
          <w:t>5.</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 xml:space="preserve">Résumé de l’évaluation clinique et du suivi clinique post-commercialisation </w:t>
        </w:r>
        <w:r>
          <w:rPr>
            <w:rStyle w:val="Hyperlink"/>
            <w:bCs/>
            <w:noProof/>
            <w:lang w:val="fr-FR"/>
          </w:rPr>
          <w:br/>
        </w:r>
        <w:r w:rsidRPr="00717CAA">
          <w:rPr>
            <w:rStyle w:val="Hyperlink"/>
            <w:bCs/>
            <w:noProof/>
            <w:lang w:val="fr-FR"/>
          </w:rPr>
          <w:t>(PMCF)</w:t>
        </w:r>
        <w:r>
          <w:rPr>
            <w:noProof/>
            <w:webHidden/>
          </w:rPr>
          <w:tab/>
          <w:t>7</w:t>
        </w:r>
      </w:hyperlink>
    </w:p>
    <w:p w14:paraId="7DC68847" w14:textId="754AD1B3" w:rsidR="00A377B2" w:rsidRDefault="00A377B2">
      <w:pPr>
        <w:pStyle w:val="TOC1"/>
        <w:rPr>
          <w:rFonts w:asciiTheme="minorHAnsi" w:eastAsiaTheme="minorEastAsia" w:hAnsiTheme="minorHAnsi" w:cstheme="minorBidi"/>
          <w:noProof/>
          <w:kern w:val="2"/>
          <w:lang w:eastAsia="zh-CN"/>
          <w14:ligatures w14:val="standardContextual"/>
        </w:rPr>
      </w:pPr>
      <w:hyperlink w:anchor="_Toc222741385" w:history="1">
        <w:r w:rsidRPr="00717CAA">
          <w:rPr>
            <w:rStyle w:val="Hyperlink"/>
            <w:noProof/>
          </w:rPr>
          <w:t>5.1.</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Résumé des données cliniques relatives à un dispositif équivalent, le cas échéant</w:t>
        </w:r>
        <w:r>
          <w:rPr>
            <w:noProof/>
            <w:webHidden/>
          </w:rPr>
          <w:tab/>
        </w:r>
        <w:r>
          <w:rPr>
            <w:noProof/>
            <w:webHidden/>
          </w:rPr>
          <w:fldChar w:fldCharType="begin"/>
        </w:r>
        <w:r>
          <w:rPr>
            <w:noProof/>
            <w:webHidden/>
          </w:rPr>
          <w:instrText xml:space="preserve"> PAGEREF _Toc222741385 \h </w:instrText>
        </w:r>
        <w:r>
          <w:rPr>
            <w:noProof/>
            <w:webHidden/>
          </w:rPr>
        </w:r>
        <w:r>
          <w:rPr>
            <w:noProof/>
            <w:webHidden/>
          </w:rPr>
          <w:fldChar w:fldCharType="separate"/>
        </w:r>
        <w:r w:rsidR="007B19AD">
          <w:rPr>
            <w:noProof/>
            <w:webHidden/>
          </w:rPr>
          <w:t>8</w:t>
        </w:r>
        <w:r>
          <w:rPr>
            <w:noProof/>
            <w:webHidden/>
          </w:rPr>
          <w:fldChar w:fldCharType="end"/>
        </w:r>
      </w:hyperlink>
    </w:p>
    <w:p w14:paraId="44670A32" w14:textId="51CEAB63" w:rsidR="00A377B2" w:rsidRDefault="00C462E5">
      <w:pPr>
        <w:pStyle w:val="TOC1"/>
        <w:rPr>
          <w:rFonts w:asciiTheme="minorHAnsi" w:eastAsiaTheme="minorEastAsia" w:hAnsiTheme="minorHAnsi" w:cstheme="minorBidi"/>
          <w:noProof/>
          <w:kern w:val="2"/>
          <w:lang w:eastAsia="zh-CN"/>
          <w14:ligatures w14:val="standardContextual"/>
        </w:rPr>
      </w:pPr>
      <w:hyperlink w:anchor="_Toc222741386" w:history="1">
        <w:r w:rsidRPr="00717CAA">
          <w:rPr>
            <w:rStyle w:val="Hyperlink"/>
            <w:noProof/>
          </w:rPr>
          <w:t>5.2.</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Résumé des données cliniques issues des investigations menées sur le dispositif avant le marquage CE, le cas échéant</w:t>
        </w:r>
        <w:r>
          <w:rPr>
            <w:noProof/>
            <w:webHidden/>
          </w:rPr>
          <w:tab/>
          <w:t>8</w:t>
        </w:r>
      </w:hyperlink>
    </w:p>
    <w:p w14:paraId="3FFF0A7D" w14:textId="60475139" w:rsidR="00A377B2" w:rsidRDefault="00A377B2">
      <w:pPr>
        <w:pStyle w:val="TOC1"/>
        <w:rPr>
          <w:rFonts w:asciiTheme="minorHAnsi" w:eastAsiaTheme="minorEastAsia" w:hAnsiTheme="minorHAnsi" w:cstheme="minorBidi"/>
          <w:noProof/>
          <w:kern w:val="2"/>
          <w:lang w:eastAsia="zh-CN"/>
          <w14:ligatures w14:val="standardContextual"/>
        </w:rPr>
      </w:pPr>
      <w:hyperlink w:anchor="_Toc222741387" w:history="1">
        <w:r w:rsidRPr="00717CAA">
          <w:rPr>
            <w:rStyle w:val="Hyperlink"/>
            <w:noProof/>
          </w:rPr>
          <w:t>5.3.</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Résumé des données cliniques provenant d’autres sources, le cas échéant</w:t>
        </w:r>
        <w:r>
          <w:rPr>
            <w:noProof/>
            <w:webHidden/>
          </w:rPr>
          <w:tab/>
        </w:r>
        <w:r>
          <w:rPr>
            <w:noProof/>
            <w:webHidden/>
          </w:rPr>
          <w:fldChar w:fldCharType="begin"/>
        </w:r>
        <w:r>
          <w:rPr>
            <w:noProof/>
            <w:webHidden/>
          </w:rPr>
          <w:instrText xml:space="preserve"> PAGEREF _Toc222741387 \h </w:instrText>
        </w:r>
        <w:r>
          <w:rPr>
            <w:noProof/>
            <w:webHidden/>
          </w:rPr>
        </w:r>
        <w:r>
          <w:rPr>
            <w:noProof/>
            <w:webHidden/>
          </w:rPr>
          <w:fldChar w:fldCharType="separate"/>
        </w:r>
        <w:r w:rsidR="007B19AD">
          <w:rPr>
            <w:noProof/>
            <w:webHidden/>
          </w:rPr>
          <w:t>9</w:t>
        </w:r>
        <w:r>
          <w:rPr>
            <w:noProof/>
            <w:webHidden/>
          </w:rPr>
          <w:fldChar w:fldCharType="end"/>
        </w:r>
      </w:hyperlink>
    </w:p>
    <w:p w14:paraId="36422D96" w14:textId="4DB88BF4" w:rsidR="00A377B2" w:rsidRDefault="00A377B2">
      <w:pPr>
        <w:pStyle w:val="TOC1"/>
        <w:rPr>
          <w:rFonts w:asciiTheme="minorHAnsi" w:eastAsiaTheme="minorEastAsia" w:hAnsiTheme="minorHAnsi" w:cstheme="minorBidi"/>
          <w:noProof/>
          <w:kern w:val="2"/>
          <w:lang w:eastAsia="zh-CN"/>
          <w14:ligatures w14:val="standardContextual"/>
        </w:rPr>
      </w:pPr>
      <w:hyperlink w:anchor="_Toc222741388" w:history="1">
        <w:r w:rsidRPr="00717CAA">
          <w:rPr>
            <w:rStyle w:val="Hyperlink"/>
            <w:noProof/>
          </w:rPr>
          <w:t>5.4.</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Résumé global des performances cliniques et de la sécurité</w:t>
        </w:r>
        <w:r>
          <w:rPr>
            <w:noProof/>
            <w:webHidden/>
          </w:rPr>
          <w:tab/>
        </w:r>
        <w:r>
          <w:rPr>
            <w:noProof/>
            <w:webHidden/>
          </w:rPr>
          <w:fldChar w:fldCharType="begin"/>
        </w:r>
        <w:r>
          <w:rPr>
            <w:noProof/>
            <w:webHidden/>
          </w:rPr>
          <w:instrText xml:space="preserve"> PAGEREF _Toc222741388 \h </w:instrText>
        </w:r>
        <w:r>
          <w:rPr>
            <w:noProof/>
            <w:webHidden/>
          </w:rPr>
        </w:r>
        <w:r>
          <w:rPr>
            <w:noProof/>
            <w:webHidden/>
          </w:rPr>
          <w:fldChar w:fldCharType="separate"/>
        </w:r>
        <w:r w:rsidR="007B19AD">
          <w:rPr>
            <w:noProof/>
            <w:webHidden/>
          </w:rPr>
          <w:t>10</w:t>
        </w:r>
        <w:r>
          <w:rPr>
            <w:noProof/>
            <w:webHidden/>
          </w:rPr>
          <w:fldChar w:fldCharType="end"/>
        </w:r>
      </w:hyperlink>
    </w:p>
    <w:p w14:paraId="23DB949B" w14:textId="49A698A0" w:rsidR="00A377B2" w:rsidRDefault="00A377B2">
      <w:pPr>
        <w:pStyle w:val="TOC1"/>
        <w:rPr>
          <w:rFonts w:asciiTheme="minorHAnsi" w:eastAsiaTheme="minorEastAsia" w:hAnsiTheme="minorHAnsi" w:cstheme="minorBidi"/>
          <w:noProof/>
          <w:kern w:val="2"/>
          <w:lang w:eastAsia="zh-CN"/>
          <w14:ligatures w14:val="standardContextual"/>
        </w:rPr>
      </w:pPr>
      <w:hyperlink w:anchor="_Toc222741389" w:history="1">
        <w:r w:rsidRPr="00717CAA">
          <w:rPr>
            <w:rStyle w:val="Hyperlink"/>
            <w:noProof/>
          </w:rPr>
          <w:t>5.5.</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Suivi clinique post-commercialisation en cours ou prévu</w:t>
        </w:r>
        <w:r>
          <w:rPr>
            <w:noProof/>
            <w:webHidden/>
          </w:rPr>
          <w:tab/>
        </w:r>
        <w:r>
          <w:rPr>
            <w:noProof/>
            <w:webHidden/>
          </w:rPr>
          <w:fldChar w:fldCharType="begin"/>
        </w:r>
        <w:r>
          <w:rPr>
            <w:noProof/>
            <w:webHidden/>
          </w:rPr>
          <w:instrText xml:space="preserve"> PAGEREF _Toc222741389 \h </w:instrText>
        </w:r>
        <w:r>
          <w:rPr>
            <w:noProof/>
            <w:webHidden/>
          </w:rPr>
        </w:r>
        <w:r>
          <w:rPr>
            <w:noProof/>
            <w:webHidden/>
          </w:rPr>
          <w:fldChar w:fldCharType="separate"/>
        </w:r>
        <w:r w:rsidR="007B19AD">
          <w:rPr>
            <w:noProof/>
            <w:webHidden/>
          </w:rPr>
          <w:t>11</w:t>
        </w:r>
        <w:r>
          <w:rPr>
            <w:noProof/>
            <w:webHidden/>
          </w:rPr>
          <w:fldChar w:fldCharType="end"/>
        </w:r>
      </w:hyperlink>
    </w:p>
    <w:p w14:paraId="39E0D23B" w14:textId="0091E55D" w:rsidR="00A377B2" w:rsidRDefault="00C462E5">
      <w:pPr>
        <w:pStyle w:val="TOC1"/>
        <w:rPr>
          <w:rFonts w:asciiTheme="minorHAnsi" w:eastAsiaTheme="minorEastAsia" w:hAnsiTheme="minorHAnsi" w:cstheme="minorBidi"/>
          <w:noProof/>
          <w:kern w:val="2"/>
          <w:lang w:eastAsia="zh-CN"/>
          <w14:ligatures w14:val="standardContextual"/>
        </w:rPr>
      </w:pPr>
      <w:hyperlink w:anchor="_Toc222741390" w:history="1">
        <w:r w:rsidRPr="00717CAA">
          <w:rPr>
            <w:rStyle w:val="Hyperlink"/>
            <w:noProof/>
          </w:rPr>
          <w:t>6.</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Alternatives diagnostiques ou thérapeutiques possibles</w:t>
        </w:r>
        <w:r>
          <w:rPr>
            <w:noProof/>
            <w:webHidden/>
          </w:rPr>
          <w:tab/>
        </w:r>
        <w:r>
          <w:rPr>
            <w:noProof/>
            <w:webHidden/>
          </w:rPr>
          <w:fldChar w:fldCharType="begin"/>
        </w:r>
        <w:r>
          <w:rPr>
            <w:noProof/>
            <w:webHidden/>
          </w:rPr>
          <w:instrText xml:space="preserve"> PAGEREF _Toc222741390 \h </w:instrText>
        </w:r>
        <w:r>
          <w:rPr>
            <w:noProof/>
            <w:webHidden/>
          </w:rPr>
        </w:r>
        <w:r>
          <w:rPr>
            <w:noProof/>
            <w:webHidden/>
          </w:rPr>
          <w:fldChar w:fldCharType="separate"/>
        </w:r>
        <w:r>
          <w:rPr>
            <w:noProof/>
            <w:webHidden/>
          </w:rPr>
          <w:t>11</w:t>
        </w:r>
        <w:r>
          <w:rPr>
            <w:noProof/>
            <w:webHidden/>
          </w:rPr>
          <w:fldChar w:fldCharType="end"/>
        </w:r>
      </w:hyperlink>
    </w:p>
    <w:p w14:paraId="00EDE5B3" w14:textId="7818BF94" w:rsidR="00A377B2" w:rsidRDefault="00C462E5">
      <w:pPr>
        <w:pStyle w:val="TOC1"/>
        <w:rPr>
          <w:rFonts w:asciiTheme="minorHAnsi" w:eastAsiaTheme="minorEastAsia" w:hAnsiTheme="minorHAnsi" w:cstheme="minorBidi"/>
          <w:noProof/>
          <w:kern w:val="2"/>
          <w:lang w:eastAsia="zh-CN"/>
          <w14:ligatures w14:val="standardContextual"/>
        </w:rPr>
      </w:pPr>
      <w:hyperlink w:anchor="_Toc222741391" w:history="1">
        <w:r w:rsidRPr="00717CAA">
          <w:rPr>
            <w:rStyle w:val="Hyperlink"/>
            <w:noProof/>
          </w:rPr>
          <w:t>7.</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Profil et formation suggérés des utilisateurs</w:t>
        </w:r>
        <w:r>
          <w:rPr>
            <w:noProof/>
            <w:webHidden/>
          </w:rPr>
          <w:tab/>
        </w:r>
        <w:r>
          <w:rPr>
            <w:noProof/>
            <w:webHidden/>
          </w:rPr>
          <w:fldChar w:fldCharType="begin"/>
        </w:r>
        <w:r>
          <w:rPr>
            <w:noProof/>
            <w:webHidden/>
          </w:rPr>
          <w:instrText xml:space="preserve"> PAGEREF _Toc222741391 \h </w:instrText>
        </w:r>
        <w:r>
          <w:rPr>
            <w:noProof/>
            <w:webHidden/>
          </w:rPr>
        </w:r>
        <w:r>
          <w:rPr>
            <w:noProof/>
            <w:webHidden/>
          </w:rPr>
          <w:fldChar w:fldCharType="separate"/>
        </w:r>
        <w:r>
          <w:rPr>
            <w:noProof/>
            <w:webHidden/>
          </w:rPr>
          <w:t>11</w:t>
        </w:r>
        <w:r>
          <w:rPr>
            <w:noProof/>
            <w:webHidden/>
          </w:rPr>
          <w:fldChar w:fldCharType="end"/>
        </w:r>
      </w:hyperlink>
    </w:p>
    <w:p w14:paraId="4191A359" w14:textId="687A83B4" w:rsidR="00A377B2" w:rsidRDefault="00C462E5">
      <w:pPr>
        <w:pStyle w:val="TOC1"/>
        <w:rPr>
          <w:rFonts w:asciiTheme="minorHAnsi" w:eastAsiaTheme="minorEastAsia" w:hAnsiTheme="minorHAnsi" w:cstheme="minorBidi"/>
          <w:noProof/>
          <w:kern w:val="2"/>
          <w:lang w:eastAsia="zh-CN"/>
          <w14:ligatures w14:val="standardContextual"/>
        </w:rPr>
      </w:pPr>
      <w:hyperlink w:anchor="_Toc222741392" w:history="1">
        <w:r w:rsidRPr="00717CAA">
          <w:rPr>
            <w:rStyle w:val="Hyperlink"/>
            <w:noProof/>
          </w:rPr>
          <w:t>8.</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Normes harmonisées</w:t>
        </w:r>
        <w:r>
          <w:rPr>
            <w:rStyle w:val="Hyperlink"/>
            <w:bCs/>
            <w:noProof/>
            <w:lang w:val="fr-FR"/>
          </w:rPr>
          <w:t xml:space="preserve"> </w:t>
        </w:r>
        <w:r w:rsidRPr="00717CAA">
          <w:rPr>
            <w:rStyle w:val="Hyperlink"/>
            <w:bCs/>
            <w:noProof/>
            <w:lang w:val="fr-FR"/>
          </w:rPr>
          <w:t>/</w:t>
        </w:r>
        <w:r>
          <w:rPr>
            <w:rStyle w:val="Hyperlink"/>
            <w:bCs/>
            <w:noProof/>
            <w:lang w:val="fr-FR"/>
          </w:rPr>
          <w:t xml:space="preserve"> </w:t>
        </w:r>
        <w:r w:rsidRPr="00717CAA">
          <w:rPr>
            <w:rStyle w:val="Hyperlink"/>
            <w:bCs/>
            <w:noProof/>
            <w:lang w:val="fr-FR"/>
          </w:rPr>
          <w:t>Spécifications communes</w:t>
        </w:r>
        <w:r>
          <w:rPr>
            <w:noProof/>
            <w:webHidden/>
          </w:rPr>
          <w:tab/>
        </w:r>
        <w:r>
          <w:rPr>
            <w:noProof/>
            <w:webHidden/>
          </w:rPr>
          <w:fldChar w:fldCharType="begin"/>
        </w:r>
        <w:r>
          <w:rPr>
            <w:noProof/>
            <w:webHidden/>
          </w:rPr>
          <w:instrText xml:space="preserve"> PAGEREF _Toc222741392 \h </w:instrText>
        </w:r>
        <w:r>
          <w:rPr>
            <w:noProof/>
            <w:webHidden/>
          </w:rPr>
        </w:r>
        <w:r>
          <w:rPr>
            <w:noProof/>
            <w:webHidden/>
          </w:rPr>
          <w:fldChar w:fldCharType="separate"/>
        </w:r>
        <w:r>
          <w:rPr>
            <w:noProof/>
            <w:webHidden/>
          </w:rPr>
          <w:t>11</w:t>
        </w:r>
        <w:r>
          <w:rPr>
            <w:noProof/>
            <w:webHidden/>
          </w:rPr>
          <w:fldChar w:fldCharType="end"/>
        </w:r>
      </w:hyperlink>
    </w:p>
    <w:p w14:paraId="0B346454" w14:textId="3F1B8E32" w:rsidR="00A377B2" w:rsidRDefault="00C462E5">
      <w:pPr>
        <w:pStyle w:val="TOC1"/>
        <w:rPr>
          <w:rFonts w:asciiTheme="minorHAnsi" w:eastAsiaTheme="minorEastAsia" w:hAnsiTheme="minorHAnsi" w:cstheme="minorBidi"/>
          <w:noProof/>
          <w:kern w:val="2"/>
          <w:lang w:eastAsia="zh-CN"/>
          <w14:ligatures w14:val="standardContextual"/>
        </w:rPr>
      </w:pPr>
      <w:hyperlink w:anchor="_Toc222741393" w:history="1">
        <w:r w:rsidRPr="00717CAA">
          <w:rPr>
            <w:rStyle w:val="Hyperlink"/>
            <w:noProof/>
          </w:rPr>
          <w:t>9.</w:t>
        </w:r>
        <w:r>
          <w:rPr>
            <w:rFonts w:asciiTheme="minorHAnsi" w:eastAsiaTheme="minorEastAsia" w:hAnsiTheme="minorHAnsi" w:cstheme="minorBidi"/>
            <w:noProof/>
            <w:kern w:val="2"/>
            <w:lang w:eastAsia="zh-CN"/>
            <w14:ligatures w14:val="standardContextual"/>
          </w:rPr>
          <w:tab/>
        </w:r>
        <w:r w:rsidRPr="00717CAA">
          <w:rPr>
            <w:rStyle w:val="Hyperlink"/>
            <w:bCs/>
            <w:noProof/>
            <w:lang w:val="fr-FR"/>
          </w:rPr>
          <w:t>Historique des révisions</w:t>
        </w:r>
        <w:r>
          <w:rPr>
            <w:noProof/>
            <w:webHidden/>
          </w:rPr>
          <w:tab/>
        </w:r>
        <w:r>
          <w:rPr>
            <w:noProof/>
            <w:webHidden/>
          </w:rPr>
          <w:fldChar w:fldCharType="begin"/>
        </w:r>
        <w:r>
          <w:rPr>
            <w:noProof/>
            <w:webHidden/>
          </w:rPr>
          <w:instrText xml:space="preserve"> PAGEREF _Toc222741393 \h </w:instrText>
        </w:r>
        <w:r>
          <w:rPr>
            <w:noProof/>
            <w:webHidden/>
          </w:rPr>
        </w:r>
        <w:r>
          <w:rPr>
            <w:noProof/>
            <w:webHidden/>
          </w:rPr>
          <w:fldChar w:fldCharType="separate"/>
        </w:r>
        <w:r>
          <w:rPr>
            <w:noProof/>
            <w:webHidden/>
          </w:rPr>
          <w:t>13</w:t>
        </w:r>
        <w:r>
          <w:rPr>
            <w:noProof/>
            <w:webHidden/>
          </w:rPr>
          <w:fldChar w:fldCharType="end"/>
        </w:r>
      </w:hyperlink>
    </w:p>
    <w:p w14:paraId="29D6E5E3" w14:textId="73F9A508" w:rsidR="006F0810" w:rsidRPr="009461CC" w:rsidRDefault="006F0810" w:rsidP="00042B91">
      <w:pPr>
        <w:spacing w:after="0" w:afterAutospacing="0" w:line="240" w:lineRule="auto"/>
        <w:rPr>
          <w:rFonts w:cs="Times New Roman"/>
        </w:rPr>
      </w:pPr>
      <w:r>
        <w:rPr>
          <w:rFonts w:cs="Times New Roman"/>
        </w:rPr>
        <w:fldChar w:fldCharType="end"/>
      </w:r>
    </w:p>
    <w:p w14:paraId="343DF155" w14:textId="77777777" w:rsidR="006F0810" w:rsidRPr="009461CC" w:rsidRDefault="006F0810" w:rsidP="00042B91">
      <w:pPr>
        <w:spacing w:after="0" w:afterAutospacing="0" w:line="240" w:lineRule="auto"/>
        <w:rPr>
          <w:rFonts w:cs="Times New Roman"/>
        </w:rPr>
      </w:pPr>
      <w:r>
        <w:rPr>
          <w:rFonts w:cs="Times New Roman"/>
          <w:lang w:val="fr-FR"/>
        </w:rPr>
        <w:br w:type="page"/>
      </w:r>
    </w:p>
    <w:p w14:paraId="453DC774" w14:textId="77777777" w:rsidR="00221CEF" w:rsidRPr="00CE53A8" w:rsidRDefault="00221CEF" w:rsidP="00042B91">
      <w:pPr>
        <w:pStyle w:val="Heading7"/>
        <w:spacing w:after="0" w:afterAutospacing="0"/>
        <w:rPr>
          <w:lang w:val="fr-FR"/>
        </w:rPr>
      </w:pPr>
      <w:r>
        <w:rPr>
          <w:bCs/>
          <w:lang w:val="fr-FR"/>
        </w:rPr>
        <w:lastRenderedPageBreak/>
        <w:t>Résumé des caractéristiques de sécurité et des performances cliniques</w:t>
      </w:r>
    </w:p>
    <w:p w14:paraId="2D567C3A" w14:textId="4D6B7954" w:rsidR="00221CEF" w:rsidRPr="00CE53A8" w:rsidRDefault="00221CEF" w:rsidP="00042B91">
      <w:pPr>
        <w:spacing w:after="0" w:afterAutospacing="0" w:line="240" w:lineRule="auto"/>
        <w:rPr>
          <w:rFonts w:cs="Times New Roman"/>
          <w:lang w:val="fr-FR"/>
        </w:rPr>
      </w:pPr>
      <w:r>
        <w:rPr>
          <w:rFonts w:cs="Times New Roman"/>
          <w:lang w:val="fr-FR"/>
        </w:rPr>
        <w:t>Ce résumé des caractéristiques de sécurité et des performances cliniques (SSCP) est destiné à fournir un accès public à un résumé mis à jour des principaux aspects de la sécurité et des performances cliniques du dispositif.</w:t>
      </w:r>
    </w:p>
    <w:p w14:paraId="549AF428" w14:textId="35F6904C" w:rsidR="00221CEF" w:rsidRPr="00CE53A8" w:rsidRDefault="00221CEF" w:rsidP="00042B91">
      <w:pPr>
        <w:spacing w:after="0" w:afterAutospacing="0" w:line="240" w:lineRule="auto"/>
        <w:rPr>
          <w:rFonts w:cs="Times New Roman"/>
          <w:lang w:val="fr-FR"/>
        </w:rPr>
      </w:pPr>
      <w:r>
        <w:rPr>
          <w:rFonts w:cs="Times New Roman"/>
          <w:lang w:val="fr-FR"/>
        </w:rPr>
        <w:t>Le SSCP n'est pas destiné à remplacer le mode d'emploi en tant que document principal pour garantir une utilisation sûre du dispositif, ni à fournir des suggestions diagnostiques ou thérapeutiques aux utilisateurs ou patients concernés.</w:t>
      </w:r>
    </w:p>
    <w:p w14:paraId="6E1D4297" w14:textId="77777777" w:rsidR="00042B91" w:rsidRPr="00C36DF6" w:rsidRDefault="00042B91" w:rsidP="00042B91">
      <w:pPr>
        <w:spacing w:after="0" w:afterAutospacing="0" w:line="240" w:lineRule="auto"/>
        <w:rPr>
          <w:rFonts w:cs="Times New Roman"/>
          <w:sz w:val="18"/>
          <w:szCs w:val="16"/>
          <w:lang w:val="fr-FR"/>
        </w:rPr>
      </w:pPr>
    </w:p>
    <w:p w14:paraId="57958E5A" w14:textId="739089BF" w:rsidR="00221CEF" w:rsidRPr="00CE53A8" w:rsidRDefault="00221CEF" w:rsidP="00042B91">
      <w:pPr>
        <w:spacing w:after="0" w:afterAutospacing="0" w:line="240" w:lineRule="auto"/>
        <w:rPr>
          <w:rFonts w:cs="Times New Roman"/>
          <w:lang w:val="fr-FR"/>
        </w:rPr>
      </w:pPr>
      <w:r>
        <w:rPr>
          <w:rFonts w:cs="Times New Roman"/>
          <w:lang w:val="fr-FR"/>
        </w:rPr>
        <w:t>Les informations suivantes sont destinées aux utilisateurs/professionnels de santé.</w:t>
      </w:r>
    </w:p>
    <w:p w14:paraId="18A77BED" w14:textId="77777777" w:rsidR="00042B91" w:rsidRPr="00CE53A8" w:rsidRDefault="00042B91" w:rsidP="00042B91">
      <w:pPr>
        <w:spacing w:after="0" w:afterAutospacing="0" w:line="240" w:lineRule="auto"/>
        <w:rPr>
          <w:rFonts w:cs="Times New Roman"/>
          <w:lang w:val="fr-FR"/>
        </w:rPr>
      </w:pPr>
    </w:p>
    <w:p w14:paraId="6E5276B4" w14:textId="2AFD9220" w:rsidR="00042B91" w:rsidRPr="00CE53A8" w:rsidRDefault="006F0810" w:rsidP="00F67A0E">
      <w:pPr>
        <w:pStyle w:val="Heading1"/>
        <w:numPr>
          <w:ilvl w:val="0"/>
          <w:numId w:val="2"/>
        </w:numPr>
        <w:rPr>
          <w:rFonts w:cs="Times New Roman"/>
          <w:lang w:val="fr-FR"/>
        </w:rPr>
      </w:pPr>
      <w:bookmarkStart w:id="0" w:name="_Toc222741364"/>
      <w:r>
        <w:rPr>
          <w:rFonts w:cs="Times New Roman"/>
          <w:bCs/>
          <w:lang w:val="fr-FR"/>
        </w:rPr>
        <w:t>Portée de ce résumé des caractéristiques de sécurité et des performances cliniques (SSCP) :</w:t>
      </w:r>
      <w:bookmarkEnd w:id="0"/>
    </w:p>
    <w:p w14:paraId="5CDBAEA3" w14:textId="77777777" w:rsidR="00042B91" w:rsidRPr="00CE53A8" w:rsidRDefault="00042B91" w:rsidP="00042B91">
      <w:pPr>
        <w:spacing w:after="0" w:afterAutospacing="0" w:line="240" w:lineRule="auto"/>
        <w:rPr>
          <w:rFonts w:cs="Times New Roman"/>
          <w:lang w:val="fr-FR"/>
        </w:rPr>
      </w:pPr>
    </w:p>
    <w:p w14:paraId="45E5BCB2" w14:textId="6E901CD2" w:rsidR="00AA2E04" w:rsidRPr="009461CC" w:rsidRDefault="00221CEF" w:rsidP="00042B91">
      <w:pPr>
        <w:pStyle w:val="Heading1"/>
        <w:rPr>
          <w:rFonts w:cs="Times New Roman"/>
        </w:rPr>
      </w:pPr>
      <w:bookmarkStart w:id="1" w:name="_Toc222741365"/>
      <w:r>
        <w:rPr>
          <w:rFonts w:cs="Times New Roman"/>
          <w:bCs/>
          <w:lang w:val="fr-FR"/>
        </w:rPr>
        <w:t>Nom commercial du dispositif :</w:t>
      </w:r>
      <w:bookmarkEnd w:id="1"/>
      <w:r>
        <w:rPr>
          <w:rFonts w:cs="Times New Roman"/>
          <w:bCs/>
          <w:lang w:val="fr-FR"/>
        </w:rPr>
        <w:t xml:space="preserve"> </w:t>
      </w:r>
    </w:p>
    <w:p w14:paraId="29AE9E59" w14:textId="04E88AB2" w:rsidR="00042B91" w:rsidRPr="00C36DF6" w:rsidRDefault="00982459" w:rsidP="001E6921">
      <w:pPr>
        <w:spacing w:after="0" w:afterAutospacing="0" w:line="240" w:lineRule="auto"/>
        <w:ind w:left="792"/>
        <w:rPr>
          <w:rFonts w:cs="Times New Roman"/>
          <w:lang w:val="fr-FR"/>
        </w:rPr>
      </w:pPr>
      <w:r>
        <w:rPr>
          <w:rFonts w:cs="Times New Roman"/>
          <w:lang w:val="fr-FR"/>
        </w:rPr>
        <w:t xml:space="preserve">Kit de </w:t>
      </w:r>
      <w:proofErr w:type="spellStart"/>
      <w:r w:rsidR="00F07F31">
        <w:rPr>
          <w:rFonts w:cs="Times New Roman"/>
          <w:lang w:val="fr-FR"/>
        </w:rPr>
        <w:t>Snare</w:t>
      </w:r>
      <w:proofErr w:type="spellEnd"/>
      <w:r w:rsidR="00F07F31">
        <w:rPr>
          <w:rFonts w:cs="Times New Roman"/>
          <w:lang w:val="fr-FR"/>
        </w:rPr>
        <w:t xml:space="preserve"> </w:t>
      </w:r>
      <w:r>
        <w:rPr>
          <w:rFonts w:cs="Times New Roman"/>
          <w:lang w:val="fr-FR"/>
        </w:rPr>
        <w:t xml:space="preserve">vasculaire </w:t>
      </w:r>
      <w:proofErr w:type="spellStart"/>
      <w:r>
        <w:rPr>
          <w:rFonts w:cs="Times New Roman"/>
          <w:lang w:val="fr-FR"/>
        </w:rPr>
        <w:t>Atrieve</w:t>
      </w:r>
      <w:proofErr w:type="spellEnd"/>
    </w:p>
    <w:p w14:paraId="6E4554A3" w14:textId="77777777" w:rsidR="00982459" w:rsidRPr="00C36DF6" w:rsidRDefault="00982459" w:rsidP="00042B91">
      <w:pPr>
        <w:spacing w:after="0" w:afterAutospacing="0" w:line="240" w:lineRule="auto"/>
        <w:rPr>
          <w:rFonts w:cs="Times New Roman"/>
          <w:lang w:val="fr-FR"/>
        </w:rPr>
      </w:pPr>
    </w:p>
    <w:p w14:paraId="7E6E8DB0" w14:textId="23280863" w:rsidR="00221CEF" w:rsidRPr="00A377B2" w:rsidRDefault="00221CEF" w:rsidP="00042B91">
      <w:pPr>
        <w:pStyle w:val="Heading1"/>
        <w:rPr>
          <w:rFonts w:cs="Times New Roman"/>
          <w:lang w:val="it-IT"/>
        </w:rPr>
      </w:pPr>
      <w:bookmarkStart w:id="2" w:name="_Toc222741366"/>
      <w:r>
        <w:rPr>
          <w:rFonts w:cs="Times New Roman"/>
          <w:bCs/>
          <w:lang w:val="fr-FR"/>
        </w:rPr>
        <w:t>Description du dispositif, UDI-DI de base et classification UE :</w:t>
      </w:r>
      <w:bookmarkEnd w:id="2"/>
    </w:p>
    <w:tbl>
      <w:tblPr>
        <w:tblStyle w:val="TableGrid"/>
        <w:tblW w:w="0" w:type="auto"/>
        <w:tblLook w:val="04A0" w:firstRow="1" w:lastRow="0" w:firstColumn="1" w:lastColumn="0" w:noHBand="0" w:noVBand="1"/>
      </w:tblPr>
      <w:tblGrid>
        <w:gridCol w:w="3795"/>
        <w:gridCol w:w="1603"/>
        <w:gridCol w:w="1617"/>
        <w:gridCol w:w="1260"/>
        <w:gridCol w:w="2155"/>
      </w:tblGrid>
      <w:tr w:rsidR="006266F5" w:rsidRPr="009461CC" w14:paraId="77A15E5D" w14:textId="77777777" w:rsidTr="00C36DF6">
        <w:tc>
          <w:tcPr>
            <w:tcW w:w="3795" w:type="dxa"/>
            <w:shd w:val="clear" w:color="auto" w:fill="E7E6E6" w:themeFill="background2"/>
          </w:tcPr>
          <w:p w14:paraId="6089AC65" w14:textId="5ACA6E64" w:rsidR="006266F5" w:rsidRPr="00CE53A8" w:rsidRDefault="006266F5" w:rsidP="0015690A">
            <w:pPr>
              <w:jc w:val="center"/>
              <w:rPr>
                <w:rFonts w:cs="Times New Roman"/>
                <w:b/>
                <w:bCs/>
                <w:lang w:val="fr-FR"/>
              </w:rPr>
            </w:pPr>
            <w:r>
              <w:rPr>
                <w:rFonts w:cs="Times New Roman"/>
                <w:b/>
                <w:bCs/>
                <w:lang w:val="fr-FR"/>
              </w:rPr>
              <w:t>Nom et description du dispositif</w:t>
            </w:r>
          </w:p>
        </w:tc>
        <w:tc>
          <w:tcPr>
            <w:tcW w:w="1603" w:type="dxa"/>
            <w:shd w:val="clear" w:color="auto" w:fill="E7E6E6" w:themeFill="background2"/>
          </w:tcPr>
          <w:p w14:paraId="18959F52" w14:textId="108D25E1" w:rsidR="006266F5" w:rsidRPr="009461CC" w:rsidRDefault="006266F5" w:rsidP="0015690A">
            <w:pPr>
              <w:jc w:val="center"/>
              <w:rPr>
                <w:rFonts w:cs="Times New Roman"/>
                <w:b/>
                <w:bCs/>
              </w:rPr>
            </w:pPr>
            <w:r>
              <w:rPr>
                <w:rFonts w:cs="Times New Roman"/>
                <w:b/>
                <w:bCs/>
                <w:lang w:val="fr-FR"/>
              </w:rPr>
              <w:t>Classification</w:t>
            </w:r>
          </w:p>
        </w:tc>
        <w:tc>
          <w:tcPr>
            <w:tcW w:w="1617" w:type="dxa"/>
            <w:shd w:val="clear" w:color="auto" w:fill="E7E6E6" w:themeFill="background2"/>
          </w:tcPr>
          <w:p w14:paraId="1CA77B88" w14:textId="5CBB4D69" w:rsidR="006266F5" w:rsidRPr="009461CC" w:rsidRDefault="006266F5" w:rsidP="0015690A">
            <w:pPr>
              <w:jc w:val="center"/>
              <w:rPr>
                <w:rFonts w:cs="Times New Roman"/>
                <w:b/>
                <w:bCs/>
              </w:rPr>
            </w:pPr>
            <w:r>
              <w:rPr>
                <w:rFonts w:cs="Times New Roman"/>
                <w:b/>
                <w:bCs/>
                <w:lang w:val="fr-FR"/>
              </w:rPr>
              <w:t>Code GMDN</w:t>
            </w:r>
          </w:p>
        </w:tc>
        <w:tc>
          <w:tcPr>
            <w:tcW w:w="1260" w:type="dxa"/>
            <w:shd w:val="clear" w:color="auto" w:fill="E7E6E6" w:themeFill="background2"/>
          </w:tcPr>
          <w:p w14:paraId="603AC5E7" w14:textId="64E6761C" w:rsidR="006266F5" w:rsidRPr="009461CC" w:rsidRDefault="006266F5" w:rsidP="0015690A">
            <w:pPr>
              <w:jc w:val="center"/>
              <w:rPr>
                <w:rFonts w:cs="Times New Roman"/>
                <w:b/>
                <w:bCs/>
              </w:rPr>
            </w:pPr>
            <w:r>
              <w:rPr>
                <w:rFonts w:cs="Times New Roman"/>
                <w:b/>
                <w:bCs/>
                <w:lang w:val="fr-FR"/>
              </w:rPr>
              <w:t>EMDN</w:t>
            </w:r>
          </w:p>
        </w:tc>
        <w:tc>
          <w:tcPr>
            <w:tcW w:w="2155" w:type="dxa"/>
            <w:shd w:val="clear" w:color="auto" w:fill="E7E6E6" w:themeFill="background2"/>
          </w:tcPr>
          <w:p w14:paraId="49C72348" w14:textId="0CB79C70" w:rsidR="006266F5" w:rsidRPr="009461CC" w:rsidRDefault="006266F5" w:rsidP="0015690A">
            <w:pPr>
              <w:jc w:val="center"/>
              <w:rPr>
                <w:rFonts w:cs="Times New Roman"/>
                <w:b/>
                <w:bCs/>
              </w:rPr>
            </w:pPr>
            <w:r>
              <w:rPr>
                <w:rFonts w:cs="Times New Roman"/>
                <w:b/>
                <w:bCs/>
                <w:lang w:val="fr-FR"/>
              </w:rPr>
              <w:t>UDI-DI de base</w:t>
            </w:r>
          </w:p>
        </w:tc>
      </w:tr>
      <w:tr w:rsidR="006266F5" w:rsidRPr="009461CC" w14:paraId="72288A12" w14:textId="77777777" w:rsidTr="00C36DF6">
        <w:tc>
          <w:tcPr>
            <w:tcW w:w="3795" w:type="dxa"/>
          </w:tcPr>
          <w:p w14:paraId="04AE147E" w14:textId="7529C6C5" w:rsidR="006266F5" w:rsidRPr="00CE53A8" w:rsidRDefault="007714FC" w:rsidP="005B3E76">
            <w:pPr>
              <w:rPr>
                <w:rFonts w:cs="Times New Roman"/>
                <w:lang w:val="fr-FR"/>
              </w:rPr>
            </w:pPr>
            <w:r>
              <w:rPr>
                <w:rFonts w:cs="Times New Roman"/>
                <w:lang w:val="fr-FR"/>
              </w:rPr>
              <w:t xml:space="preserve">Kit de </w:t>
            </w:r>
            <w:proofErr w:type="spellStart"/>
            <w:r>
              <w:rPr>
                <w:rFonts w:cs="Times New Roman"/>
                <w:lang w:val="fr-FR"/>
              </w:rPr>
              <w:t>Snare</w:t>
            </w:r>
            <w:proofErr w:type="spellEnd"/>
            <w:r>
              <w:rPr>
                <w:rFonts w:cs="Times New Roman"/>
                <w:lang w:val="fr-FR"/>
              </w:rPr>
              <w:t xml:space="preserve"> vasculaire</w:t>
            </w:r>
            <w:r w:rsidR="006266F5">
              <w:rPr>
                <w:rFonts w:cs="Times New Roman"/>
                <w:lang w:val="fr-FR"/>
              </w:rPr>
              <w:t xml:space="preserve"> </w:t>
            </w:r>
            <w:proofErr w:type="spellStart"/>
            <w:r w:rsidR="006266F5">
              <w:rPr>
                <w:rFonts w:cs="Times New Roman"/>
                <w:lang w:val="fr-FR"/>
              </w:rPr>
              <w:t>Atrieve</w:t>
            </w:r>
            <w:proofErr w:type="spellEnd"/>
            <w:r w:rsidR="006266F5">
              <w:rPr>
                <w:rFonts w:cs="Times New Roman"/>
                <w:lang w:val="fr-FR"/>
              </w:rPr>
              <w:t>™, collet de 6-10 mm de diamètre x 120 cm, cathéter 6 F x 100 cm</w:t>
            </w:r>
          </w:p>
        </w:tc>
        <w:tc>
          <w:tcPr>
            <w:tcW w:w="1603" w:type="dxa"/>
            <w:vMerge w:val="restart"/>
          </w:tcPr>
          <w:p w14:paraId="016CD4E1" w14:textId="205743A9" w:rsidR="006266F5" w:rsidRPr="009461CC" w:rsidRDefault="00BA7D3E" w:rsidP="00D24167">
            <w:pPr>
              <w:jc w:val="center"/>
              <w:rPr>
                <w:rFonts w:cs="Times New Roman"/>
              </w:rPr>
            </w:pPr>
            <w:r>
              <w:rPr>
                <w:rFonts w:cs="Times New Roman"/>
                <w:lang w:val="fr-FR"/>
              </w:rPr>
              <w:t>Classe III</w:t>
            </w:r>
          </w:p>
        </w:tc>
        <w:tc>
          <w:tcPr>
            <w:tcW w:w="1617" w:type="dxa"/>
            <w:vMerge w:val="restart"/>
          </w:tcPr>
          <w:p w14:paraId="2554DF3F" w14:textId="217E32BA" w:rsidR="006266F5" w:rsidRPr="009461CC" w:rsidRDefault="006266F5" w:rsidP="00D24167">
            <w:pPr>
              <w:jc w:val="center"/>
              <w:rPr>
                <w:rFonts w:cs="Times New Roman"/>
              </w:rPr>
            </w:pPr>
            <w:r>
              <w:rPr>
                <w:rFonts w:cs="Times New Roman"/>
                <w:lang w:val="fr-FR"/>
              </w:rPr>
              <w:t>17927</w:t>
            </w:r>
          </w:p>
        </w:tc>
        <w:tc>
          <w:tcPr>
            <w:tcW w:w="1260" w:type="dxa"/>
            <w:vMerge w:val="restart"/>
          </w:tcPr>
          <w:p w14:paraId="44053393" w14:textId="5F7E5816" w:rsidR="006266F5" w:rsidRPr="009461CC" w:rsidRDefault="006266F5" w:rsidP="00D24167">
            <w:pPr>
              <w:jc w:val="center"/>
              <w:rPr>
                <w:rFonts w:cs="Times New Roman"/>
              </w:rPr>
            </w:pPr>
            <w:r>
              <w:rPr>
                <w:rFonts w:cs="Times New Roman"/>
                <w:lang w:val="fr-FR"/>
              </w:rPr>
              <w:t>C019005</w:t>
            </w:r>
          </w:p>
        </w:tc>
        <w:tc>
          <w:tcPr>
            <w:tcW w:w="2155" w:type="dxa"/>
            <w:vMerge w:val="restart"/>
          </w:tcPr>
          <w:p w14:paraId="16987761" w14:textId="1464A232" w:rsidR="006266F5" w:rsidRPr="009461CC" w:rsidRDefault="006266F5" w:rsidP="00D24167">
            <w:pPr>
              <w:jc w:val="center"/>
              <w:rPr>
                <w:rFonts w:cs="Times New Roman"/>
              </w:rPr>
            </w:pPr>
            <w:r>
              <w:rPr>
                <w:rFonts w:cs="Times New Roman"/>
                <w:lang w:val="fr-FR"/>
              </w:rPr>
              <w:t>088633329000132</w:t>
            </w:r>
          </w:p>
        </w:tc>
      </w:tr>
      <w:tr w:rsidR="006266F5" w:rsidRPr="003E0201" w14:paraId="674985B4" w14:textId="77777777" w:rsidTr="00C36DF6">
        <w:tc>
          <w:tcPr>
            <w:tcW w:w="3795" w:type="dxa"/>
          </w:tcPr>
          <w:p w14:paraId="1845B978" w14:textId="5EBB67A1" w:rsidR="006266F5" w:rsidRPr="00CE53A8" w:rsidRDefault="007714FC" w:rsidP="005B3E76">
            <w:pPr>
              <w:rPr>
                <w:rFonts w:cs="Times New Roman"/>
                <w:lang w:val="fr-FR"/>
              </w:rPr>
            </w:pPr>
            <w:r>
              <w:rPr>
                <w:rFonts w:cs="Times New Roman"/>
                <w:lang w:val="fr-FR"/>
              </w:rPr>
              <w:t xml:space="preserve">Kit de </w:t>
            </w:r>
            <w:proofErr w:type="spellStart"/>
            <w:r>
              <w:rPr>
                <w:rFonts w:cs="Times New Roman"/>
                <w:lang w:val="fr-FR"/>
              </w:rPr>
              <w:t>Snare</w:t>
            </w:r>
            <w:proofErr w:type="spellEnd"/>
            <w:r>
              <w:rPr>
                <w:rFonts w:cs="Times New Roman"/>
                <w:lang w:val="fr-FR"/>
              </w:rPr>
              <w:t xml:space="preserve"> vasculaire</w:t>
            </w:r>
            <w:r w:rsidR="006266F5">
              <w:rPr>
                <w:rFonts w:cs="Times New Roman"/>
                <w:lang w:val="fr-FR"/>
              </w:rPr>
              <w:t xml:space="preserve"> </w:t>
            </w:r>
            <w:proofErr w:type="spellStart"/>
            <w:r w:rsidR="006266F5">
              <w:rPr>
                <w:rFonts w:cs="Times New Roman"/>
                <w:lang w:val="fr-FR"/>
              </w:rPr>
              <w:t>Atrieve</w:t>
            </w:r>
            <w:proofErr w:type="spellEnd"/>
            <w:r w:rsidR="006266F5">
              <w:rPr>
                <w:rFonts w:cs="Times New Roman"/>
                <w:lang w:val="fr-FR"/>
              </w:rPr>
              <w:t xml:space="preserve">™, collet de 9-15 mm de diamètre x 120 cm, cathéter 6 F x 100 cm </w:t>
            </w:r>
          </w:p>
        </w:tc>
        <w:tc>
          <w:tcPr>
            <w:tcW w:w="1603" w:type="dxa"/>
            <w:vMerge/>
          </w:tcPr>
          <w:p w14:paraId="0F2DCD20" w14:textId="77777777" w:rsidR="006266F5" w:rsidRPr="00CE53A8" w:rsidRDefault="006266F5" w:rsidP="005B3E76">
            <w:pPr>
              <w:rPr>
                <w:rFonts w:cs="Times New Roman"/>
                <w:lang w:val="fr-FR"/>
              </w:rPr>
            </w:pPr>
          </w:p>
        </w:tc>
        <w:tc>
          <w:tcPr>
            <w:tcW w:w="1617" w:type="dxa"/>
            <w:vMerge/>
          </w:tcPr>
          <w:p w14:paraId="45E8FDD8" w14:textId="4AADF8C7" w:rsidR="006266F5" w:rsidRPr="00CE53A8" w:rsidRDefault="006266F5" w:rsidP="005B3E76">
            <w:pPr>
              <w:rPr>
                <w:rFonts w:cs="Times New Roman"/>
                <w:lang w:val="fr-FR"/>
              </w:rPr>
            </w:pPr>
          </w:p>
        </w:tc>
        <w:tc>
          <w:tcPr>
            <w:tcW w:w="1260" w:type="dxa"/>
            <w:vMerge/>
          </w:tcPr>
          <w:p w14:paraId="165F2BBA" w14:textId="77777777" w:rsidR="006266F5" w:rsidRPr="00CE53A8" w:rsidRDefault="006266F5" w:rsidP="005B3E76">
            <w:pPr>
              <w:rPr>
                <w:rFonts w:cs="Times New Roman"/>
                <w:lang w:val="fr-FR"/>
              </w:rPr>
            </w:pPr>
          </w:p>
        </w:tc>
        <w:tc>
          <w:tcPr>
            <w:tcW w:w="2155" w:type="dxa"/>
            <w:vMerge/>
          </w:tcPr>
          <w:p w14:paraId="5C1D3365" w14:textId="77777777" w:rsidR="006266F5" w:rsidRPr="00CE53A8" w:rsidRDefault="006266F5" w:rsidP="005B3E76">
            <w:pPr>
              <w:rPr>
                <w:rFonts w:cs="Times New Roman"/>
                <w:lang w:val="fr-FR"/>
              </w:rPr>
            </w:pPr>
          </w:p>
        </w:tc>
      </w:tr>
      <w:tr w:rsidR="006266F5" w:rsidRPr="003E0201" w14:paraId="1B0B0E25" w14:textId="77777777" w:rsidTr="00C36DF6">
        <w:tc>
          <w:tcPr>
            <w:tcW w:w="3795" w:type="dxa"/>
          </w:tcPr>
          <w:p w14:paraId="0A9B2655" w14:textId="56837343" w:rsidR="006266F5" w:rsidRPr="00CE53A8" w:rsidRDefault="007714FC" w:rsidP="005B3E76">
            <w:pPr>
              <w:rPr>
                <w:rFonts w:cs="Times New Roman"/>
                <w:lang w:val="fr-FR"/>
              </w:rPr>
            </w:pPr>
            <w:r>
              <w:rPr>
                <w:rFonts w:cs="Times New Roman"/>
                <w:lang w:val="fr-FR"/>
              </w:rPr>
              <w:t xml:space="preserve">Kit de </w:t>
            </w:r>
            <w:proofErr w:type="spellStart"/>
            <w:r>
              <w:rPr>
                <w:rFonts w:cs="Times New Roman"/>
                <w:lang w:val="fr-FR"/>
              </w:rPr>
              <w:t>Snare</w:t>
            </w:r>
            <w:proofErr w:type="spellEnd"/>
            <w:r>
              <w:rPr>
                <w:rFonts w:cs="Times New Roman"/>
                <w:lang w:val="fr-FR"/>
              </w:rPr>
              <w:t xml:space="preserve"> vasculaire</w:t>
            </w:r>
            <w:r w:rsidR="006266F5">
              <w:rPr>
                <w:rFonts w:cs="Times New Roman"/>
                <w:lang w:val="fr-FR"/>
              </w:rPr>
              <w:t xml:space="preserve"> </w:t>
            </w:r>
            <w:proofErr w:type="spellStart"/>
            <w:r w:rsidR="006266F5">
              <w:rPr>
                <w:rFonts w:cs="Times New Roman"/>
                <w:lang w:val="fr-FR"/>
              </w:rPr>
              <w:t>Atrieve</w:t>
            </w:r>
            <w:proofErr w:type="spellEnd"/>
            <w:r w:rsidR="006266F5">
              <w:rPr>
                <w:rFonts w:cs="Times New Roman"/>
                <w:lang w:val="fr-FR"/>
              </w:rPr>
              <w:t xml:space="preserve">™, collet de 12-20 mm de diamètre x 120 cm, cathéter 6 F x 100 cm </w:t>
            </w:r>
          </w:p>
        </w:tc>
        <w:tc>
          <w:tcPr>
            <w:tcW w:w="1603" w:type="dxa"/>
            <w:vMerge/>
          </w:tcPr>
          <w:p w14:paraId="4F42F09B" w14:textId="77777777" w:rsidR="006266F5" w:rsidRPr="00CE53A8" w:rsidRDefault="006266F5" w:rsidP="005B3E76">
            <w:pPr>
              <w:rPr>
                <w:rFonts w:cs="Times New Roman"/>
                <w:lang w:val="fr-FR"/>
              </w:rPr>
            </w:pPr>
          </w:p>
        </w:tc>
        <w:tc>
          <w:tcPr>
            <w:tcW w:w="1617" w:type="dxa"/>
            <w:vMerge/>
          </w:tcPr>
          <w:p w14:paraId="7D1A397B" w14:textId="2F1838AC" w:rsidR="006266F5" w:rsidRPr="00CE53A8" w:rsidRDefault="006266F5" w:rsidP="005B3E76">
            <w:pPr>
              <w:rPr>
                <w:rFonts w:cs="Times New Roman"/>
                <w:lang w:val="fr-FR"/>
              </w:rPr>
            </w:pPr>
          </w:p>
        </w:tc>
        <w:tc>
          <w:tcPr>
            <w:tcW w:w="1260" w:type="dxa"/>
            <w:vMerge/>
          </w:tcPr>
          <w:p w14:paraId="721C2322" w14:textId="77777777" w:rsidR="006266F5" w:rsidRPr="00CE53A8" w:rsidRDefault="006266F5" w:rsidP="005B3E76">
            <w:pPr>
              <w:rPr>
                <w:rFonts w:cs="Times New Roman"/>
                <w:lang w:val="fr-FR"/>
              </w:rPr>
            </w:pPr>
          </w:p>
        </w:tc>
        <w:tc>
          <w:tcPr>
            <w:tcW w:w="2155" w:type="dxa"/>
            <w:vMerge/>
          </w:tcPr>
          <w:p w14:paraId="3C7CCE81" w14:textId="77777777" w:rsidR="006266F5" w:rsidRPr="00CE53A8" w:rsidRDefault="006266F5" w:rsidP="005B3E76">
            <w:pPr>
              <w:rPr>
                <w:rFonts w:cs="Times New Roman"/>
                <w:lang w:val="fr-FR"/>
              </w:rPr>
            </w:pPr>
          </w:p>
        </w:tc>
      </w:tr>
      <w:tr w:rsidR="006266F5" w:rsidRPr="003E0201" w14:paraId="06B07953" w14:textId="77777777" w:rsidTr="00C36DF6">
        <w:tc>
          <w:tcPr>
            <w:tcW w:w="3795" w:type="dxa"/>
          </w:tcPr>
          <w:p w14:paraId="122A6EC5" w14:textId="0BE9C123" w:rsidR="006266F5" w:rsidRPr="00CE53A8" w:rsidRDefault="007714FC" w:rsidP="005B3E76">
            <w:pPr>
              <w:rPr>
                <w:rFonts w:cs="Times New Roman"/>
                <w:lang w:val="fr-FR"/>
              </w:rPr>
            </w:pPr>
            <w:r>
              <w:rPr>
                <w:rFonts w:cs="Times New Roman"/>
                <w:lang w:val="fr-FR"/>
              </w:rPr>
              <w:t xml:space="preserve">Kit de </w:t>
            </w:r>
            <w:proofErr w:type="spellStart"/>
            <w:r>
              <w:rPr>
                <w:rFonts w:cs="Times New Roman"/>
                <w:lang w:val="fr-FR"/>
              </w:rPr>
              <w:t>Snare</w:t>
            </w:r>
            <w:proofErr w:type="spellEnd"/>
            <w:r>
              <w:rPr>
                <w:rFonts w:cs="Times New Roman"/>
                <w:lang w:val="fr-FR"/>
              </w:rPr>
              <w:t xml:space="preserve"> vasculaire</w:t>
            </w:r>
            <w:r w:rsidR="006266F5">
              <w:rPr>
                <w:rFonts w:cs="Times New Roman"/>
                <w:lang w:val="fr-FR"/>
              </w:rPr>
              <w:t xml:space="preserve"> </w:t>
            </w:r>
            <w:proofErr w:type="spellStart"/>
            <w:r w:rsidR="006266F5">
              <w:rPr>
                <w:rFonts w:cs="Times New Roman"/>
                <w:lang w:val="fr-FR"/>
              </w:rPr>
              <w:t>Atrieve</w:t>
            </w:r>
            <w:proofErr w:type="spellEnd"/>
            <w:r w:rsidR="006266F5">
              <w:rPr>
                <w:rFonts w:cs="Times New Roman"/>
                <w:lang w:val="fr-FR"/>
              </w:rPr>
              <w:t xml:space="preserve">™, collet de 18-30 mm de diamètre x 120 cm, cathéter 7 F x 100 cm </w:t>
            </w:r>
          </w:p>
        </w:tc>
        <w:tc>
          <w:tcPr>
            <w:tcW w:w="1603" w:type="dxa"/>
            <w:vMerge/>
          </w:tcPr>
          <w:p w14:paraId="1913C875" w14:textId="77777777" w:rsidR="006266F5" w:rsidRPr="00CE53A8" w:rsidRDefault="006266F5" w:rsidP="005B3E76">
            <w:pPr>
              <w:rPr>
                <w:rFonts w:cs="Times New Roman"/>
                <w:lang w:val="fr-FR"/>
              </w:rPr>
            </w:pPr>
          </w:p>
        </w:tc>
        <w:tc>
          <w:tcPr>
            <w:tcW w:w="1617" w:type="dxa"/>
            <w:vMerge/>
          </w:tcPr>
          <w:p w14:paraId="00E8406E" w14:textId="7131A855" w:rsidR="006266F5" w:rsidRPr="00CE53A8" w:rsidRDefault="006266F5" w:rsidP="005B3E76">
            <w:pPr>
              <w:rPr>
                <w:rFonts w:cs="Times New Roman"/>
                <w:lang w:val="fr-FR"/>
              </w:rPr>
            </w:pPr>
          </w:p>
        </w:tc>
        <w:tc>
          <w:tcPr>
            <w:tcW w:w="1260" w:type="dxa"/>
            <w:vMerge/>
          </w:tcPr>
          <w:p w14:paraId="68FC6CAA" w14:textId="77777777" w:rsidR="006266F5" w:rsidRPr="00CE53A8" w:rsidRDefault="006266F5" w:rsidP="005B3E76">
            <w:pPr>
              <w:rPr>
                <w:rFonts w:cs="Times New Roman"/>
                <w:lang w:val="fr-FR"/>
              </w:rPr>
            </w:pPr>
          </w:p>
        </w:tc>
        <w:tc>
          <w:tcPr>
            <w:tcW w:w="2155" w:type="dxa"/>
            <w:vMerge/>
          </w:tcPr>
          <w:p w14:paraId="36E19225" w14:textId="77777777" w:rsidR="006266F5" w:rsidRPr="00CE53A8" w:rsidRDefault="006266F5" w:rsidP="005B3E76">
            <w:pPr>
              <w:rPr>
                <w:rFonts w:cs="Times New Roman"/>
                <w:lang w:val="fr-FR"/>
              </w:rPr>
            </w:pPr>
          </w:p>
        </w:tc>
      </w:tr>
      <w:tr w:rsidR="006266F5" w:rsidRPr="003E0201" w14:paraId="70E2EDC2" w14:textId="77777777" w:rsidTr="00C36DF6">
        <w:tc>
          <w:tcPr>
            <w:tcW w:w="3795" w:type="dxa"/>
          </w:tcPr>
          <w:p w14:paraId="3B2B1D80" w14:textId="21A30F7E" w:rsidR="006266F5" w:rsidRPr="00CE53A8" w:rsidRDefault="007714FC" w:rsidP="005B3E76">
            <w:pPr>
              <w:rPr>
                <w:rFonts w:cs="Times New Roman"/>
                <w:lang w:val="fr-FR"/>
              </w:rPr>
            </w:pPr>
            <w:r>
              <w:rPr>
                <w:rFonts w:cs="Times New Roman"/>
                <w:lang w:val="fr-FR"/>
              </w:rPr>
              <w:t xml:space="preserve">Kit de </w:t>
            </w:r>
            <w:proofErr w:type="spellStart"/>
            <w:r>
              <w:rPr>
                <w:rFonts w:cs="Times New Roman"/>
                <w:lang w:val="fr-FR"/>
              </w:rPr>
              <w:t>Snare</w:t>
            </w:r>
            <w:proofErr w:type="spellEnd"/>
            <w:r>
              <w:rPr>
                <w:rFonts w:cs="Times New Roman"/>
                <w:lang w:val="fr-FR"/>
              </w:rPr>
              <w:t xml:space="preserve"> vasculaire</w:t>
            </w:r>
            <w:r w:rsidR="006266F5">
              <w:rPr>
                <w:rFonts w:cs="Times New Roman"/>
                <w:lang w:val="fr-FR"/>
              </w:rPr>
              <w:t xml:space="preserve"> </w:t>
            </w:r>
            <w:proofErr w:type="spellStart"/>
            <w:r w:rsidR="006266F5">
              <w:rPr>
                <w:rFonts w:cs="Times New Roman"/>
                <w:lang w:val="fr-FR"/>
              </w:rPr>
              <w:t>Atrieve</w:t>
            </w:r>
            <w:proofErr w:type="spellEnd"/>
            <w:r w:rsidR="006266F5">
              <w:rPr>
                <w:rFonts w:cs="Times New Roman"/>
                <w:lang w:val="fr-FR"/>
              </w:rPr>
              <w:t>™, collet de 27-45 mm de diamètre x 120 cm, cathéter 7 F x 100 cm</w:t>
            </w:r>
          </w:p>
        </w:tc>
        <w:tc>
          <w:tcPr>
            <w:tcW w:w="1603" w:type="dxa"/>
            <w:vMerge/>
          </w:tcPr>
          <w:p w14:paraId="5D298385" w14:textId="77777777" w:rsidR="006266F5" w:rsidRPr="00CE53A8" w:rsidRDefault="006266F5" w:rsidP="005B3E76">
            <w:pPr>
              <w:rPr>
                <w:rFonts w:cs="Times New Roman"/>
                <w:lang w:val="fr-FR"/>
              </w:rPr>
            </w:pPr>
          </w:p>
        </w:tc>
        <w:tc>
          <w:tcPr>
            <w:tcW w:w="1617" w:type="dxa"/>
            <w:vMerge/>
          </w:tcPr>
          <w:p w14:paraId="001781C2" w14:textId="46419622" w:rsidR="006266F5" w:rsidRPr="00CE53A8" w:rsidRDefault="006266F5" w:rsidP="005B3E76">
            <w:pPr>
              <w:rPr>
                <w:rFonts w:cs="Times New Roman"/>
                <w:lang w:val="fr-FR"/>
              </w:rPr>
            </w:pPr>
          </w:p>
        </w:tc>
        <w:tc>
          <w:tcPr>
            <w:tcW w:w="1260" w:type="dxa"/>
            <w:vMerge/>
          </w:tcPr>
          <w:p w14:paraId="20D9A32E" w14:textId="77777777" w:rsidR="006266F5" w:rsidRPr="00CE53A8" w:rsidRDefault="006266F5" w:rsidP="005B3E76">
            <w:pPr>
              <w:rPr>
                <w:rFonts w:cs="Times New Roman"/>
                <w:lang w:val="fr-FR"/>
              </w:rPr>
            </w:pPr>
          </w:p>
        </w:tc>
        <w:tc>
          <w:tcPr>
            <w:tcW w:w="2155" w:type="dxa"/>
            <w:vMerge/>
          </w:tcPr>
          <w:p w14:paraId="5855DBED" w14:textId="77777777" w:rsidR="006266F5" w:rsidRPr="00CE53A8" w:rsidRDefault="006266F5" w:rsidP="005B3E76">
            <w:pPr>
              <w:rPr>
                <w:rFonts w:cs="Times New Roman"/>
                <w:lang w:val="fr-FR"/>
              </w:rPr>
            </w:pPr>
          </w:p>
        </w:tc>
      </w:tr>
      <w:tr w:rsidR="006266F5" w:rsidRPr="003E0201" w14:paraId="7E3403A6" w14:textId="77777777" w:rsidTr="00C36DF6">
        <w:tc>
          <w:tcPr>
            <w:tcW w:w="3795" w:type="dxa"/>
          </w:tcPr>
          <w:p w14:paraId="675708BF" w14:textId="07961BF6" w:rsidR="006266F5" w:rsidRPr="00CE53A8" w:rsidRDefault="007714FC" w:rsidP="005B3E76">
            <w:pPr>
              <w:rPr>
                <w:rFonts w:cs="Times New Roman"/>
                <w:lang w:val="fr-FR"/>
              </w:rPr>
            </w:pPr>
            <w:r>
              <w:rPr>
                <w:rFonts w:cs="Times New Roman"/>
                <w:lang w:val="fr-FR"/>
              </w:rPr>
              <w:t xml:space="preserve">Kit de </w:t>
            </w:r>
            <w:proofErr w:type="spellStart"/>
            <w:r>
              <w:rPr>
                <w:rFonts w:cs="Times New Roman"/>
                <w:lang w:val="fr-FR"/>
              </w:rPr>
              <w:t>Snare</w:t>
            </w:r>
            <w:proofErr w:type="spellEnd"/>
            <w:r>
              <w:rPr>
                <w:rFonts w:cs="Times New Roman"/>
                <w:lang w:val="fr-FR"/>
              </w:rPr>
              <w:t xml:space="preserve"> vasculaire</w:t>
            </w:r>
            <w:r w:rsidR="006266F5">
              <w:rPr>
                <w:rFonts w:cs="Times New Roman"/>
                <w:lang w:val="fr-FR"/>
              </w:rPr>
              <w:t xml:space="preserve"> </w:t>
            </w:r>
            <w:proofErr w:type="spellStart"/>
            <w:r w:rsidR="006266F5">
              <w:rPr>
                <w:rFonts w:cs="Times New Roman"/>
                <w:lang w:val="fr-FR"/>
              </w:rPr>
              <w:t>Atrieve</w:t>
            </w:r>
            <w:proofErr w:type="spellEnd"/>
            <w:r w:rsidR="006266F5">
              <w:rPr>
                <w:rFonts w:cs="Times New Roman"/>
                <w:lang w:val="fr-FR"/>
              </w:rPr>
              <w:t xml:space="preserve">™, collet de 2-4 mm de diamètre x 175 cm, cathéter 3,2 F x 150 cm </w:t>
            </w:r>
          </w:p>
        </w:tc>
        <w:tc>
          <w:tcPr>
            <w:tcW w:w="1603" w:type="dxa"/>
            <w:vMerge/>
          </w:tcPr>
          <w:p w14:paraId="4005AAE7" w14:textId="77777777" w:rsidR="006266F5" w:rsidRPr="00CE53A8" w:rsidRDefault="006266F5" w:rsidP="005B3E76">
            <w:pPr>
              <w:rPr>
                <w:rFonts w:cs="Times New Roman"/>
                <w:lang w:val="fr-FR"/>
              </w:rPr>
            </w:pPr>
          </w:p>
        </w:tc>
        <w:tc>
          <w:tcPr>
            <w:tcW w:w="1617" w:type="dxa"/>
            <w:vMerge/>
          </w:tcPr>
          <w:p w14:paraId="10F77F80" w14:textId="1EEE88E0" w:rsidR="006266F5" w:rsidRPr="00CE53A8" w:rsidRDefault="006266F5" w:rsidP="005B3E76">
            <w:pPr>
              <w:rPr>
                <w:rFonts w:cs="Times New Roman"/>
                <w:lang w:val="fr-FR"/>
              </w:rPr>
            </w:pPr>
          </w:p>
        </w:tc>
        <w:tc>
          <w:tcPr>
            <w:tcW w:w="1260" w:type="dxa"/>
            <w:vMerge/>
          </w:tcPr>
          <w:p w14:paraId="01E30B80" w14:textId="77777777" w:rsidR="006266F5" w:rsidRPr="00CE53A8" w:rsidRDefault="006266F5" w:rsidP="005B3E76">
            <w:pPr>
              <w:rPr>
                <w:rFonts w:cs="Times New Roman"/>
                <w:lang w:val="fr-FR"/>
              </w:rPr>
            </w:pPr>
          </w:p>
        </w:tc>
        <w:tc>
          <w:tcPr>
            <w:tcW w:w="2155" w:type="dxa"/>
            <w:vMerge/>
          </w:tcPr>
          <w:p w14:paraId="7E3CD13D" w14:textId="77777777" w:rsidR="006266F5" w:rsidRPr="00CE53A8" w:rsidRDefault="006266F5" w:rsidP="005B3E76">
            <w:pPr>
              <w:rPr>
                <w:rFonts w:cs="Times New Roman"/>
                <w:lang w:val="fr-FR"/>
              </w:rPr>
            </w:pPr>
          </w:p>
        </w:tc>
      </w:tr>
      <w:tr w:rsidR="006266F5" w:rsidRPr="003E0201" w14:paraId="163BEE28" w14:textId="77777777" w:rsidTr="00C36DF6">
        <w:tc>
          <w:tcPr>
            <w:tcW w:w="3795" w:type="dxa"/>
          </w:tcPr>
          <w:p w14:paraId="2C7CFD34" w14:textId="24BB4EE9" w:rsidR="006266F5" w:rsidRPr="00CE53A8" w:rsidRDefault="007714FC" w:rsidP="005B3E76">
            <w:pPr>
              <w:rPr>
                <w:rFonts w:cs="Times New Roman"/>
                <w:lang w:val="fr-FR"/>
              </w:rPr>
            </w:pPr>
            <w:r>
              <w:rPr>
                <w:rFonts w:cs="Times New Roman"/>
                <w:lang w:val="fr-FR"/>
              </w:rPr>
              <w:t xml:space="preserve">Kit de </w:t>
            </w:r>
            <w:proofErr w:type="spellStart"/>
            <w:r>
              <w:rPr>
                <w:rFonts w:cs="Times New Roman"/>
                <w:lang w:val="fr-FR"/>
              </w:rPr>
              <w:t>Snare</w:t>
            </w:r>
            <w:proofErr w:type="spellEnd"/>
            <w:r>
              <w:rPr>
                <w:rFonts w:cs="Times New Roman"/>
                <w:lang w:val="fr-FR"/>
              </w:rPr>
              <w:t xml:space="preserve"> vasculaire</w:t>
            </w:r>
            <w:r w:rsidR="006266F5">
              <w:rPr>
                <w:rFonts w:cs="Times New Roman"/>
                <w:lang w:val="fr-FR"/>
              </w:rPr>
              <w:t xml:space="preserve"> </w:t>
            </w:r>
            <w:proofErr w:type="spellStart"/>
            <w:r w:rsidR="006266F5">
              <w:rPr>
                <w:rFonts w:cs="Times New Roman"/>
                <w:lang w:val="fr-FR"/>
              </w:rPr>
              <w:t>Atrieve</w:t>
            </w:r>
            <w:proofErr w:type="spellEnd"/>
            <w:r w:rsidR="006266F5">
              <w:rPr>
                <w:rFonts w:cs="Times New Roman"/>
                <w:lang w:val="fr-FR"/>
              </w:rPr>
              <w:t>™, collet de 4-8 mm de diamètre x 175 cm, cathéter 3,2 F x 150 cm</w:t>
            </w:r>
          </w:p>
        </w:tc>
        <w:tc>
          <w:tcPr>
            <w:tcW w:w="1603" w:type="dxa"/>
            <w:vMerge/>
          </w:tcPr>
          <w:p w14:paraId="796C4314" w14:textId="77777777" w:rsidR="006266F5" w:rsidRPr="00CE53A8" w:rsidRDefault="006266F5" w:rsidP="005B3E76">
            <w:pPr>
              <w:rPr>
                <w:rFonts w:cs="Times New Roman"/>
                <w:lang w:val="fr-FR"/>
              </w:rPr>
            </w:pPr>
          </w:p>
        </w:tc>
        <w:tc>
          <w:tcPr>
            <w:tcW w:w="1617" w:type="dxa"/>
            <w:vMerge/>
          </w:tcPr>
          <w:p w14:paraId="520A7E25" w14:textId="5F41C696" w:rsidR="006266F5" w:rsidRPr="00CE53A8" w:rsidRDefault="006266F5" w:rsidP="005B3E76">
            <w:pPr>
              <w:rPr>
                <w:rFonts w:cs="Times New Roman"/>
                <w:lang w:val="fr-FR"/>
              </w:rPr>
            </w:pPr>
          </w:p>
        </w:tc>
        <w:tc>
          <w:tcPr>
            <w:tcW w:w="1260" w:type="dxa"/>
            <w:vMerge/>
          </w:tcPr>
          <w:p w14:paraId="77962B81" w14:textId="77777777" w:rsidR="006266F5" w:rsidRPr="00CE53A8" w:rsidRDefault="006266F5" w:rsidP="005B3E76">
            <w:pPr>
              <w:rPr>
                <w:rFonts w:cs="Times New Roman"/>
                <w:lang w:val="fr-FR"/>
              </w:rPr>
            </w:pPr>
          </w:p>
        </w:tc>
        <w:tc>
          <w:tcPr>
            <w:tcW w:w="2155" w:type="dxa"/>
            <w:vMerge/>
          </w:tcPr>
          <w:p w14:paraId="570FDA70" w14:textId="77777777" w:rsidR="006266F5" w:rsidRPr="00CE53A8" w:rsidRDefault="006266F5" w:rsidP="005B3E76">
            <w:pPr>
              <w:rPr>
                <w:rFonts w:cs="Times New Roman"/>
                <w:lang w:val="fr-FR"/>
              </w:rPr>
            </w:pPr>
          </w:p>
        </w:tc>
      </w:tr>
    </w:tbl>
    <w:p w14:paraId="2DAE4D4B" w14:textId="77777777" w:rsidR="00AA2E04" w:rsidRPr="00CE53A8" w:rsidRDefault="00AA2E04" w:rsidP="00AA3694">
      <w:pPr>
        <w:pStyle w:val="Heading1"/>
        <w:numPr>
          <w:ilvl w:val="0"/>
          <w:numId w:val="0"/>
        </w:numPr>
        <w:rPr>
          <w:rFonts w:cs="Times New Roman"/>
          <w:lang w:val="fr-FR"/>
        </w:rPr>
      </w:pPr>
    </w:p>
    <w:p w14:paraId="4B18C73D" w14:textId="72C79B52" w:rsidR="009855C3" w:rsidRPr="00A377B2" w:rsidRDefault="009855C3" w:rsidP="00042B91">
      <w:pPr>
        <w:pStyle w:val="Heading1"/>
        <w:rPr>
          <w:rFonts w:cs="Times New Roman"/>
          <w:lang w:val="it-IT"/>
        </w:rPr>
      </w:pPr>
      <w:bookmarkStart w:id="3" w:name="_Toc222741367"/>
      <w:r>
        <w:rPr>
          <w:rFonts w:cs="Times New Roman"/>
          <w:bCs/>
          <w:lang w:val="fr-FR"/>
        </w:rPr>
        <w:t>Année de délivrance du premier certificat (CE) couvrant le dispositif :</w:t>
      </w:r>
      <w:bookmarkEnd w:id="3"/>
      <w:r>
        <w:rPr>
          <w:rFonts w:cs="Times New Roman"/>
          <w:bCs/>
          <w:lang w:val="fr-FR"/>
        </w:rPr>
        <w:t xml:space="preserve"> </w:t>
      </w:r>
    </w:p>
    <w:p w14:paraId="76BA3EF9" w14:textId="540D85A6" w:rsidR="00713233" w:rsidRPr="00CE53A8" w:rsidRDefault="00780A59" w:rsidP="00E714ED">
      <w:pPr>
        <w:spacing w:after="0" w:afterAutospacing="0" w:line="240" w:lineRule="auto"/>
        <w:ind w:left="792"/>
        <w:rPr>
          <w:rFonts w:cs="Times New Roman"/>
          <w:lang w:val="fr-FR"/>
        </w:rPr>
      </w:pPr>
      <w:r>
        <w:rPr>
          <w:rFonts w:cs="Times New Roman"/>
          <w:lang w:val="fr-FR"/>
        </w:rPr>
        <w:t xml:space="preserve">Le kit de collet vasculaire </w:t>
      </w:r>
      <w:proofErr w:type="spellStart"/>
      <w:r>
        <w:rPr>
          <w:rFonts w:cs="Times New Roman"/>
          <w:lang w:val="fr-FR"/>
        </w:rPr>
        <w:t>Atrieve</w:t>
      </w:r>
      <w:proofErr w:type="spellEnd"/>
      <w:r>
        <w:rPr>
          <w:rFonts w:cs="Times New Roman"/>
          <w:lang w:val="fr-FR"/>
        </w:rPr>
        <w:t xml:space="preserve"> a obtenu le marquage CE (CE 608298) en 2010 au titre de la directive MDD </w:t>
      </w:r>
    </w:p>
    <w:p w14:paraId="10A04209" w14:textId="75FC9DEC" w:rsidR="009855C3" w:rsidRPr="00CE53A8" w:rsidRDefault="009855C3" w:rsidP="00042B91">
      <w:pPr>
        <w:pStyle w:val="Heading1"/>
        <w:rPr>
          <w:rFonts w:cs="Times New Roman"/>
          <w:lang w:val="fr-FR"/>
        </w:rPr>
      </w:pPr>
      <w:r>
        <w:rPr>
          <w:rFonts w:cs="Times New Roman"/>
          <w:bCs/>
          <w:lang w:val="fr-FR"/>
        </w:rPr>
        <w:lastRenderedPageBreak/>
        <w:t xml:space="preserve"> </w:t>
      </w:r>
      <w:bookmarkStart w:id="4" w:name="_Toc222741368"/>
      <w:r>
        <w:rPr>
          <w:rFonts w:cs="Times New Roman"/>
          <w:bCs/>
          <w:lang w:val="fr-FR"/>
        </w:rPr>
        <w:t>Nom, adresse et SRN du fabricant :</w:t>
      </w:r>
      <w:bookmarkEnd w:id="4"/>
    </w:p>
    <w:tbl>
      <w:tblPr>
        <w:tblStyle w:val="TableGrid1"/>
        <w:tblW w:w="5000" w:type="pct"/>
        <w:tblLook w:val="04A0" w:firstRow="1" w:lastRow="0" w:firstColumn="1" w:lastColumn="0" w:noHBand="0" w:noVBand="1"/>
      </w:tblPr>
      <w:tblGrid>
        <w:gridCol w:w="4675"/>
        <w:gridCol w:w="5755"/>
      </w:tblGrid>
      <w:tr w:rsidR="00493B5B" w:rsidRPr="009461CC" w14:paraId="49C995E4" w14:textId="77777777" w:rsidTr="00272DEA">
        <w:tc>
          <w:tcPr>
            <w:tcW w:w="5000" w:type="pct"/>
            <w:gridSpan w:val="2"/>
            <w:shd w:val="clear" w:color="auto" w:fill="D9D9D9" w:themeFill="background1" w:themeFillShade="D9"/>
          </w:tcPr>
          <w:p w14:paraId="6DB8134E" w14:textId="77777777" w:rsidR="00493B5B" w:rsidRPr="009461CC" w:rsidRDefault="00493B5B" w:rsidP="00AA3694">
            <w:pPr>
              <w:spacing w:after="0" w:afterAutospacing="0"/>
              <w:jc w:val="center"/>
              <w:rPr>
                <w:b/>
                <w:bCs/>
                <w:szCs w:val="24"/>
              </w:rPr>
            </w:pPr>
            <w:r>
              <w:rPr>
                <w:b/>
                <w:bCs/>
                <w:szCs w:val="24"/>
                <w:lang w:val="fr-FR"/>
              </w:rPr>
              <w:t>Informations sur le fabricant</w:t>
            </w:r>
          </w:p>
        </w:tc>
      </w:tr>
      <w:tr w:rsidR="00493B5B" w:rsidRPr="003E0201" w14:paraId="49F686BA" w14:textId="77777777" w:rsidTr="00C36DF6">
        <w:trPr>
          <w:trHeight w:val="377"/>
        </w:trPr>
        <w:tc>
          <w:tcPr>
            <w:tcW w:w="2241" w:type="pct"/>
          </w:tcPr>
          <w:p w14:paraId="55881DB9" w14:textId="77777777" w:rsidR="00493B5B" w:rsidRPr="009461CC" w:rsidRDefault="00493B5B" w:rsidP="00AA3694">
            <w:pPr>
              <w:spacing w:after="0" w:afterAutospacing="0"/>
              <w:jc w:val="both"/>
              <w:rPr>
                <w:spacing w:val="-5"/>
                <w:szCs w:val="24"/>
              </w:rPr>
            </w:pPr>
            <w:r>
              <w:rPr>
                <w:szCs w:val="24"/>
                <w:lang w:val="fr-FR"/>
              </w:rPr>
              <w:t>SRN du fabricant : US-MF-000002324</w:t>
            </w:r>
          </w:p>
        </w:tc>
        <w:tc>
          <w:tcPr>
            <w:tcW w:w="2759" w:type="pct"/>
          </w:tcPr>
          <w:p w14:paraId="61E93080" w14:textId="77777777" w:rsidR="00493B5B" w:rsidRPr="00CE53A8" w:rsidRDefault="00493B5B" w:rsidP="00AA3694">
            <w:pPr>
              <w:spacing w:after="0" w:afterAutospacing="0"/>
              <w:rPr>
                <w:szCs w:val="24"/>
                <w:lang w:val="fr-FR"/>
              </w:rPr>
            </w:pPr>
            <w:r>
              <w:rPr>
                <w:szCs w:val="24"/>
                <w:lang w:val="fr-FR"/>
              </w:rPr>
              <w:t xml:space="preserve">Nom du fabricant : Argon </w:t>
            </w:r>
            <w:proofErr w:type="spellStart"/>
            <w:r>
              <w:rPr>
                <w:szCs w:val="24"/>
                <w:lang w:val="fr-FR"/>
              </w:rPr>
              <w:t>Medical</w:t>
            </w:r>
            <w:proofErr w:type="spellEnd"/>
            <w:r>
              <w:rPr>
                <w:szCs w:val="24"/>
                <w:lang w:val="fr-FR"/>
              </w:rPr>
              <w:t xml:space="preserve"> </w:t>
            </w:r>
            <w:proofErr w:type="spellStart"/>
            <w:r>
              <w:rPr>
                <w:szCs w:val="24"/>
                <w:lang w:val="fr-FR"/>
              </w:rPr>
              <w:t>Devices</w:t>
            </w:r>
            <w:proofErr w:type="spellEnd"/>
            <w:r>
              <w:rPr>
                <w:szCs w:val="24"/>
                <w:lang w:val="fr-FR"/>
              </w:rPr>
              <w:t>, Inc.</w:t>
            </w:r>
          </w:p>
        </w:tc>
      </w:tr>
      <w:tr w:rsidR="00493B5B" w:rsidRPr="003E0201" w14:paraId="03F91594" w14:textId="77777777" w:rsidTr="00C36DF6">
        <w:trPr>
          <w:trHeight w:val="440"/>
        </w:trPr>
        <w:tc>
          <w:tcPr>
            <w:tcW w:w="2241" w:type="pct"/>
          </w:tcPr>
          <w:p w14:paraId="119B5A73" w14:textId="77777777" w:rsidR="00493B5B" w:rsidRPr="00CE53A8" w:rsidRDefault="00493B5B" w:rsidP="00AA3694">
            <w:pPr>
              <w:spacing w:after="0" w:afterAutospacing="0"/>
              <w:jc w:val="both"/>
              <w:rPr>
                <w:spacing w:val="-2"/>
                <w:szCs w:val="24"/>
                <w:lang w:val="fr-FR"/>
              </w:rPr>
            </w:pPr>
            <w:r>
              <w:rPr>
                <w:szCs w:val="24"/>
                <w:lang w:val="fr-FR"/>
              </w:rPr>
              <w:t>Prénom et nom du contact : Scott Bishop</w:t>
            </w:r>
          </w:p>
        </w:tc>
        <w:tc>
          <w:tcPr>
            <w:tcW w:w="2759" w:type="pct"/>
          </w:tcPr>
          <w:p w14:paraId="12F2B43C" w14:textId="40CF105E" w:rsidR="00493B5B" w:rsidRPr="00C36DF6" w:rsidRDefault="00493B5B" w:rsidP="00C36DF6">
            <w:pPr>
              <w:widowControl w:val="0"/>
              <w:autoSpaceDE w:val="0"/>
              <w:autoSpaceDN w:val="0"/>
              <w:spacing w:before="42" w:after="0" w:afterAutospacing="0"/>
              <w:rPr>
                <w:szCs w:val="24"/>
                <w:lang w:val="pt-BR"/>
              </w:rPr>
            </w:pPr>
            <w:r w:rsidRPr="00C36DF6">
              <w:rPr>
                <w:szCs w:val="24"/>
                <w:lang w:val="pt-BR"/>
              </w:rPr>
              <w:t>E-mail :</w:t>
            </w:r>
            <w:r w:rsidRPr="00C36DF6">
              <w:rPr>
                <w:sz w:val="22"/>
                <w:lang w:val="pt-BR"/>
              </w:rPr>
              <w:t xml:space="preserve"> </w:t>
            </w:r>
            <w:hyperlink r:id="rId7" w:history="1">
              <w:r w:rsidRPr="00C36DF6">
                <w:rPr>
                  <w:color w:val="0563C1"/>
                  <w:szCs w:val="24"/>
                  <w:u w:val="single"/>
                  <w:lang w:val="pt-BR"/>
                </w:rPr>
                <w:t>RegCompliance@argonmedical.com</w:t>
              </w:r>
            </w:hyperlink>
          </w:p>
        </w:tc>
      </w:tr>
      <w:tr w:rsidR="00493B5B" w:rsidRPr="009461CC" w14:paraId="075079C3" w14:textId="77777777" w:rsidTr="00272DEA">
        <w:trPr>
          <w:trHeight w:val="525"/>
        </w:trPr>
        <w:tc>
          <w:tcPr>
            <w:tcW w:w="2241" w:type="pct"/>
          </w:tcPr>
          <w:p w14:paraId="05BD6F97" w14:textId="77777777" w:rsidR="00493B5B" w:rsidRPr="009461CC" w:rsidRDefault="00493B5B" w:rsidP="00AA3694">
            <w:pPr>
              <w:widowControl w:val="0"/>
              <w:autoSpaceDE w:val="0"/>
              <w:autoSpaceDN w:val="0"/>
              <w:spacing w:before="42" w:after="0" w:afterAutospacing="0"/>
              <w:rPr>
                <w:spacing w:val="-2"/>
                <w:szCs w:val="24"/>
              </w:rPr>
            </w:pPr>
            <w:r>
              <w:rPr>
                <w:szCs w:val="24"/>
                <w:lang w:val="fr-FR"/>
              </w:rPr>
              <w:t>Numéro de téléphone : 903.675.9321</w:t>
            </w:r>
          </w:p>
        </w:tc>
        <w:tc>
          <w:tcPr>
            <w:tcW w:w="2759" w:type="pct"/>
          </w:tcPr>
          <w:p w14:paraId="260E0D3D" w14:textId="77777777" w:rsidR="001533A4" w:rsidRPr="009461CC" w:rsidRDefault="001533A4" w:rsidP="009709B4">
            <w:pPr>
              <w:widowControl w:val="0"/>
              <w:autoSpaceDE w:val="0"/>
              <w:autoSpaceDN w:val="0"/>
              <w:spacing w:after="0" w:afterAutospacing="0"/>
              <w:rPr>
                <w:spacing w:val="-2"/>
                <w:szCs w:val="24"/>
              </w:rPr>
            </w:pPr>
            <w:proofErr w:type="spellStart"/>
            <w:r w:rsidRPr="00CE53A8">
              <w:rPr>
                <w:szCs w:val="24"/>
              </w:rPr>
              <w:t>Adresse</w:t>
            </w:r>
            <w:proofErr w:type="spellEnd"/>
            <w:r w:rsidRPr="00CE53A8">
              <w:rPr>
                <w:szCs w:val="24"/>
              </w:rPr>
              <w:t> :</w:t>
            </w:r>
          </w:p>
          <w:p w14:paraId="041EA64B" w14:textId="77777777" w:rsidR="001533A4" w:rsidRPr="009461CC" w:rsidRDefault="001533A4" w:rsidP="009709B4">
            <w:pPr>
              <w:widowControl w:val="0"/>
              <w:autoSpaceDE w:val="0"/>
              <w:autoSpaceDN w:val="0"/>
              <w:spacing w:after="0" w:afterAutospacing="0"/>
              <w:rPr>
                <w:spacing w:val="-2"/>
                <w:szCs w:val="24"/>
              </w:rPr>
            </w:pPr>
            <w:r w:rsidRPr="00CE53A8">
              <w:rPr>
                <w:szCs w:val="24"/>
              </w:rPr>
              <w:t>1445 Flat Creek Rd.</w:t>
            </w:r>
          </w:p>
          <w:p w14:paraId="26DE4983" w14:textId="77777777" w:rsidR="001533A4" w:rsidRPr="009461CC" w:rsidRDefault="001533A4" w:rsidP="009709B4">
            <w:pPr>
              <w:widowControl w:val="0"/>
              <w:autoSpaceDE w:val="0"/>
              <w:autoSpaceDN w:val="0"/>
              <w:spacing w:after="0" w:afterAutospacing="0"/>
              <w:rPr>
                <w:spacing w:val="-2"/>
                <w:szCs w:val="24"/>
              </w:rPr>
            </w:pPr>
            <w:r w:rsidRPr="00CE53A8">
              <w:rPr>
                <w:szCs w:val="24"/>
              </w:rPr>
              <w:t>Athens, Texas 75751</w:t>
            </w:r>
          </w:p>
          <w:p w14:paraId="586DCCA3" w14:textId="38B6FE42" w:rsidR="00493B5B" w:rsidRPr="009461CC" w:rsidRDefault="001533A4" w:rsidP="009709B4">
            <w:pPr>
              <w:widowControl w:val="0"/>
              <w:autoSpaceDE w:val="0"/>
              <w:autoSpaceDN w:val="0"/>
              <w:spacing w:after="0" w:afterAutospacing="0"/>
              <w:rPr>
                <w:spacing w:val="-2"/>
                <w:szCs w:val="24"/>
              </w:rPr>
            </w:pPr>
            <w:r>
              <w:rPr>
                <w:szCs w:val="24"/>
                <w:lang w:val="fr-FR"/>
              </w:rPr>
              <w:t>États-Unis</w:t>
            </w:r>
          </w:p>
        </w:tc>
      </w:tr>
    </w:tbl>
    <w:p w14:paraId="2E5002E8" w14:textId="77777777" w:rsidR="00D20FA4" w:rsidRPr="009461CC" w:rsidRDefault="00D20FA4" w:rsidP="00042B91">
      <w:pPr>
        <w:spacing w:after="0" w:afterAutospacing="0" w:line="240" w:lineRule="auto"/>
        <w:ind w:left="1440"/>
        <w:rPr>
          <w:rFonts w:cs="Times New Roman"/>
        </w:rPr>
      </w:pPr>
    </w:p>
    <w:p w14:paraId="1CFB1B57" w14:textId="4BD4E170" w:rsidR="009855C3" w:rsidRPr="00CE53A8" w:rsidRDefault="00887E5D" w:rsidP="00AA3694">
      <w:pPr>
        <w:pStyle w:val="Heading1"/>
        <w:rPr>
          <w:rFonts w:cs="Times New Roman"/>
          <w:lang w:val="fr-FR"/>
        </w:rPr>
      </w:pPr>
      <w:bookmarkStart w:id="5" w:name="_Toc222741369"/>
      <w:r>
        <w:rPr>
          <w:rFonts w:cs="Times New Roman"/>
          <w:bCs/>
          <w:lang w:val="fr-FR"/>
        </w:rPr>
        <w:t>Nom et SRN du représentant autorisé :</w:t>
      </w:r>
      <w:bookmarkEnd w:id="5"/>
    </w:p>
    <w:tbl>
      <w:tblPr>
        <w:tblStyle w:val="TableGrid2"/>
        <w:tblW w:w="5000" w:type="pct"/>
        <w:tblLook w:val="04A0" w:firstRow="1" w:lastRow="0" w:firstColumn="1" w:lastColumn="0" w:noHBand="0" w:noVBand="1"/>
      </w:tblPr>
      <w:tblGrid>
        <w:gridCol w:w="4675"/>
        <w:gridCol w:w="5755"/>
      </w:tblGrid>
      <w:tr w:rsidR="008A210D" w:rsidRPr="003E0201" w14:paraId="5389928F" w14:textId="77777777" w:rsidTr="00272DEA">
        <w:tc>
          <w:tcPr>
            <w:tcW w:w="5000" w:type="pct"/>
            <w:gridSpan w:val="2"/>
            <w:shd w:val="clear" w:color="auto" w:fill="D9D9D9" w:themeFill="background1" w:themeFillShade="D9"/>
          </w:tcPr>
          <w:p w14:paraId="7FB4BB7C" w14:textId="77777777" w:rsidR="008A210D" w:rsidRPr="00CE53A8" w:rsidRDefault="008A210D" w:rsidP="008A210D">
            <w:pPr>
              <w:spacing w:after="0" w:afterAutospacing="0"/>
              <w:jc w:val="center"/>
              <w:rPr>
                <w:b/>
                <w:bCs/>
                <w:szCs w:val="24"/>
                <w:lang w:val="fr-FR"/>
              </w:rPr>
            </w:pPr>
            <w:r>
              <w:rPr>
                <w:b/>
                <w:bCs/>
                <w:szCs w:val="24"/>
                <w:lang w:val="fr-FR"/>
              </w:rPr>
              <w:t>Informations sur le représentant autorisé</w:t>
            </w:r>
          </w:p>
        </w:tc>
      </w:tr>
      <w:tr w:rsidR="008A210D" w:rsidRPr="009461CC" w14:paraId="486856D5" w14:textId="77777777" w:rsidTr="00272DEA">
        <w:trPr>
          <w:trHeight w:val="489"/>
        </w:trPr>
        <w:tc>
          <w:tcPr>
            <w:tcW w:w="2241" w:type="pct"/>
          </w:tcPr>
          <w:p w14:paraId="5FC8645E" w14:textId="77777777" w:rsidR="008A210D" w:rsidRPr="009461CC" w:rsidRDefault="008A210D" w:rsidP="008A210D">
            <w:pPr>
              <w:spacing w:after="0" w:afterAutospacing="0"/>
              <w:jc w:val="both"/>
              <w:rPr>
                <w:spacing w:val="-5"/>
                <w:szCs w:val="24"/>
              </w:rPr>
            </w:pPr>
            <w:r>
              <w:rPr>
                <w:szCs w:val="24"/>
                <w:lang w:val="fr-FR"/>
              </w:rPr>
              <w:t>SRN : NL-AR-000000116</w:t>
            </w:r>
          </w:p>
        </w:tc>
        <w:tc>
          <w:tcPr>
            <w:tcW w:w="2759" w:type="pct"/>
          </w:tcPr>
          <w:p w14:paraId="25BF63FC" w14:textId="77777777" w:rsidR="008A210D" w:rsidRPr="00CE53A8" w:rsidRDefault="008A210D" w:rsidP="008A210D">
            <w:pPr>
              <w:widowControl w:val="0"/>
              <w:autoSpaceDE w:val="0"/>
              <w:autoSpaceDN w:val="0"/>
              <w:spacing w:before="119" w:after="0" w:afterAutospacing="0"/>
              <w:rPr>
                <w:bCs/>
                <w:szCs w:val="24"/>
                <w:lang w:val="fr-FR"/>
              </w:rPr>
            </w:pPr>
            <w:r>
              <w:rPr>
                <w:szCs w:val="24"/>
                <w:lang w:val="fr-FR"/>
              </w:rPr>
              <w:t>Nom de l’organisation du représentant autorisé :</w:t>
            </w:r>
          </w:p>
          <w:p w14:paraId="3A6B7B5C" w14:textId="77777777" w:rsidR="008A210D" w:rsidRPr="009461CC" w:rsidRDefault="008A210D" w:rsidP="008A210D">
            <w:pPr>
              <w:spacing w:after="0" w:afterAutospacing="0"/>
              <w:rPr>
                <w:szCs w:val="24"/>
              </w:rPr>
            </w:pPr>
            <w:proofErr w:type="spellStart"/>
            <w:r>
              <w:rPr>
                <w:szCs w:val="24"/>
                <w:lang w:val="fr-FR"/>
              </w:rPr>
              <w:t>Emergo</w:t>
            </w:r>
            <w:proofErr w:type="spellEnd"/>
            <w:r>
              <w:rPr>
                <w:szCs w:val="24"/>
                <w:lang w:val="fr-FR"/>
              </w:rPr>
              <w:t xml:space="preserve"> Europe</w:t>
            </w:r>
          </w:p>
        </w:tc>
      </w:tr>
      <w:tr w:rsidR="008A210D" w:rsidRPr="003E0201" w14:paraId="7AE34B46" w14:textId="77777777" w:rsidTr="00C36DF6">
        <w:trPr>
          <w:trHeight w:val="404"/>
        </w:trPr>
        <w:tc>
          <w:tcPr>
            <w:tcW w:w="2241" w:type="pct"/>
          </w:tcPr>
          <w:p w14:paraId="65D7FE1F" w14:textId="77777777" w:rsidR="008A210D" w:rsidRPr="009461CC" w:rsidRDefault="008A210D" w:rsidP="008A210D">
            <w:pPr>
              <w:spacing w:after="0" w:afterAutospacing="0"/>
              <w:jc w:val="both"/>
              <w:rPr>
                <w:spacing w:val="-2"/>
                <w:szCs w:val="24"/>
              </w:rPr>
            </w:pPr>
            <w:r>
              <w:rPr>
                <w:szCs w:val="24"/>
                <w:lang w:val="fr-FR"/>
              </w:rPr>
              <w:t>Coordonnées : Équipe de vigilance</w:t>
            </w:r>
          </w:p>
        </w:tc>
        <w:tc>
          <w:tcPr>
            <w:tcW w:w="2759" w:type="pct"/>
          </w:tcPr>
          <w:p w14:paraId="2A3CD5D0" w14:textId="77777777" w:rsidR="008A210D" w:rsidRPr="00A377B2" w:rsidRDefault="008A210D" w:rsidP="008A210D">
            <w:pPr>
              <w:widowControl w:val="0"/>
              <w:autoSpaceDE w:val="0"/>
              <w:autoSpaceDN w:val="0"/>
              <w:spacing w:before="39" w:after="0" w:afterAutospacing="0"/>
              <w:rPr>
                <w:spacing w:val="-2"/>
                <w:szCs w:val="24"/>
                <w:lang w:val="it-IT"/>
              </w:rPr>
            </w:pPr>
            <w:r w:rsidRPr="00CE53A8">
              <w:rPr>
                <w:szCs w:val="24"/>
                <w:lang w:val="pt-BR"/>
              </w:rPr>
              <w:t xml:space="preserve">E-mail : </w:t>
            </w:r>
            <w:hyperlink r:id="rId8" w:history="1">
              <w:r w:rsidRPr="00CE53A8">
                <w:rPr>
                  <w:color w:val="0563C1"/>
                  <w:szCs w:val="24"/>
                  <w:u w:val="single"/>
                  <w:lang w:val="pt-BR"/>
                </w:rPr>
                <w:t>EmergoVigilance@ul.com</w:t>
              </w:r>
            </w:hyperlink>
          </w:p>
        </w:tc>
      </w:tr>
      <w:tr w:rsidR="008A210D" w:rsidRPr="003E0201" w14:paraId="0CB481FF" w14:textId="77777777" w:rsidTr="00272DEA">
        <w:trPr>
          <w:trHeight w:val="525"/>
        </w:trPr>
        <w:tc>
          <w:tcPr>
            <w:tcW w:w="2241" w:type="pct"/>
          </w:tcPr>
          <w:p w14:paraId="3652CFB2" w14:textId="77777777" w:rsidR="008A210D" w:rsidRPr="009461CC" w:rsidRDefault="008A210D" w:rsidP="008A210D">
            <w:pPr>
              <w:widowControl w:val="0"/>
              <w:autoSpaceDE w:val="0"/>
              <w:autoSpaceDN w:val="0"/>
              <w:spacing w:before="42" w:after="0" w:afterAutospacing="0"/>
              <w:rPr>
                <w:spacing w:val="-2"/>
                <w:szCs w:val="24"/>
              </w:rPr>
            </w:pPr>
            <w:r>
              <w:rPr>
                <w:szCs w:val="24"/>
                <w:lang w:val="fr-FR"/>
              </w:rPr>
              <w:t>Numéro de téléphone : +31.70.345.8570</w:t>
            </w:r>
          </w:p>
          <w:p w14:paraId="7CCBBDE7" w14:textId="739E5D21" w:rsidR="00A603C9" w:rsidRPr="009461CC" w:rsidRDefault="00A603C9" w:rsidP="008A210D">
            <w:pPr>
              <w:widowControl w:val="0"/>
              <w:autoSpaceDE w:val="0"/>
              <w:autoSpaceDN w:val="0"/>
              <w:spacing w:before="42" w:after="0" w:afterAutospacing="0"/>
              <w:rPr>
                <w:spacing w:val="-2"/>
                <w:szCs w:val="24"/>
              </w:rPr>
            </w:pPr>
            <w:r>
              <w:rPr>
                <w:color w:val="000000"/>
                <w:szCs w:val="24"/>
                <w:lang w:val="fr-FR"/>
              </w:rPr>
              <w:t>Fax : +31 (0)70 346 7299</w:t>
            </w:r>
          </w:p>
        </w:tc>
        <w:tc>
          <w:tcPr>
            <w:tcW w:w="2759" w:type="pct"/>
          </w:tcPr>
          <w:p w14:paraId="2F414254" w14:textId="77777777" w:rsidR="008A210D" w:rsidRPr="00CE53A8" w:rsidRDefault="008A210D" w:rsidP="009709B4">
            <w:pPr>
              <w:widowControl w:val="0"/>
              <w:autoSpaceDE w:val="0"/>
              <w:autoSpaceDN w:val="0"/>
              <w:spacing w:after="0" w:afterAutospacing="0"/>
              <w:rPr>
                <w:spacing w:val="-2"/>
                <w:szCs w:val="24"/>
                <w:lang w:val="fr-FR"/>
              </w:rPr>
            </w:pPr>
            <w:r>
              <w:rPr>
                <w:szCs w:val="24"/>
                <w:lang w:val="fr-FR"/>
              </w:rPr>
              <w:t>Adresse</w:t>
            </w:r>
          </w:p>
          <w:p w14:paraId="759A4A48" w14:textId="77777777" w:rsidR="008A210D" w:rsidRPr="00CE53A8" w:rsidRDefault="008A210D" w:rsidP="009709B4">
            <w:pPr>
              <w:widowControl w:val="0"/>
              <w:autoSpaceDE w:val="0"/>
              <w:autoSpaceDN w:val="0"/>
              <w:spacing w:after="0" w:afterAutospacing="0"/>
              <w:rPr>
                <w:spacing w:val="-2"/>
                <w:szCs w:val="24"/>
                <w:lang w:val="fr-FR"/>
              </w:rPr>
            </w:pPr>
            <w:r>
              <w:rPr>
                <w:szCs w:val="24"/>
                <w:lang w:val="fr-FR"/>
              </w:rPr>
              <w:t>Numéro et nom de la rue :</w:t>
            </w:r>
            <w:r>
              <w:rPr>
                <w:sz w:val="22"/>
                <w:lang w:val="fr-FR"/>
              </w:rPr>
              <w:t xml:space="preserve"> 60 </w:t>
            </w:r>
            <w:proofErr w:type="spellStart"/>
            <w:r>
              <w:rPr>
                <w:szCs w:val="24"/>
                <w:lang w:val="fr-FR"/>
              </w:rPr>
              <w:t>Westervoortsedijk</w:t>
            </w:r>
            <w:proofErr w:type="spellEnd"/>
          </w:p>
          <w:p w14:paraId="3B20AE15" w14:textId="77777777" w:rsidR="008A210D" w:rsidRPr="00CE53A8" w:rsidRDefault="008A210D" w:rsidP="009709B4">
            <w:pPr>
              <w:widowControl w:val="0"/>
              <w:autoSpaceDE w:val="0"/>
              <w:autoSpaceDN w:val="0"/>
              <w:spacing w:after="0" w:afterAutospacing="0"/>
              <w:rPr>
                <w:spacing w:val="-2"/>
                <w:szCs w:val="24"/>
                <w:lang w:val="fr-FR"/>
              </w:rPr>
            </w:pPr>
            <w:r>
              <w:rPr>
                <w:szCs w:val="24"/>
                <w:lang w:val="fr-FR"/>
              </w:rPr>
              <w:t>Ville : Arnhem</w:t>
            </w:r>
          </w:p>
          <w:p w14:paraId="6FC33444" w14:textId="77777777" w:rsidR="008A210D" w:rsidRPr="00CE53A8" w:rsidRDefault="008A210D" w:rsidP="009709B4">
            <w:pPr>
              <w:widowControl w:val="0"/>
              <w:autoSpaceDE w:val="0"/>
              <w:autoSpaceDN w:val="0"/>
              <w:spacing w:after="0" w:afterAutospacing="0"/>
              <w:rPr>
                <w:spacing w:val="-2"/>
                <w:szCs w:val="24"/>
                <w:lang w:val="fr-FR"/>
              </w:rPr>
            </w:pPr>
            <w:r>
              <w:rPr>
                <w:szCs w:val="24"/>
                <w:lang w:val="fr-FR"/>
              </w:rPr>
              <w:t>Code postal : 6827 AT</w:t>
            </w:r>
          </w:p>
          <w:p w14:paraId="2EB91056" w14:textId="77777777" w:rsidR="008A210D" w:rsidRPr="00CE53A8" w:rsidRDefault="008A210D" w:rsidP="009709B4">
            <w:pPr>
              <w:widowControl w:val="0"/>
              <w:autoSpaceDE w:val="0"/>
              <w:autoSpaceDN w:val="0"/>
              <w:spacing w:after="0" w:afterAutospacing="0"/>
              <w:rPr>
                <w:spacing w:val="-2"/>
                <w:szCs w:val="24"/>
                <w:lang w:val="fr-FR"/>
              </w:rPr>
            </w:pPr>
            <w:r>
              <w:rPr>
                <w:szCs w:val="24"/>
                <w:lang w:val="fr-FR"/>
              </w:rPr>
              <w:t>Pays : Pays-Bas</w:t>
            </w:r>
          </w:p>
        </w:tc>
      </w:tr>
    </w:tbl>
    <w:p w14:paraId="1624A296" w14:textId="77777777" w:rsidR="009855C3" w:rsidRPr="00CE53A8" w:rsidRDefault="009855C3" w:rsidP="00042B91">
      <w:pPr>
        <w:spacing w:after="0" w:afterAutospacing="0" w:line="240" w:lineRule="auto"/>
        <w:ind w:left="1440"/>
        <w:rPr>
          <w:rFonts w:cs="Times New Roman"/>
          <w:lang w:val="fr-FR"/>
        </w:rPr>
      </w:pPr>
    </w:p>
    <w:p w14:paraId="6CE36BA3" w14:textId="42B50699" w:rsidR="006517A0" w:rsidRPr="00CE53A8" w:rsidRDefault="009855C3" w:rsidP="003074B3">
      <w:pPr>
        <w:pStyle w:val="Heading1"/>
        <w:rPr>
          <w:rFonts w:cs="Times New Roman"/>
          <w:lang w:val="fr-FR"/>
        </w:rPr>
      </w:pPr>
      <w:bookmarkStart w:id="6" w:name="_Toc222741370"/>
      <w:r>
        <w:rPr>
          <w:rFonts w:cs="Times New Roman"/>
          <w:bCs/>
          <w:lang w:val="fr-FR"/>
        </w:rPr>
        <w:t>Nom et numéro d’identification unique de l’organisme notifié</w:t>
      </w:r>
      <w:r w:rsidR="003E6DCD">
        <w:rPr>
          <w:rFonts w:cs="Times New Roman"/>
          <w:bCs/>
          <w:lang w:val="fr-FR"/>
        </w:rPr>
        <w:t xml:space="preserve"> (NB)</w:t>
      </w:r>
      <w:r>
        <w:rPr>
          <w:rFonts w:cs="Times New Roman"/>
          <w:bCs/>
          <w:lang w:val="fr-FR"/>
        </w:rPr>
        <w:t> :</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6836"/>
      </w:tblGrid>
      <w:tr w:rsidR="003074B3" w:rsidRPr="009461CC" w14:paraId="7E457138" w14:textId="77777777" w:rsidTr="00272DEA">
        <w:trPr>
          <w:trHeight w:val="260"/>
          <w:jc w:val="center"/>
        </w:trPr>
        <w:tc>
          <w:tcPr>
            <w:tcW w:w="5000" w:type="pct"/>
            <w:gridSpan w:val="2"/>
            <w:shd w:val="clear" w:color="auto" w:fill="D9D9D9" w:themeFill="background1" w:themeFillShade="D9"/>
          </w:tcPr>
          <w:p w14:paraId="59932D80" w14:textId="77777777" w:rsidR="003074B3" w:rsidRPr="009461CC" w:rsidRDefault="003074B3" w:rsidP="00B066F7">
            <w:pPr>
              <w:suppressAutoHyphens/>
              <w:spacing w:after="0" w:afterAutospacing="0" w:line="240" w:lineRule="exact"/>
              <w:jc w:val="center"/>
              <w:rPr>
                <w:rFonts w:cs="Times New Roman"/>
                <w:szCs w:val="24"/>
              </w:rPr>
            </w:pPr>
            <w:r>
              <w:rPr>
                <w:rFonts w:eastAsia="Times New Roman" w:cs="Times New Roman"/>
                <w:b/>
                <w:bCs/>
                <w:szCs w:val="24"/>
                <w:lang w:val="fr-FR"/>
              </w:rPr>
              <w:t>Organisme notifié</w:t>
            </w:r>
          </w:p>
        </w:tc>
      </w:tr>
      <w:tr w:rsidR="00272DEA" w:rsidRPr="009461CC" w14:paraId="0B814508" w14:textId="77777777" w:rsidTr="00C36DF6">
        <w:trPr>
          <w:trHeight w:val="350"/>
          <w:jc w:val="center"/>
        </w:trPr>
        <w:tc>
          <w:tcPr>
            <w:tcW w:w="1723" w:type="pct"/>
          </w:tcPr>
          <w:p w14:paraId="49157CDC"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fr-FR"/>
              </w:rPr>
              <w:t>Nom :</w:t>
            </w:r>
          </w:p>
        </w:tc>
        <w:tc>
          <w:tcPr>
            <w:tcW w:w="3277" w:type="pct"/>
          </w:tcPr>
          <w:p w14:paraId="5863E627" w14:textId="77777777" w:rsidR="003074B3" w:rsidRPr="009461CC" w:rsidRDefault="003074B3" w:rsidP="00B066F7">
            <w:pPr>
              <w:suppressAutoHyphens/>
              <w:spacing w:after="0" w:afterAutospacing="0" w:line="240" w:lineRule="exact"/>
              <w:rPr>
                <w:rFonts w:eastAsia="Times New Roman" w:cs="Times New Roman"/>
                <w:bCs/>
                <w:szCs w:val="24"/>
              </w:rPr>
            </w:pPr>
            <w:r w:rsidRPr="00CE53A8">
              <w:rPr>
                <w:rFonts w:cs="Times New Roman"/>
                <w:szCs w:val="24"/>
              </w:rPr>
              <w:t>The British Standards Institution (BSI) Group the Netherlands B.V.</w:t>
            </w:r>
          </w:p>
        </w:tc>
      </w:tr>
      <w:tr w:rsidR="003074B3" w:rsidRPr="009461CC" w14:paraId="65281175" w14:textId="77777777" w:rsidTr="00C36DF6">
        <w:trPr>
          <w:trHeight w:val="728"/>
          <w:jc w:val="center"/>
        </w:trPr>
        <w:tc>
          <w:tcPr>
            <w:tcW w:w="1723" w:type="pct"/>
          </w:tcPr>
          <w:p w14:paraId="7941F5BB"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fr-FR"/>
              </w:rPr>
              <w:t>Adresse :</w:t>
            </w:r>
          </w:p>
        </w:tc>
        <w:tc>
          <w:tcPr>
            <w:tcW w:w="3277" w:type="pct"/>
          </w:tcPr>
          <w:p w14:paraId="727CFF1E"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fr-FR"/>
              </w:rPr>
              <w:t xml:space="preserve">John M. </w:t>
            </w:r>
            <w:proofErr w:type="spellStart"/>
            <w:r>
              <w:rPr>
                <w:rFonts w:eastAsia="Times New Roman" w:cs="Times New Roman"/>
                <w:szCs w:val="24"/>
                <w:lang w:val="fr-FR"/>
              </w:rPr>
              <w:t>Keynesplein</w:t>
            </w:r>
            <w:proofErr w:type="spellEnd"/>
            <w:r>
              <w:rPr>
                <w:rFonts w:eastAsia="Times New Roman" w:cs="Times New Roman"/>
                <w:szCs w:val="24"/>
                <w:lang w:val="fr-FR"/>
              </w:rPr>
              <w:t xml:space="preserve"> 9</w:t>
            </w:r>
          </w:p>
          <w:p w14:paraId="4054093A"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fr-FR"/>
              </w:rPr>
              <w:t>1066 EP Amsterdam</w:t>
            </w:r>
          </w:p>
          <w:p w14:paraId="72F2BC20"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fr-FR"/>
              </w:rPr>
              <w:t xml:space="preserve"> Pays-Bas</w:t>
            </w:r>
          </w:p>
        </w:tc>
      </w:tr>
      <w:tr w:rsidR="003074B3" w:rsidRPr="009461CC" w14:paraId="7A858549" w14:textId="77777777" w:rsidTr="00C36DF6">
        <w:trPr>
          <w:trHeight w:val="351"/>
          <w:jc w:val="center"/>
        </w:trPr>
        <w:tc>
          <w:tcPr>
            <w:tcW w:w="1723" w:type="pct"/>
          </w:tcPr>
          <w:p w14:paraId="4D329CD4"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fr-FR"/>
              </w:rPr>
              <w:t>Site Internet :</w:t>
            </w:r>
          </w:p>
        </w:tc>
        <w:tc>
          <w:tcPr>
            <w:tcW w:w="3277" w:type="pct"/>
          </w:tcPr>
          <w:p w14:paraId="29B75D5D" w14:textId="77777777" w:rsidR="003074B3" w:rsidRPr="009461CC" w:rsidRDefault="003074B3" w:rsidP="00B066F7">
            <w:pPr>
              <w:suppressAutoHyphens/>
              <w:spacing w:after="0" w:afterAutospacing="0" w:line="240" w:lineRule="exact"/>
              <w:contextualSpacing/>
              <w:rPr>
                <w:rFonts w:eastAsia="Times New Roman" w:cs="Times New Roman"/>
                <w:bCs/>
                <w:szCs w:val="24"/>
              </w:rPr>
            </w:pPr>
            <w:hyperlink r:id="rId9" w:history="1">
              <w:r>
                <w:rPr>
                  <w:rFonts w:eastAsia="Times New Roman" w:cs="Times New Roman"/>
                  <w:color w:val="0000FF"/>
                  <w:szCs w:val="24"/>
                  <w:u w:val="single"/>
                  <w:lang w:val="fr-FR"/>
                </w:rPr>
                <w:t>www.bsigroup.com</w:t>
              </w:r>
            </w:hyperlink>
            <w:r>
              <w:rPr>
                <w:rFonts w:eastAsia="Times New Roman" w:cs="Times New Roman"/>
                <w:szCs w:val="24"/>
                <w:lang w:val="fr-FR"/>
              </w:rPr>
              <w:t xml:space="preserve"> </w:t>
            </w:r>
          </w:p>
        </w:tc>
      </w:tr>
      <w:tr w:rsidR="003074B3" w:rsidRPr="009461CC" w14:paraId="242654B6" w14:textId="77777777" w:rsidTr="00C36DF6">
        <w:trPr>
          <w:trHeight w:val="355"/>
          <w:jc w:val="center"/>
        </w:trPr>
        <w:tc>
          <w:tcPr>
            <w:tcW w:w="1723" w:type="pct"/>
          </w:tcPr>
          <w:p w14:paraId="6F572CD0"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fr-FR"/>
              </w:rPr>
              <w:t>Téléphone :</w:t>
            </w:r>
          </w:p>
        </w:tc>
        <w:tc>
          <w:tcPr>
            <w:tcW w:w="3277" w:type="pct"/>
          </w:tcPr>
          <w:p w14:paraId="7E5F2BF5"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fr-FR"/>
              </w:rPr>
              <w:t>+31 (0)20 346 07 80</w:t>
            </w:r>
          </w:p>
        </w:tc>
      </w:tr>
      <w:tr w:rsidR="003074B3" w:rsidRPr="009461CC" w14:paraId="3445789F" w14:textId="77777777" w:rsidTr="00C36DF6">
        <w:trPr>
          <w:trHeight w:val="355"/>
          <w:jc w:val="center"/>
        </w:trPr>
        <w:tc>
          <w:tcPr>
            <w:tcW w:w="1723" w:type="pct"/>
          </w:tcPr>
          <w:p w14:paraId="6D8C8396"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fr-FR"/>
              </w:rPr>
              <w:t>Fax :</w:t>
            </w:r>
          </w:p>
        </w:tc>
        <w:tc>
          <w:tcPr>
            <w:tcW w:w="3277" w:type="pct"/>
          </w:tcPr>
          <w:p w14:paraId="42A0F78B"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fr-FR"/>
              </w:rPr>
              <w:t>+31 (0)20 346 07 81</w:t>
            </w:r>
          </w:p>
        </w:tc>
      </w:tr>
      <w:tr w:rsidR="003074B3" w:rsidRPr="009461CC" w14:paraId="108563A6" w14:textId="77777777" w:rsidTr="00C36DF6">
        <w:trPr>
          <w:trHeight w:val="323"/>
          <w:jc w:val="center"/>
        </w:trPr>
        <w:tc>
          <w:tcPr>
            <w:tcW w:w="1723" w:type="pct"/>
          </w:tcPr>
          <w:p w14:paraId="68313F88" w14:textId="77777777" w:rsidR="003074B3" w:rsidRPr="009461CC" w:rsidRDefault="003074B3" w:rsidP="00B066F7">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fr-FR"/>
              </w:rPr>
              <w:t xml:space="preserve">Numéro d’organisme notifié : </w:t>
            </w:r>
            <w:r>
              <w:rPr>
                <w:rFonts w:eastAsia="Times New Roman" w:cs="Times New Roman"/>
                <w:szCs w:val="24"/>
                <w:lang w:val="fr-FR"/>
              </w:rPr>
              <w:tab/>
            </w:r>
          </w:p>
        </w:tc>
        <w:tc>
          <w:tcPr>
            <w:tcW w:w="3277" w:type="pct"/>
          </w:tcPr>
          <w:p w14:paraId="445F2118" w14:textId="77777777" w:rsidR="003074B3" w:rsidRPr="009461CC" w:rsidRDefault="003074B3" w:rsidP="00B066F7">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fr-FR"/>
              </w:rPr>
              <w:t>2797</w:t>
            </w:r>
          </w:p>
        </w:tc>
      </w:tr>
    </w:tbl>
    <w:p w14:paraId="49CBA632" w14:textId="77777777" w:rsidR="005C6A90" w:rsidRPr="009461CC" w:rsidRDefault="005C6A90" w:rsidP="00042B91">
      <w:pPr>
        <w:spacing w:after="0" w:afterAutospacing="0" w:line="240" w:lineRule="auto"/>
        <w:rPr>
          <w:rFonts w:cs="Times New Roman"/>
        </w:rPr>
      </w:pPr>
    </w:p>
    <w:p w14:paraId="708F564C" w14:textId="0FA9D875" w:rsidR="00AA2E04" w:rsidRPr="009461CC" w:rsidRDefault="00AA2E04" w:rsidP="00F67A0E">
      <w:pPr>
        <w:pStyle w:val="Heading1"/>
        <w:numPr>
          <w:ilvl w:val="0"/>
          <w:numId w:val="2"/>
        </w:numPr>
        <w:rPr>
          <w:rFonts w:cs="Times New Roman"/>
        </w:rPr>
      </w:pPr>
      <w:bookmarkStart w:id="7" w:name="_Toc222741371"/>
      <w:r>
        <w:rPr>
          <w:rFonts w:cs="Times New Roman"/>
          <w:bCs/>
          <w:lang w:val="fr-FR"/>
        </w:rPr>
        <w:t>Utilisation</w:t>
      </w:r>
      <w:r w:rsidR="000E0F6B">
        <w:rPr>
          <w:rFonts w:cs="Times New Roman"/>
          <w:bCs/>
          <w:lang w:val="fr-FR"/>
        </w:rPr>
        <w:t xml:space="preserve"> </w:t>
      </w:r>
      <w:r>
        <w:rPr>
          <w:rFonts w:cs="Times New Roman"/>
          <w:bCs/>
          <w:lang w:val="fr-FR"/>
        </w:rPr>
        <w:t>/</w:t>
      </w:r>
      <w:r w:rsidR="000E0F6B">
        <w:rPr>
          <w:rFonts w:cs="Times New Roman"/>
          <w:bCs/>
          <w:lang w:val="fr-FR"/>
        </w:rPr>
        <w:t xml:space="preserve"> </w:t>
      </w:r>
      <w:r>
        <w:rPr>
          <w:rFonts w:cs="Times New Roman"/>
          <w:bCs/>
          <w:lang w:val="fr-FR"/>
        </w:rPr>
        <w:t>finalité du dispositif</w:t>
      </w:r>
      <w:bookmarkEnd w:id="7"/>
      <w:r>
        <w:rPr>
          <w:rFonts w:cs="Times New Roman"/>
          <w:bCs/>
          <w:lang w:val="fr-FR"/>
        </w:rPr>
        <w:t xml:space="preserve"> </w:t>
      </w:r>
    </w:p>
    <w:p w14:paraId="48603D86" w14:textId="3BAB4A94" w:rsidR="00D104AC" w:rsidRPr="009461CC" w:rsidRDefault="00D104AC" w:rsidP="00FB0A38">
      <w:pPr>
        <w:spacing w:after="0" w:afterAutospacing="0"/>
        <w:ind w:left="360"/>
        <w:rPr>
          <w:rFonts w:cs="Times New Roman"/>
        </w:rPr>
      </w:pPr>
      <w:r>
        <w:rPr>
          <w:rFonts w:cs="Times New Roman"/>
          <w:lang w:val="fr-FR"/>
        </w:rPr>
        <w:t>Références :</w:t>
      </w:r>
    </w:p>
    <w:p w14:paraId="5CC3EE9B" w14:textId="0492B3B9" w:rsidR="00042B91" w:rsidRPr="00C36DF6" w:rsidRDefault="00FE5B73" w:rsidP="00042B91">
      <w:pPr>
        <w:spacing w:after="0" w:afterAutospacing="0" w:line="240" w:lineRule="auto"/>
        <w:rPr>
          <w:rFonts w:cs="Times New Roman"/>
          <w:lang w:val="fr-FR"/>
        </w:rPr>
      </w:pPr>
      <w:r>
        <w:rPr>
          <w:rFonts w:cs="Times New Roman"/>
          <w:lang w:val="fr-FR"/>
        </w:rPr>
        <w:t xml:space="preserve">Numéros de référence : X9585730-0321-EU </w:t>
      </w:r>
      <w:r w:rsidR="00D4248E">
        <w:rPr>
          <w:rFonts w:cs="Times New Roman"/>
          <w:lang w:val="fr-FR"/>
        </w:rPr>
        <w:t>Rev</w:t>
      </w:r>
      <w:r>
        <w:rPr>
          <w:rFonts w:cs="Times New Roman"/>
          <w:lang w:val="fr-FR"/>
        </w:rPr>
        <w:t>. A</w:t>
      </w:r>
    </w:p>
    <w:p w14:paraId="1254EE9F" w14:textId="77777777" w:rsidR="00FE5B73" w:rsidRPr="00C36DF6" w:rsidRDefault="00FE5B73" w:rsidP="00042B91">
      <w:pPr>
        <w:spacing w:after="0" w:afterAutospacing="0" w:line="240" w:lineRule="auto"/>
        <w:rPr>
          <w:rFonts w:cs="Times New Roman"/>
          <w:lang w:val="fr-FR"/>
        </w:rPr>
      </w:pPr>
    </w:p>
    <w:p w14:paraId="39A6DB15" w14:textId="58ED6DAB" w:rsidR="006F0810" w:rsidRPr="009461CC" w:rsidRDefault="00B7112F" w:rsidP="00042B91">
      <w:pPr>
        <w:pStyle w:val="Heading1"/>
        <w:rPr>
          <w:rFonts w:cs="Times New Roman"/>
        </w:rPr>
      </w:pPr>
      <w:r>
        <w:rPr>
          <w:rFonts w:cs="Times New Roman"/>
          <w:bCs/>
          <w:lang w:val="fr-FR"/>
        </w:rPr>
        <w:t xml:space="preserve"> </w:t>
      </w:r>
      <w:bookmarkStart w:id="8" w:name="_Toc222741372"/>
      <w:r>
        <w:rPr>
          <w:rFonts w:cs="Times New Roman"/>
          <w:bCs/>
          <w:lang w:val="fr-FR"/>
        </w:rPr>
        <w:t>Finalité / Utilisation prévue</w:t>
      </w:r>
      <w:bookmarkEnd w:id="8"/>
    </w:p>
    <w:p w14:paraId="5F55F24F" w14:textId="20556298" w:rsidR="009B569A" w:rsidRPr="00CE53A8" w:rsidRDefault="00B82FB3" w:rsidP="00B82FB3">
      <w:pPr>
        <w:rPr>
          <w:rFonts w:cs="Times New Roman"/>
          <w:shd w:val="clear" w:color="auto" w:fill="FFFFFF"/>
          <w:lang w:val="fr-FR"/>
        </w:rPr>
      </w:pPr>
      <w:r>
        <w:rPr>
          <w:rFonts w:cs="Times New Roman"/>
          <w:shd w:val="clear" w:color="auto" w:fill="FFFFFF"/>
          <w:lang w:val="fr-FR"/>
        </w:rPr>
        <w:t>Destiné à être utilisé dans le système cardiovasculaire ou visqueux creux pour récupérer et manipuler des objets étrangers.</w:t>
      </w:r>
    </w:p>
    <w:p w14:paraId="0540FB4C" w14:textId="6BE36C7A" w:rsidR="006F0810" w:rsidRPr="009461CC" w:rsidRDefault="006F0810" w:rsidP="00042B91">
      <w:pPr>
        <w:pStyle w:val="Heading1"/>
        <w:rPr>
          <w:rFonts w:cs="Times New Roman"/>
        </w:rPr>
      </w:pPr>
      <w:bookmarkStart w:id="9" w:name="_Toc222741373"/>
      <w:r>
        <w:rPr>
          <w:rFonts w:cs="Times New Roman"/>
          <w:bCs/>
          <w:lang w:val="fr-FR"/>
        </w:rPr>
        <w:t>Indications d’utilisation</w:t>
      </w:r>
      <w:bookmarkEnd w:id="9"/>
    </w:p>
    <w:p w14:paraId="24ADD508" w14:textId="77777777" w:rsidR="00235AAE" w:rsidRPr="00A377B2" w:rsidRDefault="00235AAE" w:rsidP="00235AAE">
      <w:pPr>
        <w:widowControl w:val="0"/>
        <w:rPr>
          <w:rFonts w:cs="Times New Roman"/>
          <w:lang w:val="fr-FR"/>
        </w:rPr>
      </w:pPr>
      <w:r>
        <w:rPr>
          <w:rFonts w:cs="Times New Roman"/>
          <w:lang w:val="fr-FR"/>
        </w:rPr>
        <w:lastRenderedPageBreak/>
        <w:t>Destiné à être utilisé dans le système cardiovasculaire ou les viscères creux pour récupérer et manipuler des corps étrangers. Les procédures de manipulation incluent le repositionnement du cathéter veineux à demeure, le dénudage de la gaine de fibrine du cathéter veineux à demeure et l’assistance à la procédure de ponction veineuse par accès veineux central.</w:t>
      </w:r>
    </w:p>
    <w:p w14:paraId="498EAE44" w14:textId="77777777" w:rsidR="00D20FA4" w:rsidRPr="009461CC" w:rsidRDefault="00D20FA4" w:rsidP="00042B91">
      <w:pPr>
        <w:pStyle w:val="Heading1"/>
        <w:rPr>
          <w:rFonts w:cs="Times New Roman"/>
        </w:rPr>
      </w:pPr>
      <w:bookmarkStart w:id="10" w:name="_Toc222741374"/>
      <w:r>
        <w:rPr>
          <w:rFonts w:cs="Times New Roman"/>
          <w:bCs/>
          <w:lang w:val="fr-FR"/>
        </w:rPr>
        <w:t>Population cible</w:t>
      </w:r>
      <w:bookmarkEnd w:id="10"/>
    </w:p>
    <w:p w14:paraId="099A3585" w14:textId="77777777" w:rsidR="003B70D7" w:rsidRPr="00CE53A8" w:rsidRDefault="003B70D7" w:rsidP="005A1E4B">
      <w:pPr>
        <w:pStyle w:val="pf0"/>
        <w:widowControl w:val="0"/>
        <w:spacing w:before="0" w:beforeAutospacing="0" w:after="0" w:afterAutospacing="0"/>
        <w:rPr>
          <w:lang w:val="fr-FR"/>
        </w:rPr>
      </w:pPr>
      <w:r>
        <w:rPr>
          <w:lang w:val="fr-FR"/>
        </w:rPr>
        <w:t>Patients adultes, y compris les personnes âgées, de n’importe quel sexe, race ou origine ethnique.</w:t>
      </w:r>
    </w:p>
    <w:p w14:paraId="3621B4F1" w14:textId="77777777" w:rsidR="003B70D7" w:rsidRPr="00C36DF6" w:rsidRDefault="003B70D7" w:rsidP="003B70D7">
      <w:pPr>
        <w:pStyle w:val="pf0"/>
        <w:widowControl w:val="0"/>
        <w:spacing w:before="0" w:beforeAutospacing="0" w:after="0" w:afterAutospacing="0"/>
        <w:rPr>
          <w:sz w:val="14"/>
          <w:szCs w:val="14"/>
          <w:lang w:val="fr-FR"/>
        </w:rPr>
      </w:pPr>
    </w:p>
    <w:p w14:paraId="28F544BD" w14:textId="4F93A450" w:rsidR="006F0810" w:rsidRPr="009461CC" w:rsidRDefault="006F0810" w:rsidP="00042B91">
      <w:pPr>
        <w:pStyle w:val="Heading1"/>
        <w:rPr>
          <w:rFonts w:cs="Times New Roman"/>
        </w:rPr>
      </w:pPr>
      <w:bookmarkStart w:id="11" w:name="_Toc222741375"/>
      <w:r>
        <w:rPr>
          <w:rFonts w:cs="Times New Roman"/>
          <w:bCs/>
          <w:lang w:val="fr-FR"/>
        </w:rPr>
        <w:t>Contre-indications</w:t>
      </w:r>
      <w:bookmarkEnd w:id="11"/>
    </w:p>
    <w:p w14:paraId="169E24EB" w14:textId="77777777" w:rsidR="00AA3502" w:rsidRPr="00CE53A8" w:rsidRDefault="00AA3502" w:rsidP="00C36DF6">
      <w:pPr>
        <w:pStyle w:val="ListParagraph"/>
        <w:numPr>
          <w:ilvl w:val="0"/>
          <w:numId w:val="31"/>
        </w:numPr>
        <w:spacing w:after="0" w:afterAutospacing="0" w:line="228" w:lineRule="auto"/>
        <w:jc w:val="both"/>
        <w:rPr>
          <w:rFonts w:eastAsia="Times New Roman" w:cs="Times New Roman"/>
          <w:lang w:val="fr-FR"/>
        </w:rPr>
      </w:pPr>
      <w:r>
        <w:rPr>
          <w:rFonts w:cs="Times New Roman"/>
          <w:color w:val="000000"/>
          <w:lang w:val="fr-FR"/>
        </w:rPr>
        <w:t>Ce dispositif n’est pas destiné au retrait de corps étrangers pris dans des tissus lors de leur croissance</w:t>
      </w:r>
      <w:r>
        <w:rPr>
          <w:rFonts w:cs="Times New Roman"/>
          <w:color w:val="4472C4" w:themeColor="accent1"/>
          <w:lang w:val="fr-FR"/>
        </w:rPr>
        <w:t>.</w:t>
      </w:r>
    </w:p>
    <w:p w14:paraId="4BFB00B8" w14:textId="77777777" w:rsidR="00AA3502" w:rsidRPr="00CE53A8" w:rsidRDefault="00AA3502" w:rsidP="00C36DF6">
      <w:pPr>
        <w:pStyle w:val="ListParagraph"/>
        <w:numPr>
          <w:ilvl w:val="0"/>
          <w:numId w:val="31"/>
        </w:numPr>
        <w:spacing w:after="0" w:afterAutospacing="0" w:line="228" w:lineRule="auto"/>
        <w:jc w:val="both"/>
        <w:rPr>
          <w:rFonts w:eastAsia="Times New Roman" w:cs="Times New Roman"/>
          <w:lang w:val="fr-FR"/>
        </w:rPr>
      </w:pPr>
      <w:r>
        <w:rPr>
          <w:rFonts w:eastAsia="Times New Roman" w:cs="Times New Roman"/>
          <w:lang w:val="fr-FR"/>
        </w:rPr>
        <w:t>Le dispositif ne doit pas être utilisé pour le retrait de la gaine de fibrine en présence de malformations septales ou de foramen ovale perméable.</w:t>
      </w:r>
    </w:p>
    <w:p w14:paraId="77577945" w14:textId="77777777" w:rsidR="00AA3502" w:rsidRPr="00CE53A8" w:rsidRDefault="00AA3502" w:rsidP="00C36DF6">
      <w:pPr>
        <w:pStyle w:val="ListParagraph"/>
        <w:numPr>
          <w:ilvl w:val="0"/>
          <w:numId w:val="31"/>
        </w:numPr>
        <w:spacing w:after="0" w:afterAutospacing="0" w:line="228" w:lineRule="auto"/>
        <w:jc w:val="both"/>
        <w:rPr>
          <w:rFonts w:eastAsia="Times New Roman" w:cs="Times New Roman"/>
          <w:lang w:val="fr-FR"/>
        </w:rPr>
      </w:pPr>
      <w:r>
        <w:rPr>
          <w:rFonts w:eastAsia="Times New Roman" w:cs="Times New Roman"/>
          <w:lang w:val="fr-FR"/>
        </w:rPr>
        <w:t>Ce dispositif n’est pas destiné à retirer les sondes de stimulation implantées.</w:t>
      </w:r>
    </w:p>
    <w:p w14:paraId="764D1032" w14:textId="77777777" w:rsidR="00761873" w:rsidRPr="00CE53A8" w:rsidRDefault="00761873" w:rsidP="00761873">
      <w:pPr>
        <w:pStyle w:val="ListParagraph"/>
        <w:spacing w:after="0" w:afterAutospacing="0"/>
        <w:ind w:left="1440"/>
        <w:rPr>
          <w:rFonts w:cs="Times New Roman"/>
          <w:lang w:val="fr-FR"/>
        </w:rPr>
      </w:pPr>
    </w:p>
    <w:p w14:paraId="0A9D601E" w14:textId="53FB771D" w:rsidR="00760400" w:rsidRPr="009461CC" w:rsidRDefault="00D20FA4" w:rsidP="00F67A0E">
      <w:pPr>
        <w:pStyle w:val="Heading1"/>
        <w:numPr>
          <w:ilvl w:val="0"/>
          <w:numId w:val="2"/>
        </w:numPr>
        <w:rPr>
          <w:rFonts w:cs="Times New Roman"/>
        </w:rPr>
      </w:pPr>
      <w:bookmarkStart w:id="12" w:name="_Toc222741376"/>
      <w:r>
        <w:rPr>
          <w:rFonts w:cs="Times New Roman"/>
          <w:bCs/>
          <w:lang w:val="fr-FR"/>
        </w:rPr>
        <w:t>Description du dispositif</w:t>
      </w:r>
      <w:bookmarkEnd w:id="12"/>
    </w:p>
    <w:p w14:paraId="7115673A" w14:textId="77777777" w:rsidR="00042B91" w:rsidRPr="00C36DF6" w:rsidRDefault="00042B91" w:rsidP="00042B91">
      <w:pPr>
        <w:spacing w:after="0" w:afterAutospacing="0" w:line="240" w:lineRule="auto"/>
        <w:rPr>
          <w:rFonts w:cs="Times New Roman"/>
          <w:sz w:val="14"/>
          <w:szCs w:val="12"/>
        </w:rPr>
      </w:pPr>
    </w:p>
    <w:p w14:paraId="33649869" w14:textId="52085753" w:rsidR="00D20FA4" w:rsidRPr="009461CC" w:rsidRDefault="00D20FA4" w:rsidP="00042B91">
      <w:pPr>
        <w:pStyle w:val="Heading1"/>
        <w:rPr>
          <w:rFonts w:cs="Times New Roman"/>
        </w:rPr>
      </w:pPr>
      <w:bookmarkStart w:id="13" w:name="_Toc222741377"/>
      <w:r>
        <w:rPr>
          <w:rFonts w:cs="Times New Roman"/>
          <w:bCs/>
          <w:lang w:val="fr-FR"/>
        </w:rPr>
        <w:t>Description du dispositif</w:t>
      </w:r>
      <w:bookmarkEnd w:id="13"/>
      <w:r>
        <w:rPr>
          <w:rFonts w:cs="Times New Roman"/>
          <w:bCs/>
          <w:lang w:val="fr-FR"/>
        </w:rPr>
        <w:t xml:space="preserve"> </w:t>
      </w:r>
    </w:p>
    <w:p w14:paraId="3DAFEC6E" w14:textId="5053E6C6" w:rsidR="00994DB9" w:rsidRPr="00A377B2" w:rsidRDefault="00994DB9" w:rsidP="00C36DF6">
      <w:pPr>
        <w:spacing w:line="228" w:lineRule="auto"/>
        <w:rPr>
          <w:rFonts w:cs="Times New Roman"/>
          <w:lang w:val="fr-FR"/>
        </w:rPr>
      </w:pPr>
      <w:bookmarkStart w:id="14" w:name="_Hlk169187630"/>
      <w:r>
        <w:rPr>
          <w:rFonts w:cs="Times New Roman"/>
          <w:lang w:val="fr-FR"/>
        </w:rPr>
        <w:t xml:space="preserve">Le kit de collet vasculaire </w:t>
      </w:r>
      <w:proofErr w:type="spellStart"/>
      <w:r>
        <w:rPr>
          <w:rFonts w:cs="Times New Roman"/>
          <w:lang w:val="fr-FR"/>
        </w:rPr>
        <w:t>Atrieve</w:t>
      </w:r>
      <w:proofErr w:type="spellEnd"/>
      <w:r>
        <w:rPr>
          <w:rFonts w:cs="Times New Roman"/>
          <w:lang w:val="fr-FR"/>
        </w:rPr>
        <w:t xml:space="preserve">™ comprend un dispositif de collet avec trois boucles préformées en </w:t>
      </w:r>
      <w:proofErr w:type="spellStart"/>
      <w:r>
        <w:rPr>
          <w:rFonts w:cs="Times New Roman"/>
          <w:lang w:val="fr-FR"/>
        </w:rPr>
        <w:t>nitinol</w:t>
      </w:r>
      <w:proofErr w:type="spellEnd"/>
      <w:r>
        <w:rPr>
          <w:rFonts w:cs="Times New Roman"/>
          <w:lang w:val="fr-FR"/>
        </w:rPr>
        <w:t xml:space="preserve"> super-élastique et en platine. Les boucles ne sont pas entrelacées et peuvent coulisser l’une par rapport à l’autre. Les boucles du collet peuvent être introduites dans un cathéter de mise en place sans risque de déformation permanente du dispositif. Le kit de collet vasculaire </w:t>
      </w:r>
      <w:proofErr w:type="spellStart"/>
      <w:r>
        <w:rPr>
          <w:rFonts w:cs="Times New Roman"/>
          <w:lang w:val="fr-FR"/>
        </w:rPr>
        <w:t>Atrieve</w:t>
      </w:r>
      <w:proofErr w:type="spellEnd"/>
      <w:r>
        <w:rPr>
          <w:rFonts w:cs="Times New Roman"/>
          <w:lang w:val="fr-FR"/>
        </w:rPr>
        <w:t xml:space="preserve"> inclut également un cathéter de mise en place, une poignée dynamométrique et un introducteur. Le cathéter de mise en place comporte une bande de marquage radio-opaque à son extrémité distale. Le produit est conditionné dans un support de protection en forme d’arceau. Ce dispositif est destiné à un usage unique et est fourni stérile (oxyde d’éthylène) prêt à l’emploi.</w:t>
      </w:r>
    </w:p>
    <w:p w14:paraId="210E0750" w14:textId="77777777" w:rsidR="00994DB9" w:rsidRPr="00CE53A8" w:rsidRDefault="00994DB9" w:rsidP="00994DB9">
      <w:pPr>
        <w:rPr>
          <w:rFonts w:cs="Times New Roman"/>
          <w:lang w:val="fr-FR"/>
        </w:rPr>
      </w:pPr>
      <w:r>
        <w:rPr>
          <w:rFonts w:cs="Times New Roman"/>
          <w:lang w:val="fr-FR"/>
        </w:rPr>
        <w:t xml:space="preserve">Le kit de collet vasculaire </w:t>
      </w:r>
      <w:proofErr w:type="spellStart"/>
      <w:r>
        <w:rPr>
          <w:rFonts w:cs="Times New Roman"/>
          <w:lang w:val="fr-FR"/>
        </w:rPr>
        <w:t>Atrieve</w:t>
      </w:r>
      <w:proofErr w:type="spellEnd"/>
      <w:r>
        <w:rPr>
          <w:rFonts w:cs="Times New Roman"/>
          <w:lang w:val="fr-FR"/>
        </w:rPr>
        <w:t>™ est disponible dans les tailles suivantes :</w:t>
      </w:r>
    </w:p>
    <w:tbl>
      <w:tblPr>
        <w:tblStyle w:val="TableGrid"/>
        <w:tblW w:w="5000" w:type="pct"/>
        <w:tblLook w:val="04A0" w:firstRow="1" w:lastRow="0" w:firstColumn="1" w:lastColumn="0" w:noHBand="0" w:noVBand="1"/>
      </w:tblPr>
      <w:tblGrid>
        <w:gridCol w:w="2824"/>
        <w:gridCol w:w="2658"/>
        <w:gridCol w:w="2343"/>
        <w:gridCol w:w="2605"/>
      </w:tblGrid>
      <w:tr w:rsidR="00994DB9" w:rsidRPr="009461CC" w14:paraId="5ADE64F6" w14:textId="77777777" w:rsidTr="0022766F">
        <w:tc>
          <w:tcPr>
            <w:tcW w:w="1354" w:type="pct"/>
          </w:tcPr>
          <w:p w14:paraId="323B4940" w14:textId="77777777" w:rsidR="00994DB9" w:rsidRPr="00CE53A8" w:rsidRDefault="00994DB9" w:rsidP="0022766F">
            <w:pPr>
              <w:widowControl w:val="0"/>
              <w:rPr>
                <w:rFonts w:cs="Times New Roman"/>
                <w:lang w:val="fr-FR"/>
              </w:rPr>
            </w:pPr>
            <w:r>
              <w:rPr>
                <w:rFonts w:cs="Times New Roman"/>
                <w:lang w:val="fr-FR"/>
              </w:rPr>
              <w:t>Plage de diamètre du collet</w:t>
            </w:r>
          </w:p>
        </w:tc>
        <w:tc>
          <w:tcPr>
            <w:tcW w:w="1274" w:type="pct"/>
          </w:tcPr>
          <w:p w14:paraId="2775F724" w14:textId="77777777" w:rsidR="00994DB9" w:rsidRPr="009461CC" w:rsidRDefault="00994DB9" w:rsidP="0022766F">
            <w:pPr>
              <w:widowControl w:val="0"/>
              <w:rPr>
                <w:rFonts w:cs="Times New Roman"/>
              </w:rPr>
            </w:pPr>
            <w:r>
              <w:rPr>
                <w:rFonts w:cs="Times New Roman"/>
                <w:lang w:val="fr-FR"/>
              </w:rPr>
              <w:t>Longueur du collet</w:t>
            </w:r>
          </w:p>
        </w:tc>
        <w:tc>
          <w:tcPr>
            <w:tcW w:w="1123" w:type="pct"/>
          </w:tcPr>
          <w:p w14:paraId="7396E037" w14:textId="77777777" w:rsidR="00994DB9" w:rsidRPr="00CE53A8" w:rsidRDefault="00994DB9" w:rsidP="0022766F">
            <w:pPr>
              <w:widowControl w:val="0"/>
              <w:rPr>
                <w:rFonts w:cs="Times New Roman"/>
                <w:lang w:val="fr-FR"/>
              </w:rPr>
            </w:pPr>
            <w:r>
              <w:rPr>
                <w:rFonts w:cs="Times New Roman"/>
                <w:lang w:val="fr-FR"/>
              </w:rPr>
              <w:t>Taille du cathéter de mise en place</w:t>
            </w:r>
          </w:p>
        </w:tc>
        <w:tc>
          <w:tcPr>
            <w:tcW w:w="1250" w:type="pct"/>
          </w:tcPr>
          <w:p w14:paraId="7E248A66" w14:textId="77777777" w:rsidR="00994DB9" w:rsidRPr="009461CC" w:rsidRDefault="00994DB9" w:rsidP="0022766F">
            <w:pPr>
              <w:widowControl w:val="0"/>
              <w:rPr>
                <w:rFonts w:cs="Times New Roman"/>
              </w:rPr>
            </w:pPr>
            <w:r>
              <w:rPr>
                <w:rFonts w:cs="Times New Roman"/>
                <w:lang w:val="fr-FR"/>
              </w:rPr>
              <w:t>Longueur du cathéter</w:t>
            </w:r>
          </w:p>
        </w:tc>
      </w:tr>
      <w:tr w:rsidR="00994DB9" w:rsidRPr="009461CC" w14:paraId="41F89C56" w14:textId="77777777" w:rsidTr="0022766F">
        <w:tc>
          <w:tcPr>
            <w:tcW w:w="1354" w:type="pct"/>
          </w:tcPr>
          <w:p w14:paraId="20D41F97" w14:textId="77777777" w:rsidR="00994DB9" w:rsidRPr="009461CC" w:rsidRDefault="00994DB9" w:rsidP="0022766F">
            <w:pPr>
              <w:widowControl w:val="0"/>
              <w:rPr>
                <w:rFonts w:cs="Times New Roman"/>
              </w:rPr>
            </w:pPr>
            <w:r>
              <w:rPr>
                <w:rFonts w:cs="Times New Roman"/>
                <w:lang w:val="fr-FR"/>
              </w:rPr>
              <w:t>2-4 mm</w:t>
            </w:r>
          </w:p>
        </w:tc>
        <w:tc>
          <w:tcPr>
            <w:tcW w:w="1274" w:type="pct"/>
          </w:tcPr>
          <w:p w14:paraId="04CC9EC1" w14:textId="77777777" w:rsidR="00994DB9" w:rsidRPr="009461CC" w:rsidRDefault="00994DB9" w:rsidP="0022766F">
            <w:pPr>
              <w:widowControl w:val="0"/>
              <w:rPr>
                <w:rFonts w:cs="Times New Roman"/>
              </w:rPr>
            </w:pPr>
            <w:r>
              <w:rPr>
                <w:rFonts w:cs="Times New Roman"/>
                <w:lang w:val="fr-FR"/>
              </w:rPr>
              <w:t>175 cm</w:t>
            </w:r>
          </w:p>
        </w:tc>
        <w:tc>
          <w:tcPr>
            <w:tcW w:w="1123" w:type="pct"/>
          </w:tcPr>
          <w:p w14:paraId="38F2FCC0" w14:textId="77777777" w:rsidR="00994DB9" w:rsidRPr="009461CC" w:rsidRDefault="00994DB9" w:rsidP="0022766F">
            <w:pPr>
              <w:widowControl w:val="0"/>
              <w:rPr>
                <w:rFonts w:cs="Times New Roman"/>
              </w:rPr>
            </w:pPr>
            <w:r>
              <w:rPr>
                <w:rFonts w:cs="Times New Roman"/>
                <w:lang w:val="fr-FR"/>
              </w:rPr>
              <w:t>3,2 F</w:t>
            </w:r>
          </w:p>
        </w:tc>
        <w:tc>
          <w:tcPr>
            <w:tcW w:w="1250" w:type="pct"/>
          </w:tcPr>
          <w:p w14:paraId="5CD712C9" w14:textId="77777777" w:rsidR="00994DB9" w:rsidRPr="009461CC" w:rsidRDefault="00994DB9" w:rsidP="0022766F">
            <w:pPr>
              <w:widowControl w:val="0"/>
              <w:rPr>
                <w:rFonts w:cs="Times New Roman"/>
              </w:rPr>
            </w:pPr>
            <w:r>
              <w:rPr>
                <w:rFonts w:cs="Times New Roman"/>
                <w:lang w:val="fr-FR"/>
              </w:rPr>
              <w:t>150 cm</w:t>
            </w:r>
          </w:p>
        </w:tc>
      </w:tr>
      <w:tr w:rsidR="00994DB9" w:rsidRPr="009461CC" w14:paraId="5428D0A0" w14:textId="77777777" w:rsidTr="0022766F">
        <w:tc>
          <w:tcPr>
            <w:tcW w:w="1354" w:type="pct"/>
          </w:tcPr>
          <w:p w14:paraId="7992579F" w14:textId="77777777" w:rsidR="00994DB9" w:rsidRPr="009461CC" w:rsidRDefault="00994DB9" w:rsidP="0022766F">
            <w:pPr>
              <w:widowControl w:val="0"/>
              <w:rPr>
                <w:rFonts w:cs="Times New Roman"/>
              </w:rPr>
            </w:pPr>
            <w:r>
              <w:rPr>
                <w:rFonts w:cs="Times New Roman"/>
                <w:lang w:val="fr-FR"/>
              </w:rPr>
              <w:t>4-8 mm</w:t>
            </w:r>
          </w:p>
        </w:tc>
        <w:tc>
          <w:tcPr>
            <w:tcW w:w="1274" w:type="pct"/>
          </w:tcPr>
          <w:p w14:paraId="7E385A6E" w14:textId="77777777" w:rsidR="00994DB9" w:rsidRPr="009461CC" w:rsidRDefault="00994DB9" w:rsidP="0022766F">
            <w:pPr>
              <w:widowControl w:val="0"/>
              <w:rPr>
                <w:rFonts w:cs="Times New Roman"/>
              </w:rPr>
            </w:pPr>
            <w:r>
              <w:rPr>
                <w:rFonts w:cs="Times New Roman"/>
                <w:lang w:val="fr-FR"/>
              </w:rPr>
              <w:t>175 cm</w:t>
            </w:r>
          </w:p>
        </w:tc>
        <w:tc>
          <w:tcPr>
            <w:tcW w:w="1123" w:type="pct"/>
          </w:tcPr>
          <w:p w14:paraId="52F22EE9" w14:textId="77777777" w:rsidR="00994DB9" w:rsidRPr="009461CC" w:rsidRDefault="00994DB9" w:rsidP="0022766F">
            <w:pPr>
              <w:widowControl w:val="0"/>
              <w:rPr>
                <w:rFonts w:cs="Times New Roman"/>
              </w:rPr>
            </w:pPr>
            <w:r>
              <w:rPr>
                <w:rFonts w:cs="Times New Roman"/>
                <w:lang w:val="fr-FR"/>
              </w:rPr>
              <w:t>3,2 F</w:t>
            </w:r>
          </w:p>
        </w:tc>
        <w:tc>
          <w:tcPr>
            <w:tcW w:w="1250" w:type="pct"/>
          </w:tcPr>
          <w:p w14:paraId="2FFE91B6" w14:textId="77777777" w:rsidR="00994DB9" w:rsidRPr="009461CC" w:rsidRDefault="00994DB9" w:rsidP="0022766F">
            <w:pPr>
              <w:widowControl w:val="0"/>
              <w:rPr>
                <w:rFonts w:cs="Times New Roman"/>
              </w:rPr>
            </w:pPr>
            <w:r>
              <w:rPr>
                <w:rFonts w:cs="Times New Roman"/>
                <w:lang w:val="fr-FR"/>
              </w:rPr>
              <w:t>150 cm</w:t>
            </w:r>
          </w:p>
        </w:tc>
      </w:tr>
      <w:tr w:rsidR="00994DB9" w:rsidRPr="009461CC" w14:paraId="1CBE6E3D" w14:textId="77777777" w:rsidTr="0022766F">
        <w:tc>
          <w:tcPr>
            <w:tcW w:w="1354" w:type="pct"/>
          </w:tcPr>
          <w:p w14:paraId="3CD87E57" w14:textId="77777777" w:rsidR="00994DB9" w:rsidRPr="009461CC" w:rsidRDefault="00994DB9" w:rsidP="0022766F">
            <w:pPr>
              <w:widowControl w:val="0"/>
              <w:rPr>
                <w:rFonts w:cs="Times New Roman"/>
              </w:rPr>
            </w:pPr>
            <w:r>
              <w:rPr>
                <w:rFonts w:cs="Times New Roman"/>
                <w:lang w:val="fr-FR"/>
              </w:rPr>
              <w:t>6-10 mm</w:t>
            </w:r>
          </w:p>
        </w:tc>
        <w:tc>
          <w:tcPr>
            <w:tcW w:w="1274" w:type="pct"/>
          </w:tcPr>
          <w:p w14:paraId="58739EE1" w14:textId="77777777" w:rsidR="00994DB9" w:rsidRPr="009461CC" w:rsidRDefault="00994DB9" w:rsidP="0022766F">
            <w:pPr>
              <w:widowControl w:val="0"/>
              <w:rPr>
                <w:rFonts w:cs="Times New Roman"/>
              </w:rPr>
            </w:pPr>
            <w:r>
              <w:rPr>
                <w:rFonts w:cs="Times New Roman"/>
                <w:lang w:val="fr-FR"/>
              </w:rPr>
              <w:t>120 cm</w:t>
            </w:r>
          </w:p>
        </w:tc>
        <w:tc>
          <w:tcPr>
            <w:tcW w:w="1123" w:type="pct"/>
          </w:tcPr>
          <w:p w14:paraId="66A2FE52" w14:textId="77777777" w:rsidR="00994DB9" w:rsidRPr="009461CC" w:rsidRDefault="00994DB9" w:rsidP="0022766F">
            <w:pPr>
              <w:widowControl w:val="0"/>
              <w:rPr>
                <w:rFonts w:cs="Times New Roman"/>
              </w:rPr>
            </w:pPr>
            <w:r>
              <w:rPr>
                <w:rFonts w:cs="Times New Roman"/>
                <w:lang w:val="fr-FR"/>
              </w:rPr>
              <w:t>6 F</w:t>
            </w:r>
          </w:p>
        </w:tc>
        <w:tc>
          <w:tcPr>
            <w:tcW w:w="1250" w:type="pct"/>
          </w:tcPr>
          <w:p w14:paraId="16036ECD" w14:textId="77777777" w:rsidR="00994DB9" w:rsidRPr="009461CC" w:rsidRDefault="00994DB9" w:rsidP="0022766F">
            <w:pPr>
              <w:widowControl w:val="0"/>
              <w:rPr>
                <w:rFonts w:cs="Times New Roman"/>
              </w:rPr>
            </w:pPr>
            <w:r>
              <w:rPr>
                <w:rFonts w:cs="Times New Roman"/>
                <w:lang w:val="fr-FR"/>
              </w:rPr>
              <w:t>100 cm</w:t>
            </w:r>
          </w:p>
        </w:tc>
      </w:tr>
      <w:tr w:rsidR="00994DB9" w:rsidRPr="009461CC" w14:paraId="7137F3A0" w14:textId="77777777" w:rsidTr="0022766F">
        <w:tc>
          <w:tcPr>
            <w:tcW w:w="1354" w:type="pct"/>
          </w:tcPr>
          <w:p w14:paraId="5097E3BD" w14:textId="77777777" w:rsidR="00994DB9" w:rsidRPr="009461CC" w:rsidRDefault="00994DB9" w:rsidP="0022766F">
            <w:pPr>
              <w:widowControl w:val="0"/>
              <w:rPr>
                <w:rFonts w:cs="Times New Roman"/>
              </w:rPr>
            </w:pPr>
            <w:r>
              <w:rPr>
                <w:rFonts w:cs="Times New Roman"/>
                <w:lang w:val="fr-FR"/>
              </w:rPr>
              <w:t>9-15 mm</w:t>
            </w:r>
          </w:p>
        </w:tc>
        <w:tc>
          <w:tcPr>
            <w:tcW w:w="1274" w:type="pct"/>
          </w:tcPr>
          <w:p w14:paraId="6E08B1BC" w14:textId="77777777" w:rsidR="00994DB9" w:rsidRPr="009461CC" w:rsidRDefault="00994DB9" w:rsidP="0022766F">
            <w:pPr>
              <w:widowControl w:val="0"/>
              <w:rPr>
                <w:rFonts w:cs="Times New Roman"/>
              </w:rPr>
            </w:pPr>
            <w:r>
              <w:rPr>
                <w:rFonts w:cs="Times New Roman"/>
                <w:lang w:val="fr-FR"/>
              </w:rPr>
              <w:t>120 cm</w:t>
            </w:r>
          </w:p>
        </w:tc>
        <w:tc>
          <w:tcPr>
            <w:tcW w:w="1123" w:type="pct"/>
          </w:tcPr>
          <w:p w14:paraId="5E975E99" w14:textId="77777777" w:rsidR="00994DB9" w:rsidRPr="009461CC" w:rsidRDefault="00994DB9" w:rsidP="0022766F">
            <w:pPr>
              <w:widowControl w:val="0"/>
              <w:rPr>
                <w:rFonts w:cs="Times New Roman"/>
              </w:rPr>
            </w:pPr>
            <w:r>
              <w:rPr>
                <w:rFonts w:cs="Times New Roman"/>
                <w:lang w:val="fr-FR"/>
              </w:rPr>
              <w:t>6 F</w:t>
            </w:r>
          </w:p>
        </w:tc>
        <w:tc>
          <w:tcPr>
            <w:tcW w:w="1250" w:type="pct"/>
          </w:tcPr>
          <w:p w14:paraId="70150399" w14:textId="77777777" w:rsidR="00994DB9" w:rsidRPr="009461CC" w:rsidRDefault="00994DB9" w:rsidP="0022766F">
            <w:pPr>
              <w:widowControl w:val="0"/>
              <w:rPr>
                <w:rFonts w:cs="Times New Roman"/>
              </w:rPr>
            </w:pPr>
            <w:r>
              <w:rPr>
                <w:rFonts w:cs="Times New Roman"/>
                <w:lang w:val="fr-FR"/>
              </w:rPr>
              <w:t>100 cm</w:t>
            </w:r>
          </w:p>
        </w:tc>
      </w:tr>
      <w:tr w:rsidR="00994DB9" w:rsidRPr="009461CC" w14:paraId="6873E431" w14:textId="77777777" w:rsidTr="0022766F">
        <w:tc>
          <w:tcPr>
            <w:tcW w:w="1354" w:type="pct"/>
          </w:tcPr>
          <w:p w14:paraId="0A8A2276" w14:textId="77777777" w:rsidR="00994DB9" w:rsidRPr="009461CC" w:rsidRDefault="00994DB9" w:rsidP="0022766F">
            <w:pPr>
              <w:widowControl w:val="0"/>
              <w:rPr>
                <w:rFonts w:cs="Times New Roman"/>
              </w:rPr>
            </w:pPr>
            <w:r>
              <w:rPr>
                <w:rFonts w:cs="Times New Roman"/>
                <w:lang w:val="fr-FR"/>
              </w:rPr>
              <w:t>12-20 mm</w:t>
            </w:r>
          </w:p>
        </w:tc>
        <w:tc>
          <w:tcPr>
            <w:tcW w:w="1274" w:type="pct"/>
          </w:tcPr>
          <w:p w14:paraId="7058BA8B" w14:textId="77777777" w:rsidR="00994DB9" w:rsidRPr="009461CC" w:rsidRDefault="00994DB9" w:rsidP="0022766F">
            <w:pPr>
              <w:widowControl w:val="0"/>
              <w:rPr>
                <w:rFonts w:cs="Times New Roman"/>
              </w:rPr>
            </w:pPr>
            <w:r>
              <w:rPr>
                <w:rFonts w:cs="Times New Roman"/>
                <w:lang w:val="fr-FR"/>
              </w:rPr>
              <w:t>120 cm</w:t>
            </w:r>
          </w:p>
        </w:tc>
        <w:tc>
          <w:tcPr>
            <w:tcW w:w="1123" w:type="pct"/>
          </w:tcPr>
          <w:p w14:paraId="16F950BF" w14:textId="77777777" w:rsidR="00994DB9" w:rsidRPr="009461CC" w:rsidRDefault="00994DB9" w:rsidP="0022766F">
            <w:pPr>
              <w:widowControl w:val="0"/>
              <w:rPr>
                <w:rFonts w:cs="Times New Roman"/>
              </w:rPr>
            </w:pPr>
            <w:r>
              <w:rPr>
                <w:rFonts w:cs="Times New Roman"/>
                <w:lang w:val="fr-FR"/>
              </w:rPr>
              <w:t>6 F</w:t>
            </w:r>
          </w:p>
        </w:tc>
        <w:tc>
          <w:tcPr>
            <w:tcW w:w="1250" w:type="pct"/>
          </w:tcPr>
          <w:p w14:paraId="759B78BD" w14:textId="77777777" w:rsidR="00994DB9" w:rsidRPr="009461CC" w:rsidRDefault="00994DB9" w:rsidP="0022766F">
            <w:pPr>
              <w:widowControl w:val="0"/>
              <w:rPr>
                <w:rFonts w:cs="Times New Roman"/>
              </w:rPr>
            </w:pPr>
            <w:r>
              <w:rPr>
                <w:rFonts w:cs="Times New Roman"/>
                <w:lang w:val="fr-FR"/>
              </w:rPr>
              <w:t>100 cm</w:t>
            </w:r>
          </w:p>
        </w:tc>
      </w:tr>
      <w:tr w:rsidR="00994DB9" w:rsidRPr="009461CC" w14:paraId="52111BAB" w14:textId="77777777" w:rsidTr="0022766F">
        <w:tc>
          <w:tcPr>
            <w:tcW w:w="1354" w:type="pct"/>
          </w:tcPr>
          <w:p w14:paraId="41061D9E" w14:textId="77777777" w:rsidR="00994DB9" w:rsidRPr="009461CC" w:rsidRDefault="00994DB9" w:rsidP="0022766F">
            <w:pPr>
              <w:widowControl w:val="0"/>
              <w:rPr>
                <w:rFonts w:cs="Times New Roman"/>
              </w:rPr>
            </w:pPr>
            <w:r>
              <w:rPr>
                <w:rFonts w:cs="Times New Roman"/>
                <w:lang w:val="fr-FR"/>
              </w:rPr>
              <w:t>18-30 mm</w:t>
            </w:r>
          </w:p>
        </w:tc>
        <w:tc>
          <w:tcPr>
            <w:tcW w:w="1274" w:type="pct"/>
          </w:tcPr>
          <w:p w14:paraId="22AB0CDE" w14:textId="77777777" w:rsidR="00994DB9" w:rsidRPr="009461CC" w:rsidRDefault="00994DB9" w:rsidP="0022766F">
            <w:pPr>
              <w:widowControl w:val="0"/>
              <w:rPr>
                <w:rFonts w:cs="Times New Roman"/>
              </w:rPr>
            </w:pPr>
            <w:r>
              <w:rPr>
                <w:rFonts w:cs="Times New Roman"/>
                <w:lang w:val="fr-FR"/>
              </w:rPr>
              <w:t>120 cm</w:t>
            </w:r>
          </w:p>
        </w:tc>
        <w:tc>
          <w:tcPr>
            <w:tcW w:w="1123" w:type="pct"/>
          </w:tcPr>
          <w:p w14:paraId="17196BA8" w14:textId="77777777" w:rsidR="00994DB9" w:rsidRPr="009461CC" w:rsidRDefault="00994DB9" w:rsidP="0022766F">
            <w:pPr>
              <w:widowControl w:val="0"/>
              <w:rPr>
                <w:rFonts w:cs="Times New Roman"/>
              </w:rPr>
            </w:pPr>
            <w:r>
              <w:rPr>
                <w:rFonts w:cs="Times New Roman"/>
                <w:lang w:val="fr-FR"/>
              </w:rPr>
              <w:t>7 F</w:t>
            </w:r>
          </w:p>
        </w:tc>
        <w:tc>
          <w:tcPr>
            <w:tcW w:w="1250" w:type="pct"/>
          </w:tcPr>
          <w:p w14:paraId="4543B8B0" w14:textId="77777777" w:rsidR="00994DB9" w:rsidRPr="009461CC" w:rsidRDefault="00994DB9" w:rsidP="0022766F">
            <w:pPr>
              <w:widowControl w:val="0"/>
              <w:rPr>
                <w:rFonts w:cs="Times New Roman"/>
              </w:rPr>
            </w:pPr>
            <w:r>
              <w:rPr>
                <w:rFonts w:cs="Times New Roman"/>
                <w:lang w:val="fr-FR"/>
              </w:rPr>
              <w:t>100 cm</w:t>
            </w:r>
          </w:p>
        </w:tc>
      </w:tr>
      <w:tr w:rsidR="00994DB9" w:rsidRPr="009461CC" w14:paraId="3F7A77C7" w14:textId="77777777" w:rsidTr="0022766F">
        <w:tc>
          <w:tcPr>
            <w:tcW w:w="1354" w:type="pct"/>
          </w:tcPr>
          <w:p w14:paraId="755F3FE4" w14:textId="77777777" w:rsidR="00994DB9" w:rsidRPr="009461CC" w:rsidRDefault="00994DB9" w:rsidP="0022766F">
            <w:pPr>
              <w:widowControl w:val="0"/>
              <w:rPr>
                <w:rFonts w:cs="Times New Roman"/>
              </w:rPr>
            </w:pPr>
            <w:r>
              <w:rPr>
                <w:rFonts w:cs="Times New Roman"/>
                <w:lang w:val="fr-FR"/>
              </w:rPr>
              <w:t>27-45 mm</w:t>
            </w:r>
          </w:p>
        </w:tc>
        <w:tc>
          <w:tcPr>
            <w:tcW w:w="1274" w:type="pct"/>
          </w:tcPr>
          <w:p w14:paraId="622306B0" w14:textId="77777777" w:rsidR="00994DB9" w:rsidRPr="009461CC" w:rsidRDefault="00994DB9" w:rsidP="0022766F">
            <w:pPr>
              <w:widowControl w:val="0"/>
              <w:rPr>
                <w:rFonts w:cs="Times New Roman"/>
              </w:rPr>
            </w:pPr>
            <w:r>
              <w:rPr>
                <w:rFonts w:cs="Times New Roman"/>
                <w:lang w:val="fr-FR"/>
              </w:rPr>
              <w:t>120 cm</w:t>
            </w:r>
          </w:p>
        </w:tc>
        <w:tc>
          <w:tcPr>
            <w:tcW w:w="1123" w:type="pct"/>
          </w:tcPr>
          <w:p w14:paraId="74C46753" w14:textId="77777777" w:rsidR="00994DB9" w:rsidRPr="009461CC" w:rsidRDefault="00994DB9" w:rsidP="0022766F">
            <w:pPr>
              <w:widowControl w:val="0"/>
              <w:rPr>
                <w:rFonts w:cs="Times New Roman"/>
              </w:rPr>
            </w:pPr>
            <w:r>
              <w:rPr>
                <w:rFonts w:cs="Times New Roman"/>
                <w:lang w:val="fr-FR"/>
              </w:rPr>
              <w:t>7 F</w:t>
            </w:r>
          </w:p>
        </w:tc>
        <w:tc>
          <w:tcPr>
            <w:tcW w:w="1250" w:type="pct"/>
          </w:tcPr>
          <w:p w14:paraId="2DBCCFBE" w14:textId="77777777" w:rsidR="00994DB9" w:rsidRPr="009461CC" w:rsidRDefault="00994DB9" w:rsidP="0022766F">
            <w:pPr>
              <w:widowControl w:val="0"/>
              <w:rPr>
                <w:rFonts w:cs="Times New Roman"/>
              </w:rPr>
            </w:pPr>
            <w:r>
              <w:rPr>
                <w:rFonts w:cs="Times New Roman"/>
                <w:lang w:val="fr-FR"/>
              </w:rPr>
              <w:t>100 cm</w:t>
            </w:r>
          </w:p>
        </w:tc>
      </w:tr>
    </w:tbl>
    <w:p w14:paraId="5D27461E" w14:textId="77777777" w:rsidR="000F4DF1" w:rsidRPr="00C36DF6" w:rsidRDefault="000F4DF1" w:rsidP="00994DB9">
      <w:pPr>
        <w:rPr>
          <w:rFonts w:cs="Times New Roman"/>
          <w:sz w:val="2"/>
          <w:szCs w:val="2"/>
        </w:rPr>
      </w:pPr>
    </w:p>
    <w:p w14:paraId="4C7769AE" w14:textId="77777777" w:rsidR="00D20FA4" w:rsidRPr="009461CC" w:rsidRDefault="00D20FA4" w:rsidP="00042B91">
      <w:pPr>
        <w:pStyle w:val="Heading1"/>
        <w:rPr>
          <w:rFonts w:cs="Times New Roman"/>
        </w:rPr>
      </w:pPr>
      <w:bookmarkStart w:id="15" w:name="_Toc222741378"/>
      <w:bookmarkEnd w:id="14"/>
      <w:r>
        <w:rPr>
          <w:rFonts w:cs="Times New Roman"/>
          <w:bCs/>
          <w:lang w:val="fr-FR"/>
        </w:rPr>
        <w:t>Variantes précédentes et leurs différences</w:t>
      </w:r>
      <w:bookmarkEnd w:id="15"/>
    </w:p>
    <w:p w14:paraId="060329F5" w14:textId="3AA8BB73" w:rsidR="00042B91" w:rsidRPr="00CE53A8" w:rsidRDefault="009D7E33" w:rsidP="007B0F04">
      <w:pPr>
        <w:ind w:left="792"/>
        <w:rPr>
          <w:rFonts w:cs="Times New Roman"/>
          <w:lang w:val="fr-FR"/>
        </w:rPr>
      </w:pPr>
      <w:r>
        <w:rPr>
          <w:rFonts w:cs="Times New Roman"/>
          <w:lang w:val="fr-FR"/>
        </w:rPr>
        <w:t>Cette section est sans objet (S.O.).</w:t>
      </w:r>
    </w:p>
    <w:p w14:paraId="26363C05" w14:textId="77777777" w:rsidR="00760400" w:rsidRPr="00CE53A8" w:rsidRDefault="00760400" w:rsidP="00042B91">
      <w:pPr>
        <w:pStyle w:val="Heading1"/>
        <w:rPr>
          <w:rFonts w:cs="Times New Roman"/>
          <w:lang w:val="fr-FR"/>
        </w:rPr>
      </w:pPr>
      <w:bookmarkStart w:id="16" w:name="_Toc222741379"/>
      <w:r>
        <w:rPr>
          <w:rFonts w:cs="Times New Roman"/>
          <w:bCs/>
          <w:lang w:val="fr-FR"/>
        </w:rPr>
        <w:t>Accessoires, dispositifs compatibles et autres produits utilisés en combinaison</w:t>
      </w:r>
      <w:bookmarkEnd w:id="16"/>
    </w:p>
    <w:p w14:paraId="21F32064" w14:textId="1C156DEB" w:rsidR="00C02BC0" w:rsidRPr="00CE53A8" w:rsidRDefault="00C02BC0" w:rsidP="007B0F04">
      <w:pPr>
        <w:spacing w:after="0" w:afterAutospacing="0"/>
        <w:ind w:left="792"/>
        <w:rPr>
          <w:rFonts w:cs="Times New Roman"/>
          <w:lang w:val="fr-FR"/>
        </w:rPr>
      </w:pPr>
      <w:r>
        <w:rPr>
          <w:rFonts w:cs="Times New Roman"/>
          <w:lang w:val="fr-FR"/>
        </w:rPr>
        <w:t xml:space="preserve">Les accessoires du kit de collet vasculaire </w:t>
      </w:r>
      <w:proofErr w:type="spellStart"/>
      <w:r>
        <w:rPr>
          <w:rFonts w:cs="Times New Roman"/>
          <w:lang w:val="fr-FR"/>
        </w:rPr>
        <w:t>Atrieve</w:t>
      </w:r>
      <w:proofErr w:type="spellEnd"/>
      <w:r>
        <w:rPr>
          <w:rFonts w:cs="Times New Roman"/>
          <w:lang w:val="fr-FR"/>
        </w:rPr>
        <w:t xml:space="preserve"> incluent le cathéter de mise en place, un introducteur et une poignée dynamométrique (étau à broche).</w:t>
      </w:r>
    </w:p>
    <w:p w14:paraId="45C0A245" w14:textId="61A622A4" w:rsidR="008745ED" w:rsidRPr="009461CC" w:rsidRDefault="008745ED" w:rsidP="00F67A0E">
      <w:pPr>
        <w:pStyle w:val="Heading1"/>
        <w:numPr>
          <w:ilvl w:val="0"/>
          <w:numId w:val="2"/>
        </w:numPr>
        <w:rPr>
          <w:rFonts w:cs="Times New Roman"/>
        </w:rPr>
      </w:pPr>
      <w:bookmarkStart w:id="17" w:name="_Toc222741380"/>
      <w:r>
        <w:rPr>
          <w:rFonts w:cs="Times New Roman"/>
          <w:bCs/>
          <w:lang w:val="fr-FR"/>
        </w:rPr>
        <w:lastRenderedPageBreak/>
        <w:t>Risques et avertissements</w:t>
      </w:r>
      <w:bookmarkEnd w:id="17"/>
    </w:p>
    <w:p w14:paraId="3D8BE6E3" w14:textId="77777777" w:rsidR="00042B91" w:rsidRPr="00C36DF6" w:rsidRDefault="00042B91" w:rsidP="00042B91">
      <w:pPr>
        <w:spacing w:after="0" w:afterAutospacing="0" w:line="240" w:lineRule="auto"/>
        <w:rPr>
          <w:rFonts w:cs="Times New Roman"/>
          <w:sz w:val="16"/>
          <w:szCs w:val="14"/>
        </w:rPr>
      </w:pPr>
    </w:p>
    <w:p w14:paraId="04F70349" w14:textId="6FD2DA8D" w:rsidR="008745ED" w:rsidRPr="00CE53A8" w:rsidRDefault="008745ED" w:rsidP="00042B91">
      <w:pPr>
        <w:pStyle w:val="Heading1"/>
        <w:rPr>
          <w:rFonts w:cs="Times New Roman"/>
          <w:lang w:val="fr-FR"/>
        </w:rPr>
      </w:pPr>
      <w:bookmarkStart w:id="18" w:name="_Toc222741381"/>
      <w:r>
        <w:rPr>
          <w:rFonts w:cs="Times New Roman"/>
          <w:bCs/>
          <w:lang w:val="fr-FR"/>
        </w:rPr>
        <w:t>Risques résiduels et effets secondaires indésirables</w:t>
      </w:r>
      <w:bookmarkEnd w:id="18"/>
    </w:p>
    <w:p w14:paraId="2F64097C" w14:textId="607FF4A5" w:rsidR="00D15BBE" w:rsidRPr="00CE53A8" w:rsidRDefault="00C64987" w:rsidP="008D7F1C">
      <w:pPr>
        <w:ind w:left="792"/>
        <w:rPr>
          <w:rFonts w:cs="Times New Roman"/>
          <w:lang w:val="fr-FR"/>
        </w:rPr>
      </w:pPr>
      <w:r>
        <w:rPr>
          <w:rFonts w:cs="Times New Roman"/>
          <w:lang w:val="fr-FR"/>
        </w:rPr>
        <w:t xml:space="preserve">Conformément au document RMR-0011 Rev H, le profil risque-bénéfice du produit est décrit comme suit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086"/>
        <w:gridCol w:w="2197"/>
        <w:gridCol w:w="3774"/>
      </w:tblGrid>
      <w:tr w:rsidR="00453251" w:rsidRPr="009461CC" w14:paraId="15FC12E9" w14:textId="77777777" w:rsidTr="00C36DF6">
        <w:trPr>
          <w:trHeight w:val="620"/>
        </w:trPr>
        <w:tc>
          <w:tcPr>
            <w:tcW w:w="1138" w:type="pct"/>
            <w:shd w:val="clear" w:color="auto" w:fill="BFBFBF"/>
            <w:vAlign w:val="center"/>
          </w:tcPr>
          <w:p w14:paraId="024816D8" w14:textId="77777777" w:rsidR="00453251" w:rsidRPr="009461CC" w:rsidRDefault="00453251" w:rsidP="00C36DF6">
            <w:pPr>
              <w:pStyle w:val="TableHeading-Font10"/>
              <w:spacing w:line="216" w:lineRule="auto"/>
              <w:rPr>
                <w:rFonts w:ascii="Times New Roman" w:hAnsi="Times New Roman" w:cs="Times New Roman"/>
              </w:rPr>
            </w:pPr>
            <w:r>
              <w:rPr>
                <w:rFonts w:ascii="Times New Roman" w:hAnsi="Times New Roman" w:cs="Times New Roman"/>
                <w:lang w:val="fr-FR"/>
              </w:rPr>
              <w:t>Résultat</w:t>
            </w:r>
            <w:bookmarkStart w:id="19" w:name="_Toc86391902"/>
            <w:bookmarkEnd w:id="19"/>
          </w:p>
        </w:tc>
        <w:tc>
          <w:tcPr>
            <w:tcW w:w="1000" w:type="pct"/>
            <w:shd w:val="clear" w:color="auto" w:fill="BFBFBF"/>
          </w:tcPr>
          <w:p w14:paraId="22A108AE" w14:textId="77777777" w:rsidR="00453251" w:rsidRPr="00CE53A8" w:rsidRDefault="00453251" w:rsidP="00C36DF6">
            <w:pPr>
              <w:pStyle w:val="TableHeading-Font10"/>
              <w:spacing w:line="216" w:lineRule="auto"/>
              <w:rPr>
                <w:rFonts w:ascii="Times New Roman" w:hAnsi="Times New Roman" w:cs="Times New Roman"/>
                <w:lang w:val="fr-FR"/>
              </w:rPr>
            </w:pPr>
            <w:r>
              <w:rPr>
                <w:rFonts w:ascii="Times New Roman" w:hAnsi="Times New Roman" w:cs="Times New Roman"/>
                <w:lang w:val="fr-FR"/>
              </w:rPr>
              <w:t>État de l’art</w:t>
            </w:r>
            <w:r>
              <w:rPr>
                <w:rFonts w:ascii="Times New Roman" w:hAnsi="Times New Roman" w:cs="Times New Roman"/>
                <w:lang w:val="fr-FR"/>
              </w:rPr>
              <w:br/>
              <w:t>Plage globale</w:t>
            </w:r>
          </w:p>
        </w:tc>
        <w:tc>
          <w:tcPr>
            <w:tcW w:w="1053" w:type="pct"/>
            <w:shd w:val="clear" w:color="auto" w:fill="BFBFBF"/>
            <w:vAlign w:val="center"/>
          </w:tcPr>
          <w:p w14:paraId="16D6B523" w14:textId="77777777" w:rsidR="00453251" w:rsidRPr="009461CC" w:rsidRDefault="00453251" w:rsidP="00C36DF6">
            <w:pPr>
              <w:pStyle w:val="TableHeading-Font10"/>
              <w:spacing w:line="216" w:lineRule="auto"/>
              <w:rPr>
                <w:rFonts w:ascii="Times New Roman" w:hAnsi="Times New Roman" w:cs="Times New Roman"/>
              </w:rPr>
            </w:pPr>
            <w:r>
              <w:rPr>
                <w:rFonts w:ascii="Times New Roman" w:hAnsi="Times New Roman" w:cs="Times New Roman"/>
                <w:lang w:val="fr-FR"/>
              </w:rPr>
              <w:t>Dispositif concurrent</w:t>
            </w:r>
          </w:p>
          <w:p w14:paraId="45EFB37E" w14:textId="77777777" w:rsidR="00453251" w:rsidRPr="009461CC" w:rsidRDefault="00453251" w:rsidP="00C36DF6">
            <w:pPr>
              <w:pStyle w:val="TableHeading-Font10"/>
              <w:spacing w:line="216" w:lineRule="auto"/>
              <w:rPr>
                <w:rFonts w:ascii="Times New Roman" w:hAnsi="Times New Roman" w:cs="Times New Roman"/>
              </w:rPr>
            </w:pPr>
            <w:r>
              <w:rPr>
                <w:rFonts w:ascii="Times New Roman" w:hAnsi="Times New Roman" w:cs="Times New Roman"/>
                <w:lang w:val="fr-FR"/>
              </w:rPr>
              <w:t>Plage globale</w:t>
            </w:r>
            <w:bookmarkStart w:id="20" w:name="_Toc86391905"/>
            <w:bookmarkEnd w:id="20"/>
          </w:p>
        </w:tc>
        <w:tc>
          <w:tcPr>
            <w:tcW w:w="1810" w:type="pct"/>
            <w:shd w:val="clear" w:color="auto" w:fill="BFBFBF"/>
            <w:vAlign w:val="center"/>
          </w:tcPr>
          <w:p w14:paraId="17C5AFF5" w14:textId="77777777" w:rsidR="00453251" w:rsidRPr="009461CC" w:rsidRDefault="00453251" w:rsidP="00C36DF6">
            <w:pPr>
              <w:pStyle w:val="TableHeading-Font10"/>
              <w:spacing w:line="216" w:lineRule="auto"/>
              <w:rPr>
                <w:rFonts w:ascii="Times New Roman" w:hAnsi="Times New Roman" w:cs="Times New Roman"/>
              </w:rPr>
            </w:pPr>
            <w:r>
              <w:rPr>
                <w:rFonts w:ascii="Times New Roman" w:hAnsi="Times New Roman" w:cs="Times New Roman"/>
                <w:lang w:val="fr-FR"/>
              </w:rPr>
              <w:t>Critères d’acceptation</w:t>
            </w:r>
            <w:bookmarkStart w:id="21" w:name="_Toc86391906"/>
            <w:bookmarkEnd w:id="21"/>
          </w:p>
        </w:tc>
        <w:bookmarkStart w:id="22" w:name="_Toc86391907"/>
        <w:bookmarkEnd w:id="22"/>
      </w:tr>
      <w:tr w:rsidR="00453251" w:rsidRPr="009461CC" w14:paraId="5B41AE2D" w14:textId="77777777" w:rsidTr="00453251">
        <w:tc>
          <w:tcPr>
            <w:tcW w:w="5000" w:type="pct"/>
            <w:gridSpan w:val="4"/>
            <w:shd w:val="clear" w:color="auto" w:fill="D9D9D9"/>
          </w:tcPr>
          <w:p w14:paraId="026E445F" w14:textId="77777777" w:rsidR="00453251" w:rsidRPr="009461CC" w:rsidRDefault="00453251" w:rsidP="00C36DF6">
            <w:pPr>
              <w:pStyle w:val="TableTextLeft"/>
              <w:spacing w:line="216" w:lineRule="auto"/>
              <w:rPr>
                <w:rFonts w:ascii="Times New Roman" w:hAnsi="Times New Roman" w:cs="Times New Roman"/>
                <w:b/>
                <w:bCs/>
              </w:rPr>
            </w:pPr>
            <w:r>
              <w:rPr>
                <w:rFonts w:ascii="Times New Roman" w:hAnsi="Times New Roman" w:cs="Times New Roman"/>
                <w:b/>
                <w:bCs/>
                <w:iCs w:val="0"/>
                <w:lang w:val="fr-FR"/>
              </w:rPr>
              <w:t>Sécurité</w:t>
            </w:r>
          </w:p>
        </w:tc>
      </w:tr>
      <w:tr w:rsidR="00453251" w:rsidRPr="003E0201" w14:paraId="2ECEC40D" w14:textId="77777777" w:rsidTr="00C36DF6">
        <w:tc>
          <w:tcPr>
            <w:tcW w:w="1138" w:type="pct"/>
          </w:tcPr>
          <w:p w14:paraId="01C3E100" w14:textId="77777777" w:rsidR="00453251" w:rsidRPr="009461CC" w:rsidRDefault="00453251" w:rsidP="00C36DF6">
            <w:pPr>
              <w:pStyle w:val="TableTextLeft"/>
              <w:spacing w:line="216" w:lineRule="auto"/>
              <w:rPr>
                <w:rFonts w:ascii="Times New Roman" w:hAnsi="Times New Roman" w:cs="Times New Roman"/>
              </w:rPr>
            </w:pPr>
            <w:r>
              <w:rPr>
                <w:rFonts w:ascii="Times New Roman" w:hAnsi="Times New Roman" w:cs="Times New Roman"/>
                <w:iCs w:val="0"/>
                <w:lang w:val="fr-FR"/>
              </w:rPr>
              <w:t>Saignement</w:t>
            </w:r>
            <w:bookmarkStart w:id="23" w:name="_Toc86391910"/>
            <w:bookmarkEnd w:id="23"/>
          </w:p>
        </w:tc>
        <w:tc>
          <w:tcPr>
            <w:tcW w:w="1000" w:type="pct"/>
            <w:vAlign w:val="center"/>
          </w:tcPr>
          <w:p w14:paraId="529B6FA7" w14:textId="77777777" w:rsidR="00453251" w:rsidRPr="009461CC" w:rsidRDefault="00453251" w:rsidP="00C36DF6">
            <w:pPr>
              <w:pStyle w:val="TableTextLeft"/>
              <w:spacing w:line="216" w:lineRule="auto"/>
              <w:jc w:val="center"/>
              <w:rPr>
                <w:rFonts w:ascii="Times New Roman" w:hAnsi="Times New Roman" w:cs="Times New Roman"/>
                <w:iCs w:val="0"/>
              </w:rPr>
            </w:pPr>
            <w:r>
              <w:rPr>
                <w:rFonts w:ascii="Times New Roman" w:hAnsi="Times New Roman" w:cs="Times New Roman"/>
                <w:iCs w:val="0"/>
                <w:lang w:val="fr-FR"/>
              </w:rPr>
              <w:t>0-3 %</w:t>
            </w:r>
          </w:p>
        </w:tc>
        <w:tc>
          <w:tcPr>
            <w:tcW w:w="1053" w:type="pct"/>
            <w:vAlign w:val="center"/>
          </w:tcPr>
          <w:p w14:paraId="30172B6B" w14:textId="77777777" w:rsidR="00453251" w:rsidRPr="009461CC" w:rsidRDefault="00453251" w:rsidP="00C36DF6">
            <w:pPr>
              <w:pStyle w:val="TableTextLeft"/>
              <w:spacing w:line="216" w:lineRule="auto"/>
              <w:jc w:val="center"/>
              <w:rPr>
                <w:rFonts w:ascii="Times New Roman" w:hAnsi="Times New Roman" w:cs="Times New Roman"/>
                <w:iCs w:val="0"/>
              </w:rPr>
            </w:pPr>
            <w:bookmarkStart w:id="24" w:name="_Toc86391913"/>
            <w:bookmarkStart w:id="25" w:name="_Toc86391911"/>
            <w:bookmarkEnd w:id="24"/>
            <w:bookmarkEnd w:id="25"/>
            <w:r>
              <w:rPr>
                <w:rFonts w:ascii="Times New Roman" w:hAnsi="Times New Roman" w:cs="Times New Roman"/>
                <w:iCs w:val="0"/>
                <w:lang w:val="fr-FR"/>
              </w:rPr>
              <w:t>0-0,6 %</w:t>
            </w:r>
          </w:p>
        </w:tc>
        <w:tc>
          <w:tcPr>
            <w:tcW w:w="1810" w:type="pct"/>
            <w:vAlign w:val="center"/>
          </w:tcPr>
          <w:p w14:paraId="03E978DF" w14:textId="77777777" w:rsidR="00453251" w:rsidRPr="00CE53A8" w:rsidRDefault="00453251" w:rsidP="00C36DF6">
            <w:pPr>
              <w:pStyle w:val="TableTextLeft"/>
              <w:spacing w:line="216" w:lineRule="auto"/>
              <w:rPr>
                <w:rFonts w:ascii="Times New Roman" w:hAnsi="Times New Roman" w:cs="Times New Roman"/>
                <w:lang w:val="fr-FR"/>
              </w:rPr>
            </w:pPr>
            <w:bookmarkStart w:id="26" w:name="_Toc86391914"/>
            <w:bookmarkEnd w:id="26"/>
            <w:r>
              <w:rPr>
                <w:rFonts w:ascii="Times New Roman" w:hAnsi="Times New Roman" w:cs="Times New Roman"/>
                <w:iCs w:val="0"/>
                <w:lang w:val="fr-FR"/>
              </w:rPr>
              <w:t xml:space="preserve">Taux de saignement </w:t>
            </w:r>
            <w:r>
              <w:rPr>
                <w:rFonts w:ascii="Times New Roman" w:hAnsi="Times New Roman" w:cs="Times New Roman"/>
                <w:b/>
                <w:bCs/>
                <w:iCs w:val="0"/>
                <w:lang w:val="fr-FR"/>
              </w:rPr>
              <w:t>inférieurs à 3 %</w:t>
            </w:r>
          </w:p>
        </w:tc>
        <w:bookmarkStart w:id="27" w:name="_Toc86391915"/>
        <w:bookmarkEnd w:id="27"/>
      </w:tr>
      <w:tr w:rsidR="00453251" w:rsidRPr="003E0201" w14:paraId="770200CA" w14:textId="77777777" w:rsidTr="00C36DF6">
        <w:tc>
          <w:tcPr>
            <w:tcW w:w="1138" w:type="pct"/>
          </w:tcPr>
          <w:p w14:paraId="4D43F3AC" w14:textId="77777777" w:rsidR="00453251" w:rsidRPr="009461CC" w:rsidRDefault="00453251" w:rsidP="00C36DF6">
            <w:pPr>
              <w:pStyle w:val="TableTextLeft"/>
              <w:spacing w:line="216" w:lineRule="auto"/>
              <w:rPr>
                <w:rFonts w:ascii="Times New Roman" w:eastAsia="MS Mincho" w:hAnsi="Times New Roman" w:cs="Times New Roman"/>
              </w:rPr>
            </w:pPr>
            <w:r>
              <w:rPr>
                <w:rFonts w:ascii="Times New Roman" w:hAnsi="Times New Roman" w:cs="Times New Roman"/>
                <w:iCs w:val="0"/>
                <w:lang w:val="fr-FR"/>
              </w:rPr>
              <w:t>Perforation/lésion tissulaire</w:t>
            </w:r>
            <w:bookmarkStart w:id="28" w:name="_Toc86391916"/>
            <w:bookmarkEnd w:id="28"/>
          </w:p>
        </w:tc>
        <w:tc>
          <w:tcPr>
            <w:tcW w:w="1000" w:type="pct"/>
            <w:vAlign w:val="center"/>
          </w:tcPr>
          <w:p w14:paraId="42E7FC3B" w14:textId="77777777" w:rsidR="00453251" w:rsidRPr="009461CC" w:rsidRDefault="00453251" w:rsidP="00C36DF6">
            <w:pPr>
              <w:pStyle w:val="TableTextLeft"/>
              <w:spacing w:line="216" w:lineRule="auto"/>
              <w:jc w:val="center"/>
              <w:rPr>
                <w:rFonts w:ascii="Times New Roman" w:hAnsi="Times New Roman" w:cs="Times New Roman"/>
                <w:iCs w:val="0"/>
              </w:rPr>
            </w:pPr>
            <w:r>
              <w:rPr>
                <w:rFonts w:ascii="Times New Roman" w:hAnsi="Times New Roman" w:cs="Times New Roman"/>
                <w:iCs w:val="0"/>
                <w:lang w:val="fr-FR"/>
              </w:rPr>
              <w:t>0-1,7 %</w:t>
            </w:r>
          </w:p>
        </w:tc>
        <w:tc>
          <w:tcPr>
            <w:tcW w:w="1053" w:type="pct"/>
            <w:vAlign w:val="center"/>
          </w:tcPr>
          <w:p w14:paraId="58C428BE" w14:textId="77777777" w:rsidR="00453251" w:rsidRPr="009461CC" w:rsidRDefault="00453251" w:rsidP="00C36DF6">
            <w:pPr>
              <w:pStyle w:val="TableTextLeft"/>
              <w:spacing w:line="216" w:lineRule="auto"/>
              <w:jc w:val="center"/>
              <w:rPr>
                <w:rFonts w:ascii="Times New Roman" w:hAnsi="Times New Roman" w:cs="Times New Roman"/>
                <w:iCs w:val="0"/>
              </w:rPr>
            </w:pPr>
            <w:bookmarkStart w:id="29" w:name="_Toc86391919"/>
            <w:bookmarkStart w:id="30" w:name="_Toc86391917"/>
            <w:bookmarkEnd w:id="29"/>
            <w:bookmarkEnd w:id="30"/>
            <w:r>
              <w:rPr>
                <w:rFonts w:ascii="Times New Roman" w:hAnsi="Times New Roman" w:cs="Times New Roman"/>
                <w:iCs w:val="0"/>
                <w:lang w:val="fr-FR"/>
              </w:rPr>
              <w:t>0-4,0 %</w:t>
            </w:r>
          </w:p>
        </w:tc>
        <w:tc>
          <w:tcPr>
            <w:tcW w:w="1810" w:type="pct"/>
            <w:vAlign w:val="center"/>
          </w:tcPr>
          <w:p w14:paraId="785BDB89" w14:textId="77777777" w:rsidR="00453251" w:rsidRPr="00CE53A8" w:rsidRDefault="00453251" w:rsidP="00C36DF6">
            <w:pPr>
              <w:pStyle w:val="TableTextLeft"/>
              <w:spacing w:line="216" w:lineRule="auto"/>
              <w:rPr>
                <w:rFonts w:ascii="Times New Roman" w:hAnsi="Times New Roman" w:cs="Times New Roman"/>
                <w:b/>
                <w:bCs/>
                <w:lang w:val="fr-FR"/>
              </w:rPr>
            </w:pPr>
            <w:bookmarkStart w:id="31" w:name="_Toc86391920"/>
            <w:bookmarkEnd w:id="31"/>
            <w:r>
              <w:rPr>
                <w:rFonts w:ascii="Times New Roman" w:hAnsi="Times New Roman" w:cs="Times New Roman"/>
                <w:iCs w:val="0"/>
                <w:lang w:val="fr-FR"/>
              </w:rPr>
              <w:t xml:space="preserve">Taux de perforation/lésions tissulaires </w:t>
            </w:r>
            <w:r>
              <w:rPr>
                <w:rFonts w:ascii="Times New Roman" w:hAnsi="Times New Roman" w:cs="Times New Roman"/>
                <w:b/>
                <w:bCs/>
                <w:iCs w:val="0"/>
                <w:lang w:val="fr-FR"/>
              </w:rPr>
              <w:t>inférieurs à 4 %</w:t>
            </w:r>
          </w:p>
        </w:tc>
        <w:bookmarkStart w:id="32" w:name="_Toc86391921"/>
        <w:bookmarkEnd w:id="32"/>
      </w:tr>
      <w:tr w:rsidR="00453251" w:rsidRPr="009461CC" w14:paraId="3D17E0CA" w14:textId="77777777" w:rsidTr="00C36DF6">
        <w:tc>
          <w:tcPr>
            <w:tcW w:w="1138" w:type="pct"/>
          </w:tcPr>
          <w:p w14:paraId="22E5467D" w14:textId="77777777" w:rsidR="00453251" w:rsidRPr="009461CC" w:rsidRDefault="00453251" w:rsidP="00C36DF6">
            <w:pPr>
              <w:pStyle w:val="TableTextLeft"/>
              <w:spacing w:line="216" w:lineRule="auto"/>
              <w:rPr>
                <w:rFonts w:ascii="Times New Roman" w:hAnsi="Times New Roman" w:cs="Times New Roman"/>
              </w:rPr>
            </w:pPr>
            <w:r>
              <w:rPr>
                <w:rFonts w:ascii="Times New Roman" w:hAnsi="Times New Roman" w:cs="Times New Roman"/>
                <w:iCs w:val="0"/>
                <w:lang w:val="fr-FR"/>
              </w:rPr>
              <w:t>Embolie gazeuse</w:t>
            </w:r>
            <w:bookmarkStart w:id="33" w:name="_Toc86391922"/>
            <w:bookmarkEnd w:id="33"/>
          </w:p>
        </w:tc>
        <w:tc>
          <w:tcPr>
            <w:tcW w:w="1000" w:type="pct"/>
            <w:vAlign w:val="center"/>
          </w:tcPr>
          <w:p w14:paraId="50CDDBB0" w14:textId="77777777" w:rsidR="00453251" w:rsidRPr="009461CC" w:rsidRDefault="00453251" w:rsidP="00C36DF6">
            <w:pPr>
              <w:pStyle w:val="TableTextLeft"/>
              <w:spacing w:line="216" w:lineRule="auto"/>
              <w:jc w:val="center"/>
              <w:rPr>
                <w:rFonts w:ascii="Times New Roman" w:hAnsi="Times New Roman" w:cs="Times New Roman"/>
                <w:iCs w:val="0"/>
              </w:rPr>
            </w:pPr>
            <w:r>
              <w:rPr>
                <w:rFonts w:ascii="Times New Roman" w:hAnsi="Times New Roman" w:cs="Times New Roman"/>
                <w:iCs w:val="0"/>
                <w:lang w:val="fr-FR"/>
              </w:rPr>
              <w:t>0-2,1%</w:t>
            </w:r>
          </w:p>
        </w:tc>
        <w:tc>
          <w:tcPr>
            <w:tcW w:w="1053" w:type="pct"/>
            <w:vAlign w:val="center"/>
          </w:tcPr>
          <w:p w14:paraId="0471C436" w14:textId="77777777" w:rsidR="00453251" w:rsidRPr="009461CC" w:rsidRDefault="00453251" w:rsidP="00C36DF6">
            <w:pPr>
              <w:pStyle w:val="TableTextLeft"/>
              <w:spacing w:line="216" w:lineRule="auto"/>
              <w:jc w:val="center"/>
              <w:rPr>
                <w:rFonts w:ascii="Times New Roman" w:hAnsi="Times New Roman" w:cs="Times New Roman"/>
                <w:iCs w:val="0"/>
              </w:rPr>
            </w:pPr>
            <w:bookmarkStart w:id="34" w:name="_Toc86391925"/>
            <w:bookmarkStart w:id="35" w:name="_Toc86391923"/>
            <w:bookmarkEnd w:id="34"/>
            <w:bookmarkEnd w:id="35"/>
            <w:r>
              <w:rPr>
                <w:rFonts w:ascii="Times New Roman" w:hAnsi="Times New Roman" w:cs="Times New Roman"/>
                <w:iCs w:val="0"/>
                <w:lang w:val="fr-FR"/>
              </w:rPr>
              <w:t>0-0,6 %</w:t>
            </w:r>
          </w:p>
        </w:tc>
        <w:tc>
          <w:tcPr>
            <w:tcW w:w="1810" w:type="pct"/>
            <w:vAlign w:val="center"/>
          </w:tcPr>
          <w:p w14:paraId="1B80F3DB" w14:textId="77777777" w:rsidR="00453251" w:rsidRPr="009461CC" w:rsidRDefault="00453251" w:rsidP="00C36DF6">
            <w:pPr>
              <w:pStyle w:val="TableTextLeft"/>
              <w:spacing w:line="216" w:lineRule="auto"/>
              <w:rPr>
                <w:rFonts w:ascii="Times New Roman" w:hAnsi="Times New Roman" w:cs="Times New Roman"/>
                <w:b/>
                <w:bCs/>
              </w:rPr>
            </w:pPr>
            <w:bookmarkStart w:id="36" w:name="_Toc86391926"/>
            <w:bookmarkEnd w:id="36"/>
            <w:r>
              <w:rPr>
                <w:rFonts w:ascii="Times New Roman" w:hAnsi="Times New Roman" w:cs="Times New Roman"/>
                <w:iCs w:val="0"/>
                <w:lang w:val="fr-FR"/>
              </w:rPr>
              <w:t xml:space="preserve">Embolie </w:t>
            </w:r>
            <w:r>
              <w:rPr>
                <w:rFonts w:ascii="Times New Roman" w:hAnsi="Times New Roman" w:cs="Times New Roman"/>
                <w:b/>
                <w:bCs/>
                <w:iCs w:val="0"/>
                <w:lang w:val="fr-FR"/>
              </w:rPr>
              <w:t>inférieure à 2,1 %</w:t>
            </w:r>
          </w:p>
        </w:tc>
        <w:bookmarkStart w:id="37" w:name="_Toc86391927"/>
        <w:bookmarkEnd w:id="37"/>
      </w:tr>
      <w:tr w:rsidR="00453251" w:rsidRPr="009461CC" w14:paraId="33FEDA6C" w14:textId="77777777" w:rsidTr="00C36DF6">
        <w:tc>
          <w:tcPr>
            <w:tcW w:w="1138" w:type="pct"/>
          </w:tcPr>
          <w:p w14:paraId="5817831E" w14:textId="77777777" w:rsidR="00453251" w:rsidRPr="009461CC" w:rsidRDefault="00453251" w:rsidP="00C36DF6">
            <w:pPr>
              <w:pStyle w:val="TableTextLeft"/>
              <w:spacing w:line="216" w:lineRule="auto"/>
              <w:rPr>
                <w:rFonts w:ascii="Times New Roman" w:hAnsi="Times New Roman" w:cs="Times New Roman"/>
              </w:rPr>
            </w:pPr>
            <w:r>
              <w:rPr>
                <w:rFonts w:ascii="Times New Roman" w:hAnsi="Times New Roman" w:cs="Times New Roman"/>
                <w:iCs w:val="0"/>
                <w:lang w:val="fr-FR"/>
              </w:rPr>
              <w:t>Infection</w:t>
            </w:r>
            <w:bookmarkStart w:id="38" w:name="_Toc86391928"/>
            <w:bookmarkEnd w:id="38"/>
          </w:p>
        </w:tc>
        <w:tc>
          <w:tcPr>
            <w:tcW w:w="1000" w:type="pct"/>
            <w:vAlign w:val="center"/>
          </w:tcPr>
          <w:p w14:paraId="190DF8A8" w14:textId="77777777" w:rsidR="00453251" w:rsidRPr="009461CC" w:rsidRDefault="00453251" w:rsidP="00C36DF6">
            <w:pPr>
              <w:pStyle w:val="TableTextLeft"/>
              <w:spacing w:line="216" w:lineRule="auto"/>
              <w:jc w:val="center"/>
              <w:rPr>
                <w:rFonts w:ascii="Times New Roman" w:hAnsi="Times New Roman" w:cs="Times New Roman"/>
                <w:iCs w:val="0"/>
              </w:rPr>
            </w:pPr>
            <w:r>
              <w:rPr>
                <w:rFonts w:ascii="Times New Roman" w:hAnsi="Times New Roman" w:cs="Times New Roman"/>
                <w:iCs w:val="0"/>
                <w:lang w:val="fr-FR"/>
              </w:rPr>
              <w:t>0 %</w:t>
            </w:r>
          </w:p>
        </w:tc>
        <w:tc>
          <w:tcPr>
            <w:tcW w:w="1053" w:type="pct"/>
            <w:vAlign w:val="center"/>
          </w:tcPr>
          <w:p w14:paraId="480907F1" w14:textId="77777777" w:rsidR="00453251" w:rsidRPr="009461CC" w:rsidRDefault="00453251" w:rsidP="00C36DF6">
            <w:pPr>
              <w:pStyle w:val="TableTextLeft"/>
              <w:spacing w:line="216" w:lineRule="auto"/>
              <w:jc w:val="center"/>
              <w:rPr>
                <w:rFonts w:ascii="Times New Roman" w:hAnsi="Times New Roman" w:cs="Times New Roman"/>
                <w:iCs w:val="0"/>
              </w:rPr>
            </w:pPr>
            <w:bookmarkStart w:id="39" w:name="_Toc86391931"/>
            <w:bookmarkStart w:id="40" w:name="_Toc86391929"/>
            <w:bookmarkEnd w:id="39"/>
            <w:bookmarkEnd w:id="40"/>
            <w:r>
              <w:rPr>
                <w:rFonts w:ascii="Times New Roman" w:hAnsi="Times New Roman" w:cs="Times New Roman"/>
                <w:iCs w:val="0"/>
                <w:lang w:val="fr-FR"/>
              </w:rPr>
              <w:t>0 %</w:t>
            </w:r>
          </w:p>
        </w:tc>
        <w:tc>
          <w:tcPr>
            <w:tcW w:w="1810" w:type="pct"/>
            <w:vAlign w:val="center"/>
          </w:tcPr>
          <w:p w14:paraId="1D828A42" w14:textId="77777777" w:rsidR="00453251" w:rsidRPr="009461CC" w:rsidRDefault="00453251" w:rsidP="00C36DF6">
            <w:pPr>
              <w:pStyle w:val="TableTextLeft"/>
              <w:spacing w:line="216" w:lineRule="auto"/>
              <w:rPr>
                <w:rFonts w:ascii="Times New Roman" w:hAnsi="Times New Roman" w:cs="Times New Roman"/>
                <w:b/>
                <w:bCs/>
              </w:rPr>
            </w:pPr>
            <w:bookmarkStart w:id="41" w:name="_Toc86391932"/>
            <w:bookmarkEnd w:id="41"/>
            <w:r>
              <w:rPr>
                <w:rFonts w:ascii="Times New Roman" w:hAnsi="Times New Roman" w:cs="Times New Roman"/>
                <w:iCs w:val="0"/>
                <w:lang w:val="fr-FR"/>
              </w:rPr>
              <w:t xml:space="preserve">Infection </w:t>
            </w:r>
            <w:r>
              <w:rPr>
                <w:rFonts w:ascii="Times New Roman" w:hAnsi="Times New Roman" w:cs="Times New Roman"/>
                <w:b/>
                <w:bCs/>
                <w:iCs w:val="0"/>
                <w:lang w:val="fr-FR"/>
              </w:rPr>
              <w:t>inférieure à 0 %</w:t>
            </w:r>
          </w:p>
        </w:tc>
        <w:bookmarkStart w:id="42" w:name="_Toc86391933"/>
        <w:bookmarkEnd w:id="42"/>
      </w:tr>
      <w:tr w:rsidR="00453251" w:rsidRPr="009461CC" w14:paraId="00F9D43C" w14:textId="77777777" w:rsidTr="00C36DF6">
        <w:tc>
          <w:tcPr>
            <w:tcW w:w="1138" w:type="pct"/>
          </w:tcPr>
          <w:p w14:paraId="530E2FE9" w14:textId="77777777" w:rsidR="00453251" w:rsidRPr="009461CC" w:rsidRDefault="00453251" w:rsidP="00C36DF6">
            <w:pPr>
              <w:pStyle w:val="TableTextLeft"/>
              <w:spacing w:line="216" w:lineRule="auto"/>
              <w:rPr>
                <w:rFonts w:ascii="Times New Roman" w:hAnsi="Times New Roman" w:cs="Times New Roman"/>
              </w:rPr>
            </w:pPr>
            <w:r>
              <w:rPr>
                <w:rFonts w:ascii="Times New Roman" w:hAnsi="Times New Roman" w:cs="Times New Roman"/>
                <w:iCs w:val="0"/>
                <w:lang w:val="fr-FR"/>
              </w:rPr>
              <w:t>Réaction allergique</w:t>
            </w:r>
            <w:bookmarkStart w:id="43" w:name="_Toc86391934"/>
            <w:bookmarkEnd w:id="43"/>
          </w:p>
        </w:tc>
        <w:tc>
          <w:tcPr>
            <w:tcW w:w="1000" w:type="pct"/>
            <w:vAlign w:val="center"/>
          </w:tcPr>
          <w:p w14:paraId="6250CCD8" w14:textId="77777777" w:rsidR="00453251" w:rsidRPr="009461CC" w:rsidRDefault="00453251" w:rsidP="00C36DF6">
            <w:pPr>
              <w:pStyle w:val="TableTextLeft"/>
              <w:spacing w:line="216" w:lineRule="auto"/>
              <w:jc w:val="center"/>
              <w:rPr>
                <w:rFonts w:ascii="Times New Roman" w:hAnsi="Times New Roman" w:cs="Times New Roman"/>
                <w:iCs w:val="0"/>
              </w:rPr>
            </w:pPr>
            <w:r>
              <w:rPr>
                <w:rFonts w:ascii="Times New Roman" w:hAnsi="Times New Roman" w:cs="Times New Roman"/>
                <w:iCs w:val="0"/>
                <w:lang w:val="fr-FR"/>
              </w:rPr>
              <w:t>0 %</w:t>
            </w:r>
          </w:p>
        </w:tc>
        <w:tc>
          <w:tcPr>
            <w:tcW w:w="1053" w:type="pct"/>
            <w:vAlign w:val="center"/>
          </w:tcPr>
          <w:p w14:paraId="50CF5415" w14:textId="77777777" w:rsidR="00453251" w:rsidRPr="009461CC" w:rsidRDefault="00453251" w:rsidP="00C36DF6">
            <w:pPr>
              <w:pStyle w:val="TableTextLeft"/>
              <w:spacing w:line="216" w:lineRule="auto"/>
              <w:jc w:val="center"/>
              <w:rPr>
                <w:rFonts w:ascii="Times New Roman" w:hAnsi="Times New Roman" w:cs="Times New Roman"/>
                <w:iCs w:val="0"/>
              </w:rPr>
            </w:pPr>
            <w:bookmarkStart w:id="44" w:name="_Toc86391937"/>
            <w:bookmarkStart w:id="45" w:name="_Toc86391935"/>
            <w:bookmarkEnd w:id="44"/>
            <w:bookmarkEnd w:id="45"/>
            <w:r>
              <w:rPr>
                <w:rFonts w:ascii="Times New Roman" w:hAnsi="Times New Roman" w:cs="Times New Roman"/>
                <w:iCs w:val="0"/>
                <w:lang w:val="fr-FR"/>
              </w:rPr>
              <w:t>0 %</w:t>
            </w:r>
          </w:p>
        </w:tc>
        <w:tc>
          <w:tcPr>
            <w:tcW w:w="1810" w:type="pct"/>
            <w:vAlign w:val="center"/>
          </w:tcPr>
          <w:p w14:paraId="3CD98CC2" w14:textId="77777777" w:rsidR="00453251" w:rsidRPr="009461CC" w:rsidRDefault="00453251" w:rsidP="00C36DF6">
            <w:pPr>
              <w:pStyle w:val="TableTextLeft"/>
              <w:spacing w:line="216" w:lineRule="auto"/>
              <w:rPr>
                <w:rFonts w:ascii="Times New Roman" w:hAnsi="Times New Roman" w:cs="Times New Roman"/>
                <w:b/>
                <w:bCs/>
              </w:rPr>
            </w:pPr>
            <w:bookmarkStart w:id="46" w:name="_Toc86391938"/>
            <w:bookmarkEnd w:id="46"/>
            <w:r>
              <w:rPr>
                <w:rFonts w:ascii="Times New Roman" w:hAnsi="Times New Roman" w:cs="Times New Roman"/>
                <w:iCs w:val="0"/>
                <w:lang w:val="fr-FR"/>
              </w:rPr>
              <w:t xml:space="preserve">Réaction allergique </w:t>
            </w:r>
            <w:r>
              <w:rPr>
                <w:rFonts w:ascii="Times New Roman" w:hAnsi="Times New Roman" w:cs="Times New Roman"/>
                <w:b/>
                <w:bCs/>
                <w:iCs w:val="0"/>
                <w:lang w:val="fr-FR"/>
              </w:rPr>
              <w:t>inférieure à 0 %</w:t>
            </w:r>
          </w:p>
        </w:tc>
        <w:bookmarkStart w:id="47" w:name="_Toc86391939"/>
        <w:bookmarkEnd w:id="47"/>
      </w:tr>
      <w:tr w:rsidR="00453251" w:rsidRPr="009461CC" w14:paraId="027FF060" w14:textId="77777777" w:rsidTr="00C36DF6">
        <w:trPr>
          <w:trHeight w:val="197"/>
        </w:trPr>
        <w:tc>
          <w:tcPr>
            <w:tcW w:w="1138" w:type="pct"/>
          </w:tcPr>
          <w:p w14:paraId="0B4FA88A" w14:textId="77777777" w:rsidR="00453251" w:rsidRPr="009461CC" w:rsidRDefault="00453251" w:rsidP="00C36DF6">
            <w:pPr>
              <w:pStyle w:val="TableTextLeft"/>
              <w:spacing w:line="216" w:lineRule="auto"/>
              <w:rPr>
                <w:rFonts w:ascii="Times New Roman" w:hAnsi="Times New Roman" w:cs="Times New Roman"/>
              </w:rPr>
            </w:pPr>
            <w:r>
              <w:rPr>
                <w:rFonts w:ascii="Times New Roman" w:hAnsi="Times New Roman" w:cs="Times New Roman"/>
                <w:iCs w:val="0"/>
                <w:lang w:val="fr-FR"/>
              </w:rPr>
              <w:t>Douleur</w:t>
            </w:r>
            <w:bookmarkStart w:id="48" w:name="_Toc86391940"/>
            <w:bookmarkEnd w:id="48"/>
          </w:p>
        </w:tc>
        <w:tc>
          <w:tcPr>
            <w:tcW w:w="1000" w:type="pct"/>
            <w:vAlign w:val="center"/>
          </w:tcPr>
          <w:p w14:paraId="0A016617" w14:textId="77777777" w:rsidR="00453251" w:rsidRPr="009461CC" w:rsidRDefault="00453251" w:rsidP="00C36DF6">
            <w:pPr>
              <w:pStyle w:val="TableTextLeft"/>
              <w:spacing w:line="216" w:lineRule="auto"/>
              <w:jc w:val="center"/>
              <w:rPr>
                <w:rFonts w:ascii="Times New Roman" w:hAnsi="Times New Roman" w:cs="Times New Roman"/>
                <w:iCs w:val="0"/>
              </w:rPr>
            </w:pPr>
            <w:r>
              <w:rPr>
                <w:rFonts w:ascii="Times New Roman" w:hAnsi="Times New Roman" w:cs="Times New Roman"/>
                <w:iCs w:val="0"/>
                <w:lang w:val="fr-FR"/>
              </w:rPr>
              <w:t>0 %</w:t>
            </w:r>
          </w:p>
        </w:tc>
        <w:tc>
          <w:tcPr>
            <w:tcW w:w="1053" w:type="pct"/>
            <w:vAlign w:val="center"/>
          </w:tcPr>
          <w:p w14:paraId="72B648EC" w14:textId="77777777" w:rsidR="00453251" w:rsidRPr="009461CC" w:rsidRDefault="00453251" w:rsidP="00C36DF6">
            <w:pPr>
              <w:pStyle w:val="TableTextLeft"/>
              <w:spacing w:line="216" w:lineRule="auto"/>
              <w:jc w:val="center"/>
              <w:rPr>
                <w:rFonts w:ascii="Times New Roman" w:hAnsi="Times New Roman" w:cs="Times New Roman"/>
                <w:iCs w:val="0"/>
              </w:rPr>
            </w:pPr>
            <w:bookmarkStart w:id="49" w:name="_Toc86391943"/>
            <w:bookmarkStart w:id="50" w:name="_Toc86391941"/>
            <w:bookmarkEnd w:id="49"/>
            <w:bookmarkEnd w:id="50"/>
            <w:r>
              <w:rPr>
                <w:rFonts w:ascii="Times New Roman" w:hAnsi="Times New Roman" w:cs="Times New Roman"/>
                <w:iCs w:val="0"/>
                <w:lang w:val="fr-FR"/>
              </w:rPr>
              <w:t>0 %</w:t>
            </w:r>
          </w:p>
        </w:tc>
        <w:tc>
          <w:tcPr>
            <w:tcW w:w="1810" w:type="pct"/>
            <w:vAlign w:val="center"/>
          </w:tcPr>
          <w:p w14:paraId="56186FA5" w14:textId="77777777" w:rsidR="00453251" w:rsidRPr="009461CC" w:rsidRDefault="00453251" w:rsidP="00C36DF6">
            <w:pPr>
              <w:pStyle w:val="TableTextLeft"/>
              <w:spacing w:line="216" w:lineRule="auto"/>
              <w:rPr>
                <w:rFonts w:ascii="Times New Roman" w:hAnsi="Times New Roman" w:cs="Times New Roman"/>
                <w:b/>
                <w:bCs/>
              </w:rPr>
            </w:pPr>
            <w:bookmarkStart w:id="51" w:name="_Toc86391944"/>
            <w:bookmarkEnd w:id="51"/>
            <w:r>
              <w:rPr>
                <w:rFonts w:ascii="Times New Roman" w:hAnsi="Times New Roman" w:cs="Times New Roman"/>
                <w:iCs w:val="0"/>
                <w:lang w:val="fr-FR"/>
              </w:rPr>
              <w:t xml:space="preserve">Douleur </w:t>
            </w:r>
            <w:r>
              <w:rPr>
                <w:rFonts w:ascii="Times New Roman" w:hAnsi="Times New Roman" w:cs="Times New Roman"/>
                <w:b/>
                <w:bCs/>
                <w:iCs w:val="0"/>
                <w:lang w:val="fr-FR"/>
              </w:rPr>
              <w:t>inférieure à 0 %</w:t>
            </w:r>
          </w:p>
        </w:tc>
        <w:bookmarkStart w:id="52" w:name="_Toc86391945"/>
        <w:bookmarkEnd w:id="52"/>
      </w:tr>
      <w:tr w:rsidR="00453251" w:rsidRPr="009461CC" w14:paraId="28252FD0" w14:textId="77777777" w:rsidTr="00C36DF6">
        <w:tc>
          <w:tcPr>
            <w:tcW w:w="1138" w:type="pct"/>
          </w:tcPr>
          <w:p w14:paraId="013547C7" w14:textId="77777777" w:rsidR="00453251" w:rsidRPr="009461CC" w:rsidRDefault="00453251" w:rsidP="00C36DF6">
            <w:pPr>
              <w:pStyle w:val="TableTextLeft"/>
              <w:spacing w:line="216" w:lineRule="auto"/>
              <w:rPr>
                <w:rFonts w:ascii="Times New Roman" w:hAnsi="Times New Roman" w:cs="Times New Roman"/>
              </w:rPr>
            </w:pPr>
            <w:r>
              <w:rPr>
                <w:rFonts w:ascii="Times New Roman" w:hAnsi="Times New Roman" w:cs="Times New Roman"/>
                <w:iCs w:val="0"/>
                <w:lang w:val="fr-FR"/>
              </w:rPr>
              <w:t>Complications globales</w:t>
            </w:r>
            <w:bookmarkStart w:id="53" w:name="_Toc86391946"/>
            <w:bookmarkEnd w:id="53"/>
          </w:p>
        </w:tc>
        <w:tc>
          <w:tcPr>
            <w:tcW w:w="1000" w:type="pct"/>
            <w:vAlign w:val="center"/>
          </w:tcPr>
          <w:p w14:paraId="740F59E9" w14:textId="77777777" w:rsidR="00453251" w:rsidRPr="009461CC" w:rsidRDefault="00453251" w:rsidP="00C36DF6">
            <w:pPr>
              <w:pStyle w:val="TableTextLeft"/>
              <w:spacing w:line="216" w:lineRule="auto"/>
              <w:jc w:val="center"/>
              <w:rPr>
                <w:rFonts w:ascii="Times New Roman" w:hAnsi="Times New Roman" w:cs="Times New Roman"/>
                <w:iCs w:val="0"/>
              </w:rPr>
            </w:pPr>
            <w:r>
              <w:rPr>
                <w:rFonts w:ascii="Times New Roman" w:hAnsi="Times New Roman" w:cs="Times New Roman"/>
                <w:iCs w:val="0"/>
                <w:lang w:val="fr-FR"/>
              </w:rPr>
              <w:t>0-5,2 %</w:t>
            </w:r>
          </w:p>
        </w:tc>
        <w:tc>
          <w:tcPr>
            <w:tcW w:w="1053" w:type="pct"/>
            <w:vAlign w:val="center"/>
          </w:tcPr>
          <w:p w14:paraId="0BF92E76" w14:textId="77777777" w:rsidR="00453251" w:rsidRPr="009461CC" w:rsidRDefault="00453251" w:rsidP="00C36DF6">
            <w:pPr>
              <w:pStyle w:val="TableTextLeft"/>
              <w:spacing w:line="216" w:lineRule="auto"/>
              <w:jc w:val="center"/>
              <w:rPr>
                <w:rFonts w:ascii="Times New Roman" w:hAnsi="Times New Roman" w:cs="Times New Roman"/>
                <w:iCs w:val="0"/>
              </w:rPr>
            </w:pPr>
            <w:bookmarkStart w:id="54" w:name="_Toc86391949"/>
            <w:bookmarkStart w:id="55" w:name="_Toc86391947"/>
            <w:bookmarkEnd w:id="54"/>
            <w:bookmarkEnd w:id="55"/>
            <w:r>
              <w:rPr>
                <w:rFonts w:ascii="Times New Roman" w:hAnsi="Times New Roman" w:cs="Times New Roman"/>
                <w:iCs w:val="0"/>
                <w:lang w:val="fr-FR"/>
              </w:rPr>
              <w:t>0-4 %</w:t>
            </w:r>
          </w:p>
        </w:tc>
        <w:tc>
          <w:tcPr>
            <w:tcW w:w="1810" w:type="pct"/>
            <w:vAlign w:val="center"/>
          </w:tcPr>
          <w:p w14:paraId="71781E09" w14:textId="77777777" w:rsidR="00453251" w:rsidRPr="009461CC" w:rsidRDefault="00453251" w:rsidP="00C36DF6">
            <w:pPr>
              <w:pStyle w:val="TableTextLeft"/>
              <w:spacing w:line="216" w:lineRule="auto"/>
              <w:rPr>
                <w:rFonts w:ascii="Times New Roman" w:hAnsi="Times New Roman" w:cs="Times New Roman"/>
              </w:rPr>
            </w:pPr>
            <w:bookmarkStart w:id="56" w:name="_Toc86391950"/>
            <w:bookmarkEnd w:id="56"/>
            <w:r>
              <w:rPr>
                <w:rFonts w:ascii="Times New Roman" w:hAnsi="Times New Roman" w:cs="Times New Roman"/>
                <w:iCs w:val="0"/>
                <w:lang w:val="fr-FR"/>
              </w:rPr>
              <w:t xml:space="preserve">Complications globales </w:t>
            </w:r>
            <w:r>
              <w:rPr>
                <w:rFonts w:ascii="Times New Roman" w:hAnsi="Times New Roman" w:cs="Times New Roman"/>
                <w:b/>
                <w:bCs/>
                <w:iCs w:val="0"/>
                <w:lang w:val="fr-FR"/>
              </w:rPr>
              <w:t>inférieures à 5,2 %</w:t>
            </w:r>
          </w:p>
        </w:tc>
        <w:bookmarkStart w:id="57" w:name="_Toc86391951"/>
        <w:bookmarkEnd w:id="57"/>
      </w:tr>
      <w:tr w:rsidR="00453251" w:rsidRPr="009461CC" w14:paraId="0BC00479" w14:textId="77777777" w:rsidTr="00453251">
        <w:tc>
          <w:tcPr>
            <w:tcW w:w="5000" w:type="pct"/>
            <w:gridSpan w:val="4"/>
            <w:shd w:val="clear" w:color="auto" w:fill="D9D9D9"/>
            <w:vAlign w:val="center"/>
          </w:tcPr>
          <w:p w14:paraId="35A811CF" w14:textId="77777777" w:rsidR="00453251" w:rsidRPr="009461CC" w:rsidRDefault="00453251" w:rsidP="00C36DF6">
            <w:pPr>
              <w:pStyle w:val="TableTextLeft"/>
              <w:spacing w:line="216" w:lineRule="auto"/>
              <w:rPr>
                <w:rFonts w:ascii="Times New Roman" w:hAnsi="Times New Roman" w:cs="Times New Roman"/>
              </w:rPr>
            </w:pPr>
            <w:r>
              <w:rPr>
                <w:rFonts w:ascii="Times New Roman" w:hAnsi="Times New Roman" w:cs="Times New Roman"/>
                <w:b/>
                <w:bCs/>
                <w:iCs w:val="0"/>
                <w:lang w:val="fr-FR"/>
              </w:rPr>
              <w:t>Performances</w:t>
            </w:r>
          </w:p>
        </w:tc>
      </w:tr>
      <w:tr w:rsidR="00453251" w:rsidRPr="009461CC" w14:paraId="6F720CB6" w14:textId="77777777" w:rsidTr="00C36DF6">
        <w:tc>
          <w:tcPr>
            <w:tcW w:w="1138" w:type="pct"/>
            <w:vAlign w:val="center"/>
          </w:tcPr>
          <w:p w14:paraId="60785A5D" w14:textId="77777777" w:rsidR="00453251" w:rsidRPr="009461CC" w:rsidRDefault="00453251" w:rsidP="00C36DF6">
            <w:pPr>
              <w:pStyle w:val="TableTextLeft"/>
              <w:spacing w:line="216" w:lineRule="auto"/>
              <w:rPr>
                <w:rFonts w:ascii="Times New Roman" w:hAnsi="Times New Roman" w:cs="Times New Roman"/>
              </w:rPr>
            </w:pPr>
            <w:r>
              <w:rPr>
                <w:rFonts w:ascii="Times New Roman" w:hAnsi="Times New Roman" w:cs="Times New Roman"/>
                <w:iCs w:val="0"/>
                <w:lang w:val="fr-FR"/>
              </w:rPr>
              <w:t xml:space="preserve">Réussite technique </w:t>
            </w:r>
            <w:bookmarkStart w:id="58" w:name="_Toc86391954"/>
            <w:bookmarkEnd w:id="58"/>
          </w:p>
        </w:tc>
        <w:tc>
          <w:tcPr>
            <w:tcW w:w="1000" w:type="pct"/>
            <w:vAlign w:val="center"/>
          </w:tcPr>
          <w:p w14:paraId="042F9BC6" w14:textId="77777777" w:rsidR="00453251" w:rsidRPr="009461CC" w:rsidDel="002D4462" w:rsidRDefault="00453251" w:rsidP="00C36DF6">
            <w:pPr>
              <w:pStyle w:val="TableTextLeft"/>
              <w:spacing w:line="216" w:lineRule="auto"/>
              <w:jc w:val="center"/>
              <w:rPr>
                <w:rFonts w:ascii="Times New Roman" w:hAnsi="Times New Roman" w:cs="Times New Roman"/>
                <w:iCs w:val="0"/>
              </w:rPr>
            </w:pPr>
            <w:r>
              <w:rPr>
                <w:rFonts w:ascii="Times New Roman" w:hAnsi="Times New Roman" w:cs="Times New Roman"/>
                <w:iCs w:val="0"/>
                <w:lang w:val="fr-FR"/>
              </w:rPr>
              <w:t>82,8-100 %</w:t>
            </w:r>
          </w:p>
        </w:tc>
        <w:tc>
          <w:tcPr>
            <w:tcW w:w="1053" w:type="pct"/>
            <w:vAlign w:val="center"/>
          </w:tcPr>
          <w:p w14:paraId="3177A351" w14:textId="77777777" w:rsidR="00453251" w:rsidRPr="009461CC" w:rsidRDefault="00453251" w:rsidP="00C36DF6">
            <w:pPr>
              <w:pStyle w:val="TableTextLeft"/>
              <w:spacing w:line="216" w:lineRule="auto"/>
              <w:jc w:val="center"/>
              <w:rPr>
                <w:rFonts w:ascii="Times New Roman" w:hAnsi="Times New Roman" w:cs="Times New Roman"/>
                <w:iCs w:val="0"/>
              </w:rPr>
            </w:pPr>
            <w:bookmarkStart w:id="59" w:name="_Toc86391957"/>
            <w:bookmarkStart w:id="60" w:name="_Toc86391955"/>
            <w:bookmarkEnd w:id="59"/>
            <w:bookmarkEnd w:id="60"/>
            <w:r>
              <w:rPr>
                <w:rFonts w:ascii="Times New Roman" w:hAnsi="Times New Roman" w:cs="Times New Roman"/>
                <w:iCs w:val="0"/>
                <w:lang w:val="fr-FR"/>
              </w:rPr>
              <w:t>82,0-100 %</w:t>
            </w:r>
          </w:p>
        </w:tc>
        <w:tc>
          <w:tcPr>
            <w:tcW w:w="1810" w:type="pct"/>
            <w:vAlign w:val="center"/>
          </w:tcPr>
          <w:p w14:paraId="55C13098" w14:textId="77777777" w:rsidR="00453251" w:rsidRPr="009461CC" w:rsidRDefault="00453251" w:rsidP="00C36DF6">
            <w:pPr>
              <w:pStyle w:val="TableTextLeft"/>
              <w:spacing w:line="216" w:lineRule="auto"/>
              <w:rPr>
                <w:rFonts w:ascii="Times New Roman" w:hAnsi="Times New Roman" w:cs="Times New Roman"/>
              </w:rPr>
            </w:pPr>
            <w:bookmarkStart w:id="61" w:name="_Toc86391958"/>
            <w:bookmarkEnd w:id="61"/>
            <w:r>
              <w:rPr>
                <w:rFonts w:ascii="Times New Roman" w:hAnsi="Times New Roman" w:cs="Times New Roman"/>
                <w:iCs w:val="0"/>
                <w:lang w:val="fr-FR"/>
              </w:rPr>
              <w:t xml:space="preserve">Succès technique </w:t>
            </w:r>
            <w:r>
              <w:rPr>
                <w:rFonts w:ascii="Times New Roman" w:hAnsi="Times New Roman" w:cs="Times New Roman"/>
                <w:b/>
                <w:bCs/>
                <w:iCs w:val="0"/>
                <w:lang w:val="fr-FR"/>
              </w:rPr>
              <w:t>supérieur à 82,0 %</w:t>
            </w:r>
          </w:p>
        </w:tc>
        <w:bookmarkStart w:id="62" w:name="_Toc86391959"/>
        <w:bookmarkEnd w:id="62"/>
      </w:tr>
      <w:tr w:rsidR="00453251" w:rsidRPr="009461CC" w14:paraId="4E839B51" w14:textId="77777777" w:rsidTr="00C36DF6">
        <w:tc>
          <w:tcPr>
            <w:tcW w:w="1138" w:type="pct"/>
            <w:vAlign w:val="center"/>
          </w:tcPr>
          <w:p w14:paraId="055E85A0" w14:textId="77777777" w:rsidR="00453251" w:rsidRPr="009461CC" w:rsidRDefault="00453251" w:rsidP="00C36DF6">
            <w:pPr>
              <w:pStyle w:val="TableTextLeft"/>
              <w:spacing w:line="216" w:lineRule="auto"/>
              <w:rPr>
                <w:rFonts w:ascii="Times New Roman" w:eastAsia="MS Mincho" w:hAnsi="Times New Roman" w:cs="Times New Roman"/>
              </w:rPr>
            </w:pPr>
            <w:r>
              <w:rPr>
                <w:rFonts w:ascii="Times New Roman" w:hAnsi="Times New Roman" w:cs="Times New Roman"/>
                <w:iCs w:val="0"/>
                <w:lang w:val="fr-FR"/>
              </w:rPr>
              <w:t xml:space="preserve">Réussite clinique </w:t>
            </w:r>
            <w:bookmarkStart w:id="63" w:name="_Toc86391960"/>
            <w:bookmarkEnd w:id="63"/>
          </w:p>
        </w:tc>
        <w:tc>
          <w:tcPr>
            <w:tcW w:w="1000" w:type="pct"/>
            <w:vAlign w:val="center"/>
          </w:tcPr>
          <w:p w14:paraId="163906FF" w14:textId="77777777" w:rsidR="00453251" w:rsidRPr="009461CC" w:rsidRDefault="00453251" w:rsidP="00C36DF6">
            <w:pPr>
              <w:pStyle w:val="TableTextLeft"/>
              <w:spacing w:line="216" w:lineRule="auto"/>
              <w:jc w:val="center"/>
              <w:rPr>
                <w:rFonts w:ascii="Times New Roman" w:hAnsi="Times New Roman" w:cs="Times New Roman"/>
                <w:iCs w:val="0"/>
              </w:rPr>
            </w:pPr>
            <w:r>
              <w:rPr>
                <w:rFonts w:ascii="Times New Roman" w:hAnsi="Times New Roman" w:cs="Times New Roman"/>
                <w:iCs w:val="0"/>
                <w:lang w:val="fr-FR"/>
              </w:rPr>
              <w:t>95,2-100 %</w:t>
            </w:r>
          </w:p>
        </w:tc>
        <w:tc>
          <w:tcPr>
            <w:tcW w:w="1053" w:type="pct"/>
            <w:vAlign w:val="center"/>
          </w:tcPr>
          <w:p w14:paraId="24CE1D22" w14:textId="77777777" w:rsidR="00453251" w:rsidRPr="009461CC" w:rsidRDefault="00453251" w:rsidP="00C36DF6">
            <w:pPr>
              <w:pStyle w:val="TableTextLeft"/>
              <w:spacing w:line="216" w:lineRule="auto"/>
              <w:jc w:val="center"/>
              <w:rPr>
                <w:rFonts w:ascii="Times New Roman" w:hAnsi="Times New Roman" w:cs="Times New Roman"/>
                <w:iCs w:val="0"/>
              </w:rPr>
            </w:pPr>
            <w:bookmarkStart w:id="64" w:name="_Toc86391963"/>
            <w:bookmarkStart w:id="65" w:name="_Toc86391961"/>
            <w:bookmarkEnd w:id="64"/>
            <w:bookmarkEnd w:id="65"/>
            <w:r>
              <w:rPr>
                <w:rFonts w:ascii="Times New Roman" w:hAnsi="Times New Roman" w:cs="Times New Roman"/>
                <w:iCs w:val="0"/>
                <w:lang w:val="fr-FR"/>
              </w:rPr>
              <w:t>92,3-100 %</w:t>
            </w:r>
          </w:p>
        </w:tc>
        <w:tc>
          <w:tcPr>
            <w:tcW w:w="1810" w:type="pct"/>
            <w:vAlign w:val="center"/>
          </w:tcPr>
          <w:p w14:paraId="1240798C" w14:textId="77777777" w:rsidR="00453251" w:rsidRPr="009461CC" w:rsidRDefault="00453251" w:rsidP="00C36DF6">
            <w:pPr>
              <w:pStyle w:val="TableTextLeft"/>
              <w:spacing w:line="216" w:lineRule="auto"/>
              <w:rPr>
                <w:rFonts w:ascii="Times New Roman" w:hAnsi="Times New Roman" w:cs="Times New Roman"/>
              </w:rPr>
            </w:pPr>
            <w:bookmarkStart w:id="66" w:name="_Toc86391964"/>
            <w:bookmarkEnd w:id="66"/>
            <w:r>
              <w:rPr>
                <w:rFonts w:ascii="Times New Roman" w:hAnsi="Times New Roman" w:cs="Times New Roman"/>
                <w:iCs w:val="0"/>
                <w:lang w:val="fr-FR"/>
              </w:rPr>
              <w:t xml:space="preserve">Succès clinique </w:t>
            </w:r>
            <w:r>
              <w:rPr>
                <w:rFonts w:ascii="Times New Roman" w:hAnsi="Times New Roman" w:cs="Times New Roman"/>
                <w:b/>
                <w:bCs/>
                <w:iCs w:val="0"/>
                <w:lang w:val="fr-FR"/>
              </w:rPr>
              <w:t>supérieur à 92,3 %</w:t>
            </w:r>
          </w:p>
        </w:tc>
        <w:bookmarkStart w:id="67" w:name="_Toc86391965"/>
        <w:bookmarkEnd w:id="67"/>
      </w:tr>
    </w:tbl>
    <w:p w14:paraId="47F3BE56" w14:textId="14358A29" w:rsidR="00941D63" w:rsidRPr="00CE53A8" w:rsidRDefault="00941D63" w:rsidP="00C36DF6">
      <w:pPr>
        <w:spacing w:before="100" w:beforeAutospacing="1" w:line="228" w:lineRule="auto"/>
        <w:rPr>
          <w:rFonts w:eastAsia="Times New Roman" w:cs="Times New Roman"/>
          <w:szCs w:val="24"/>
          <w:lang w:val="fr-FR"/>
        </w:rPr>
      </w:pPr>
      <w:r>
        <w:rPr>
          <w:rFonts w:eastAsia="Times New Roman" w:cs="Times New Roman"/>
          <w:szCs w:val="24"/>
          <w:lang w:val="fr-FR"/>
        </w:rPr>
        <w:t xml:space="preserve">Le kit de collet vasculaire </w:t>
      </w:r>
      <w:proofErr w:type="spellStart"/>
      <w:r>
        <w:rPr>
          <w:rFonts w:eastAsia="Times New Roman" w:cs="Times New Roman"/>
          <w:szCs w:val="24"/>
          <w:lang w:val="fr-FR"/>
        </w:rPr>
        <w:t>Atrieve</w:t>
      </w:r>
      <w:proofErr w:type="spellEnd"/>
      <w:r>
        <w:rPr>
          <w:rFonts w:eastAsia="Times New Roman" w:cs="Times New Roman"/>
          <w:szCs w:val="24"/>
          <w:lang w:val="fr-FR"/>
        </w:rPr>
        <w:t xml:space="preserve"> présente un profil de risque acceptable, sans aucun risque résiduel considéré comme inacceptable. Les </w:t>
      </w:r>
      <w:proofErr w:type="gramStart"/>
      <w:r>
        <w:rPr>
          <w:rFonts w:eastAsia="Times New Roman" w:cs="Times New Roman"/>
          <w:szCs w:val="24"/>
          <w:lang w:val="fr-FR"/>
        </w:rPr>
        <w:t>risques potentiels</w:t>
      </w:r>
      <w:proofErr w:type="gramEnd"/>
      <w:r>
        <w:rPr>
          <w:rFonts w:eastAsia="Times New Roman" w:cs="Times New Roman"/>
          <w:szCs w:val="24"/>
          <w:lang w:val="fr-FR"/>
        </w:rPr>
        <w:t xml:space="preserve"> pour le patient, tels que le saignement, l’embolie, l’infection et les lésions tissulaires, sont rares et demeurent dans des taux acceptables selon les pratiques de l’industrie. Les modes de défaillance courants, tels que le détachement de composants ou la résistance du dispositif, sont rares et bien maîtrisés.</w:t>
      </w:r>
    </w:p>
    <w:p w14:paraId="6CD9B2F8" w14:textId="27B9DB44" w:rsidR="00941D63" w:rsidRPr="00CE53A8" w:rsidRDefault="00941D63" w:rsidP="00C36DF6">
      <w:pPr>
        <w:spacing w:before="100" w:beforeAutospacing="1" w:line="228" w:lineRule="auto"/>
        <w:rPr>
          <w:rFonts w:eastAsia="Times New Roman" w:cs="Times New Roman"/>
          <w:szCs w:val="24"/>
          <w:lang w:val="fr-FR"/>
        </w:rPr>
      </w:pPr>
      <w:r>
        <w:rPr>
          <w:rFonts w:eastAsia="Times New Roman" w:cs="Times New Roman"/>
          <w:szCs w:val="24"/>
          <w:lang w:val="fr-FR"/>
        </w:rPr>
        <w:t>Tous les risques identifiés sont pris en compte dans l’étiquetage, les avertissements et le mode d’emploi. Le risque global est comparable à celui des traitements alternatifs, et les bénéfices que présente ce dispositif d’extraction de corps étrangers sûr et peu invasif l’emportent sur les risques. Aucun nouveau risque n’a été identifié lors du suivi post-commercialisation.</w:t>
      </w:r>
    </w:p>
    <w:p w14:paraId="503092B6" w14:textId="15AAF628" w:rsidR="000F0AC2" w:rsidRPr="009461CC" w:rsidRDefault="008745ED" w:rsidP="00C36DF6">
      <w:pPr>
        <w:pStyle w:val="Heading1"/>
        <w:spacing w:line="228" w:lineRule="auto"/>
        <w:rPr>
          <w:rFonts w:cs="Times New Roman"/>
        </w:rPr>
      </w:pPr>
      <w:bookmarkStart w:id="68" w:name="_Toc222741382"/>
      <w:r>
        <w:rPr>
          <w:rFonts w:cs="Times New Roman"/>
          <w:bCs/>
          <w:lang w:val="fr-FR"/>
        </w:rPr>
        <w:t>Avertissements et mises en garde</w:t>
      </w:r>
      <w:bookmarkEnd w:id="68"/>
    </w:p>
    <w:p w14:paraId="3AFFFB2C" w14:textId="3F27FE02" w:rsidR="00A030DC" w:rsidRPr="00C36DF6" w:rsidRDefault="00C64987" w:rsidP="00C36DF6">
      <w:pPr>
        <w:spacing w:after="0" w:afterAutospacing="0" w:line="228" w:lineRule="auto"/>
        <w:ind w:left="792"/>
        <w:rPr>
          <w:rFonts w:cs="Times New Roman"/>
          <w:iCs/>
          <w:lang w:val="fr-FR"/>
        </w:rPr>
      </w:pPr>
      <w:r>
        <w:rPr>
          <w:rFonts w:cs="Times New Roman"/>
          <w:lang w:val="fr-FR"/>
        </w:rPr>
        <w:t>Voir la notice d’utilisation</w:t>
      </w:r>
      <w:r w:rsidR="005D5FB3">
        <w:rPr>
          <w:rFonts w:cs="Times New Roman"/>
          <w:lang w:val="fr-FR"/>
        </w:rPr>
        <w:t xml:space="preserve"> (IFU)</w:t>
      </w:r>
      <w:r>
        <w:rPr>
          <w:rFonts w:cs="Times New Roman"/>
          <w:lang w:val="fr-FR"/>
        </w:rPr>
        <w:t xml:space="preserve"> X9585730-0321-EU R</w:t>
      </w:r>
      <w:r w:rsidR="00C43672">
        <w:rPr>
          <w:rFonts w:cs="Times New Roman"/>
          <w:lang w:val="fr-FR"/>
        </w:rPr>
        <w:t>e</w:t>
      </w:r>
      <w:r>
        <w:rPr>
          <w:rFonts w:cs="Times New Roman"/>
          <w:lang w:val="fr-FR"/>
        </w:rPr>
        <w:t>v A</w:t>
      </w:r>
    </w:p>
    <w:p w14:paraId="581EAB6F" w14:textId="38AC09C7" w:rsidR="0084795E" w:rsidRPr="009461CC" w:rsidRDefault="0084795E" w:rsidP="00C36DF6">
      <w:pPr>
        <w:spacing w:after="0" w:afterAutospacing="0" w:line="228" w:lineRule="auto"/>
        <w:ind w:left="792"/>
        <w:rPr>
          <w:rFonts w:cs="Times New Roman"/>
          <w:b/>
          <w:bCs/>
          <w:iCs/>
        </w:rPr>
      </w:pPr>
      <w:r>
        <w:rPr>
          <w:rFonts w:cs="Times New Roman"/>
          <w:b/>
          <w:bCs/>
          <w:lang w:val="fr-FR"/>
        </w:rPr>
        <w:t>Avertissements :</w:t>
      </w:r>
    </w:p>
    <w:p w14:paraId="6D12BCC6" w14:textId="77777777" w:rsidR="00C13612" w:rsidRPr="00A377B2" w:rsidRDefault="00C13612" w:rsidP="00C36DF6">
      <w:pPr>
        <w:numPr>
          <w:ilvl w:val="0"/>
          <w:numId w:val="22"/>
        </w:numPr>
        <w:spacing w:after="0" w:afterAutospacing="0" w:line="216" w:lineRule="auto"/>
        <w:ind w:left="360"/>
        <w:contextualSpacing/>
        <w:jc w:val="both"/>
        <w:rPr>
          <w:rFonts w:eastAsia="Times New Roman" w:cs="Times New Roman"/>
          <w:szCs w:val="24"/>
          <w:lang w:val="it-IT"/>
        </w:rPr>
      </w:pPr>
      <w:r>
        <w:rPr>
          <w:rFonts w:eastAsia="Times New Roman" w:cs="Times New Roman"/>
          <w:szCs w:val="24"/>
          <w:lang w:val="fr-FR"/>
        </w:rPr>
        <w:t xml:space="preserve">Ce dispositif a été conçu, testé et fabriqué pour un usage unique. La réutilisation ou le retraitement de ce dispositif peut entraîner la défaillance du dispositif et des lésions subséquentes pour le patient. Le retraitement et/ou la </w:t>
      </w:r>
      <w:proofErr w:type="spellStart"/>
      <w:r>
        <w:rPr>
          <w:rFonts w:eastAsia="Times New Roman" w:cs="Times New Roman"/>
          <w:szCs w:val="24"/>
          <w:lang w:val="fr-FR"/>
        </w:rPr>
        <w:t>restérilisation</w:t>
      </w:r>
      <w:proofErr w:type="spellEnd"/>
      <w:r>
        <w:rPr>
          <w:rFonts w:eastAsia="Times New Roman" w:cs="Times New Roman"/>
          <w:szCs w:val="24"/>
          <w:lang w:val="fr-FR"/>
        </w:rPr>
        <w:t xml:space="preserve"> de ce dispositif peuvent engendrer un risque de contamination et d’infection pour le patient. Ne réutilisez pas, ne retraitez pas ou ne restérilisez pas ce dispositif.</w:t>
      </w:r>
    </w:p>
    <w:p w14:paraId="02E0F1FE" w14:textId="77777777" w:rsidR="00C13612" w:rsidRPr="00CE53A8" w:rsidRDefault="00C13612" w:rsidP="00C36DF6">
      <w:pPr>
        <w:numPr>
          <w:ilvl w:val="0"/>
          <w:numId w:val="22"/>
        </w:numPr>
        <w:spacing w:after="0" w:afterAutospacing="0" w:line="216" w:lineRule="auto"/>
        <w:ind w:left="360"/>
        <w:contextualSpacing/>
        <w:jc w:val="both"/>
        <w:rPr>
          <w:rFonts w:eastAsia="Times New Roman" w:cs="Times New Roman"/>
          <w:szCs w:val="24"/>
          <w:lang w:val="fr-FR"/>
        </w:rPr>
      </w:pPr>
      <w:r>
        <w:rPr>
          <w:rFonts w:eastAsia="Times New Roman" w:cs="Times New Roman"/>
          <w:szCs w:val="24"/>
          <w:lang w:val="fr-FR"/>
        </w:rPr>
        <w:t>Inspectez l’intégrité de l’emballage avant utilisation.</w:t>
      </w:r>
    </w:p>
    <w:p w14:paraId="0AB04CB5" w14:textId="77777777" w:rsidR="00C13612" w:rsidRPr="00A377B2" w:rsidRDefault="00C13612" w:rsidP="00C36DF6">
      <w:pPr>
        <w:numPr>
          <w:ilvl w:val="0"/>
          <w:numId w:val="22"/>
        </w:numPr>
        <w:spacing w:after="0" w:afterAutospacing="0" w:line="216" w:lineRule="auto"/>
        <w:ind w:left="360"/>
        <w:contextualSpacing/>
        <w:jc w:val="both"/>
        <w:rPr>
          <w:rFonts w:eastAsia="Times New Roman" w:cs="Times New Roman"/>
          <w:szCs w:val="24"/>
          <w:lang w:val="it-IT"/>
        </w:rPr>
      </w:pPr>
      <w:r>
        <w:rPr>
          <w:rFonts w:eastAsia="Times New Roman" w:cs="Times New Roman"/>
          <w:szCs w:val="24"/>
          <w:lang w:val="fr-FR"/>
        </w:rPr>
        <w:t>N'utilisez pas l'appareil si l'emballage est ouvert ou endommagé ou si la date de péremption a été dépassée.</w:t>
      </w:r>
    </w:p>
    <w:p w14:paraId="287B6E69" w14:textId="77777777" w:rsidR="00C13612" w:rsidRPr="00A377B2" w:rsidRDefault="00C13612" w:rsidP="00C36DF6">
      <w:pPr>
        <w:numPr>
          <w:ilvl w:val="0"/>
          <w:numId w:val="22"/>
        </w:numPr>
        <w:spacing w:after="0" w:afterAutospacing="0" w:line="216" w:lineRule="auto"/>
        <w:ind w:left="360"/>
        <w:contextualSpacing/>
        <w:jc w:val="both"/>
        <w:rPr>
          <w:rFonts w:eastAsia="Times New Roman" w:cs="Times New Roman"/>
          <w:szCs w:val="24"/>
          <w:lang w:val="it-IT"/>
        </w:rPr>
      </w:pPr>
      <w:r>
        <w:rPr>
          <w:rFonts w:eastAsia="Times New Roman" w:cs="Times New Roman"/>
          <w:szCs w:val="24"/>
          <w:lang w:val="fr-FR"/>
        </w:rPr>
        <w:t>Si l’un des composants est endommagé au cours de la procédure, cesser de l’utiliser.</w:t>
      </w:r>
    </w:p>
    <w:p w14:paraId="22477486" w14:textId="77777777" w:rsidR="00C13612" w:rsidRPr="00A377B2" w:rsidRDefault="00C13612" w:rsidP="00C36DF6">
      <w:pPr>
        <w:numPr>
          <w:ilvl w:val="0"/>
          <w:numId w:val="22"/>
        </w:numPr>
        <w:spacing w:after="0" w:afterAutospacing="0" w:line="216" w:lineRule="auto"/>
        <w:ind w:left="360"/>
        <w:contextualSpacing/>
        <w:jc w:val="both"/>
        <w:rPr>
          <w:rFonts w:eastAsia="Times New Roman" w:cs="Times New Roman"/>
          <w:szCs w:val="24"/>
          <w:lang w:val="it-IT"/>
        </w:rPr>
      </w:pPr>
      <w:r>
        <w:rPr>
          <w:rFonts w:eastAsia="Times New Roman" w:cs="Times New Roman"/>
          <w:szCs w:val="24"/>
          <w:lang w:val="fr-FR"/>
        </w:rPr>
        <w:t xml:space="preserve">Le </w:t>
      </w:r>
      <w:proofErr w:type="spellStart"/>
      <w:r>
        <w:rPr>
          <w:rFonts w:eastAsia="Times New Roman" w:cs="Times New Roman"/>
          <w:szCs w:val="24"/>
          <w:lang w:val="fr-FR"/>
        </w:rPr>
        <w:t>nitinol</w:t>
      </w:r>
      <w:proofErr w:type="spellEnd"/>
      <w:r>
        <w:rPr>
          <w:rFonts w:eastAsia="Times New Roman" w:cs="Times New Roman"/>
          <w:szCs w:val="24"/>
          <w:lang w:val="fr-FR"/>
        </w:rPr>
        <w:t xml:space="preserve"> est un alliage de nickel et de titane. Une réaction peut survenir chez les patients qui présentent une sensibilité au nickel.</w:t>
      </w:r>
    </w:p>
    <w:p w14:paraId="2A4E00BA" w14:textId="77777777" w:rsidR="00C13612" w:rsidRPr="00CE53A8" w:rsidRDefault="00C13612" w:rsidP="00C36DF6">
      <w:pPr>
        <w:numPr>
          <w:ilvl w:val="0"/>
          <w:numId w:val="22"/>
        </w:numPr>
        <w:spacing w:after="0" w:afterAutospacing="0" w:line="216" w:lineRule="auto"/>
        <w:ind w:left="360"/>
        <w:contextualSpacing/>
        <w:jc w:val="both"/>
        <w:rPr>
          <w:rFonts w:eastAsia="Times New Roman" w:cs="Times New Roman"/>
          <w:szCs w:val="24"/>
          <w:lang w:val="fr-FR"/>
        </w:rPr>
      </w:pPr>
      <w:r>
        <w:rPr>
          <w:rFonts w:eastAsia="Times New Roman" w:cs="Times New Roman"/>
          <w:szCs w:val="24"/>
          <w:lang w:val="fr-FR"/>
        </w:rPr>
        <w:lastRenderedPageBreak/>
        <w:t>Une réaction peut survenir chez les patients qui présentent une sensibilité au platine.</w:t>
      </w:r>
    </w:p>
    <w:p w14:paraId="0D7E98B5" w14:textId="77777777" w:rsidR="00C13612" w:rsidRPr="00CE53A8" w:rsidRDefault="00C13612" w:rsidP="00C36DF6">
      <w:pPr>
        <w:keepLines/>
        <w:numPr>
          <w:ilvl w:val="0"/>
          <w:numId w:val="22"/>
        </w:numPr>
        <w:autoSpaceDE w:val="0"/>
        <w:autoSpaceDN w:val="0"/>
        <w:adjustRightInd w:val="0"/>
        <w:spacing w:after="0" w:afterAutospacing="0" w:line="216" w:lineRule="auto"/>
        <w:ind w:left="360"/>
        <w:jc w:val="both"/>
        <w:rPr>
          <w:rFonts w:eastAsia="Times New Roman" w:cs="Times New Roman"/>
          <w:szCs w:val="24"/>
          <w:lang w:val="fr-FR"/>
        </w:rPr>
      </w:pPr>
      <w:r>
        <w:rPr>
          <w:rFonts w:eastAsia="Times New Roman" w:cs="Times New Roman"/>
          <w:szCs w:val="24"/>
          <w:lang w:val="fr-FR"/>
        </w:rPr>
        <w:t>Des précautions doivent être prises lors de l’utilisation de ce dispositif pour le retrait d’une grande gaine de fibrine afin de minimiser le risque d’embolie pulmonaire.</w:t>
      </w:r>
    </w:p>
    <w:p w14:paraId="4CB50B44" w14:textId="77777777" w:rsidR="00C13612" w:rsidRPr="00A377B2" w:rsidRDefault="00C13612" w:rsidP="00C36DF6">
      <w:pPr>
        <w:keepLines/>
        <w:numPr>
          <w:ilvl w:val="0"/>
          <w:numId w:val="22"/>
        </w:numPr>
        <w:autoSpaceDE w:val="0"/>
        <w:autoSpaceDN w:val="0"/>
        <w:adjustRightInd w:val="0"/>
        <w:spacing w:after="0" w:afterAutospacing="0" w:line="216" w:lineRule="auto"/>
        <w:ind w:left="360"/>
        <w:jc w:val="both"/>
        <w:rPr>
          <w:rFonts w:eastAsia="Times New Roman" w:cs="Times New Roman"/>
          <w:szCs w:val="24"/>
          <w:lang w:val="fr-FR"/>
        </w:rPr>
      </w:pPr>
      <w:r>
        <w:rPr>
          <w:rFonts w:eastAsia="Times New Roman" w:cs="Times New Roman"/>
          <w:szCs w:val="24"/>
          <w:lang w:val="fr-FR"/>
        </w:rPr>
        <w:t>Des saignements peuvent survenir à travers l'embase du cathéter de mise en place au cours de certaines procédures. Une valve hémostatique (non incluse) peut être fixée au cathéter de mise en place pour réduire le saignement si nécessaire ou selon l’avis du médecin.</w:t>
      </w:r>
    </w:p>
    <w:p w14:paraId="7C5DC59D" w14:textId="77777777" w:rsidR="0084795E" w:rsidRPr="00A377B2" w:rsidRDefault="0084795E" w:rsidP="00C36DF6">
      <w:pPr>
        <w:spacing w:after="0" w:afterAutospacing="0" w:line="228" w:lineRule="auto"/>
        <w:ind w:left="792"/>
        <w:rPr>
          <w:rFonts w:cs="Times New Roman"/>
          <w:iCs/>
          <w:lang w:val="fr-FR"/>
        </w:rPr>
      </w:pPr>
    </w:p>
    <w:p w14:paraId="34731DB5" w14:textId="77777777" w:rsidR="0084795E" w:rsidRPr="009461CC" w:rsidRDefault="0084795E" w:rsidP="00C36DF6">
      <w:pPr>
        <w:spacing w:after="0" w:afterAutospacing="0" w:line="228" w:lineRule="auto"/>
        <w:ind w:left="792"/>
        <w:rPr>
          <w:rFonts w:cs="Times New Roman"/>
          <w:b/>
          <w:bCs/>
          <w:iCs/>
        </w:rPr>
      </w:pPr>
      <w:r>
        <w:rPr>
          <w:rFonts w:cs="Times New Roman"/>
          <w:b/>
          <w:bCs/>
          <w:lang w:val="fr-FR"/>
        </w:rPr>
        <w:t>Précautions :</w:t>
      </w:r>
    </w:p>
    <w:p w14:paraId="043EE8E1" w14:textId="77777777" w:rsidR="00533C0A" w:rsidRPr="00A377B2" w:rsidRDefault="00533C0A" w:rsidP="00C36DF6">
      <w:pPr>
        <w:numPr>
          <w:ilvl w:val="0"/>
          <w:numId w:val="23"/>
        </w:numPr>
        <w:spacing w:after="0" w:afterAutospacing="0" w:line="228" w:lineRule="auto"/>
        <w:contextualSpacing/>
        <w:jc w:val="both"/>
        <w:rPr>
          <w:rFonts w:eastAsia="Times New Roman" w:cs="Times New Roman"/>
          <w:szCs w:val="24"/>
          <w:lang w:val="fr-FR"/>
        </w:rPr>
      </w:pPr>
      <w:r>
        <w:rPr>
          <w:rFonts w:eastAsia="Times New Roman" w:cs="Times New Roman"/>
          <w:szCs w:val="24"/>
          <w:lang w:val="fr-FR"/>
        </w:rPr>
        <w:t>Les forces de traction exercées sur les cathéters lors du dénudage de la gaine de fibrine peuvent endommager, étirer ou casser les cathéters à demeure de diamètre 6 French ou inférieur. Ne pas exercer une force de traction excessive lors de la tentative de dénudage de la gaine de fibrine des cathéters de diamètre 6 French ou inférieur.</w:t>
      </w:r>
    </w:p>
    <w:p w14:paraId="7C78A400" w14:textId="77777777" w:rsidR="00533C0A" w:rsidRPr="00CE53A8" w:rsidRDefault="00533C0A" w:rsidP="00C36DF6">
      <w:pPr>
        <w:numPr>
          <w:ilvl w:val="0"/>
          <w:numId w:val="23"/>
        </w:numPr>
        <w:spacing w:after="0" w:afterAutospacing="0" w:line="228" w:lineRule="auto"/>
        <w:contextualSpacing/>
        <w:jc w:val="both"/>
        <w:rPr>
          <w:rFonts w:eastAsia="Times New Roman" w:cs="Times New Roman"/>
          <w:szCs w:val="24"/>
          <w:lang w:val="fr-FR"/>
        </w:rPr>
      </w:pPr>
      <w:r>
        <w:rPr>
          <w:rFonts w:eastAsia="Times New Roman" w:cs="Times New Roman"/>
          <w:szCs w:val="24"/>
          <w:lang w:val="fr-FR"/>
        </w:rPr>
        <w:t>N’exercez pas une force excessive lors de la manipulation du cathéter à travers un introducteur.</w:t>
      </w:r>
    </w:p>
    <w:p w14:paraId="68E7CD6A" w14:textId="77777777" w:rsidR="009E4BE1" w:rsidRPr="00CE53A8" w:rsidRDefault="009E4BE1" w:rsidP="00C36DF6">
      <w:pPr>
        <w:spacing w:after="0" w:afterAutospacing="0" w:line="228" w:lineRule="auto"/>
        <w:rPr>
          <w:rFonts w:cs="Times New Roman"/>
          <w:b/>
          <w:bCs/>
          <w:iCs/>
          <w:lang w:val="fr-FR"/>
        </w:rPr>
      </w:pPr>
    </w:p>
    <w:p w14:paraId="1F2A8F23" w14:textId="7550D298" w:rsidR="00481A9E" w:rsidRPr="00CE53A8" w:rsidRDefault="00481A9E" w:rsidP="00C36DF6">
      <w:pPr>
        <w:spacing w:after="120" w:afterAutospacing="0" w:line="228" w:lineRule="auto"/>
        <w:ind w:firstLine="720"/>
        <w:jc w:val="both"/>
        <w:rPr>
          <w:rFonts w:eastAsia="Times New Roman" w:cs="Times New Roman"/>
          <w:b/>
          <w:szCs w:val="24"/>
          <w:lang w:val="fr-FR"/>
        </w:rPr>
      </w:pPr>
      <w:r>
        <w:rPr>
          <w:rFonts w:eastAsia="Times New Roman" w:cs="Times New Roman"/>
          <w:b/>
          <w:bCs/>
          <w:szCs w:val="24"/>
          <w:lang w:val="fr-FR"/>
        </w:rPr>
        <w:t xml:space="preserve">Risques et effets indésirables </w:t>
      </w:r>
    </w:p>
    <w:p w14:paraId="3EC1F3BA" w14:textId="77777777" w:rsidR="00481A9E" w:rsidRPr="00CE53A8" w:rsidRDefault="00481A9E" w:rsidP="00C36DF6">
      <w:pPr>
        <w:spacing w:after="120" w:afterAutospacing="0" w:line="228" w:lineRule="auto"/>
        <w:jc w:val="both"/>
        <w:rPr>
          <w:rFonts w:eastAsia="Times New Roman" w:cs="Times New Roman"/>
          <w:szCs w:val="24"/>
          <w:lang w:val="fr-FR"/>
        </w:rPr>
      </w:pPr>
      <w:r>
        <w:rPr>
          <w:rFonts w:eastAsia="Times New Roman" w:cs="Times New Roman"/>
          <w:szCs w:val="24"/>
          <w:lang w:val="fr-FR"/>
        </w:rPr>
        <w:t>Les complications potentielles comprennent, sans toutefois s’y limiter :</w:t>
      </w:r>
    </w:p>
    <w:p w14:paraId="31B00162" w14:textId="77777777" w:rsidR="00481A9E" w:rsidRPr="009461CC" w:rsidRDefault="00481A9E" w:rsidP="00C36DF6">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fr-FR"/>
        </w:rPr>
        <w:t>Embolie</w:t>
      </w:r>
    </w:p>
    <w:p w14:paraId="4831EC23" w14:textId="77777777" w:rsidR="00481A9E" w:rsidRPr="009461CC" w:rsidRDefault="00481A9E" w:rsidP="00C36DF6">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fr-FR"/>
        </w:rPr>
        <w:t>Accident vasculaire cérébral</w:t>
      </w:r>
    </w:p>
    <w:p w14:paraId="3E3CC4E5" w14:textId="77777777" w:rsidR="00481A9E" w:rsidRPr="00CE53A8" w:rsidRDefault="00481A9E" w:rsidP="00C36DF6">
      <w:pPr>
        <w:widowControl w:val="0"/>
        <w:numPr>
          <w:ilvl w:val="0"/>
          <w:numId w:val="24"/>
        </w:numPr>
        <w:spacing w:after="0" w:afterAutospacing="0" w:line="216" w:lineRule="auto"/>
        <w:contextualSpacing/>
        <w:jc w:val="both"/>
        <w:rPr>
          <w:rFonts w:eastAsia="Times New Roman" w:cs="Times New Roman"/>
          <w:szCs w:val="24"/>
          <w:lang w:val="fr-FR"/>
        </w:rPr>
      </w:pPr>
      <w:r>
        <w:rPr>
          <w:rFonts w:eastAsia="Times New Roman" w:cs="Times New Roman"/>
          <w:szCs w:val="24"/>
          <w:lang w:val="fr-FR"/>
        </w:rPr>
        <w:t>Infarctus du myocarde (selon la localisation)</w:t>
      </w:r>
    </w:p>
    <w:p w14:paraId="3C5A584A" w14:textId="77777777" w:rsidR="00481A9E" w:rsidRPr="009461CC" w:rsidRDefault="00481A9E" w:rsidP="00C36DF6">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fr-FR"/>
        </w:rPr>
        <w:t>Embolie pulmonaire</w:t>
      </w:r>
    </w:p>
    <w:p w14:paraId="70F9D337" w14:textId="77777777" w:rsidR="00481A9E" w:rsidRPr="009461CC" w:rsidRDefault="00481A9E" w:rsidP="00C36DF6">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fr-FR"/>
        </w:rPr>
        <w:t>Perforation du vaisseau</w:t>
      </w:r>
    </w:p>
    <w:p w14:paraId="3B28D7FF" w14:textId="77777777" w:rsidR="00481A9E" w:rsidRPr="009461CC" w:rsidRDefault="00481A9E" w:rsidP="00C36DF6">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fr-FR"/>
        </w:rPr>
        <w:t>Coincement du dispositif</w:t>
      </w:r>
    </w:p>
    <w:p w14:paraId="33ABECFB" w14:textId="77777777" w:rsidR="00D558E5" w:rsidRPr="009461CC" w:rsidRDefault="00481A9E" w:rsidP="00C36DF6">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fr-FR"/>
        </w:rPr>
        <w:t>Saignement/hémorragie</w:t>
      </w:r>
    </w:p>
    <w:p w14:paraId="0A9BFD81" w14:textId="77777777" w:rsidR="00D558E5" w:rsidRPr="00C36DF6" w:rsidRDefault="00D558E5" w:rsidP="00C36DF6">
      <w:pPr>
        <w:widowControl w:val="0"/>
        <w:spacing w:after="0" w:afterAutospacing="0" w:line="228" w:lineRule="auto"/>
        <w:contextualSpacing/>
        <w:jc w:val="both"/>
        <w:rPr>
          <w:rFonts w:eastAsia="Times New Roman" w:cs="Times New Roman"/>
          <w:sz w:val="16"/>
          <w:szCs w:val="16"/>
        </w:rPr>
      </w:pPr>
    </w:p>
    <w:p w14:paraId="6EEBEC55" w14:textId="65AF2143" w:rsidR="00A80721" w:rsidRPr="009461CC" w:rsidRDefault="00A80721" w:rsidP="00C36DF6">
      <w:pPr>
        <w:widowControl w:val="0"/>
        <w:spacing w:after="0" w:afterAutospacing="0" w:line="228" w:lineRule="auto"/>
        <w:contextualSpacing/>
        <w:jc w:val="both"/>
        <w:rPr>
          <w:rFonts w:eastAsia="Times New Roman" w:cs="Times New Roman"/>
          <w:szCs w:val="24"/>
        </w:rPr>
      </w:pPr>
      <w:r>
        <w:rPr>
          <w:rFonts w:eastAsia="Times New Roman" w:cs="Times New Roman"/>
          <w:szCs w:val="24"/>
          <w:lang w:val="fr-FR"/>
        </w:rPr>
        <w:t>Bénéfices cliniques.</w:t>
      </w:r>
    </w:p>
    <w:p w14:paraId="12CF44E5" w14:textId="357D7E57" w:rsidR="00481A9E" w:rsidRPr="00CE53A8" w:rsidRDefault="00A80721" w:rsidP="00C36DF6">
      <w:pPr>
        <w:spacing w:after="120" w:afterAutospacing="0" w:line="228" w:lineRule="auto"/>
        <w:jc w:val="both"/>
        <w:rPr>
          <w:rFonts w:eastAsia="Times New Roman" w:cs="Times New Roman"/>
          <w:szCs w:val="24"/>
          <w:lang w:val="fr-FR"/>
        </w:rPr>
      </w:pPr>
      <w:r>
        <w:rPr>
          <w:rFonts w:eastAsia="Times New Roman" w:cs="Times New Roman"/>
          <w:szCs w:val="24"/>
          <w:lang w:val="fr-FR"/>
        </w:rPr>
        <w:t xml:space="preserve">Le collet vasculaire </w:t>
      </w:r>
      <w:proofErr w:type="spellStart"/>
      <w:r>
        <w:rPr>
          <w:rFonts w:eastAsia="Times New Roman" w:cs="Times New Roman"/>
          <w:szCs w:val="24"/>
          <w:lang w:val="fr-FR"/>
        </w:rPr>
        <w:t>Atrieve</w:t>
      </w:r>
      <w:proofErr w:type="spellEnd"/>
      <w:r>
        <w:rPr>
          <w:rFonts w:eastAsia="Times New Roman" w:cs="Times New Roman"/>
          <w:szCs w:val="24"/>
          <w:lang w:val="fr-FR"/>
        </w:rPr>
        <w:t xml:space="preserve"> présente un bénéfice direct pour le patient en permettant de récupérer et de manipuler les corps étrangers par voie percutanée, avec moins de complications et de risques qu’une intervention chirurgicale.</w:t>
      </w:r>
    </w:p>
    <w:p w14:paraId="5240AF40" w14:textId="3E5A2DE2" w:rsidR="00042B91" w:rsidRPr="00CE53A8" w:rsidRDefault="00BB36B1" w:rsidP="00C36DF6">
      <w:pPr>
        <w:spacing w:after="0" w:afterAutospacing="0" w:line="228" w:lineRule="auto"/>
        <w:rPr>
          <w:rFonts w:cs="Times New Roman"/>
          <w:iCs/>
          <w:lang w:val="fr-FR"/>
        </w:rPr>
      </w:pPr>
      <w:r>
        <w:rPr>
          <w:rFonts w:cs="Times New Roman"/>
          <w:lang w:val="fr-FR"/>
        </w:rPr>
        <w:t>Durée de vie : transitoire, moins de 60 minutes.</w:t>
      </w:r>
    </w:p>
    <w:p w14:paraId="393C5ED9" w14:textId="77777777" w:rsidR="00E14C97" w:rsidRPr="00CE53A8" w:rsidRDefault="00E14C97" w:rsidP="00C36DF6">
      <w:pPr>
        <w:spacing w:after="0" w:afterAutospacing="0" w:line="228" w:lineRule="auto"/>
        <w:rPr>
          <w:rFonts w:cs="Times New Roman"/>
          <w:i/>
          <w:color w:val="FF0000"/>
          <w:lang w:val="fr-FR"/>
        </w:rPr>
      </w:pPr>
    </w:p>
    <w:p w14:paraId="09A94B0F" w14:textId="4E664EE0" w:rsidR="00760400" w:rsidRPr="00CE53A8" w:rsidRDefault="008745ED" w:rsidP="00C36DF6">
      <w:pPr>
        <w:pStyle w:val="Heading1"/>
        <w:spacing w:line="228" w:lineRule="auto"/>
        <w:rPr>
          <w:rFonts w:cs="Times New Roman"/>
          <w:lang w:val="fr-FR"/>
        </w:rPr>
      </w:pPr>
      <w:bookmarkStart w:id="69" w:name="_Toc222741383"/>
      <w:r>
        <w:rPr>
          <w:rFonts w:cs="Times New Roman"/>
          <w:bCs/>
          <w:lang w:val="fr-FR"/>
        </w:rPr>
        <w:t>Autres aspects relatifs à la sécurité, y compris un résumé de toute action corrective de sécurité sur le terrain (FSCA, y compris FSN), le cas échéant</w:t>
      </w:r>
      <w:bookmarkEnd w:id="69"/>
    </w:p>
    <w:p w14:paraId="65E21D1D" w14:textId="58A43005" w:rsidR="004F5057" w:rsidRPr="00CE53A8" w:rsidRDefault="00FC52C8" w:rsidP="00C36DF6">
      <w:pPr>
        <w:spacing w:line="228" w:lineRule="auto"/>
        <w:rPr>
          <w:rFonts w:cs="Times New Roman"/>
          <w:lang w:val="fr-FR"/>
        </w:rPr>
      </w:pPr>
      <w:r>
        <w:rPr>
          <w:rFonts w:cs="Times New Roman"/>
          <w:lang w:val="fr-FR"/>
        </w:rPr>
        <w:t>Aucune mesure corrective de sécurité sur le terrain (FSCA) ni aucun rappel n’ont été effectués au cours de la période de référence.</w:t>
      </w:r>
    </w:p>
    <w:p w14:paraId="21FC0F42" w14:textId="6F4CDE71" w:rsidR="008745ED" w:rsidRPr="00CE53A8" w:rsidRDefault="008745ED" w:rsidP="00C36DF6">
      <w:pPr>
        <w:pStyle w:val="Heading1"/>
        <w:numPr>
          <w:ilvl w:val="0"/>
          <w:numId w:val="2"/>
        </w:numPr>
        <w:spacing w:line="228" w:lineRule="auto"/>
        <w:rPr>
          <w:rFonts w:cs="Times New Roman"/>
          <w:lang w:val="fr-FR"/>
        </w:rPr>
      </w:pPr>
      <w:bookmarkStart w:id="70" w:name="_Toc222741384"/>
      <w:r>
        <w:rPr>
          <w:rFonts w:cs="Times New Roman"/>
          <w:bCs/>
          <w:lang w:val="fr-FR"/>
        </w:rPr>
        <w:t>Résumé de l’évaluation clinique et du suivi clinique post-commercialisation (PMCF)</w:t>
      </w:r>
      <w:bookmarkEnd w:id="70"/>
    </w:p>
    <w:p w14:paraId="7CA310DE" w14:textId="0ED9D76A" w:rsidR="00DA4404" w:rsidRDefault="00DA4404" w:rsidP="0080218B">
      <w:pPr>
        <w:spacing w:after="0" w:afterAutospacing="0" w:line="228" w:lineRule="auto"/>
        <w:rPr>
          <w:rFonts w:cs="Times New Roman"/>
          <w:lang w:val="fr-FR"/>
        </w:rPr>
      </w:pPr>
      <w:r>
        <w:rPr>
          <w:rFonts w:cs="Times New Roman"/>
          <w:lang w:val="fr-FR"/>
        </w:rPr>
        <w:t xml:space="preserve">Le rapport d’évaluation clinique (CER-029 Rev B) confirme que le kit de collet vasculaire </w:t>
      </w:r>
      <w:proofErr w:type="spellStart"/>
      <w:r>
        <w:rPr>
          <w:rFonts w:cs="Times New Roman"/>
          <w:lang w:val="fr-FR"/>
        </w:rPr>
        <w:t>Atrieve</w:t>
      </w:r>
      <w:proofErr w:type="spellEnd"/>
      <w:r>
        <w:rPr>
          <w:rFonts w:cs="Times New Roman"/>
          <w:lang w:val="fr-FR"/>
        </w:rPr>
        <w:t xml:space="preserve"> est sûr et efficace sur le plan clinique pour le retrait et la manipulation de corps étrangers dans le système cardiovasculaire. Il est principalement utilisé par des professionnels de santé qualifiés dans le cadre de procédure mini-invasives.</w:t>
      </w:r>
    </w:p>
    <w:p w14:paraId="313BBEFA" w14:textId="77777777" w:rsidR="0080218B" w:rsidRPr="00C36DF6" w:rsidRDefault="0080218B" w:rsidP="00C36DF6">
      <w:pPr>
        <w:spacing w:after="0" w:afterAutospacing="0" w:line="228" w:lineRule="auto"/>
        <w:rPr>
          <w:rFonts w:cs="Times New Roman"/>
          <w:sz w:val="16"/>
          <w:szCs w:val="14"/>
          <w:lang w:val="fr-FR"/>
        </w:rPr>
      </w:pPr>
    </w:p>
    <w:p w14:paraId="065C32D9" w14:textId="36044E92" w:rsidR="00DA4404" w:rsidRDefault="00DA4404" w:rsidP="0080218B">
      <w:pPr>
        <w:spacing w:after="0" w:afterAutospacing="0" w:line="228" w:lineRule="auto"/>
        <w:rPr>
          <w:rFonts w:cs="Times New Roman"/>
          <w:lang w:val="fr-FR"/>
        </w:rPr>
      </w:pPr>
      <w:r>
        <w:rPr>
          <w:rFonts w:cs="Times New Roman"/>
          <w:lang w:val="fr-FR"/>
        </w:rPr>
        <w:t>L’évaluation, basée sur une analyse de la littérature, l’expérience clinique et les données post-commercialisation, montre des taux élevés de réussite technique et clinique. Les complications telles que le saignement, l’embolie, l’infection ou les réactions allergiques sont rares et restent dans des limites cliniques acceptables.</w:t>
      </w:r>
    </w:p>
    <w:p w14:paraId="0DAD67AD" w14:textId="4FF5EA89" w:rsidR="00DA4404" w:rsidRDefault="00DA4404" w:rsidP="0080218B">
      <w:pPr>
        <w:spacing w:after="0" w:afterAutospacing="0" w:line="228" w:lineRule="auto"/>
        <w:rPr>
          <w:rFonts w:cs="Times New Roman"/>
          <w:lang w:val="fr-FR"/>
        </w:rPr>
      </w:pPr>
      <w:r>
        <w:rPr>
          <w:rFonts w:cs="Times New Roman"/>
          <w:lang w:val="fr-FR"/>
        </w:rPr>
        <w:lastRenderedPageBreak/>
        <w:t>Aucune nouvelle préoccupation en matière de sécurité ni risque inattendu n’a été identifié. Le dispositif offre des performances comparables à celles de produits similaires sur le marché, tout en conservant un profil risque-bénéfice constant.</w:t>
      </w:r>
    </w:p>
    <w:p w14:paraId="0CDE5B1C" w14:textId="77777777" w:rsidR="0080218B" w:rsidRPr="00C36DF6" w:rsidRDefault="0080218B" w:rsidP="00C36DF6">
      <w:pPr>
        <w:spacing w:after="0" w:afterAutospacing="0" w:line="228" w:lineRule="auto"/>
        <w:rPr>
          <w:rFonts w:cs="Times New Roman"/>
          <w:sz w:val="16"/>
          <w:szCs w:val="14"/>
          <w:lang w:val="fr-FR"/>
        </w:rPr>
      </w:pPr>
    </w:p>
    <w:p w14:paraId="745B2F11" w14:textId="506F1A62" w:rsidR="00257EE2" w:rsidRDefault="00DA4404" w:rsidP="0080218B">
      <w:pPr>
        <w:spacing w:after="0" w:afterAutospacing="0" w:line="228" w:lineRule="auto"/>
        <w:rPr>
          <w:rFonts w:cs="Times New Roman"/>
          <w:lang w:val="fr-FR"/>
        </w:rPr>
      </w:pPr>
      <w:r>
        <w:rPr>
          <w:rFonts w:cs="Times New Roman"/>
          <w:lang w:val="fr-FR"/>
        </w:rPr>
        <w:t xml:space="preserve">En conclusion, le collet </w:t>
      </w:r>
      <w:proofErr w:type="spellStart"/>
      <w:r>
        <w:rPr>
          <w:rFonts w:cs="Times New Roman"/>
          <w:lang w:val="fr-FR"/>
        </w:rPr>
        <w:t>Atrieve</w:t>
      </w:r>
      <w:proofErr w:type="spellEnd"/>
      <w:r>
        <w:rPr>
          <w:rFonts w:cs="Times New Roman"/>
          <w:lang w:val="fr-FR"/>
        </w:rPr>
        <w:t xml:space="preserve"> démontre des performances fiables et a fait ses preuves en matière de sécurité, justifiant son utilisation continue en milieu clinique.</w:t>
      </w:r>
    </w:p>
    <w:p w14:paraId="52F5C0D3" w14:textId="77777777" w:rsidR="0080218B" w:rsidRPr="00C36DF6" w:rsidRDefault="0080218B" w:rsidP="00C36DF6">
      <w:pPr>
        <w:spacing w:after="0" w:afterAutospacing="0" w:line="228" w:lineRule="auto"/>
        <w:rPr>
          <w:rFonts w:cs="Times New Roman"/>
          <w:sz w:val="16"/>
          <w:szCs w:val="14"/>
          <w:highlight w:val="yellow"/>
          <w:lang w:val="fr-FR"/>
        </w:rPr>
      </w:pPr>
    </w:p>
    <w:p w14:paraId="491E112E" w14:textId="43F380B5" w:rsidR="005A5584" w:rsidRDefault="005A5584" w:rsidP="0080218B">
      <w:pPr>
        <w:spacing w:after="0" w:afterAutospacing="0" w:line="228" w:lineRule="auto"/>
        <w:rPr>
          <w:rFonts w:cs="Times New Roman"/>
          <w:lang w:val="fr-FR"/>
        </w:rPr>
      </w:pPr>
      <w:r>
        <w:rPr>
          <w:rFonts w:cs="Times New Roman"/>
          <w:lang w:val="fr-FR"/>
        </w:rPr>
        <w:t>Le plan de suivi clinique post-commercialisation (PMCFP) d’</w:t>
      </w:r>
      <w:proofErr w:type="spellStart"/>
      <w:r>
        <w:rPr>
          <w:rFonts w:cs="Times New Roman"/>
          <w:lang w:val="fr-FR"/>
        </w:rPr>
        <w:t>Atrieve</w:t>
      </w:r>
      <w:proofErr w:type="spellEnd"/>
      <w:r>
        <w:rPr>
          <w:rFonts w:cs="Times New Roman"/>
          <w:lang w:val="fr-FR"/>
        </w:rPr>
        <w:t xml:space="preserve"> décrit une approche structurée pour surveiller la sécurité et les performances du dispositif après sa mise sur le marché. Ces dispositifs de classe III sont utilisés pour l’extraction ou la manipulation de corps étrangers dans le système cardiovasculaire et sont destinés à un usage transitoire.</w:t>
      </w:r>
    </w:p>
    <w:p w14:paraId="33EFDF54" w14:textId="77777777" w:rsidR="0080218B" w:rsidRPr="00C36DF6" w:rsidRDefault="0080218B" w:rsidP="00C36DF6">
      <w:pPr>
        <w:spacing w:after="0" w:afterAutospacing="0" w:line="228" w:lineRule="auto"/>
        <w:rPr>
          <w:rFonts w:cs="Times New Roman"/>
          <w:sz w:val="16"/>
          <w:szCs w:val="14"/>
          <w:lang w:val="fr-FR"/>
        </w:rPr>
      </w:pPr>
    </w:p>
    <w:p w14:paraId="72FE8271" w14:textId="5FE4B52E" w:rsidR="00042B91" w:rsidRDefault="005A5584" w:rsidP="0080218B">
      <w:pPr>
        <w:spacing w:after="0" w:afterAutospacing="0" w:line="228" w:lineRule="auto"/>
        <w:rPr>
          <w:rFonts w:cs="Times New Roman"/>
          <w:lang w:val="fr-FR"/>
        </w:rPr>
      </w:pPr>
      <w:r>
        <w:rPr>
          <w:rFonts w:cs="Times New Roman"/>
          <w:lang w:val="fr-FR"/>
        </w:rPr>
        <w:t>Les activités PMCF reposent sur des méthodes générales, notamment des revues annuelles de la littérature, la surveillance des bases de données d’événements indésirables (par ex., MAUDE) et l’analyse des rapports de surveillance post-commercialisation. Ces démarches sont destinées à confirmer la sécurité et l’efficacité continues, à identifier les risques émergents et à détecter les utilisations hors indication. Les données cliniques de dispositifs similaires sont également analysées afin d’établir des valeurs de référence pour les résultats.</w:t>
      </w:r>
    </w:p>
    <w:p w14:paraId="267EE837" w14:textId="77777777" w:rsidR="0080218B" w:rsidRPr="00CE53A8" w:rsidRDefault="0080218B" w:rsidP="00C36DF6">
      <w:pPr>
        <w:spacing w:after="0" w:afterAutospacing="0" w:line="228" w:lineRule="auto"/>
        <w:rPr>
          <w:rFonts w:cs="Times New Roman"/>
          <w:lang w:val="fr-FR"/>
        </w:rPr>
      </w:pPr>
    </w:p>
    <w:p w14:paraId="33785C59" w14:textId="7AB0634B" w:rsidR="008745ED" w:rsidRPr="00CE53A8" w:rsidRDefault="008745ED" w:rsidP="00C36DF6">
      <w:pPr>
        <w:pStyle w:val="Heading1"/>
        <w:spacing w:line="228" w:lineRule="auto"/>
        <w:rPr>
          <w:rFonts w:cs="Times New Roman"/>
          <w:lang w:val="fr-FR"/>
        </w:rPr>
      </w:pPr>
      <w:bookmarkStart w:id="71" w:name="_Toc222741385"/>
      <w:r>
        <w:rPr>
          <w:rFonts w:cs="Times New Roman"/>
          <w:bCs/>
          <w:lang w:val="fr-FR"/>
        </w:rPr>
        <w:t>Résumé des données cliniques relatives à un dispositif équivalent, le cas échéant</w:t>
      </w:r>
      <w:bookmarkEnd w:id="71"/>
      <w:r>
        <w:rPr>
          <w:rFonts w:cs="Times New Roman"/>
          <w:bCs/>
          <w:lang w:val="fr-FR"/>
        </w:rPr>
        <w:t xml:space="preserve"> </w:t>
      </w:r>
    </w:p>
    <w:p w14:paraId="62C65035" w14:textId="2ED3F324" w:rsidR="00B763A0" w:rsidRPr="00CE53A8" w:rsidRDefault="00F24AE3" w:rsidP="00C36DF6">
      <w:pPr>
        <w:spacing w:line="228" w:lineRule="auto"/>
        <w:ind w:firstLine="360"/>
        <w:rPr>
          <w:rFonts w:cs="Times New Roman"/>
          <w:lang w:val="fr-FR"/>
        </w:rPr>
      </w:pPr>
      <w:r>
        <w:rPr>
          <w:rFonts w:cs="Times New Roman"/>
          <w:lang w:val="fr-FR"/>
        </w:rPr>
        <w:t>Cette section est sans objet (S.O.).</w:t>
      </w:r>
    </w:p>
    <w:p w14:paraId="46CE7D79" w14:textId="2B10E133" w:rsidR="008745ED" w:rsidRPr="00CE53A8" w:rsidRDefault="008745ED" w:rsidP="00C36DF6">
      <w:pPr>
        <w:pStyle w:val="Heading1"/>
        <w:spacing w:line="228" w:lineRule="auto"/>
        <w:rPr>
          <w:rFonts w:cs="Times New Roman"/>
          <w:lang w:val="fr-FR"/>
        </w:rPr>
      </w:pPr>
      <w:bookmarkStart w:id="72" w:name="_Toc222741386"/>
      <w:r>
        <w:rPr>
          <w:rFonts w:cs="Times New Roman"/>
          <w:bCs/>
          <w:lang w:val="fr-FR"/>
        </w:rPr>
        <w:t>Résumé des données cliniques issues des investigations menées sur le dispositif avant le marquage CE, le cas échéant</w:t>
      </w:r>
      <w:bookmarkEnd w:id="72"/>
      <w:r>
        <w:rPr>
          <w:rFonts w:cs="Times New Roman"/>
          <w:bCs/>
          <w:lang w:val="fr-FR"/>
        </w:rPr>
        <w:t xml:space="preserve"> </w:t>
      </w:r>
    </w:p>
    <w:p w14:paraId="27B7D18D" w14:textId="3346219F" w:rsidR="004846A6" w:rsidRPr="00CE53A8" w:rsidRDefault="00F604C9" w:rsidP="00C36DF6">
      <w:pPr>
        <w:spacing w:line="228" w:lineRule="auto"/>
        <w:ind w:left="360"/>
        <w:rPr>
          <w:rFonts w:cs="Times New Roman"/>
          <w:lang w:val="fr-FR"/>
        </w:rPr>
      </w:pPr>
      <w:bookmarkStart w:id="73" w:name="_Hlk196514030"/>
      <w:r>
        <w:rPr>
          <w:rFonts w:cs="Times New Roman"/>
          <w:lang w:val="fr-FR"/>
        </w:rPr>
        <w:t>Cette section est sans objet (S.O.).</w:t>
      </w:r>
    </w:p>
    <w:p w14:paraId="7A896071" w14:textId="00061818" w:rsidR="008745ED" w:rsidRDefault="008745ED">
      <w:pPr>
        <w:pStyle w:val="Heading1"/>
        <w:spacing w:line="228" w:lineRule="auto"/>
        <w:contextualSpacing/>
        <w:rPr>
          <w:rFonts w:cs="Times New Roman"/>
          <w:bCs/>
          <w:lang w:val="fr-FR"/>
        </w:rPr>
      </w:pPr>
      <w:bookmarkStart w:id="74" w:name="_Toc222741387"/>
      <w:bookmarkEnd w:id="73"/>
      <w:r>
        <w:rPr>
          <w:rFonts w:cs="Times New Roman"/>
          <w:bCs/>
          <w:lang w:val="fr-FR"/>
        </w:rPr>
        <w:t>Résumé des données cliniques provenant d’autres sources, le cas échéant</w:t>
      </w:r>
      <w:bookmarkEnd w:id="74"/>
      <w:r>
        <w:rPr>
          <w:rFonts w:cs="Times New Roman"/>
          <w:bCs/>
          <w:lang w:val="fr-FR"/>
        </w:rPr>
        <w:t xml:space="preserve"> </w:t>
      </w:r>
    </w:p>
    <w:p w14:paraId="7B26BAEB" w14:textId="77777777" w:rsidR="003E6DCD" w:rsidRPr="00C36DF6" w:rsidRDefault="003E6DCD" w:rsidP="00C36DF6">
      <w:pPr>
        <w:spacing w:after="0" w:afterAutospacing="0"/>
        <w:rPr>
          <w:sz w:val="12"/>
          <w:szCs w:val="10"/>
          <w:lang w:val="fr-FR"/>
        </w:rPr>
      </w:pPr>
    </w:p>
    <w:p w14:paraId="3F1ED76E" w14:textId="0CD94900" w:rsidR="006C2B68" w:rsidRDefault="0037599D" w:rsidP="00C36DF6">
      <w:pPr>
        <w:spacing w:line="228" w:lineRule="auto"/>
        <w:contextualSpacing/>
        <w:rPr>
          <w:rFonts w:eastAsia="Times New Roman" w:cs="Times New Roman"/>
          <w:szCs w:val="24"/>
          <w:lang w:val="fr-FR"/>
        </w:rPr>
      </w:pPr>
      <w:r>
        <w:rPr>
          <w:rFonts w:eastAsia="Times New Roman" w:cs="Times New Roman"/>
          <w:szCs w:val="24"/>
          <w:lang w:val="fr-FR"/>
        </w:rPr>
        <w:t>Le document CER-029 R</w:t>
      </w:r>
      <w:r w:rsidR="0080218B">
        <w:rPr>
          <w:rFonts w:eastAsia="Times New Roman" w:cs="Times New Roman"/>
          <w:szCs w:val="24"/>
          <w:lang w:val="fr-FR"/>
        </w:rPr>
        <w:t>e</w:t>
      </w:r>
      <w:r>
        <w:rPr>
          <w:rFonts w:eastAsia="Times New Roman" w:cs="Times New Roman"/>
          <w:szCs w:val="24"/>
          <w:lang w:val="fr-FR"/>
        </w:rPr>
        <w:t>v B s’appuie sur une analyse exhaustive de données cliniques externes, notamment :</w:t>
      </w:r>
    </w:p>
    <w:p w14:paraId="795E741F" w14:textId="77777777" w:rsidR="0080218B" w:rsidRPr="00C36DF6" w:rsidRDefault="0080218B" w:rsidP="00C36DF6">
      <w:pPr>
        <w:spacing w:before="100" w:beforeAutospacing="1" w:line="228" w:lineRule="auto"/>
        <w:contextualSpacing/>
        <w:rPr>
          <w:rFonts w:eastAsia="Times New Roman" w:cs="Times New Roman"/>
          <w:sz w:val="16"/>
          <w:szCs w:val="16"/>
          <w:lang w:val="fr-FR"/>
        </w:rPr>
      </w:pPr>
    </w:p>
    <w:p w14:paraId="421058D0" w14:textId="26D1A572" w:rsidR="00FB1FDD" w:rsidRDefault="00FC5667" w:rsidP="0080218B">
      <w:pPr>
        <w:spacing w:before="100" w:beforeAutospacing="1" w:line="228" w:lineRule="auto"/>
        <w:contextualSpacing/>
        <w:rPr>
          <w:rFonts w:cs="Times New Roman"/>
          <w:lang w:val="fr-FR"/>
        </w:rPr>
      </w:pPr>
      <w:r>
        <w:rPr>
          <w:rFonts w:cs="Times New Roman"/>
          <w:szCs w:val="24"/>
          <w:lang w:val="fr-FR"/>
        </w:rPr>
        <w:t>Littérature sur l’état de l’art (SOA) : Une revue systématique de 579 articles a permis d’identifier 16 études pertinentes portant sur des dispositifs et des procédures similaires. Ces études ont démontré des taux élevés de réussite technique (≥91,2 %) et de faibles taux de complications (≤1,1 %), établissant des valeurs de référence en matière de sécurité et de performance.</w:t>
      </w:r>
      <w:r>
        <w:rPr>
          <w:rFonts w:cs="Times New Roman"/>
          <w:lang w:val="fr-FR"/>
        </w:rPr>
        <w:t xml:space="preserve"> </w:t>
      </w:r>
    </w:p>
    <w:p w14:paraId="42A406AB" w14:textId="77777777" w:rsidR="0080218B" w:rsidRPr="00C36DF6" w:rsidRDefault="0080218B" w:rsidP="00C36DF6">
      <w:pPr>
        <w:spacing w:before="100" w:beforeAutospacing="1" w:line="228" w:lineRule="auto"/>
        <w:contextualSpacing/>
        <w:rPr>
          <w:rFonts w:cs="Times New Roman"/>
          <w:sz w:val="16"/>
          <w:szCs w:val="14"/>
          <w:lang w:val="fr-FR"/>
        </w:rPr>
      </w:pPr>
    </w:p>
    <w:p w14:paraId="7C6B59FC" w14:textId="77777777" w:rsidR="00FB1FDD" w:rsidRDefault="00D23267" w:rsidP="0080218B">
      <w:pPr>
        <w:spacing w:before="100" w:beforeAutospacing="1" w:line="228" w:lineRule="auto"/>
        <w:contextualSpacing/>
        <w:rPr>
          <w:rFonts w:cs="Times New Roman"/>
          <w:lang w:val="fr-FR"/>
        </w:rPr>
      </w:pPr>
      <w:r>
        <w:rPr>
          <w:rFonts w:cs="Times New Roman"/>
          <w:szCs w:val="24"/>
          <w:lang w:val="fr-FR"/>
        </w:rPr>
        <w:t xml:space="preserve">Littérature sur les dispositifs concurrents : huit études portant sur des dispositifs comparables (par ex., EN </w:t>
      </w:r>
      <w:proofErr w:type="spellStart"/>
      <w:r>
        <w:rPr>
          <w:rFonts w:cs="Times New Roman"/>
          <w:szCs w:val="24"/>
          <w:lang w:val="fr-FR"/>
        </w:rPr>
        <w:t>Snare</w:t>
      </w:r>
      <w:proofErr w:type="spellEnd"/>
      <w:r>
        <w:rPr>
          <w:rFonts w:cs="Times New Roman"/>
          <w:szCs w:val="24"/>
          <w:lang w:val="fr-FR"/>
        </w:rPr>
        <w:t xml:space="preserve">, </w:t>
      </w:r>
      <w:proofErr w:type="spellStart"/>
      <w:r>
        <w:rPr>
          <w:rFonts w:cs="Times New Roman"/>
          <w:szCs w:val="24"/>
          <w:lang w:val="fr-FR"/>
        </w:rPr>
        <w:t>GooseNeck</w:t>
      </w:r>
      <w:proofErr w:type="spellEnd"/>
      <w:r>
        <w:rPr>
          <w:rFonts w:cs="Times New Roman"/>
          <w:szCs w:val="24"/>
          <w:lang w:val="fr-FR"/>
        </w:rPr>
        <w:t xml:space="preserve">, </w:t>
      </w:r>
      <w:proofErr w:type="spellStart"/>
      <w:r>
        <w:rPr>
          <w:rFonts w:cs="Times New Roman"/>
          <w:szCs w:val="24"/>
          <w:lang w:val="fr-FR"/>
        </w:rPr>
        <w:t>CloverSnare</w:t>
      </w:r>
      <w:proofErr w:type="spellEnd"/>
      <w:r>
        <w:rPr>
          <w:rFonts w:cs="Times New Roman"/>
          <w:szCs w:val="24"/>
          <w:lang w:val="fr-FR"/>
        </w:rPr>
        <w:t>) ont confirmé des profils de sécurité et d’efficacité similaires, renforçant le statut de traitement standard des collets vasculaires.</w:t>
      </w:r>
      <w:r>
        <w:rPr>
          <w:rFonts w:cs="Times New Roman"/>
          <w:lang w:val="fr-FR"/>
        </w:rPr>
        <w:t xml:space="preserve"> </w:t>
      </w:r>
    </w:p>
    <w:p w14:paraId="622200C2" w14:textId="77777777" w:rsidR="0080218B" w:rsidRPr="00C36DF6" w:rsidRDefault="0080218B" w:rsidP="00C36DF6">
      <w:pPr>
        <w:spacing w:before="100" w:beforeAutospacing="1" w:line="228" w:lineRule="auto"/>
        <w:contextualSpacing/>
        <w:rPr>
          <w:rFonts w:cs="Times New Roman"/>
          <w:sz w:val="16"/>
          <w:szCs w:val="14"/>
          <w:lang w:val="fr-FR"/>
        </w:rPr>
      </w:pPr>
    </w:p>
    <w:p w14:paraId="2910073B" w14:textId="4049ACE7" w:rsidR="004846A6" w:rsidRDefault="009B4453" w:rsidP="0080218B">
      <w:pPr>
        <w:spacing w:before="100" w:beforeAutospacing="1" w:line="228" w:lineRule="auto"/>
        <w:contextualSpacing/>
        <w:rPr>
          <w:rFonts w:eastAsia="Times New Roman" w:cs="Times New Roman"/>
          <w:szCs w:val="24"/>
          <w:lang w:val="fr-FR"/>
        </w:rPr>
      </w:pPr>
      <w:r>
        <w:rPr>
          <w:rFonts w:eastAsia="Times New Roman" w:cs="Times New Roman"/>
          <w:szCs w:val="24"/>
          <w:lang w:val="fr-FR"/>
        </w:rPr>
        <w:t>Lignes directrices cliniques : les recommandations formulées par les sociétés professionnelles (par ex., SIR, ESC, KDOQI) soutiennent l’utilisation de méthodes de récupération percutanées, notamment les collets, comme traitement de première intention pour l’extraction de corps étrangers dans le système cardiovasculaire.</w:t>
      </w:r>
    </w:p>
    <w:p w14:paraId="2BAE7D4B" w14:textId="77777777" w:rsidR="0080218B" w:rsidRPr="00C36DF6" w:rsidRDefault="0080218B" w:rsidP="00C36DF6">
      <w:pPr>
        <w:spacing w:before="100" w:beforeAutospacing="1" w:line="228" w:lineRule="auto"/>
        <w:contextualSpacing/>
        <w:rPr>
          <w:rFonts w:eastAsia="Times New Roman" w:cs="Times New Roman"/>
          <w:sz w:val="16"/>
          <w:szCs w:val="16"/>
          <w:lang w:val="fr-FR"/>
        </w:rPr>
      </w:pPr>
    </w:p>
    <w:p w14:paraId="661EF380" w14:textId="29BB1CA1" w:rsidR="00516D79" w:rsidRDefault="00516D79" w:rsidP="00C36DF6">
      <w:pPr>
        <w:spacing w:after="0" w:afterAutospacing="0" w:line="228" w:lineRule="auto"/>
        <w:contextualSpacing/>
        <w:rPr>
          <w:rFonts w:eastAsia="Times New Roman" w:cs="Times New Roman"/>
          <w:szCs w:val="24"/>
          <w:lang w:val="fr-FR"/>
        </w:rPr>
      </w:pPr>
      <w:r>
        <w:rPr>
          <w:rFonts w:eastAsia="Times New Roman" w:cs="Times New Roman"/>
          <w:szCs w:val="24"/>
          <w:lang w:val="fr-FR"/>
        </w:rPr>
        <w:t xml:space="preserve">Littérature sur le dispositif concerné : treize publications (y compris des études de cas et des études rétrospectives) portant sur </w:t>
      </w:r>
      <w:proofErr w:type="spellStart"/>
      <w:r>
        <w:rPr>
          <w:rFonts w:eastAsia="Times New Roman" w:cs="Times New Roman"/>
          <w:szCs w:val="24"/>
          <w:lang w:val="fr-FR"/>
        </w:rPr>
        <w:t>Atrieve</w:t>
      </w:r>
      <w:proofErr w:type="spellEnd"/>
      <w:r>
        <w:rPr>
          <w:rFonts w:eastAsia="Times New Roman" w:cs="Times New Roman"/>
          <w:szCs w:val="24"/>
          <w:lang w:val="fr-FR"/>
        </w:rPr>
        <w:t xml:space="preserve"> ont démontré un succès technique de 100 % et un succès clinique de 94,5 %, avec des événements indésirables minimes. Certaines mesures de performance ont été légèrement inférieures aux valeurs de référence de l’état de l’art, tout en restant dans des plages cliniques acceptables.</w:t>
      </w:r>
    </w:p>
    <w:p w14:paraId="66F22352" w14:textId="28F3CCF3" w:rsidR="004846A6" w:rsidRDefault="004846A6" w:rsidP="0080218B">
      <w:pPr>
        <w:spacing w:before="100" w:beforeAutospacing="1" w:line="228" w:lineRule="auto"/>
        <w:contextualSpacing/>
        <w:rPr>
          <w:rFonts w:eastAsia="Times New Roman" w:cs="Times New Roman"/>
          <w:szCs w:val="24"/>
          <w:lang w:val="fr-FR"/>
        </w:rPr>
      </w:pPr>
      <w:r>
        <w:rPr>
          <w:rFonts w:eastAsia="Times New Roman" w:cs="Times New Roman"/>
          <w:szCs w:val="24"/>
          <w:lang w:val="fr-FR"/>
        </w:rPr>
        <w:lastRenderedPageBreak/>
        <w:t xml:space="preserve">En outre, le rapport intègre les données de surveillance post-commercialisation (PMS) recueillies dans le cadre de plans de surveillance structurés pour le produit </w:t>
      </w:r>
      <w:proofErr w:type="spellStart"/>
      <w:r>
        <w:rPr>
          <w:rFonts w:eastAsia="Times New Roman" w:cs="Times New Roman"/>
          <w:szCs w:val="24"/>
          <w:lang w:val="fr-FR"/>
        </w:rPr>
        <w:t>Atrieve</w:t>
      </w:r>
      <w:proofErr w:type="spellEnd"/>
      <w:r>
        <w:rPr>
          <w:rFonts w:eastAsia="Times New Roman" w:cs="Times New Roman"/>
          <w:szCs w:val="24"/>
          <w:lang w:val="fr-FR"/>
        </w:rPr>
        <w:t>. Cela comprend le suivi des plaintes et des événements indésirables sur une période de cinq ans, ainsi que les mesures correctives. Malgré un volume élevé de ventes mondiales, les données PMS n’ont révélé aucune tendance émergente concernant la sécurité, ni aucun risque imprévu, renforçant ainsi le profil de sécurité des dispositifs en conditions réelles.</w:t>
      </w:r>
    </w:p>
    <w:p w14:paraId="19CF2834" w14:textId="77777777" w:rsidR="0080218B" w:rsidRPr="00C36DF6" w:rsidRDefault="0080218B" w:rsidP="00C36DF6">
      <w:pPr>
        <w:spacing w:before="100" w:beforeAutospacing="1" w:line="228" w:lineRule="auto"/>
        <w:contextualSpacing/>
        <w:rPr>
          <w:rFonts w:eastAsia="Times New Roman" w:cs="Times New Roman"/>
          <w:sz w:val="16"/>
          <w:szCs w:val="16"/>
          <w:lang w:val="fr-FR"/>
        </w:rPr>
      </w:pPr>
    </w:p>
    <w:p w14:paraId="6527D03E" w14:textId="73944EC6" w:rsidR="004846A6" w:rsidRPr="00CE53A8" w:rsidRDefault="004846A6" w:rsidP="00C36DF6">
      <w:pPr>
        <w:spacing w:before="100" w:beforeAutospacing="1" w:line="228" w:lineRule="auto"/>
        <w:contextualSpacing/>
        <w:rPr>
          <w:rFonts w:eastAsia="Times New Roman" w:cs="Times New Roman"/>
          <w:szCs w:val="24"/>
          <w:lang w:val="fr-FR"/>
        </w:rPr>
      </w:pPr>
      <w:r>
        <w:rPr>
          <w:rFonts w:eastAsia="Times New Roman" w:cs="Times New Roman"/>
          <w:szCs w:val="24"/>
          <w:lang w:val="fr-FR"/>
        </w:rPr>
        <w:t>Enfin, les données non cliniques, y compris les tests en laboratoire et les évaluations de biocompatibilité, démontrent que les dispositifs répondent à toutes les normes de conception et réglementaires. Bien qu’aucune investigation clinique n’ait été menée pour ces dispositifs, cette absence était justifiée par des données exhaustives issues de la littérature, de sources post-commercialisation et de l’utilisation de dispositifs antérieurs. Dans l’ensemble, ces différentes sources de données confirment collectivement la sécurité et l’efficacité des dispositifs, conformément aux exigences du règlement MDR UE.</w:t>
      </w:r>
    </w:p>
    <w:p w14:paraId="0F01E5AD" w14:textId="2BD461FF" w:rsidR="008745ED" w:rsidRPr="00CE53A8" w:rsidRDefault="008745ED" w:rsidP="00C36DF6">
      <w:pPr>
        <w:pStyle w:val="Heading1"/>
        <w:spacing w:line="228" w:lineRule="auto"/>
        <w:rPr>
          <w:rFonts w:cs="Times New Roman"/>
          <w:lang w:val="fr-FR"/>
        </w:rPr>
      </w:pPr>
      <w:bookmarkStart w:id="75" w:name="_Toc222741388"/>
      <w:r>
        <w:rPr>
          <w:rFonts w:cs="Times New Roman"/>
          <w:bCs/>
          <w:lang w:val="fr-FR"/>
        </w:rPr>
        <w:t>Résumé global des performances cliniques et de la sécurité</w:t>
      </w:r>
      <w:bookmarkEnd w:id="75"/>
      <w:r>
        <w:rPr>
          <w:rFonts w:cs="Times New Roman"/>
          <w:bCs/>
          <w:lang w:val="fr-FR"/>
        </w:rPr>
        <w:t xml:space="preserve"> </w:t>
      </w:r>
    </w:p>
    <w:p w14:paraId="7C1B956B" w14:textId="77777777" w:rsidR="009977D7" w:rsidRPr="00C36DF6" w:rsidRDefault="009977D7" w:rsidP="00C36DF6">
      <w:pPr>
        <w:spacing w:after="0" w:afterAutospacing="0" w:line="228" w:lineRule="auto"/>
        <w:rPr>
          <w:rFonts w:eastAsia="Times New Roman" w:cs="Times New Roman"/>
          <w:iCs/>
          <w:sz w:val="12"/>
          <w:szCs w:val="12"/>
          <w:lang w:val="fr-FR"/>
        </w:rPr>
      </w:pPr>
    </w:p>
    <w:p w14:paraId="068544DB" w14:textId="77295741" w:rsidR="00D52DF8" w:rsidRPr="00CE53A8" w:rsidRDefault="00D52DF8" w:rsidP="00C36DF6">
      <w:pPr>
        <w:spacing w:after="0" w:afterAutospacing="0" w:line="228" w:lineRule="auto"/>
        <w:rPr>
          <w:rFonts w:eastAsia="Times New Roman" w:cs="Times New Roman"/>
          <w:iCs/>
          <w:szCs w:val="24"/>
          <w:lang w:val="fr-FR"/>
        </w:rPr>
      </w:pPr>
      <w:r>
        <w:rPr>
          <w:rFonts w:eastAsia="Times New Roman" w:cs="Times New Roman"/>
          <w:szCs w:val="24"/>
          <w:lang w:val="fr-FR"/>
        </w:rPr>
        <w:t xml:space="preserve">D’après les documents X9585730-0321-EU </w:t>
      </w:r>
      <w:r w:rsidR="00801037">
        <w:rPr>
          <w:rFonts w:eastAsia="Times New Roman" w:cs="Times New Roman"/>
          <w:szCs w:val="24"/>
          <w:lang w:val="fr-FR"/>
        </w:rPr>
        <w:t xml:space="preserve">Rev </w:t>
      </w:r>
      <w:r>
        <w:rPr>
          <w:rFonts w:eastAsia="Times New Roman" w:cs="Times New Roman"/>
          <w:szCs w:val="24"/>
          <w:lang w:val="fr-FR"/>
        </w:rPr>
        <w:t xml:space="preserve">A et CER-029 </w:t>
      </w:r>
      <w:r w:rsidR="00801037">
        <w:rPr>
          <w:rFonts w:eastAsia="Times New Roman" w:cs="Times New Roman"/>
          <w:szCs w:val="24"/>
          <w:lang w:val="fr-FR"/>
        </w:rPr>
        <w:t xml:space="preserve">Rev </w:t>
      </w:r>
      <w:r>
        <w:rPr>
          <w:rFonts w:eastAsia="Times New Roman" w:cs="Times New Roman"/>
          <w:szCs w:val="24"/>
          <w:lang w:val="fr-FR"/>
        </w:rPr>
        <w:t xml:space="preserve">B concernant le kit de collet vasculaire </w:t>
      </w:r>
      <w:proofErr w:type="spellStart"/>
      <w:r>
        <w:rPr>
          <w:rFonts w:eastAsia="Times New Roman" w:cs="Times New Roman"/>
          <w:szCs w:val="24"/>
          <w:lang w:val="fr-FR"/>
        </w:rPr>
        <w:t>Atrieve</w:t>
      </w:r>
      <w:proofErr w:type="spellEnd"/>
      <w:r>
        <w:rPr>
          <w:rFonts w:eastAsia="Times New Roman" w:cs="Times New Roman"/>
          <w:szCs w:val="24"/>
          <w:lang w:val="fr-FR"/>
        </w:rPr>
        <w:t>, les performances cliniques et le profil de sécurité du dispositif sont favorables et conformes aux attentes pour l’utilisation prévue.</w:t>
      </w:r>
    </w:p>
    <w:p w14:paraId="3508FD3D" w14:textId="77777777" w:rsidR="002E59B4" w:rsidRPr="00C36DF6" w:rsidRDefault="002E59B4" w:rsidP="00C36DF6">
      <w:pPr>
        <w:spacing w:after="0" w:afterAutospacing="0" w:line="228" w:lineRule="auto"/>
        <w:rPr>
          <w:rFonts w:eastAsia="Times New Roman" w:cs="Times New Roman"/>
          <w:iCs/>
          <w:sz w:val="14"/>
          <w:szCs w:val="14"/>
          <w:lang w:val="fr-FR"/>
        </w:rPr>
      </w:pPr>
    </w:p>
    <w:p w14:paraId="0A303358" w14:textId="24357A0A" w:rsidR="00C361CA" w:rsidRPr="00CE53A8" w:rsidRDefault="005C642C" w:rsidP="00C36DF6">
      <w:pPr>
        <w:spacing w:after="0" w:afterAutospacing="0" w:line="228" w:lineRule="auto"/>
        <w:rPr>
          <w:rFonts w:cs="Times New Roman"/>
          <w:lang w:val="fr-FR"/>
        </w:rPr>
      </w:pPr>
      <w:r>
        <w:rPr>
          <w:rFonts w:cs="Times New Roman"/>
          <w:lang w:val="fr-FR"/>
        </w:rPr>
        <w:t xml:space="preserve">Le dispositif est conçu pour </w:t>
      </w:r>
      <w:r>
        <w:rPr>
          <w:rStyle w:val="Strong"/>
          <w:rFonts w:cs="Times New Roman"/>
          <w:lang w:val="fr-FR"/>
        </w:rPr>
        <w:t>l’extraction et la manipulation percutanées de corps étrangers</w:t>
      </w:r>
      <w:r>
        <w:rPr>
          <w:rFonts w:cs="Times New Roman"/>
          <w:lang w:val="fr-FR"/>
        </w:rPr>
        <w:t xml:space="preserve"> dans le système cardiovasculaire ou les viscères creux. Les principaux bénéfices cliniques incluent un retrait minimalement invasif, un risque réduit pour le patient et des taux de complications inférieurs par rapport aux alternatives chirurgicales.</w:t>
      </w:r>
    </w:p>
    <w:p w14:paraId="0DE0B963" w14:textId="77777777" w:rsidR="005C642C" w:rsidRPr="00C36DF6" w:rsidRDefault="005C642C" w:rsidP="00C36DF6">
      <w:pPr>
        <w:spacing w:after="0" w:afterAutospacing="0" w:line="228" w:lineRule="auto"/>
        <w:rPr>
          <w:rFonts w:eastAsia="Times New Roman" w:cs="Times New Roman"/>
          <w:iCs/>
          <w:sz w:val="12"/>
          <w:szCs w:val="12"/>
          <w:lang w:val="fr-FR"/>
        </w:rPr>
      </w:pPr>
    </w:p>
    <w:p w14:paraId="2DA4A118" w14:textId="58FE2B84" w:rsidR="00C97841" w:rsidRPr="00CE53A8" w:rsidRDefault="00B26297" w:rsidP="00C36DF6">
      <w:pPr>
        <w:spacing w:after="0" w:afterAutospacing="0" w:line="228" w:lineRule="auto"/>
        <w:rPr>
          <w:rFonts w:eastAsia="Times New Roman" w:cs="Times New Roman"/>
          <w:iCs/>
          <w:szCs w:val="24"/>
          <w:lang w:val="fr-FR"/>
        </w:rPr>
      </w:pPr>
      <w:r>
        <w:rPr>
          <w:rFonts w:eastAsia="Times New Roman" w:cs="Times New Roman"/>
          <w:szCs w:val="24"/>
          <w:lang w:val="fr-FR"/>
        </w:rPr>
        <w:t>L’évaluation clinique définit les mesures de résultats suivantes :</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7384"/>
      </w:tblGrid>
      <w:tr w:rsidR="00942C1E" w:rsidRPr="009461CC" w14:paraId="0839D18E" w14:textId="77777777" w:rsidTr="00607046">
        <w:trPr>
          <w:tblHeader/>
          <w:tblCellSpacing w:w="15" w:type="dxa"/>
          <w:jc w:val="center"/>
        </w:trPr>
        <w:tc>
          <w:tcPr>
            <w:tcW w:w="4971" w:type="pct"/>
            <w:gridSpan w:val="2"/>
            <w:shd w:val="clear" w:color="auto" w:fill="F5F5F5"/>
            <w:tcMar>
              <w:top w:w="120" w:type="dxa"/>
              <w:left w:w="180" w:type="dxa"/>
              <w:bottom w:w="105" w:type="dxa"/>
              <w:right w:w="120" w:type="dxa"/>
            </w:tcMar>
          </w:tcPr>
          <w:p w14:paraId="35368930" w14:textId="77777777" w:rsidR="00942C1E" w:rsidRPr="009461CC" w:rsidRDefault="00942C1E" w:rsidP="00C36DF6">
            <w:pPr>
              <w:spacing w:after="0" w:afterAutospacing="0" w:line="216" w:lineRule="auto"/>
              <w:jc w:val="center"/>
              <w:rPr>
                <w:rFonts w:eastAsia="Times New Roman" w:cs="Times New Roman"/>
                <w:b/>
                <w:bCs/>
              </w:rPr>
            </w:pPr>
            <w:r>
              <w:rPr>
                <w:rFonts w:eastAsia="Times New Roman" w:cs="Times New Roman"/>
                <w:b/>
                <w:bCs/>
                <w:lang w:val="fr-FR"/>
              </w:rPr>
              <w:t>Mesures des performances</w:t>
            </w:r>
          </w:p>
        </w:tc>
      </w:tr>
      <w:tr w:rsidR="00607046" w:rsidRPr="009461CC" w14:paraId="609C186F" w14:textId="77777777" w:rsidTr="00607046">
        <w:trPr>
          <w:tblHeader/>
          <w:tblCellSpacing w:w="15" w:type="dxa"/>
          <w:jc w:val="center"/>
        </w:trPr>
        <w:tc>
          <w:tcPr>
            <w:tcW w:w="1443" w:type="pct"/>
            <w:shd w:val="clear" w:color="auto" w:fill="F5F5F5"/>
            <w:tcMar>
              <w:top w:w="120" w:type="dxa"/>
              <w:left w:w="180" w:type="dxa"/>
              <w:bottom w:w="105" w:type="dxa"/>
              <w:right w:w="120" w:type="dxa"/>
            </w:tcMar>
            <w:hideMark/>
          </w:tcPr>
          <w:p w14:paraId="2D28E345" w14:textId="77777777" w:rsidR="00942C1E" w:rsidRPr="009461CC" w:rsidRDefault="00942C1E" w:rsidP="00C36DF6">
            <w:pPr>
              <w:spacing w:after="0" w:afterAutospacing="0" w:line="216" w:lineRule="auto"/>
              <w:jc w:val="center"/>
              <w:rPr>
                <w:rFonts w:eastAsia="Times New Roman" w:cs="Times New Roman"/>
                <w:b/>
                <w:bCs/>
              </w:rPr>
            </w:pPr>
            <w:r>
              <w:rPr>
                <w:rFonts w:eastAsia="Times New Roman" w:cs="Times New Roman"/>
                <w:b/>
                <w:bCs/>
                <w:lang w:val="fr-FR"/>
              </w:rPr>
              <w:t>Mesure</w:t>
            </w:r>
          </w:p>
        </w:tc>
        <w:tc>
          <w:tcPr>
            <w:tcW w:w="3514" w:type="pct"/>
            <w:shd w:val="clear" w:color="auto" w:fill="F5F5F5"/>
            <w:tcMar>
              <w:top w:w="120" w:type="dxa"/>
              <w:left w:w="180" w:type="dxa"/>
              <w:bottom w:w="105" w:type="dxa"/>
              <w:right w:w="120" w:type="dxa"/>
            </w:tcMar>
            <w:hideMark/>
          </w:tcPr>
          <w:p w14:paraId="14A387C4" w14:textId="77777777" w:rsidR="00942C1E" w:rsidRPr="009461CC" w:rsidRDefault="00942C1E" w:rsidP="00C36DF6">
            <w:pPr>
              <w:spacing w:after="0" w:afterAutospacing="0" w:line="216" w:lineRule="auto"/>
              <w:jc w:val="center"/>
              <w:rPr>
                <w:rFonts w:eastAsia="Times New Roman" w:cs="Times New Roman"/>
                <w:b/>
                <w:bCs/>
              </w:rPr>
            </w:pPr>
            <w:r>
              <w:rPr>
                <w:rFonts w:eastAsia="Times New Roman" w:cs="Times New Roman"/>
                <w:b/>
                <w:bCs/>
                <w:lang w:val="fr-FR"/>
              </w:rPr>
              <w:t>Définition</w:t>
            </w:r>
          </w:p>
        </w:tc>
      </w:tr>
      <w:tr w:rsidR="00942C1E" w:rsidRPr="003E0201" w14:paraId="67F5D1CE" w14:textId="77777777" w:rsidTr="00607046">
        <w:trPr>
          <w:tblCellSpacing w:w="15" w:type="dxa"/>
          <w:jc w:val="center"/>
        </w:trPr>
        <w:tc>
          <w:tcPr>
            <w:tcW w:w="1443" w:type="pct"/>
            <w:tcMar>
              <w:top w:w="120" w:type="dxa"/>
              <w:left w:w="180" w:type="dxa"/>
              <w:bottom w:w="105" w:type="dxa"/>
              <w:right w:w="120" w:type="dxa"/>
            </w:tcMar>
            <w:hideMark/>
          </w:tcPr>
          <w:p w14:paraId="5F6236EF" w14:textId="77777777" w:rsidR="00942C1E" w:rsidRPr="009461CC" w:rsidRDefault="00942C1E" w:rsidP="00C36DF6">
            <w:pPr>
              <w:spacing w:after="0" w:afterAutospacing="0" w:line="216" w:lineRule="auto"/>
              <w:jc w:val="center"/>
              <w:rPr>
                <w:rFonts w:eastAsia="Times New Roman" w:cs="Times New Roman"/>
              </w:rPr>
            </w:pPr>
            <w:r>
              <w:rPr>
                <w:rFonts w:eastAsia="Times New Roman" w:cs="Times New Roman"/>
                <w:b/>
                <w:bCs/>
                <w:lang w:val="fr-FR"/>
              </w:rPr>
              <w:t>Réussite technique</w:t>
            </w:r>
          </w:p>
        </w:tc>
        <w:tc>
          <w:tcPr>
            <w:tcW w:w="3514" w:type="pct"/>
            <w:tcMar>
              <w:top w:w="120" w:type="dxa"/>
              <w:left w:w="180" w:type="dxa"/>
              <w:bottom w:w="105" w:type="dxa"/>
              <w:right w:w="120" w:type="dxa"/>
            </w:tcMar>
            <w:hideMark/>
          </w:tcPr>
          <w:p w14:paraId="55E25C25" w14:textId="77777777" w:rsidR="00942C1E" w:rsidRPr="00CE53A8" w:rsidRDefault="00942C1E" w:rsidP="00C36DF6">
            <w:pPr>
              <w:spacing w:after="0" w:afterAutospacing="0" w:line="216" w:lineRule="auto"/>
              <w:jc w:val="center"/>
              <w:rPr>
                <w:rFonts w:eastAsia="Times New Roman" w:cs="Times New Roman"/>
                <w:lang w:val="fr-FR"/>
              </w:rPr>
            </w:pPr>
            <w:r>
              <w:rPr>
                <w:rFonts w:eastAsia="Times New Roman" w:cs="Times New Roman"/>
                <w:lang w:val="fr-FR"/>
              </w:rPr>
              <w:t>Extraction/manipulation réussies de corps étrangers</w:t>
            </w:r>
          </w:p>
        </w:tc>
      </w:tr>
      <w:tr w:rsidR="00942C1E" w:rsidRPr="003E0201" w14:paraId="5EE8C36D" w14:textId="77777777" w:rsidTr="00607046">
        <w:trPr>
          <w:tblCellSpacing w:w="15" w:type="dxa"/>
          <w:jc w:val="center"/>
        </w:trPr>
        <w:tc>
          <w:tcPr>
            <w:tcW w:w="1443" w:type="pct"/>
            <w:tcMar>
              <w:top w:w="120" w:type="dxa"/>
              <w:left w:w="180" w:type="dxa"/>
              <w:bottom w:w="90" w:type="dxa"/>
              <w:right w:w="120" w:type="dxa"/>
            </w:tcMar>
            <w:hideMark/>
          </w:tcPr>
          <w:p w14:paraId="5C7EA7EC" w14:textId="77777777" w:rsidR="00942C1E" w:rsidRPr="009461CC" w:rsidRDefault="00942C1E" w:rsidP="00C36DF6">
            <w:pPr>
              <w:spacing w:after="0" w:afterAutospacing="0" w:line="216" w:lineRule="auto"/>
              <w:jc w:val="center"/>
              <w:rPr>
                <w:rFonts w:eastAsia="Times New Roman" w:cs="Times New Roman"/>
              </w:rPr>
            </w:pPr>
            <w:r>
              <w:rPr>
                <w:rFonts w:eastAsia="Times New Roman" w:cs="Times New Roman"/>
                <w:b/>
                <w:bCs/>
                <w:lang w:val="fr-FR"/>
              </w:rPr>
              <w:t>Réussite clinique</w:t>
            </w:r>
          </w:p>
        </w:tc>
        <w:tc>
          <w:tcPr>
            <w:tcW w:w="3514" w:type="pct"/>
            <w:tcMar>
              <w:top w:w="120" w:type="dxa"/>
              <w:left w:w="180" w:type="dxa"/>
              <w:bottom w:w="90" w:type="dxa"/>
              <w:right w:w="120" w:type="dxa"/>
            </w:tcMar>
            <w:hideMark/>
          </w:tcPr>
          <w:p w14:paraId="01FCEBA5" w14:textId="77777777" w:rsidR="00942C1E" w:rsidRPr="00CE53A8" w:rsidRDefault="00942C1E" w:rsidP="00C36DF6">
            <w:pPr>
              <w:spacing w:after="0" w:afterAutospacing="0" w:line="216" w:lineRule="auto"/>
              <w:jc w:val="center"/>
              <w:rPr>
                <w:rFonts w:eastAsia="Times New Roman" w:cs="Times New Roman"/>
                <w:lang w:val="fr-FR"/>
              </w:rPr>
            </w:pPr>
            <w:r>
              <w:rPr>
                <w:rFonts w:eastAsia="Times New Roman" w:cs="Times New Roman"/>
                <w:lang w:val="fr-FR"/>
              </w:rPr>
              <w:t>Extraction/manipulation réussies sans complications liées à la procédure</w:t>
            </w:r>
          </w:p>
        </w:tc>
      </w:tr>
    </w:tbl>
    <w:p w14:paraId="6CABCDF2" w14:textId="77777777" w:rsidR="004F7F77" w:rsidRPr="00CE53A8" w:rsidRDefault="004F7F77" w:rsidP="00C36DF6">
      <w:pPr>
        <w:spacing w:after="0" w:afterAutospacing="0" w:line="216" w:lineRule="auto"/>
        <w:rPr>
          <w:rFonts w:eastAsia="Times New Roman" w:cs="Times New Roman"/>
          <w:iCs/>
          <w:szCs w:val="24"/>
          <w:lang w:val="fr-FR"/>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48"/>
        <w:gridCol w:w="7082"/>
      </w:tblGrid>
      <w:tr w:rsidR="00607046" w:rsidRPr="009461CC" w14:paraId="62F22A34" w14:textId="77777777" w:rsidTr="004241EF">
        <w:trPr>
          <w:tblHeader/>
          <w:tblCellSpacing w:w="15" w:type="dxa"/>
          <w:jc w:val="center"/>
        </w:trPr>
        <w:tc>
          <w:tcPr>
            <w:tcW w:w="0" w:type="auto"/>
            <w:gridSpan w:val="2"/>
            <w:shd w:val="clear" w:color="auto" w:fill="F5F5F5"/>
            <w:tcMar>
              <w:top w:w="120" w:type="dxa"/>
              <w:left w:w="180" w:type="dxa"/>
              <w:bottom w:w="105" w:type="dxa"/>
              <w:right w:w="120" w:type="dxa"/>
            </w:tcMar>
          </w:tcPr>
          <w:p w14:paraId="142B79F3" w14:textId="77777777" w:rsidR="00607046" w:rsidRPr="009461CC" w:rsidRDefault="00607046" w:rsidP="00C36DF6">
            <w:pPr>
              <w:spacing w:after="0" w:afterAutospacing="0" w:line="216" w:lineRule="auto"/>
              <w:jc w:val="center"/>
              <w:rPr>
                <w:rFonts w:eastAsia="Times New Roman" w:cs="Times New Roman"/>
                <w:b/>
                <w:bCs/>
              </w:rPr>
            </w:pPr>
            <w:r>
              <w:rPr>
                <w:rFonts w:eastAsia="Times New Roman" w:cs="Times New Roman"/>
                <w:b/>
                <w:bCs/>
                <w:lang w:val="fr-FR"/>
              </w:rPr>
              <w:t>Mesures de sécurité</w:t>
            </w:r>
          </w:p>
        </w:tc>
      </w:tr>
      <w:tr w:rsidR="00607046" w:rsidRPr="009461CC" w14:paraId="6CEF70FC" w14:textId="77777777" w:rsidTr="004241EF">
        <w:trPr>
          <w:tblHeader/>
          <w:tblCellSpacing w:w="15" w:type="dxa"/>
          <w:jc w:val="center"/>
        </w:trPr>
        <w:tc>
          <w:tcPr>
            <w:tcW w:w="0" w:type="auto"/>
            <w:shd w:val="clear" w:color="auto" w:fill="F5F5F5"/>
            <w:tcMar>
              <w:top w:w="120" w:type="dxa"/>
              <w:left w:w="180" w:type="dxa"/>
              <w:bottom w:w="105" w:type="dxa"/>
              <w:right w:w="120" w:type="dxa"/>
            </w:tcMar>
            <w:hideMark/>
          </w:tcPr>
          <w:p w14:paraId="7F49FF4D" w14:textId="77777777" w:rsidR="00607046" w:rsidRPr="009461CC" w:rsidRDefault="00607046" w:rsidP="00C36DF6">
            <w:pPr>
              <w:spacing w:after="0" w:afterAutospacing="0" w:line="216" w:lineRule="auto"/>
              <w:jc w:val="center"/>
              <w:rPr>
                <w:rFonts w:eastAsia="Times New Roman" w:cs="Times New Roman"/>
                <w:b/>
                <w:bCs/>
              </w:rPr>
            </w:pPr>
            <w:r>
              <w:rPr>
                <w:rFonts w:eastAsia="Times New Roman" w:cs="Times New Roman"/>
                <w:b/>
                <w:bCs/>
                <w:lang w:val="fr-FR"/>
              </w:rPr>
              <w:t>Mesure</w:t>
            </w:r>
          </w:p>
        </w:tc>
        <w:tc>
          <w:tcPr>
            <w:tcW w:w="0" w:type="auto"/>
            <w:shd w:val="clear" w:color="auto" w:fill="F5F5F5"/>
            <w:tcMar>
              <w:top w:w="120" w:type="dxa"/>
              <w:left w:w="180" w:type="dxa"/>
              <w:bottom w:w="105" w:type="dxa"/>
              <w:right w:w="120" w:type="dxa"/>
            </w:tcMar>
            <w:hideMark/>
          </w:tcPr>
          <w:p w14:paraId="54D43B30" w14:textId="77777777" w:rsidR="00607046" w:rsidRPr="009461CC" w:rsidRDefault="00607046" w:rsidP="00C36DF6">
            <w:pPr>
              <w:spacing w:after="0" w:afterAutospacing="0" w:line="216" w:lineRule="auto"/>
              <w:jc w:val="center"/>
              <w:rPr>
                <w:rFonts w:eastAsia="Times New Roman" w:cs="Times New Roman"/>
                <w:b/>
                <w:bCs/>
              </w:rPr>
            </w:pPr>
            <w:r>
              <w:rPr>
                <w:rFonts w:eastAsia="Times New Roman" w:cs="Times New Roman"/>
                <w:b/>
                <w:bCs/>
                <w:lang w:val="fr-FR"/>
              </w:rPr>
              <w:t>Définition</w:t>
            </w:r>
          </w:p>
        </w:tc>
      </w:tr>
      <w:tr w:rsidR="00607046" w:rsidRPr="003E0201" w14:paraId="11F5FD97" w14:textId="77777777" w:rsidTr="004241EF">
        <w:trPr>
          <w:tblCellSpacing w:w="15" w:type="dxa"/>
          <w:jc w:val="center"/>
        </w:trPr>
        <w:tc>
          <w:tcPr>
            <w:tcW w:w="0" w:type="auto"/>
            <w:tcMar>
              <w:top w:w="120" w:type="dxa"/>
              <w:left w:w="180" w:type="dxa"/>
              <w:bottom w:w="105" w:type="dxa"/>
              <w:right w:w="120" w:type="dxa"/>
            </w:tcMar>
            <w:hideMark/>
          </w:tcPr>
          <w:p w14:paraId="38CE5781" w14:textId="77777777" w:rsidR="00607046" w:rsidRPr="00CE53A8" w:rsidRDefault="00607046" w:rsidP="00C36DF6">
            <w:pPr>
              <w:spacing w:after="0" w:afterAutospacing="0" w:line="216" w:lineRule="auto"/>
              <w:jc w:val="center"/>
              <w:rPr>
                <w:rFonts w:eastAsia="Times New Roman" w:cs="Times New Roman"/>
                <w:lang w:val="fr-FR"/>
              </w:rPr>
            </w:pPr>
            <w:r>
              <w:rPr>
                <w:rFonts w:eastAsia="Times New Roman" w:cs="Times New Roman"/>
                <w:b/>
                <w:bCs/>
                <w:lang w:val="fr-FR"/>
              </w:rPr>
              <w:t>Complications liées à la procédure</w:t>
            </w:r>
          </w:p>
        </w:tc>
        <w:tc>
          <w:tcPr>
            <w:tcW w:w="0" w:type="auto"/>
            <w:tcMar>
              <w:top w:w="120" w:type="dxa"/>
              <w:left w:w="180" w:type="dxa"/>
              <w:bottom w:w="105" w:type="dxa"/>
              <w:right w:w="120" w:type="dxa"/>
            </w:tcMar>
            <w:hideMark/>
          </w:tcPr>
          <w:p w14:paraId="5EFFAF53" w14:textId="77777777" w:rsidR="00607046" w:rsidRPr="00CE53A8" w:rsidRDefault="00607046" w:rsidP="00C36DF6">
            <w:pPr>
              <w:spacing w:after="0" w:afterAutospacing="0" w:line="216" w:lineRule="auto"/>
              <w:jc w:val="center"/>
              <w:rPr>
                <w:rFonts w:eastAsia="Times New Roman" w:cs="Times New Roman"/>
                <w:lang w:val="fr-FR"/>
              </w:rPr>
            </w:pPr>
            <w:r>
              <w:rPr>
                <w:rFonts w:eastAsia="Times New Roman" w:cs="Times New Roman"/>
                <w:lang w:val="fr-FR"/>
              </w:rPr>
              <w:t>Y compris saignement, perforation, embolie, infection, réactions allergiques, douleur</w:t>
            </w:r>
          </w:p>
        </w:tc>
      </w:tr>
      <w:tr w:rsidR="00607046" w:rsidRPr="003E0201" w14:paraId="6CA744C3" w14:textId="77777777" w:rsidTr="004241EF">
        <w:trPr>
          <w:tblCellSpacing w:w="15" w:type="dxa"/>
          <w:jc w:val="center"/>
        </w:trPr>
        <w:tc>
          <w:tcPr>
            <w:tcW w:w="0" w:type="auto"/>
            <w:tcMar>
              <w:top w:w="120" w:type="dxa"/>
              <w:left w:w="180" w:type="dxa"/>
              <w:bottom w:w="90" w:type="dxa"/>
              <w:right w:w="120" w:type="dxa"/>
            </w:tcMar>
            <w:hideMark/>
          </w:tcPr>
          <w:p w14:paraId="250E35B1" w14:textId="77777777" w:rsidR="00607046" w:rsidRPr="009461CC" w:rsidRDefault="00607046" w:rsidP="00C36DF6">
            <w:pPr>
              <w:spacing w:after="0" w:afterAutospacing="0" w:line="216" w:lineRule="auto"/>
              <w:jc w:val="center"/>
              <w:rPr>
                <w:rFonts w:eastAsia="Times New Roman" w:cs="Times New Roman"/>
              </w:rPr>
            </w:pPr>
            <w:r>
              <w:rPr>
                <w:rFonts w:eastAsia="Times New Roman" w:cs="Times New Roman"/>
                <w:b/>
                <w:bCs/>
                <w:lang w:val="fr-FR"/>
              </w:rPr>
              <w:t>Taux de complications global</w:t>
            </w:r>
          </w:p>
        </w:tc>
        <w:tc>
          <w:tcPr>
            <w:tcW w:w="0" w:type="auto"/>
            <w:tcMar>
              <w:top w:w="120" w:type="dxa"/>
              <w:left w:w="180" w:type="dxa"/>
              <w:bottom w:w="90" w:type="dxa"/>
              <w:right w:w="120" w:type="dxa"/>
            </w:tcMar>
            <w:hideMark/>
          </w:tcPr>
          <w:p w14:paraId="2D2E84BE" w14:textId="77777777" w:rsidR="00607046" w:rsidRPr="00CE53A8" w:rsidRDefault="00607046" w:rsidP="00C36DF6">
            <w:pPr>
              <w:spacing w:after="0" w:afterAutospacing="0" w:line="216" w:lineRule="auto"/>
              <w:jc w:val="center"/>
              <w:rPr>
                <w:rFonts w:eastAsia="Times New Roman" w:cs="Times New Roman"/>
                <w:lang w:val="fr-FR"/>
              </w:rPr>
            </w:pPr>
            <w:r>
              <w:rPr>
                <w:rFonts w:eastAsia="Times New Roman" w:cs="Times New Roman"/>
                <w:lang w:val="fr-FR"/>
              </w:rPr>
              <w:t>Taux combiné de tous les événements indésirables survenus pendant ou après la procédure</w:t>
            </w:r>
          </w:p>
        </w:tc>
      </w:tr>
    </w:tbl>
    <w:p w14:paraId="097FE36D" w14:textId="77777777" w:rsidR="00921090" w:rsidRPr="00CE53A8" w:rsidRDefault="00921090" w:rsidP="00C97841">
      <w:pPr>
        <w:spacing w:after="0" w:afterAutospacing="0" w:line="240" w:lineRule="auto"/>
        <w:rPr>
          <w:rFonts w:eastAsia="Times New Roman" w:cs="Times New Roman"/>
          <w:iCs/>
          <w:szCs w:val="24"/>
          <w:lang w:val="fr-FR"/>
        </w:rPr>
      </w:pPr>
    </w:p>
    <w:p w14:paraId="10E95C55" w14:textId="35E4246E" w:rsidR="00050F24" w:rsidRPr="00CE53A8" w:rsidRDefault="00050F24" w:rsidP="00050F24">
      <w:pPr>
        <w:spacing w:after="0" w:afterAutospacing="0" w:line="240" w:lineRule="auto"/>
        <w:rPr>
          <w:rFonts w:eastAsia="Times New Roman" w:cs="Times New Roman"/>
          <w:iCs/>
          <w:szCs w:val="24"/>
          <w:lang w:val="fr-FR"/>
        </w:rPr>
      </w:pPr>
      <w:r>
        <w:rPr>
          <w:rFonts w:eastAsia="Times New Roman" w:cs="Times New Roman"/>
          <w:szCs w:val="24"/>
          <w:lang w:val="fr-FR"/>
        </w:rPr>
        <w:t xml:space="preserve">Résumé des taux de réussite pour les mesures de résultat du collet vasculaire </w:t>
      </w:r>
      <w:proofErr w:type="spellStart"/>
      <w:r>
        <w:rPr>
          <w:rFonts w:eastAsia="Times New Roman" w:cs="Times New Roman"/>
          <w:szCs w:val="24"/>
          <w:lang w:val="fr-FR"/>
        </w:rPr>
        <w:t>Atrieve</w:t>
      </w:r>
      <w:proofErr w:type="spellEnd"/>
      <w:r>
        <w:rPr>
          <w:rFonts w:eastAsia="Times New Roman" w:cs="Times New Roman"/>
          <w:szCs w:val="24"/>
          <w:lang w:val="fr-FR"/>
        </w:rPr>
        <w:t> :</w:t>
      </w:r>
    </w:p>
    <w:p w14:paraId="6387EAAA" w14:textId="6A98A9F8" w:rsidR="00050F24" w:rsidRPr="00CE53A8" w:rsidRDefault="00050F24" w:rsidP="00C36DF6">
      <w:pPr>
        <w:pStyle w:val="ListParagraph"/>
        <w:numPr>
          <w:ilvl w:val="0"/>
          <w:numId w:val="27"/>
        </w:numPr>
        <w:spacing w:after="0" w:afterAutospacing="0" w:line="216" w:lineRule="auto"/>
        <w:rPr>
          <w:rFonts w:eastAsia="Times New Roman" w:cs="Times New Roman"/>
          <w:iCs/>
          <w:szCs w:val="24"/>
          <w:lang w:val="fr-FR"/>
        </w:rPr>
      </w:pPr>
      <w:r>
        <w:rPr>
          <w:rFonts w:eastAsia="Times New Roman" w:cs="Times New Roman"/>
          <w:szCs w:val="24"/>
          <w:lang w:val="fr-FR"/>
        </w:rPr>
        <w:t>Le succès technique a été excellent, à 100 %.</w:t>
      </w:r>
    </w:p>
    <w:p w14:paraId="70426807" w14:textId="6A68FCB6" w:rsidR="00050F24" w:rsidRPr="00CE53A8" w:rsidRDefault="00050F24" w:rsidP="00C36DF6">
      <w:pPr>
        <w:pStyle w:val="ListParagraph"/>
        <w:numPr>
          <w:ilvl w:val="0"/>
          <w:numId w:val="27"/>
        </w:numPr>
        <w:spacing w:after="0" w:afterAutospacing="0" w:line="216" w:lineRule="auto"/>
        <w:rPr>
          <w:rFonts w:eastAsia="Times New Roman" w:cs="Times New Roman"/>
          <w:iCs/>
          <w:szCs w:val="24"/>
          <w:lang w:val="fr-FR"/>
        </w:rPr>
      </w:pPr>
      <w:r>
        <w:rPr>
          <w:rFonts w:eastAsia="Times New Roman" w:cs="Times New Roman"/>
          <w:szCs w:val="24"/>
          <w:lang w:val="fr-FR"/>
        </w:rPr>
        <w:t>Le succès clinique était de 94,5 %, légèrement inférieur au seuil de 97,4 %.</w:t>
      </w:r>
    </w:p>
    <w:p w14:paraId="3E9DC071" w14:textId="055EE80D" w:rsidR="00050F24" w:rsidRPr="00CE53A8" w:rsidRDefault="00050F24" w:rsidP="00C36DF6">
      <w:pPr>
        <w:pStyle w:val="ListParagraph"/>
        <w:numPr>
          <w:ilvl w:val="0"/>
          <w:numId w:val="27"/>
        </w:numPr>
        <w:spacing w:after="0" w:afterAutospacing="0" w:line="216" w:lineRule="auto"/>
        <w:rPr>
          <w:rFonts w:eastAsia="Times New Roman" w:cs="Times New Roman"/>
          <w:iCs/>
          <w:szCs w:val="24"/>
          <w:lang w:val="fr-FR"/>
        </w:rPr>
      </w:pPr>
      <w:r>
        <w:rPr>
          <w:rFonts w:eastAsia="Times New Roman" w:cs="Times New Roman"/>
          <w:szCs w:val="24"/>
          <w:lang w:val="fr-FR"/>
        </w:rPr>
        <w:lastRenderedPageBreak/>
        <w:t>Le taux de complications global, les perforations/lésions tissulaires et le succès clinique n’ont pas satisfait aux critères d’acceptation.</w:t>
      </w:r>
    </w:p>
    <w:p w14:paraId="44EC781B" w14:textId="7DA02325" w:rsidR="00050F24" w:rsidRPr="00CE53A8" w:rsidRDefault="00050F24" w:rsidP="00C36DF6">
      <w:pPr>
        <w:pStyle w:val="ListParagraph"/>
        <w:numPr>
          <w:ilvl w:val="0"/>
          <w:numId w:val="27"/>
        </w:numPr>
        <w:spacing w:after="0" w:afterAutospacing="0" w:line="216" w:lineRule="auto"/>
        <w:rPr>
          <w:rFonts w:eastAsia="Times New Roman" w:cs="Times New Roman"/>
          <w:iCs/>
          <w:szCs w:val="24"/>
          <w:lang w:val="fr-FR"/>
        </w:rPr>
      </w:pPr>
      <w:r>
        <w:rPr>
          <w:rFonts w:eastAsia="Times New Roman" w:cs="Times New Roman"/>
          <w:szCs w:val="24"/>
          <w:lang w:val="fr-FR"/>
        </w:rPr>
        <w:t>Les taux d’embolie, de douleur et de mortalité étaient de 0 %, et étaient conformes aux critères.</w:t>
      </w:r>
    </w:p>
    <w:p w14:paraId="05E37DDA" w14:textId="77777777" w:rsidR="00EE18FA" w:rsidRPr="00CE53A8" w:rsidRDefault="00EE18FA" w:rsidP="00EE18FA">
      <w:pPr>
        <w:pStyle w:val="ListParagraph"/>
        <w:spacing w:after="0" w:afterAutospacing="0" w:line="240" w:lineRule="auto"/>
        <w:rPr>
          <w:rFonts w:eastAsia="Times New Roman" w:cs="Times New Roman"/>
          <w:iCs/>
          <w:szCs w:val="24"/>
          <w:lang w:val="fr-FR"/>
        </w:rPr>
      </w:pPr>
    </w:p>
    <w:p w14:paraId="3F2FC7C2" w14:textId="2808A8DE" w:rsidR="00050F24" w:rsidRPr="00CE53A8" w:rsidRDefault="00050F24" w:rsidP="00EE18FA">
      <w:pPr>
        <w:spacing w:after="0" w:afterAutospacing="0" w:line="240" w:lineRule="auto"/>
        <w:rPr>
          <w:rFonts w:eastAsia="Times New Roman" w:cs="Times New Roman"/>
          <w:iCs/>
          <w:szCs w:val="24"/>
          <w:lang w:val="fr-FR"/>
        </w:rPr>
      </w:pPr>
      <w:r>
        <w:rPr>
          <w:rFonts w:eastAsia="Times New Roman" w:cs="Times New Roman"/>
          <w:szCs w:val="24"/>
          <w:lang w:val="fr-FR"/>
        </w:rPr>
        <w:t>Malgré le dépassement des seuils par certains critères d’évaluation de la sécurité, le profil bénéfice-risque est resté favorable grâce à un taux de réussite technique élevé et à des complications de faible gravité.</w:t>
      </w:r>
    </w:p>
    <w:p w14:paraId="2F8EAFF0" w14:textId="77777777" w:rsidR="00AA7F1D" w:rsidRPr="00C36DF6" w:rsidRDefault="00AA7F1D" w:rsidP="00D47200">
      <w:pPr>
        <w:spacing w:after="0" w:afterAutospacing="0" w:line="240" w:lineRule="auto"/>
        <w:rPr>
          <w:rFonts w:eastAsia="Times New Roman" w:cs="Times New Roman"/>
          <w:iCs/>
          <w:sz w:val="16"/>
          <w:szCs w:val="16"/>
          <w:lang w:val="fr-FR"/>
        </w:rPr>
      </w:pPr>
    </w:p>
    <w:p w14:paraId="7A0B3597" w14:textId="2BC27061" w:rsidR="00D47200" w:rsidRPr="00CE53A8" w:rsidRDefault="00AA7F1D" w:rsidP="00D47200">
      <w:pPr>
        <w:spacing w:after="0" w:afterAutospacing="0" w:line="240" w:lineRule="auto"/>
        <w:rPr>
          <w:rFonts w:eastAsia="Times New Roman" w:cs="Times New Roman"/>
          <w:iCs/>
          <w:szCs w:val="24"/>
          <w:lang w:val="fr-FR"/>
        </w:rPr>
      </w:pPr>
      <w:r>
        <w:rPr>
          <w:rFonts w:eastAsia="Times New Roman" w:cs="Times New Roman"/>
          <w:szCs w:val="24"/>
          <w:lang w:val="fr-FR"/>
        </w:rPr>
        <w:t>Revendications cliniques dans la notice d’utilisation</w:t>
      </w:r>
      <w:r w:rsidR="003F789B">
        <w:rPr>
          <w:rFonts w:eastAsia="Times New Roman" w:cs="Times New Roman"/>
          <w:szCs w:val="24"/>
          <w:lang w:val="fr-FR"/>
        </w:rPr>
        <w:t xml:space="preserve"> (IFU)</w:t>
      </w:r>
      <w:r>
        <w:rPr>
          <w:rFonts w:eastAsia="Times New Roman" w:cs="Times New Roman"/>
          <w:szCs w:val="24"/>
          <w:lang w:val="fr-FR"/>
        </w:rPr>
        <w:t xml:space="preserve"> et les supports marketing</w:t>
      </w:r>
    </w:p>
    <w:p w14:paraId="7DADA029" w14:textId="6C6ECAD3" w:rsidR="001F48BA" w:rsidRPr="00CE53A8" w:rsidRDefault="00C01A53" w:rsidP="00D52DF8">
      <w:pPr>
        <w:spacing w:after="0" w:afterAutospacing="0" w:line="240" w:lineRule="auto"/>
        <w:rPr>
          <w:rFonts w:cs="Times New Roman"/>
          <w:iCs/>
          <w:szCs w:val="24"/>
          <w:lang w:val="fr-FR"/>
        </w:rPr>
      </w:pPr>
      <w:r>
        <w:rPr>
          <w:rFonts w:cs="Times New Roman"/>
          <w:szCs w:val="24"/>
          <w:lang w:val="fr-FR"/>
        </w:rPr>
        <w:t>Les revendications suivantes sont étayées par l’évaluation clinique :</w:t>
      </w:r>
    </w:p>
    <w:p w14:paraId="19E8DAE4" w14:textId="77777777" w:rsidR="00EE18FA" w:rsidRPr="00C36DF6" w:rsidRDefault="00EE18FA" w:rsidP="00C36DF6">
      <w:pPr>
        <w:spacing w:after="0" w:afterAutospacing="0" w:line="216" w:lineRule="auto"/>
        <w:rPr>
          <w:rFonts w:cs="Times New Roman"/>
          <w:iCs/>
          <w:sz w:val="12"/>
          <w:szCs w:val="12"/>
          <w:lang w:val="fr-FR"/>
        </w:rPr>
      </w:pPr>
    </w:p>
    <w:p w14:paraId="7925D059" w14:textId="1A5A89DA" w:rsidR="003859AF" w:rsidRPr="00CE53A8" w:rsidRDefault="003859AF" w:rsidP="00C36DF6">
      <w:pPr>
        <w:pStyle w:val="ListParagraph"/>
        <w:numPr>
          <w:ilvl w:val="0"/>
          <w:numId w:val="28"/>
        </w:numPr>
        <w:spacing w:after="0" w:afterAutospacing="0" w:line="216" w:lineRule="auto"/>
        <w:rPr>
          <w:rFonts w:cs="Times New Roman"/>
          <w:iCs/>
          <w:szCs w:val="24"/>
          <w:lang w:val="fr-FR"/>
        </w:rPr>
      </w:pPr>
      <w:r>
        <w:rPr>
          <w:rFonts w:cs="Times New Roman"/>
          <w:szCs w:val="24"/>
          <w:lang w:val="fr-FR"/>
        </w:rPr>
        <w:t>Extraction/manipulation percutanée de corps étrangers – Étayée par un taux de réussite technique de 100 % dans la littérature.</w:t>
      </w:r>
    </w:p>
    <w:p w14:paraId="3AB6E45D" w14:textId="783809AA" w:rsidR="003859AF" w:rsidRPr="00CE53A8" w:rsidRDefault="003859AF" w:rsidP="00C36DF6">
      <w:pPr>
        <w:pStyle w:val="ListParagraph"/>
        <w:numPr>
          <w:ilvl w:val="0"/>
          <w:numId w:val="28"/>
        </w:numPr>
        <w:spacing w:after="0" w:afterAutospacing="0" w:line="216" w:lineRule="auto"/>
        <w:rPr>
          <w:rFonts w:cs="Times New Roman"/>
          <w:iCs/>
          <w:szCs w:val="24"/>
          <w:lang w:val="fr-FR"/>
        </w:rPr>
      </w:pPr>
      <w:r>
        <w:rPr>
          <w:rFonts w:cs="Times New Roman"/>
          <w:szCs w:val="24"/>
          <w:lang w:val="fr-FR"/>
        </w:rPr>
        <w:t>Taux de complications inférieurs à l’intervention chirurgicale – Étayé par la littérature comparative et l’analyse de l’état de l’art.</w:t>
      </w:r>
    </w:p>
    <w:p w14:paraId="15638B58" w14:textId="335CFE86" w:rsidR="003859AF" w:rsidRPr="00CE53A8" w:rsidRDefault="003859AF" w:rsidP="00C36DF6">
      <w:pPr>
        <w:pStyle w:val="ListParagraph"/>
        <w:numPr>
          <w:ilvl w:val="0"/>
          <w:numId w:val="28"/>
        </w:numPr>
        <w:spacing w:after="0" w:afterAutospacing="0" w:line="216" w:lineRule="auto"/>
        <w:rPr>
          <w:rFonts w:cs="Times New Roman"/>
          <w:iCs/>
          <w:szCs w:val="24"/>
          <w:lang w:val="fr-FR"/>
        </w:rPr>
      </w:pPr>
      <w:r>
        <w:rPr>
          <w:rFonts w:cs="Times New Roman"/>
          <w:szCs w:val="24"/>
          <w:lang w:val="fr-FR"/>
        </w:rPr>
        <w:t>Utilisation dans des procédures complémentaires (par ex., dénudage de la gaine de fibrine, repositionnement du cathéter) – Étayée par des études de cas cliniques et des recommandations procédurales.</w:t>
      </w:r>
    </w:p>
    <w:p w14:paraId="351D383E" w14:textId="7EB46C62" w:rsidR="00C01A53" w:rsidRPr="00CE53A8" w:rsidRDefault="003859AF" w:rsidP="00C36DF6">
      <w:pPr>
        <w:pStyle w:val="ListParagraph"/>
        <w:numPr>
          <w:ilvl w:val="0"/>
          <w:numId w:val="28"/>
        </w:numPr>
        <w:spacing w:after="0" w:afterAutospacing="0" w:line="216" w:lineRule="auto"/>
        <w:rPr>
          <w:rFonts w:cs="Times New Roman"/>
          <w:iCs/>
          <w:szCs w:val="24"/>
          <w:lang w:val="fr-FR"/>
        </w:rPr>
      </w:pPr>
      <w:r>
        <w:rPr>
          <w:rFonts w:cs="Times New Roman"/>
          <w:szCs w:val="24"/>
          <w:lang w:val="fr-FR"/>
        </w:rPr>
        <w:t>Utilisation sans danger chez l’adulte – Étayée par les données issues de la surveillance post-commercialisation et de la littérature.</w:t>
      </w:r>
    </w:p>
    <w:p w14:paraId="68D32F33" w14:textId="77777777" w:rsidR="005D424F" w:rsidRPr="00CE53A8" w:rsidRDefault="005D424F" w:rsidP="00C36DF6">
      <w:pPr>
        <w:spacing w:after="0" w:afterAutospacing="0" w:line="228" w:lineRule="auto"/>
        <w:rPr>
          <w:rFonts w:cs="Times New Roman"/>
          <w:iCs/>
          <w:szCs w:val="24"/>
          <w:lang w:val="fr-FR"/>
        </w:rPr>
      </w:pPr>
    </w:p>
    <w:p w14:paraId="76063689" w14:textId="3006D09D" w:rsidR="005D424F" w:rsidRPr="00CE53A8" w:rsidRDefault="005D424F" w:rsidP="00C36DF6">
      <w:pPr>
        <w:spacing w:after="0" w:afterAutospacing="0" w:line="228" w:lineRule="auto"/>
        <w:rPr>
          <w:rFonts w:cs="Times New Roman"/>
          <w:iCs/>
          <w:szCs w:val="24"/>
          <w:lang w:val="fr-FR"/>
        </w:rPr>
      </w:pPr>
      <w:r>
        <w:rPr>
          <w:rFonts w:cs="Times New Roman"/>
          <w:szCs w:val="24"/>
          <w:lang w:val="fr-FR"/>
        </w:rPr>
        <w:t xml:space="preserve">Les collets vasculaires </w:t>
      </w:r>
      <w:proofErr w:type="spellStart"/>
      <w:r>
        <w:rPr>
          <w:rFonts w:cs="Times New Roman"/>
          <w:szCs w:val="24"/>
          <w:lang w:val="fr-FR"/>
        </w:rPr>
        <w:t>Atrieve</w:t>
      </w:r>
      <w:proofErr w:type="spellEnd"/>
      <w:r>
        <w:rPr>
          <w:rFonts w:cs="Times New Roman"/>
          <w:szCs w:val="24"/>
          <w:lang w:val="fr-FR"/>
        </w:rPr>
        <w:t xml:space="preserve"> présentent un profil bénéfice-risque favorable, avec de solides performances cliniques et de sécurité étayées par la littérature, les tests et les données post-commercialisation. Ils sont conformes aux normes réglementaires et adaptés à une utilisation clinique continue.</w:t>
      </w:r>
    </w:p>
    <w:p w14:paraId="653883C0" w14:textId="77777777" w:rsidR="003859AF" w:rsidRPr="00CE53A8" w:rsidRDefault="003859AF" w:rsidP="00C36DF6">
      <w:pPr>
        <w:spacing w:after="0" w:afterAutospacing="0" w:line="228" w:lineRule="auto"/>
        <w:rPr>
          <w:rFonts w:cs="Times New Roman"/>
          <w:iCs/>
          <w:szCs w:val="24"/>
          <w:lang w:val="fr-FR"/>
        </w:rPr>
      </w:pPr>
    </w:p>
    <w:p w14:paraId="6DCFA27A" w14:textId="12CF0A2D" w:rsidR="00C91927" w:rsidRPr="00CE53A8" w:rsidRDefault="008745ED" w:rsidP="00C36DF6">
      <w:pPr>
        <w:pStyle w:val="Heading1"/>
        <w:spacing w:line="228" w:lineRule="auto"/>
        <w:rPr>
          <w:rFonts w:cs="Times New Roman"/>
          <w:color w:val="auto"/>
          <w:lang w:val="fr-FR"/>
        </w:rPr>
      </w:pPr>
      <w:bookmarkStart w:id="76" w:name="_Toc222741389"/>
      <w:r>
        <w:rPr>
          <w:rFonts w:cs="Times New Roman"/>
          <w:bCs/>
          <w:color w:val="auto"/>
          <w:lang w:val="fr-FR"/>
        </w:rPr>
        <w:t>Suivi clinique post-commercialisation en cours ou prévu</w:t>
      </w:r>
      <w:bookmarkEnd w:id="76"/>
    </w:p>
    <w:p w14:paraId="494CEDC3" w14:textId="7EEB42E6" w:rsidR="0094476E" w:rsidRPr="00CE53A8" w:rsidRDefault="003B4C77" w:rsidP="00C36DF6">
      <w:pPr>
        <w:spacing w:line="228" w:lineRule="auto"/>
        <w:rPr>
          <w:rFonts w:cs="Times New Roman"/>
          <w:highlight w:val="yellow"/>
          <w:lang w:val="fr-FR"/>
        </w:rPr>
      </w:pPr>
      <w:r>
        <w:rPr>
          <w:rFonts w:cs="Times New Roman"/>
          <w:lang w:val="fr-FR"/>
        </w:rPr>
        <w:t xml:space="preserve">Le suivi clinique post-commercialisation du collet vasculaire </w:t>
      </w:r>
      <w:proofErr w:type="spellStart"/>
      <w:r>
        <w:rPr>
          <w:rFonts w:cs="Times New Roman"/>
          <w:lang w:val="fr-FR"/>
        </w:rPr>
        <w:t>Atrieve</w:t>
      </w:r>
      <w:proofErr w:type="spellEnd"/>
      <w:r>
        <w:rPr>
          <w:rFonts w:cs="Times New Roman"/>
          <w:lang w:val="fr-FR"/>
        </w:rPr>
        <w:t xml:space="preserve"> est réalisé conformément au document PMCFP-029 </w:t>
      </w:r>
      <w:r w:rsidR="00F56B50">
        <w:rPr>
          <w:rFonts w:cs="Times New Roman"/>
          <w:lang w:val="fr-FR"/>
        </w:rPr>
        <w:t xml:space="preserve">Rev </w:t>
      </w:r>
      <w:r>
        <w:rPr>
          <w:rFonts w:cs="Times New Roman"/>
          <w:lang w:val="fr-FR"/>
        </w:rPr>
        <w:t>C et respecte les exigences énoncées à l’Annexe XIV, partie B du règlement MDR. Les activités PMCF visent à confirmer de manière proactive la sécurité et les performances du dispositif dans la pratique clinique courante, à identifier tout risque émergent et à vérifier que le profil bénéfice-risque reste acceptable.</w:t>
      </w:r>
    </w:p>
    <w:p w14:paraId="58642C16" w14:textId="276C8BA1" w:rsidR="00E541DE" w:rsidRDefault="00E541DE" w:rsidP="00921090">
      <w:pPr>
        <w:pStyle w:val="NormalWeb"/>
        <w:spacing w:after="0" w:afterAutospacing="0"/>
        <w:rPr>
          <w:lang w:val="fr-FR"/>
        </w:rPr>
      </w:pPr>
      <w:r>
        <w:rPr>
          <w:rStyle w:val="Strong"/>
          <w:lang w:val="fr-FR"/>
        </w:rPr>
        <w:t>Activités PMCF en cours</w:t>
      </w:r>
      <w:r>
        <w:rPr>
          <w:lang w:val="fr-FR"/>
        </w:rPr>
        <w:br/>
        <w:t>Les activités suivantes auront lieu tout au long du cycle de vie du dispositif :</w:t>
      </w:r>
    </w:p>
    <w:p w14:paraId="45970610" w14:textId="77777777" w:rsidR="00921090" w:rsidRPr="00C36DF6" w:rsidRDefault="00921090" w:rsidP="00C36DF6">
      <w:pPr>
        <w:pStyle w:val="NormalWeb"/>
        <w:spacing w:before="0" w:beforeAutospacing="0" w:after="0" w:afterAutospacing="0"/>
        <w:rPr>
          <w:sz w:val="14"/>
          <w:szCs w:val="14"/>
          <w:lang w:val="fr-FR"/>
        </w:rPr>
      </w:pPr>
    </w:p>
    <w:p w14:paraId="15FC3A69" w14:textId="31C9D895" w:rsidR="00E541DE" w:rsidRPr="00CE53A8" w:rsidRDefault="00DE3CC0" w:rsidP="00C36DF6">
      <w:pPr>
        <w:pStyle w:val="NormalWeb"/>
        <w:numPr>
          <w:ilvl w:val="0"/>
          <w:numId w:val="29"/>
        </w:numPr>
        <w:spacing w:before="0" w:beforeAutospacing="0" w:line="216" w:lineRule="auto"/>
        <w:rPr>
          <w:lang w:val="fr-FR"/>
        </w:rPr>
      </w:pPr>
      <w:r>
        <w:rPr>
          <w:rStyle w:val="Strong"/>
          <w:b w:val="0"/>
          <w:bCs w:val="0"/>
          <w:lang w:val="fr-FR"/>
        </w:rPr>
        <w:t>Revue annuelle systématique de la littérature :</w:t>
      </w:r>
      <w:r>
        <w:rPr>
          <w:lang w:val="fr-FR"/>
        </w:rPr>
        <w:t xml:space="preserve"> une analyse structurée des données cliniques publiées sur les collets vasculaires et les dispositifs comparables est réalisée afin d’identifier les nouvelles informations concernant la sécurité, les performances, les techniques cliniques ou les risques émergents.</w:t>
      </w:r>
    </w:p>
    <w:p w14:paraId="08598FA3" w14:textId="6BDEE605" w:rsidR="00E541DE" w:rsidRPr="00CE53A8" w:rsidRDefault="00DE3CC0" w:rsidP="00C36DF6">
      <w:pPr>
        <w:pStyle w:val="NormalWeb"/>
        <w:numPr>
          <w:ilvl w:val="0"/>
          <w:numId w:val="29"/>
        </w:numPr>
        <w:spacing w:line="216" w:lineRule="auto"/>
        <w:rPr>
          <w:lang w:val="fr-FR"/>
        </w:rPr>
      </w:pPr>
      <w:r>
        <w:rPr>
          <w:rStyle w:val="Strong"/>
          <w:b w:val="0"/>
          <w:bCs w:val="0"/>
          <w:lang w:val="fr-FR"/>
        </w:rPr>
        <w:t>Revue annuelle de l’état de l’art (SOA) :</w:t>
      </w:r>
      <w:r>
        <w:rPr>
          <w:lang w:val="fr-FR"/>
        </w:rPr>
        <w:t xml:space="preserve"> une évaluation des recommandations de pratique clinique, des normes internationales et des technologies concurrentes est réalisée afin de garantir l’adéquation continue avec les pratiques cliniques et techniques actuelles.</w:t>
      </w:r>
    </w:p>
    <w:p w14:paraId="6EE80A3F" w14:textId="77777777" w:rsidR="00E541DE" w:rsidRPr="00CE53A8" w:rsidRDefault="00E541DE" w:rsidP="00C36DF6">
      <w:pPr>
        <w:pStyle w:val="NormalWeb"/>
        <w:numPr>
          <w:ilvl w:val="0"/>
          <w:numId w:val="29"/>
        </w:numPr>
        <w:spacing w:line="216" w:lineRule="auto"/>
        <w:rPr>
          <w:lang w:val="fr-FR"/>
        </w:rPr>
      </w:pPr>
      <w:r>
        <w:rPr>
          <w:rStyle w:val="Strong"/>
          <w:b w:val="0"/>
          <w:bCs w:val="0"/>
          <w:lang w:val="fr-FR"/>
        </w:rPr>
        <w:t>Examen continu des données relatives aux plaintes et aux événements indésirables :</w:t>
      </w:r>
      <w:r>
        <w:rPr>
          <w:lang w:val="fr-FR"/>
        </w:rPr>
        <w:t xml:space="preserve"> bien que cette activité relève davantage du PMS que du PMCF, les principaux résultats sont évalués dans le cadre du processus PMCF afin de déterminer si un suivi clinique supplémentaire est nécessaire.</w:t>
      </w:r>
    </w:p>
    <w:p w14:paraId="39597E9A" w14:textId="77777777" w:rsidR="009E1EBB" w:rsidRDefault="009E1EBB" w:rsidP="00C36DF6">
      <w:pPr>
        <w:pStyle w:val="NormalWeb"/>
        <w:spacing w:before="0" w:beforeAutospacing="0" w:after="0" w:afterAutospacing="0"/>
        <w:rPr>
          <w:lang w:val="fr-FR"/>
        </w:rPr>
      </w:pPr>
      <w:r>
        <w:rPr>
          <w:rStyle w:val="Strong"/>
          <w:lang w:val="fr-FR"/>
        </w:rPr>
        <w:t>Activités PMCF prévues</w:t>
      </w:r>
      <w:r>
        <w:rPr>
          <w:lang w:val="fr-FR"/>
        </w:rPr>
        <w:br/>
        <w:t xml:space="preserve">Afin de recueillir des données probantes ciblées en conditions réelles concernant le kit de collet vasculaire </w:t>
      </w:r>
      <w:proofErr w:type="spellStart"/>
      <w:r>
        <w:rPr>
          <w:lang w:val="fr-FR"/>
        </w:rPr>
        <w:t>Atrieve</w:t>
      </w:r>
      <w:proofErr w:type="spellEnd"/>
      <w:r>
        <w:rPr>
          <w:lang w:val="fr-FR"/>
        </w:rPr>
        <w:t>, l’activité suivante est prévue :</w:t>
      </w:r>
    </w:p>
    <w:p w14:paraId="1F532511" w14:textId="77777777" w:rsidR="00363BFD" w:rsidRPr="00C36DF6" w:rsidRDefault="00363BFD" w:rsidP="00C36DF6">
      <w:pPr>
        <w:pStyle w:val="NormalWeb"/>
        <w:spacing w:before="0" w:beforeAutospacing="0" w:after="0" w:afterAutospacing="0"/>
        <w:rPr>
          <w:sz w:val="16"/>
          <w:szCs w:val="16"/>
          <w:lang w:val="fr-FR"/>
        </w:rPr>
      </w:pPr>
    </w:p>
    <w:p w14:paraId="1DEA5FFB" w14:textId="16A1653A" w:rsidR="00363BFD" w:rsidRPr="00363BFD" w:rsidRDefault="009E1EBB" w:rsidP="00C36DF6">
      <w:pPr>
        <w:pStyle w:val="NormalWeb"/>
        <w:numPr>
          <w:ilvl w:val="0"/>
          <w:numId w:val="32"/>
        </w:numPr>
        <w:spacing w:before="0" w:beforeAutospacing="0" w:after="0" w:afterAutospacing="0" w:line="216" w:lineRule="auto"/>
        <w:rPr>
          <w:lang w:val="fr-FR"/>
        </w:rPr>
      </w:pPr>
      <w:r>
        <w:rPr>
          <w:rStyle w:val="Strong"/>
          <w:lang w:val="fr-FR"/>
        </w:rPr>
        <w:t>Enquête PMCF auprès des médecins :</w:t>
      </w:r>
      <w:r>
        <w:rPr>
          <w:lang w:val="fr-FR"/>
        </w:rPr>
        <w:br/>
        <w:t>une enquête structurée sera menée auprès des utilisateurs cliniques afin de recueillir leurs impressions sur le dispositif, d’évaluer ses performances en pratique courante et d’identifier toute complication ou tout événement inattendu observé. Les résultats de l’enquête seront analysés et intégrés au rapport d’évaluation PMCF. Les résultats permettront d’éclairer les décisions concernant la nécessité d’activités PMCF supplémentaires ou de mises à jour du rapport d’évaluation clinique (CER) et du rapport de gestion des risques (RMR).</w:t>
      </w:r>
    </w:p>
    <w:p w14:paraId="1DED8B40" w14:textId="44E4C95F" w:rsidR="00DE0007" w:rsidRPr="00CE53A8" w:rsidRDefault="00DE0007" w:rsidP="00C36DF6">
      <w:pPr>
        <w:pStyle w:val="NormalWeb"/>
        <w:spacing w:line="228" w:lineRule="auto"/>
        <w:rPr>
          <w:lang w:val="fr-FR"/>
        </w:rPr>
      </w:pPr>
      <w:r>
        <w:rPr>
          <w:rStyle w:val="Strong"/>
          <w:lang w:val="fr-FR"/>
        </w:rPr>
        <w:t>Justification de l’approche PMCF</w:t>
      </w:r>
      <w:r>
        <w:rPr>
          <w:lang w:val="fr-FR"/>
        </w:rPr>
        <w:br/>
        <w:t xml:space="preserve">D’après l’évaluation clinique actuelle, les données issues de la littérature et l’expérience post-commercialisation, aucun risque nouveau ou émergent n’a été identifié nécessitant une investigation clinique spécifique au dispositif. Les activités PMCF existantes, les revues annuelles de la littérature et de l’état de l’art étayées par des commentaires ciblés formulés par les médecins sont considérées comme suffisantes pour confirmer la sécurité et les performances continues de ce dispositif de classe III bien établi, le kit de collet vasculaire </w:t>
      </w:r>
      <w:proofErr w:type="spellStart"/>
      <w:r>
        <w:rPr>
          <w:lang w:val="fr-FR"/>
        </w:rPr>
        <w:t>Atrieve</w:t>
      </w:r>
      <w:proofErr w:type="spellEnd"/>
      <w:r>
        <w:rPr>
          <w:lang w:val="fr-FR"/>
        </w:rPr>
        <w:t>.</w:t>
      </w:r>
    </w:p>
    <w:p w14:paraId="3DA3C9CA" w14:textId="77777777" w:rsidR="005B4422" w:rsidRPr="00CE53A8" w:rsidRDefault="005B4422" w:rsidP="00C36DF6">
      <w:pPr>
        <w:pStyle w:val="NormalWeb"/>
        <w:spacing w:before="0" w:beforeAutospacing="0" w:after="0" w:afterAutospacing="0" w:line="228" w:lineRule="auto"/>
        <w:rPr>
          <w:lang w:val="fr-FR"/>
        </w:rPr>
      </w:pPr>
      <w:r>
        <w:rPr>
          <w:rStyle w:val="Strong"/>
          <w:lang w:val="fr-FR"/>
        </w:rPr>
        <w:t>Rapport PMCF</w:t>
      </w:r>
    </w:p>
    <w:p w14:paraId="5C389055" w14:textId="14E4D114" w:rsidR="0094476E" w:rsidRPr="00CE53A8" w:rsidRDefault="00B04139" w:rsidP="00C36DF6">
      <w:pPr>
        <w:pStyle w:val="NormalWeb"/>
        <w:spacing w:before="0" w:beforeAutospacing="0" w:after="0" w:afterAutospacing="0" w:line="228" w:lineRule="auto"/>
        <w:rPr>
          <w:lang w:val="fr-FR"/>
        </w:rPr>
      </w:pPr>
      <w:r>
        <w:rPr>
          <w:lang w:val="fr-FR"/>
        </w:rPr>
        <w:t>Un rapport PMCF est généré à intervalles définis et chaque fois que des informations nouvelles susceptibles d’affecter le profil bénéfice-risque du dispositif deviennent disponibles. Tous les résultats du PMCF alimentent le rapport d’évaluation clinique (CER), le rapport de gestion des risques (RMR) et d’autres processus post-commercialisation, selon les besoins.</w:t>
      </w:r>
    </w:p>
    <w:p w14:paraId="09D946B7" w14:textId="77777777" w:rsidR="007002E4" w:rsidRPr="00CE53A8" w:rsidRDefault="007002E4" w:rsidP="00C36DF6">
      <w:pPr>
        <w:pStyle w:val="NormalWeb"/>
        <w:spacing w:before="0" w:beforeAutospacing="0" w:after="0" w:afterAutospacing="0" w:line="228" w:lineRule="auto"/>
        <w:rPr>
          <w:lang w:val="fr-FR"/>
        </w:rPr>
      </w:pPr>
    </w:p>
    <w:p w14:paraId="748C3FE5" w14:textId="1D19292C" w:rsidR="00760400" w:rsidRPr="009461CC" w:rsidRDefault="00760400" w:rsidP="00C36DF6">
      <w:pPr>
        <w:pStyle w:val="Heading1"/>
        <w:numPr>
          <w:ilvl w:val="0"/>
          <w:numId w:val="2"/>
        </w:numPr>
        <w:spacing w:line="228" w:lineRule="auto"/>
        <w:rPr>
          <w:rFonts w:cs="Times New Roman"/>
        </w:rPr>
      </w:pPr>
      <w:bookmarkStart w:id="77" w:name="_Toc222741390"/>
      <w:r>
        <w:rPr>
          <w:rFonts w:cs="Times New Roman"/>
          <w:bCs/>
          <w:lang w:val="fr-FR"/>
        </w:rPr>
        <w:t>Alternatives diagnostiques ou thérapeutiques possibles</w:t>
      </w:r>
      <w:bookmarkEnd w:id="77"/>
      <w:r>
        <w:rPr>
          <w:rFonts w:cs="Times New Roman"/>
          <w:bCs/>
          <w:lang w:val="fr-FR"/>
        </w:rPr>
        <w:t xml:space="preserve"> </w:t>
      </w:r>
    </w:p>
    <w:p w14:paraId="60C316BA" w14:textId="6AC25B8A" w:rsidR="00042B91" w:rsidRPr="00CE53A8" w:rsidRDefault="008373C6" w:rsidP="00C36DF6">
      <w:pPr>
        <w:spacing w:line="228" w:lineRule="auto"/>
        <w:rPr>
          <w:rFonts w:cs="Times New Roman"/>
          <w:lang w:val="fr-FR"/>
        </w:rPr>
      </w:pPr>
      <w:r>
        <w:rPr>
          <w:rFonts w:cs="Times New Roman"/>
          <w:lang w:val="fr-FR"/>
        </w:rPr>
        <w:t xml:space="preserve">Selon le document CER-029 </w:t>
      </w:r>
      <w:r w:rsidR="00F56B50">
        <w:rPr>
          <w:rFonts w:cs="Times New Roman"/>
          <w:lang w:val="fr-FR"/>
        </w:rPr>
        <w:t xml:space="preserve">Rev </w:t>
      </w:r>
      <w:r>
        <w:rPr>
          <w:rFonts w:cs="Times New Roman"/>
          <w:lang w:val="fr-FR"/>
        </w:rPr>
        <w:t>B, trois alternatives sont identifiées pour la récupération des corps étrangers</w:t>
      </w:r>
      <w:r w:rsidR="0094624C">
        <w:rPr>
          <w:rFonts w:cs="Times New Roman"/>
          <w:lang w:val="fr-FR"/>
        </w:rPr>
        <w:t xml:space="preserve"> (FB)</w:t>
      </w:r>
      <w:r>
        <w:rPr>
          <w:rFonts w:cs="Times New Roman"/>
          <w:lang w:val="fr-FR"/>
        </w:rPr>
        <w:t xml:space="preserve"> dans le système cardiovasculaire. Une prise en charge conservatrice est recommandée pour les patients chirurgicaux asymptomatiques ou à haut risque, reposant sur une surveillance étroite et l’imagerie lorsque la procédure est </w:t>
      </w:r>
      <w:proofErr w:type="gramStart"/>
      <w:r>
        <w:rPr>
          <w:rFonts w:cs="Times New Roman"/>
          <w:lang w:val="fr-FR"/>
        </w:rPr>
        <w:t>susceptibles</w:t>
      </w:r>
      <w:proofErr w:type="gramEnd"/>
      <w:r>
        <w:rPr>
          <w:rFonts w:cs="Times New Roman"/>
          <w:lang w:val="fr-FR"/>
        </w:rPr>
        <w:t xml:space="preserve"> de présenter des risques plus importants. Les techniques minimalement invasives constituent l’approche privilégiée, les collets à boucle, en particulier les collets à col de cygne, étant largement utilisés pour les récupérations standard et complexes. Les forceps offrent une préhension précise et sont adaptés aux cas difficiles, en présence de dispositifs fracturés ou enclavés. L’extraction chirurgicale, par thoracotomie ou sternotomie, est envisagée en dernier recours, compte tenu de son caractère invasif et du risque plus élevé pour le patient. De manière générale, la récupération endovasculaire reste la technique de référence, le traitement étant adapté à l’état du patient et aux caractéristiques du corps étranger.</w:t>
      </w:r>
    </w:p>
    <w:p w14:paraId="2CDE6FBF" w14:textId="77777777" w:rsidR="00042B91" w:rsidRPr="00CE53A8" w:rsidRDefault="00042B91" w:rsidP="00C36DF6">
      <w:pPr>
        <w:pStyle w:val="Heading1"/>
        <w:numPr>
          <w:ilvl w:val="0"/>
          <w:numId w:val="2"/>
        </w:numPr>
        <w:spacing w:line="228" w:lineRule="auto"/>
        <w:rPr>
          <w:rFonts w:cs="Times New Roman"/>
          <w:lang w:val="fr-FR"/>
        </w:rPr>
      </w:pPr>
      <w:bookmarkStart w:id="78" w:name="_Toc222741391"/>
      <w:r>
        <w:rPr>
          <w:rFonts w:cs="Times New Roman"/>
          <w:bCs/>
          <w:lang w:val="fr-FR"/>
        </w:rPr>
        <w:t>Profil et formation suggérés des utilisateurs</w:t>
      </w:r>
      <w:bookmarkEnd w:id="78"/>
    </w:p>
    <w:p w14:paraId="35173865" w14:textId="0C72FD3E" w:rsidR="00042B91" w:rsidRPr="00CE53A8" w:rsidRDefault="00A5239F" w:rsidP="00C36DF6">
      <w:pPr>
        <w:spacing w:after="0" w:afterAutospacing="0" w:line="228" w:lineRule="auto"/>
        <w:rPr>
          <w:rFonts w:eastAsia="Calibri" w:cs="Times New Roman"/>
          <w:szCs w:val="24"/>
          <w:lang w:val="fr-FR"/>
        </w:rPr>
      </w:pPr>
      <w:r>
        <w:rPr>
          <w:rFonts w:eastAsia="Calibri" w:cs="Times New Roman"/>
          <w:szCs w:val="24"/>
          <w:lang w:val="fr-FR"/>
        </w:rPr>
        <w:t>Ce produit est destiné à être utilisé par des professionnels de santé et ne doit être utilisé que par du personnel qualifié et familiarisé avec la technique.</w:t>
      </w:r>
    </w:p>
    <w:p w14:paraId="21A7D581" w14:textId="77777777" w:rsidR="00A5239F" w:rsidRPr="00CE53A8" w:rsidRDefault="00A5239F" w:rsidP="00C36DF6">
      <w:pPr>
        <w:spacing w:after="0" w:afterAutospacing="0" w:line="228" w:lineRule="auto"/>
        <w:rPr>
          <w:rFonts w:cs="Times New Roman"/>
          <w:i/>
          <w:color w:val="FF0000"/>
          <w:highlight w:val="yellow"/>
          <w:lang w:val="fr-FR"/>
        </w:rPr>
      </w:pPr>
    </w:p>
    <w:p w14:paraId="7848B753" w14:textId="692785D6" w:rsidR="0037316E" w:rsidRPr="009461CC" w:rsidRDefault="00760400" w:rsidP="00C36DF6">
      <w:pPr>
        <w:pStyle w:val="Heading1"/>
        <w:numPr>
          <w:ilvl w:val="0"/>
          <w:numId w:val="2"/>
        </w:numPr>
        <w:spacing w:line="228" w:lineRule="auto"/>
        <w:rPr>
          <w:rFonts w:cs="Times New Roman"/>
        </w:rPr>
      </w:pPr>
      <w:bookmarkStart w:id="79" w:name="_Toc222741392"/>
      <w:r>
        <w:rPr>
          <w:rFonts w:cs="Times New Roman"/>
          <w:bCs/>
          <w:lang w:val="fr-FR"/>
        </w:rPr>
        <w:t>Normes harmonisées/Spécifications communes</w:t>
      </w:r>
      <w:bookmarkEnd w:id="79"/>
    </w:p>
    <w:tbl>
      <w:tblPr>
        <w:tblStyle w:val="TableGrid"/>
        <w:tblW w:w="4959" w:type="pct"/>
        <w:tblLook w:val="04A0" w:firstRow="1" w:lastRow="0" w:firstColumn="1" w:lastColumn="0" w:noHBand="0" w:noVBand="1"/>
      </w:tblPr>
      <w:tblGrid>
        <w:gridCol w:w="2336"/>
        <w:gridCol w:w="8008"/>
      </w:tblGrid>
      <w:tr w:rsidR="0094168A" w:rsidRPr="009461CC" w14:paraId="04F3E487" w14:textId="77777777" w:rsidTr="00293453">
        <w:trPr>
          <w:tblHeader/>
        </w:trPr>
        <w:tc>
          <w:tcPr>
            <w:tcW w:w="1129" w:type="pct"/>
          </w:tcPr>
          <w:p w14:paraId="5EEB168D" w14:textId="77777777" w:rsidR="0094168A" w:rsidRPr="00CE53A8" w:rsidRDefault="0094168A" w:rsidP="00C36DF6">
            <w:pPr>
              <w:spacing w:after="0" w:afterAutospacing="0" w:line="216" w:lineRule="auto"/>
              <w:jc w:val="center"/>
              <w:rPr>
                <w:rFonts w:cs="Times New Roman"/>
                <w:b/>
                <w:bCs/>
                <w:sz w:val="22"/>
                <w:lang w:val="fr-FR"/>
              </w:rPr>
            </w:pPr>
            <w:r>
              <w:rPr>
                <w:rFonts w:cs="Times New Roman"/>
                <w:b/>
                <w:bCs/>
                <w:sz w:val="22"/>
                <w:lang w:val="fr-FR"/>
              </w:rPr>
              <w:t>Date/version de conformité Argon</w:t>
            </w:r>
          </w:p>
        </w:tc>
        <w:tc>
          <w:tcPr>
            <w:tcW w:w="3871" w:type="pct"/>
          </w:tcPr>
          <w:p w14:paraId="7BCD1036" w14:textId="77777777" w:rsidR="0094168A" w:rsidRPr="009461CC" w:rsidRDefault="0094168A" w:rsidP="00C36DF6">
            <w:pPr>
              <w:spacing w:after="0" w:afterAutospacing="0" w:line="216" w:lineRule="auto"/>
              <w:jc w:val="center"/>
              <w:rPr>
                <w:rFonts w:cs="Times New Roman"/>
                <w:b/>
                <w:bCs/>
                <w:sz w:val="22"/>
              </w:rPr>
            </w:pPr>
            <w:r>
              <w:rPr>
                <w:rFonts w:cs="Times New Roman"/>
                <w:b/>
                <w:bCs/>
                <w:sz w:val="22"/>
                <w:lang w:val="fr-FR"/>
              </w:rPr>
              <w:t>Titre de la norme</w:t>
            </w:r>
          </w:p>
        </w:tc>
      </w:tr>
      <w:tr w:rsidR="0094168A" w:rsidRPr="009461CC" w14:paraId="67124770" w14:textId="77777777" w:rsidTr="00293453">
        <w:tc>
          <w:tcPr>
            <w:tcW w:w="5000" w:type="pct"/>
            <w:gridSpan w:val="2"/>
            <w:shd w:val="clear" w:color="auto" w:fill="E7E6E6" w:themeFill="background2"/>
          </w:tcPr>
          <w:p w14:paraId="1B92BABB" w14:textId="77777777" w:rsidR="0094168A" w:rsidRPr="009461CC" w:rsidRDefault="0094168A" w:rsidP="00C36DF6">
            <w:pPr>
              <w:spacing w:after="0" w:afterAutospacing="0" w:line="216" w:lineRule="auto"/>
              <w:jc w:val="center"/>
              <w:rPr>
                <w:rFonts w:cs="Times New Roman"/>
                <w:b/>
                <w:bCs/>
                <w:sz w:val="22"/>
              </w:rPr>
            </w:pPr>
            <w:r>
              <w:rPr>
                <w:rFonts w:cs="Times New Roman"/>
                <w:b/>
                <w:bCs/>
                <w:sz w:val="22"/>
                <w:lang w:val="fr-FR"/>
              </w:rPr>
              <w:t>Étiquetage</w:t>
            </w:r>
          </w:p>
        </w:tc>
      </w:tr>
      <w:tr w:rsidR="0094168A" w:rsidRPr="003E0201" w14:paraId="25DF072C" w14:textId="77777777" w:rsidTr="00293453">
        <w:tc>
          <w:tcPr>
            <w:tcW w:w="1129" w:type="pct"/>
          </w:tcPr>
          <w:p w14:paraId="434B73AC" w14:textId="77777777" w:rsidR="0094168A" w:rsidRPr="009461CC" w:rsidRDefault="0094168A" w:rsidP="00C36DF6">
            <w:pPr>
              <w:spacing w:after="0" w:afterAutospacing="0" w:line="216" w:lineRule="auto"/>
              <w:rPr>
                <w:rFonts w:cs="Times New Roman"/>
                <w:sz w:val="22"/>
              </w:rPr>
            </w:pPr>
            <w:r>
              <w:rPr>
                <w:rFonts w:eastAsia="Times New Roman" w:cs="Times New Roman"/>
                <w:sz w:val="22"/>
                <w:lang w:val="fr-FR"/>
              </w:rPr>
              <w:t>EN ISO 15223-1:2021</w:t>
            </w:r>
          </w:p>
        </w:tc>
        <w:tc>
          <w:tcPr>
            <w:tcW w:w="3871" w:type="pct"/>
          </w:tcPr>
          <w:p w14:paraId="40A15B1C" w14:textId="77777777" w:rsidR="0094168A" w:rsidRPr="00CE53A8" w:rsidRDefault="0094168A" w:rsidP="00C36DF6">
            <w:pPr>
              <w:spacing w:after="0" w:afterAutospacing="0" w:line="216" w:lineRule="auto"/>
              <w:rPr>
                <w:rFonts w:cs="Times New Roman"/>
                <w:sz w:val="22"/>
                <w:lang w:val="fr-FR"/>
              </w:rPr>
            </w:pPr>
            <w:r>
              <w:rPr>
                <w:rFonts w:cs="Times New Roman"/>
                <w:sz w:val="22"/>
                <w:lang w:val="fr-FR"/>
              </w:rPr>
              <w:t xml:space="preserve">Dispositifs médicaux – Symboles à utiliser avec les dispositifs médicaux : </w:t>
            </w:r>
          </w:p>
          <w:p w14:paraId="093121E8" w14:textId="77777777" w:rsidR="0094168A" w:rsidRPr="00CE53A8" w:rsidRDefault="0094168A" w:rsidP="00C36DF6">
            <w:pPr>
              <w:spacing w:after="0" w:afterAutospacing="0" w:line="216" w:lineRule="auto"/>
              <w:rPr>
                <w:rFonts w:cs="Times New Roman"/>
                <w:sz w:val="22"/>
                <w:lang w:val="fr-FR"/>
              </w:rPr>
            </w:pPr>
            <w:r>
              <w:rPr>
                <w:rFonts w:cs="Times New Roman"/>
                <w:sz w:val="22"/>
                <w:lang w:val="fr-FR"/>
              </w:rPr>
              <w:t xml:space="preserve">Étiquettes, étiquetage et informations à fournir – Partie 1 : Exigences générales. </w:t>
            </w:r>
          </w:p>
          <w:p w14:paraId="3CEE87DD" w14:textId="77777777" w:rsidR="0094168A" w:rsidRPr="00CE53A8" w:rsidRDefault="0094168A" w:rsidP="00C36DF6">
            <w:pPr>
              <w:spacing w:after="0" w:afterAutospacing="0" w:line="216" w:lineRule="auto"/>
              <w:rPr>
                <w:rFonts w:cs="Times New Roman"/>
                <w:sz w:val="22"/>
                <w:lang w:val="fr-FR"/>
              </w:rPr>
            </w:pPr>
          </w:p>
        </w:tc>
      </w:tr>
      <w:tr w:rsidR="0094168A" w:rsidRPr="003E0201" w14:paraId="13723641" w14:textId="77777777" w:rsidTr="00293453">
        <w:tc>
          <w:tcPr>
            <w:tcW w:w="1129" w:type="pct"/>
          </w:tcPr>
          <w:p w14:paraId="7822ED4F" w14:textId="77777777" w:rsidR="0094168A" w:rsidRPr="009461CC" w:rsidRDefault="0094168A" w:rsidP="00C36DF6">
            <w:pPr>
              <w:spacing w:after="0" w:afterAutospacing="0" w:line="216" w:lineRule="auto"/>
              <w:rPr>
                <w:rFonts w:cs="Times New Roman"/>
                <w:sz w:val="22"/>
              </w:rPr>
            </w:pPr>
            <w:r>
              <w:rPr>
                <w:rFonts w:cs="Times New Roman"/>
                <w:sz w:val="22"/>
                <w:lang w:val="fr-FR"/>
              </w:rPr>
              <w:lastRenderedPageBreak/>
              <w:t>EN ISO 20417:2021</w:t>
            </w:r>
          </w:p>
        </w:tc>
        <w:tc>
          <w:tcPr>
            <w:tcW w:w="3871" w:type="pct"/>
          </w:tcPr>
          <w:p w14:paraId="6EF6F718" w14:textId="77777777" w:rsidR="0094168A" w:rsidRPr="00CE53A8" w:rsidRDefault="0094168A" w:rsidP="00C36DF6">
            <w:pPr>
              <w:spacing w:after="0" w:afterAutospacing="0" w:line="216" w:lineRule="auto"/>
              <w:rPr>
                <w:rFonts w:cs="Times New Roman"/>
                <w:sz w:val="22"/>
                <w:lang w:val="fr-FR"/>
              </w:rPr>
            </w:pPr>
            <w:r>
              <w:rPr>
                <w:rFonts w:cs="Times New Roman"/>
                <w:sz w:val="22"/>
                <w:lang w:val="fr-FR"/>
              </w:rPr>
              <w:t>Terminologie, symboles et informations fournies avec les dispositifs médicaux : Informations fournies par le fabricant avec les dispositifs médicaux</w:t>
            </w:r>
          </w:p>
        </w:tc>
      </w:tr>
      <w:tr w:rsidR="0094168A" w:rsidRPr="009461CC" w14:paraId="26B8C057" w14:textId="77777777" w:rsidTr="00293453">
        <w:tc>
          <w:tcPr>
            <w:tcW w:w="5000" w:type="pct"/>
            <w:gridSpan w:val="2"/>
            <w:shd w:val="clear" w:color="auto" w:fill="E7E6E6" w:themeFill="background2"/>
          </w:tcPr>
          <w:p w14:paraId="1F9809B2" w14:textId="77777777" w:rsidR="0094168A" w:rsidRPr="009461CC" w:rsidRDefault="0094168A" w:rsidP="00C36DF6">
            <w:pPr>
              <w:spacing w:after="0" w:afterAutospacing="0" w:line="216" w:lineRule="auto"/>
              <w:jc w:val="center"/>
              <w:rPr>
                <w:rFonts w:cs="Times New Roman"/>
                <w:b/>
                <w:bCs/>
                <w:sz w:val="22"/>
              </w:rPr>
            </w:pPr>
            <w:r>
              <w:rPr>
                <w:rFonts w:cs="Times New Roman"/>
                <w:b/>
                <w:bCs/>
                <w:sz w:val="22"/>
                <w:lang w:val="fr-FR"/>
              </w:rPr>
              <w:t>Normes générales – Stérilisation</w:t>
            </w:r>
          </w:p>
        </w:tc>
      </w:tr>
      <w:tr w:rsidR="0094168A" w:rsidRPr="003E0201" w14:paraId="7C28E0D3" w14:textId="77777777" w:rsidTr="00293453">
        <w:tc>
          <w:tcPr>
            <w:tcW w:w="1129" w:type="pct"/>
          </w:tcPr>
          <w:p w14:paraId="0416000A" w14:textId="77777777" w:rsidR="0094168A" w:rsidRPr="009461CC" w:rsidRDefault="0094168A" w:rsidP="00C36DF6">
            <w:pPr>
              <w:spacing w:after="0" w:afterAutospacing="0" w:line="216" w:lineRule="auto"/>
              <w:rPr>
                <w:rFonts w:cs="Times New Roman"/>
                <w:sz w:val="22"/>
              </w:rPr>
            </w:pPr>
            <w:r>
              <w:rPr>
                <w:rFonts w:cs="Times New Roman"/>
                <w:sz w:val="22"/>
                <w:lang w:val="fr-FR"/>
              </w:rPr>
              <w:t>ISO 10555-1:2013</w:t>
            </w:r>
          </w:p>
        </w:tc>
        <w:tc>
          <w:tcPr>
            <w:tcW w:w="3871" w:type="pct"/>
          </w:tcPr>
          <w:p w14:paraId="5B0C265F" w14:textId="77777777" w:rsidR="0094168A" w:rsidRPr="00CE53A8" w:rsidRDefault="0094168A" w:rsidP="00C36DF6">
            <w:pPr>
              <w:spacing w:after="0" w:afterAutospacing="0" w:line="216" w:lineRule="auto"/>
              <w:rPr>
                <w:rFonts w:cs="Times New Roman"/>
                <w:sz w:val="22"/>
                <w:lang w:val="fr-FR"/>
              </w:rPr>
            </w:pPr>
            <w:r>
              <w:rPr>
                <w:rFonts w:cs="Times New Roman"/>
                <w:sz w:val="22"/>
                <w:lang w:val="fr-FR"/>
              </w:rPr>
              <w:t>Cathéters intravasculaires – Cathéters stériles et à usage unique – Partie 1 : Exigences générales</w:t>
            </w:r>
          </w:p>
        </w:tc>
      </w:tr>
      <w:tr w:rsidR="0094168A" w:rsidRPr="009461CC" w14:paraId="088E27B4" w14:textId="77777777" w:rsidTr="00293453">
        <w:tc>
          <w:tcPr>
            <w:tcW w:w="1129" w:type="pct"/>
          </w:tcPr>
          <w:p w14:paraId="47460872" w14:textId="77777777" w:rsidR="0094168A" w:rsidRPr="009461CC" w:rsidRDefault="0094168A" w:rsidP="00C36DF6">
            <w:pPr>
              <w:spacing w:after="0" w:afterAutospacing="0" w:line="216" w:lineRule="auto"/>
              <w:rPr>
                <w:rFonts w:cs="Times New Roman"/>
                <w:sz w:val="22"/>
              </w:rPr>
            </w:pPr>
            <w:r>
              <w:rPr>
                <w:rFonts w:cs="Times New Roman"/>
                <w:sz w:val="22"/>
                <w:lang w:val="fr-FR"/>
              </w:rPr>
              <w:t>EN 556-1:2024</w:t>
            </w:r>
          </w:p>
        </w:tc>
        <w:tc>
          <w:tcPr>
            <w:tcW w:w="3871" w:type="pct"/>
          </w:tcPr>
          <w:p w14:paraId="64BED8C0" w14:textId="77777777" w:rsidR="0094168A" w:rsidRPr="009461CC" w:rsidRDefault="0094168A" w:rsidP="00C36DF6">
            <w:pPr>
              <w:spacing w:after="0" w:afterAutospacing="0" w:line="216" w:lineRule="auto"/>
              <w:rPr>
                <w:rFonts w:cs="Times New Roman"/>
                <w:sz w:val="22"/>
              </w:rPr>
            </w:pPr>
            <w:r>
              <w:rPr>
                <w:rFonts w:cs="Times New Roman"/>
                <w:sz w:val="22"/>
                <w:lang w:val="fr-FR"/>
              </w:rPr>
              <w:t>Stérilisation des dispositifs médicaux. Exigences pour que les dispositifs médicaux soient désignés STÉRILES. Exigences relatives aux dispositifs médicaux stérilisés en phase terminale</w:t>
            </w:r>
          </w:p>
        </w:tc>
      </w:tr>
      <w:tr w:rsidR="0094168A" w:rsidRPr="003E0201" w14:paraId="4DEE0525" w14:textId="77777777" w:rsidTr="00293453">
        <w:tc>
          <w:tcPr>
            <w:tcW w:w="1129" w:type="pct"/>
          </w:tcPr>
          <w:p w14:paraId="5095D1B9" w14:textId="77777777" w:rsidR="0094168A" w:rsidRPr="009461CC" w:rsidRDefault="0094168A" w:rsidP="00C36DF6">
            <w:pPr>
              <w:spacing w:after="0" w:afterAutospacing="0" w:line="216" w:lineRule="auto"/>
              <w:rPr>
                <w:rFonts w:cs="Times New Roman"/>
                <w:sz w:val="22"/>
              </w:rPr>
            </w:pPr>
            <w:r>
              <w:rPr>
                <w:rFonts w:cs="Times New Roman"/>
                <w:sz w:val="22"/>
                <w:lang w:val="fr-FR"/>
              </w:rPr>
              <w:t>EN ISO 11135:2019</w:t>
            </w:r>
          </w:p>
        </w:tc>
        <w:tc>
          <w:tcPr>
            <w:tcW w:w="3871" w:type="pct"/>
          </w:tcPr>
          <w:p w14:paraId="1E9B7BED" w14:textId="77777777" w:rsidR="0094168A" w:rsidRPr="00CE53A8" w:rsidRDefault="0094168A" w:rsidP="00C36DF6">
            <w:pPr>
              <w:spacing w:after="0" w:afterAutospacing="0" w:line="216" w:lineRule="auto"/>
              <w:rPr>
                <w:rFonts w:cs="Times New Roman"/>
                <w:sz w:val="22"/>
                <w:lang w:val="fr-FR"/>
              </w:rPr>
            </w:pPr>
            <w:r>
              <w:rPr>
                <w:rFonts w:cs="Times New Roman"/>
                <w:sz w:val="22"/>
                <w:lang w:val="fr-FR"/>
              </w:rPr>
              <w:t>Stérilisation des produits de santé – Oxyde d’éthylène – Partie 1 : Exigences de développement, de validation et de contrôle de routine d’un processus de stérilisation de dispositifs médicaux</w:t>
            </w:r>
          </w:p>
        </w:tc>
      </w:tr>
      <w:tr w:rsidR="0094168A" w:rsidRPr="003E0201" w14:paraId="6B89F042" w14:textId="77777777" w:rsidTr="00293453">
        <w:tc>
          <w:tcPr>
            <w:tcW w:w="1129" w:type="pct"/>
          </w:tcPr>
          <w:p w14:paraId="3F48324F" w14:textId="77777777" w:rsidR="0094168A" w:rsidRPr="009461CC" w:rsidRDefault="0094168A" w:rsidP="00C36DF6">
            <w:pPr>
              <w:spacing w:after="0" w:afterAutospacing="0" w:line="216" w:lineRule="auto"/>
              <w:rPr>
                <w:rFonts w:cs="Times New Roman"/>
                <w:sz w:val="22"/>
              </w:rPr>
            </w:pPr>
            <w:r>
              <w:rPr>
                <w:rFonts w:cs="Times New Roman"/>
                <w:sz w:val="22"/>
                <w:lang w:val="fr-FR"/>
              </w:rPr>
              <w:t>AAMI TIR28:2016</w:t>
            </w:r>
          </w:p>
          <w:p w14:paraId="4FBEE0AF" w14:textId="77777777" w:rsidR="0094168A" w:rsidRPr="009461CC" w:rsidRDefault="0094168A" w:rsidP="00C36DF6">
            <w:pPr>
              <w:spacing w:after="0" w:afterAutospacing="0" w:line="216" w:lineRule="auto"/>
              <w:jc w:val="center"/>
              <w:rPr>
                <w:rFonts w:cs="Times New Roman"/>
                <w:sz w:val="22"/>
              </w:rPr>
            </w:pPr>
          </w:p>
        </w:tc>
        <w:tc>
          <w:tcPr>
            <w:tcW w:w="3871" w:type="pct"/>
          </w:tcPr>
          <w:p w14:paraId="68BE6733" w14:textId="77777777" w:rsidR="0094168A" w:rsidRPr="00CE53A8" w:rsidRDefault="0094168A" w:rsidP="00C36DF6">
            <w:pPr>
              <w:spacing w:after="0" w:afterAutospacing="0" w:line="216" w:lineRule="auto"/>
              <w:rPr>
                <w:rFonts w:cs="Times New Roman"/>
                <w:sz w:val="22"/>
                <w:lang w:val="fr-FR"/>
              </w:rPr>
            </w:pPr>
            <w:r>
              <w:rPr>
                <w:rFonts w:cs="Times New Roman"/>
                <w:sz w:val="22"/>
                <w:lang w:val="fr-FR"/>
              </w:rPr>
              <w:t>Adoption du produit et équivalence du procédé pour la stérilisation à l’oxyde d’éthylène</w:t>
            </w:r>
          </w:p>
        </w:tc>
      </w:tr>
      <w:tr w:rsidR="0094168A" w:rsidRPr="009461CC" w14:paraId="1E1CCCD6" w14:textId="77777777" w:rsidTr="00293453">
        <w:tc>
          <w:tcPr>
            <w:tcW w:w="1129" w:type="pct"/>
          </w:tcPr>
          <w:p w14:paraId="25D300ED" w14:textId="77777777" w:rsidR="0094168A" w:rsidRPr="009461CC" w:rsidRDefault="0094168A" w:rsidP="00C36DF6">
            <w:pPr>
              <w:spacing w:after="0" w:afterAutospacing="0" w:line="216" w:lineRule="auto"/>
              <w:jc w:val="center"/>
              <w:rPr>
                <w:rFonts w:cs="Times New Roman"/>
                <w:sz w:val="22"/>
              </w:rPr>
            </w:pPr>
            <w:r>
              <w:rPr>
                <w:rFonts w:cs="Times New Roman"/>
                <w:sz w:val="22"/>
                <w:lang w:val="fr-FR"/>
              </w:rPr>
              <w:t>EN ISO 14644-1:2015</w:t>
            </w:r>
          </w:p>
        </w:tc>
        <w:tc>
          <w:tcPr>
            <w:tcW w:w="3871" w:type="pct"/>
          </w:tcPr>
          <w:p w14:paraId="2AD73BC5" w14:textId="77777777" w:rsidR="0094168A" w:rsidRPr="009461CC" w:rsidRDefault="0094168A" w:rsidP="00C36DF6">
            <w:pPr>
              <w:spacing w:after="0" w:afterAutospacing="0" w:line="216" w:lineRule="auto"/>
              <w:rPr>
                <w:rFonts w:cs="Times New Roman"/>
                <w:sz w:val="22"/>
              </w:rPr>
            </w:pPr>
            <w:r>
              <w:rPr>
                <w:rFonts w:cs="Times New Roman"/>
                <w:sz w:val="22"/>
                <w:lang w:val="fr-FR"/>
              </w:rPr>
              <w:t>Classification de la propreté de l’air, des salles blanches et des environnements contrôlés associés. Partie 1 : Classification de la propreté de l’air</w:t>
            </w:r>
          </w:p>
        </w:tc>
      </w:tr>
      <w:tr w:rsidR="0094168A" w:rsidRPr="009461CC" w14:paraId="27E7EE41" w14:textId="77777777" w:rsidTr="00293453">
        <w:trPr>
          <w:trHeight w:val="1097"/>
        </w:trPr>
        <w:tc>
          <w:tcPr>
            <w:tcW w:w="1129" w:type="pct"/>
          </w:tcPr>
          <w:p w14:paraId="51EAE02B" w14:textId="77777777" w:rsidR="0094168A" w:rsidRPr="009461CC" w:rsidRDefault="0094168A" w:rsidP="00C36DF6">
            <w:pPr>
              <w:spacing w:after="0" w:afterAutospacing="0" w:line="216" w:lineRule="auto"/>
              <w:jc w:val="center"/>
              <w:rPr>
                <w:rFonts w:cs="Times New Roman"/>
                <w:sz w:val="22"/>
              </w:rPr>
            </w:pPr>
            <w:r>
              <w:rPr>
                <w:rFonts w:cs="Times New Roman"/>
                <w:sz w:val="22"/>
                <w:lang w:val="fr-FR"/>
              </w:rPr>
              <w:t>EN ISO 14644-2:2015</w:t>
            </w:r>
          </w:p>
        </w:tc>
        <w:tc>
          <w:tcPr>
            <w:tcW w:w="3871" w:type="pct"/>
          </w:tcPr>
          <w:p w14:paraId="3AA6B4D4" w14:textId="77777777" w:rsidR="0094168A" w:rsidRPr="00CE53A8" w:rsidRDefault="0094168A" w:rsidP="00C36DF6">
            <w:pPr>
              <w:spacing w:after="0" w:afterAutospacing="0" w:line="216" w:lineRule="auto"/>
              <w:rPr>
                <w:rFonts w:cs="Times New Roman"/>
                <w:sz w:val="22"/>
                <w:lang w:val="fr-FR"/>
              </w:rPr>
            </w:pPr>
            <w:r>
              <w:rPr>
                <w:rFonts w:cs="Times New Roman"/>
                <w:sz w:val="22"/>
                <w:lang w:val="fr-FR"/>
              </w:rPr>
              <w:t xml:space="preserve">Salles blanches et environnements contrôlés associés – Partie 2 : Surveillance visant à fournir la preuve de la maîtrise de la salle blanche. </w:t>
            </w:r>
          </w:p>
          <w:p w14:paraId="2873EF60" w14:textId="77777777" w:rsidR="0094168A" w:rsidRPr="00CE53A8" w:rsidRDefault="0094168A" w:rsidP="00C36DF6">
            <w:pPr>
              <w:spacing w:after="0" w:afterAutospacing="0" w:line="216" w:lineRule="auto"/>
              <w:rPr>
                <w:rFonts w:cs="Times New Roman"/>
                <w:sz w:val="22"/>
                <w:lang w:val="fr-FR"/>
              </w:rPr>
            </w:pPr>
            <w:r>
              <w:rPr>
                <w:rFonts w:cs="Times New Roman"/>
                <w:sz w:val="22"/>
                <w:lang w:val="fr-FR"/>
              </w:rPr>
              <w:t xml:space="preserve">Performances relatives à la propreté de l’air selon la concentration </w:t>
            </w:r>
          </w:p>
          <w:p w14:paraId="02B2FEDC" w14:textId="77777777" w:rsidR="0094168A" w:rsidRPr="009461CC" w:rsidRDefault="0094168A" w:rsidP="00C36DF6">
            <w:pPr>
              <w:spacing w:after="0" w:afterAutospacing="0" w:line="216" w:lineRule="auto"/>
              <w:rPr>
                <w:rFonts w:cs="Times New Roman"/>
                <w:sz w:val="22"/>
              </w:rPr>
            </w:pPr>
            <w:proofErr w:type="gramStart"/>
            <w:r>
              <w:rPr>
                <w:rFonts w:cs="Times New Roman"/>
                <w:sz w:val="22"/>
                <w:lang w:val="fr-FR"/>
              </w:rPr>
              <w:t>de</w:t>
            </w:r>
            <w:proofErr w:type="gramEnd"/>
            <w:r>
              <w:rPr>
                <w:rFonts w:cs="Times New Roman"/>
                <w:sz w:val="22"/>
                <w:lang w:val="fr-FR"/>
              </w:rPr>
              <w:t xml:space="preserve"> particules.</w:t>
            </w:r>
          </w:p>
        </w:tc>
      </w:tr>
      <w:tr w:rsidR="0094168A" w:rsidRPr="003E0201" w14:paraId="0A4BF260"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07ABED2A" w14:textId="77777777" w:rsidR="0094168A" w:rsidRPr="009461CC" w:rsidRDefault="0094168A" w:rsidP="00C36DF6">
            <w:pPr>
              <w:spacing w:after="0" w:afterAutospacing="0" w:line="216" w:lineRule="auto"/>
              <w:jc w:val="center"/>
              <w:rPr>
                <w:rFonts w:cs="Times New Roman"/>
                <w:sz w:val="22"/>
              </w:rPr>
            </w:pPr>
            <w:r>
              <w:rPr>
                <w:rFonts w:eastAsia="Times New Roman" w:cs="Times New Roman"/>
                <w:sz w:val="22"/>
                <w:lang w:val="fr-FR"/>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69B61B8D" w14:textId="77777777" w:rsidR="0094168A" w:rsidRPr="00CE53A8" w:rsidRDefault="0094168A" w:rsidP="00C36DF6">
            <w:pPr>
              <w:spacing w:after="0" w:afterAutospacing="0" w:line="216" w:lineRule="auto"/>
              <w:rPr>
                <w:rFonts w:cs="Times New Roman"/>
                <w:sz w:val="22"/>
                <w:lang w:val="fr-FR"/>
              </w:rPr>
            </w:pPr>
            <w:r>
              <w:rPr>
                <w:rFonts w:eastAsia="Times New Roman" w:cs="Times New Roman"/>
                <w:sz w:val="22"/>
                <w:lang w:val="fr-FR"/>
              </w:rPr>
              <w:t>Stérilisation des dispositifs médicaux – Méthodes microbiologiques – Partie 1 : Détermination d’une population de microorganismes sur des produits</w:t>
            </w:r>
          </w:p>
        </w:tc>
      </w:tr>
      <w:tr w:rsidR="0094168A" w:rsidRPr="003E0201" w14:paraId="79153AFF"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1E9E13E9" w14:textId="77777777" w:rsidR="0094168A" w:rsidRPr="009461CC" w:rsidRDefault="0094168A" w:rsidP="00C36DF6">
            <w:pPr>
              <w:spacing w:after="0" w:afterAutospacing="0" w:line="216" w:lineRule="auto"/>
              <w:jc w:val="center"/>
              <w:rPr>
                <w:rFonts w:cs="Times New Roman"/>
                <w:sz w:val="22"/>
              </w:rPr>
            </w:pPr>
            <w:r>
              <w:rPr>
                <w:rFonts w:eastAsia="Times New Roman" w:cs="Times New Roman"/>
                <w:sz w:val="22"/>
                <w:lang w:val="fr-FR"/>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316E8C9D" w14:textId="77777777" w:rsidR="0094168A" w:rsidRPr="00CE53A8" w:rsidRDefault="0094168A" w:rsidP="00C36DF6">
            <w:pPr>
              <w:spacing w:after="0" w:afterAutospacing="0" w:line="216" w:lineRule="auto"/>
              <w:rPr>
                <w:rFonts w:cs="Times New Roman"/>
                <w:sz w:val="22"/>
                <w:lang w:val="fr-FR"/>
              </w:rPr>
            </w:pPr>
            <w:r>
              <w:rPr>
                <w:rFonts w:eastAsia="Times New Roman" w:cs="Times New Roman"/>
                <w:sz w:val="22"/>
                <w:lang w:val="fr-FR"/>
              </w:rPr>
              <w:t>Évaluation biologique des dispositifs médicaux. Résidus de stérilisation à l’oxyde d’éthylène</w:t>
            </w:r>
          </w:p>
        </w:tc>
      </w:tr>
      <w:tr w:rsidR="0094168A" w:rsidRPr="009461CC" w14:paraId="255576C7" w14:textId="77777777" w:rsidTr="00293453">
        <w:tc>
          <w:tcPr>
            <w:tcW w:w="1129" w:type="pct"/>
          </w:tcPr>
          <w:p w14:paraId="3E855248" w14:textId="77777777" w:rsidR="0094168A" w:rsidRPr="009461CC" w:rsidRDefault="0094168A" w:rsidP="00C36DF6">
            <w:pPr>
              <w:spacing w:after="0" w:afterAutospacing="0" w:line="216" w:lineRule="auto"/>
              <w:rPr>
                <w:rFonts w:cs="Times New Roman"/>
                <w:sz w:val="22"/>
              </w:rPr>
            </w:pPr>
            <w:r>
              <w:rPr>
                <w:rFonts w:cs="Times New Roman"/>
                <w:sz w:val="22"/>
                <w:lang w:val="fr-FR"/>
              </w:rPr>
              <w:t>NSI/AAMI ST72:2019</w:t>
            </w:r>
          </w:p>
        </w:tc>
        <w:tc>
          <w:tcPr>
            <w:tcW w:w="3871" w:type="pct"/>
          </w:tcPr>
          <w:p w14:paraId="1BB2618F" w14:textId="77777777" w:rsidR="0094168A" w:rsidRPr="009461CC" w:rsidRDefault="0094168A" w:rsidP="00C36DF6">
            <w:pPr>
              <w:spacing w:after="0" w:afterAutospacing="0" w:line="216" w:lineRule="auto"/>
              <w:rPr>
                <w:rFonts w:cs="Times New Roman"/>
                <w:sz w:val="22"/>
              </w:rPr>
            </w:pPr>
            <w:r>
              <w:rPr>
                <w:rFonts w:cs="Times New Roman"/>
                <w:sz w:val="22"/>
                <w:lang w:val="fr-FR"/>
              </w:rPr>
              <w:t>Essai des endotoxines bactériennes</w:t>
            </w:r>
          </w:p>
        </w:tc>
      </w:tr>
      <w:tr w:rsidR="0094168A" w:rsidRPr="003E0201" w14:paraId="404997EC" w14:textId="77777777" w:rsidTr="00293453">
        <w:tc>
          <w:tcPr>
            <w:tcW w:w="5000" w:type="pct"/>
            <w:gridSpan w:val="2"/>
            <w:shd w:val="clear" w:color="auto" w:fill="E7E6E6" w:themeFill="background2"/>
          </w:tcPr>
          <w:p w14:paraId="5ABA833D" w14:textId="77777777" w:rsidR="0094168A" w:rsidRPr="00CE53A8" w:rsidRDefault="0094168A" w:rsidP="00C36DF6">
            <w:pPr>
              <w:spacing w:after="0" w:afterAutospacing="0" w:line="216" w:lineRule="auto"/>
              <w:jc w:val="center"/>
              <w:rPr>
                <w:rFonts w:cs="Times New Roman"/>
                <w:b/>
                <w:bCs/>
                <w:sz w:val="22"/>
                <w:lang w:val="fr-FR"/>
              </w:rPr>
            </w:pPr>
            <w:r>
              <w:rPr>
                <w:rFonts w:cs="Times New Roman"/>
                <w:b/>
                <w:bCs/>
                <w:sz w:val="22"/>
                <w:lang w:val="fr-FR"/>
              </w:rPr>
              <w:t>Normes générales – Systèmes de qualité</w:t>
            </w:r>
          </w:p>
        </w:tc>
      </w:tr>
      <w:tr w:rsidR="0094168A" w:rsidRPr="003E0201" w14:paraId="63A55C82"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62560DA0" w14:textId="77777777" w:rsidR="0094168A" w:rsidRPr="009461CC" w:rsidRDefault="0094168A" w:rsidP="00C36DF6">
            <w:pPr>
              <w:spacing w:after="0" w:afterAutospacing="0" w:line="216" w:lineRule="auto"/>
              <w:rPr>
                <w:rFonts w:cs="Times New Roman"/>
                <w:sz w:val="22"/>
              </w:rPr>
            </w:pPr>
            <w:r>
              <w:rPr>
                <w:rFonts w:eastAsia="Times New Roman" w:cs="Times New Roman"/>
                <w:sz w:val="22"/>
                <w:lang w:val="fr-FR"/>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1A55AB9D" w14:textId="77777777" w:rsidR="0094168A" w:rsidRPr="00CE53A8" w:rsidRDefault="0094168A" w:rsidP="00C36DF6">
            <w:pPr>
              <w:spacing w:after="0" w:afterAutospacing="0" w:line="216" w:lineRule="auto"/>
              <w:rPr>
                <w:rFonts w:cs="Times New Roman"/>
                <w:sz w:val="22"/>
                <w:lang w:val="fr-FR"/>
              </w:rPr>
            </w:pPr>
            <w:r>
              <w:rPr>
                <w:rFonts w:eastAsia="Times New Roman" w:cs="Times New Roman"/>
                <w:sz w:val="22"/>
                <w:lang w:val="fr-FR"/>
              </w:rPr>
              <w:t>Dispositifs médicaux. Systèmes de gestion de la qualité. Exigences à des fins réglementaires</w:t>
            </w:r>
          </w:p>
        </w:tc>
      </w:tr>
      <w:tr w:rsidR="0094168A" w:rsidRPr="009461CC" w14:paraId="387B175B" w14:textId="77777777" w:rsidTr="00293453">
        <w:tc>
          <w:tcPr>
            <w:tcW w:w="5000" w:type="pct"/>
            <w:gridSpan w:val="2"/>
            <w:shd w:val="clear" w:color="auto" w:fill="E7E6E6" w:themeFill="background2"/>
          </w:tcPr>
          <w:p w14:paraId="59DAC316" w14:textId="77777777" w:rsidR="0094168A" w:rsidRPr="009461CC" w:rsidRDefault="0094168A" w:rsidP="00C36DF6">
            <w:pPr>
              <w:spacing w:after="0" w:afterAutospacing="0" w:line="216" w:lineRule="auto"/>
              <w:jc w:val="center"/>
              <w:rPr>
                <w:rFonts w:cs="Times New Roman"/>
                <w:b/>
                <w:bCs/>
                <w:sz w:val="22"/>
              </w:rPr>
            </w:pPr>
            <w:r>
              <w:rPr>
                <w:rFonts w:cs="Times New Roman"/>
                <w:b/>
                <w:bCs/>
                <w:sz w:val="22"/>
                <w:lang w:val="fr-FR"/>
              </w:rPr>
              <w:t>Gestion des risques</w:t>
            </w:r>
          </w:p>
        </w:tc>
      </w:tr>
      <w:tr w:rsidR="0094168A" w:rsidRPr="003E0201" w14:paraId="75307B89" w14:textId="77777777" w:rsidTr="00293453">
        <w:tc>
          <w:tcPr>
            <w:tcW w:w="1129" w:type="pct"/>
          </w:tcPr>
          <w:p w14:paraId="653BDB44" w14:textId="77777777" w:rsidR="0094168A" w:rsidRPr="009461CC" w:rsidRDefault="0094168A" w:rsidP="00C36DF6">
            <w:pPr>
              <w:spacing w:after="0" w:afterAutospacing="0" w:line="216" w:lineRule="auto"/>
              <w:rPr>
                <w:rFonts w:cs="Times New Roman"/>
                <w:sz w:val="22"/>
              </w:rPr>
            </w:pPr>
            <w:r>
              <w:rPr>
                <w:rFonts w:cs="Times New Roman"/>
                <w:sz w:val="22"/>
                <w:lang w:val="fr-FR"/>
              </w:rPr>
              <w:t>EN ISO 14971:2019</w:t>
            </w:r>
          </w:p>
        </w:tc>
        <w:tc>
          <w:tcPr>
            <w:tcW w:w="3871" w:type="pct"/>
          </w:tcPr>
          <w:p w14:paraId="4457BE68" w14:textId="77777777" w:rsidR="0094168A" w:rsidRPr="00CE53A8" w:rsidRDefault="0094168A" w:rsidP="00C36DF6">
            <w:pPr>
              <w:spacing w:after="0" w:afterAutospacing="0" w:line="216" w:lineRule="auto"/>
              <w:rPr>
                <w:rFonts w:cs="Times New Roman"/>
                <w:sz w:val="22"/>
                <w:lang w:val="fr-FR"/>
              </w:rPr>
            </w:pPr>
            <w:r>
              <w:rPr>
                <w:rFonts w:cs="Times New Roman"/>
                <w:sz w:val="22"/>
                <w:lang w:val="fr-FR"/>
              </w:rPr>
              <w:t>Dispositifs médicaux – Application de la gestion des risques aux dispositifs médicaux</w:t>
            </w:r>
          </w:p>
        </w:tc>
      </w:tr>
      <w:tr w:rsidR="0094168A" w:rsidRPr="009461CC" w14:paraId="0412F728" w14:textId="77777777" w:rsidTr="00293453">
        <w:tc>
          <w:tcPr>
            <w:tcW w:w="5000" w:type="pct"/>
            <w:gridSpan w:val="2"/>
            <w:shd w:val="clear" w:color="auto" w:fill="E7E6E6" w:themeFill="background2"/>
          </w:tcPr>
          <w:p w14:paraId="60003C37" w14:textId="77777777" w:rsidR="0094168A" w:rsidRPr="009461CC" w:rsidRDefault="0094168A" w:rsidP="00C36DF6">
            <w:pPr>
              <w:spacing w:after="0" w:afterAutospacing="0" w:line="216" w:lineRule="auto"/>
              <w:jc w:val="center"/>
              <w:rPr>
                <w:rFonts w:cs="Times New Roman"/>
                <w:sz w:val="22"/>
              </w:rPr>
            </w:pPr>
            <w:r>
              <w:rPr>
                <w:rFonts w:eastAsia="Arial" w:cs="Times New Roman"/>
                <w:b/>
                <w:bCs/>
                <w:sz w:val="22"/>
                <w:lang w:val="fr-FR"/>
              </w:rPr>
              <w:t>Sécurité biologique</w:t>
            </w:r>
          </w:p>
        </w:tc>
      </w:tr>
      <w:tr w:rsidR="0094168A" w:rsidRPr="009461CC" w14:paraId="4EC2D85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6A05F98" w14:textId="77777777" w:rsidR="0094168A" w:rsidRPr="009461CC" w:rsidRDefault="0094168A" w:rsidP="00C36DF6">
            <w:pPr>
              <w:spacing w:after="0" w:afterAutospacing="0" w:line="216" w:lineRule="auto"/>
              <w:rPr>
                <w:rFonts w:cs="Times New Roman"/>
                <w:bCs/>
                <w:sz w:val="22"/>
              </w:rPr>
            </w:pPr>
            <w:r>
              <w:rPr>
                <w:rFonts w:eastAsia="Arial" w:cs="Times New Roman"/>
                <w:sz w:val="22"/>
                <w:lang w:val="fr-FR"/>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1802E8D" w14:textId="77777777" w:rsidR="0094168A" w:rsidRPr="00CE53A8" w:rsidRDefault="0094168A" w:rsidP="00C36DF6">
            <w:pPr>
              <w:spacing w:after="14" w:afterAutospacing="0" w:line="216" w:lineRule="auto"/>
              <w:rPr>
                <w:rFonts w:cs="Times New Roman"/>
                <w:sz w:val="22"/>
                <w:lang w:val="fr-FR"/>
              </w:rPr>
            </w:pPr>
            <w:r>
              <w:rPr>
                <w:rFonts w:eastAsia="Arial" w:cs="Times New Roman"/>
                <w:sz w:val="22"/>
                <w:lang w:val="fr-FR"/>
              </w:rPr>
              <w:t xml:space="preserve">Évaluation biologique des dispositifs médicaux – Partie 1 : </w:t>
            </w:r>
          </w:p>
          <w:p w14:paraId="1D869305" w14:textId="77777777" w:rsidR="0094168A" w:rsidRPr="009461CC" w:rsidRDefault="0094168A" w:rsidP="00C36DF6">
            <w:pPr>
              <w:tabs>
                <w:tab w:val="left" w:pos="1320"/>
              </w:tabs>
              <w:spacing w:after="0" w:afterAutospacing="0" w:line="216" w:lineRule="auto"/>
              <w:rPr>
                <w:rFonts w:cs="Times New Roman"/>
                <w:sz w:val="22"/>
              </w:rPr>
            </w:pPr>
            <w:r>
              <w:rPr>
                <w:rFonts w:eastAsia="Arial" w:cs="Times New Roman"/>
                <w:sz w:val="22"/>
                <w:lang w:val="fr-FR"/>
              </w:rPr>
              <w:t xml:space="preserve">Évaluation et tests  </w:t>
            </w:r>
          </w:p>
        </w:tc>
      </w:tr>
      <w:tr w:rsidR="0094168A" w:rsidRPr="003E0201" w14:paraId="3496F1C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3F28448" w14:textId="77777777" w:rsidR="0094168A" w:rsidRPr="009461CC" w:rsidRDefault="0094168A" w:rsidP="00C36DF6">
            <w:pPr>
              <w:spacing w:after="0" w:afterAutospacing="0" w:line="216" w:lineRule="auto"/>
              <w:rPr>
                <w:rFonts w:cs="Times New Roman"/>
                <w:bCs/>
                <w:sz w:val="22"/>
              </w:rPr>
            </w:pPr>
            <w:r>
              <w:rPr>
                <w:rFonts w:eastAsia="Arial" w:cs="Times New Roman"/>
                <w:sz w:val="22"/>
                <w:lang w:val="fr-FR"/>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29C98F9B" w14:textId="77777777" w:rsidR="0094168A" w:rsidRPr="00CE53A8" w:rsidRDefault="0094168A" w:rsidP="00C36DF6">
            <w:pPr>
              <w:spacing w:after="0" w:afterAutospacing="0" w:line="216" w:lineRule="auto"/>
              <w:rPr>
                <w:rFonts w:cs="Times New Roman"/>
                <w:sz w:val="22"/>
                <w:lang w:val="fr-FR"/>
              </w:rPr>
            </w:pPr>
            <w:r>
              <w:rPr>
                <w:rFonts w:eastAsia="Arial" w:cs="Times New Roman"/>
                <w:sz w:val="22"/>
                <w:lang w:val="fr-FR"/>
              </w:rPr>
              <w:t xml:space="preserve">Évaluation biologique des dispositifs médicaux – Partie 3 : Essais de génotoxicité, de cancérogénicité et de toxicité pour la reproduction </w:t>
            </w:r>
          </w:p>
        </w:tc>
      </w:tr>
      <w:tr w:rsidR="0094168A" w:rsidRPr="003E0201" w14:paraId="5B12C58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DC6D356" w14:textId="77777777" w:rsidR="0094168A" w:rsidRPr="009461CC" w:rsidRDefault="0094168A" w:rsidP="00C36DF6">
            <w:pPr>
              <w:spacing w:after="0" w:afterAutospacing="0" w:line="216" w:lineRule="auto"/>
              <w:rPr>
                <w:rFonts w:cs="Times New Roman"/>
                <w:bCs/>
                <w:sz w:val="22"/>
              </w:rPr>
            </w:pPr>
            <w:r>
              <w:rPr>
                <w:rFonts w:eastAsia="Arial" w:cs="Times New Roman"/>
                <w:sz w:val="22"/>
                <w:lang w:val="fr-FR"/>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6FA654DE" w14:textId="77777777" w:rsidR="0094168A" w:rsidRPr="00CE53A8" w:rsidRDefault="0094168A" w:rsidP="00C36DF6">
            <w:pPr>
              <w:spacing w:after="0" w:afterAutospacing="0" w:line="216" w:lineRule="auto"/>
              <w:rPr>
                <w:rFonts w:cs="Times New Roman"/>
                <w:sz w:val="22"/>
                <w:lang w:val="fr-FR"/>
              </w:rPr>
            </w:pPr>
            <w:r>
              <w:rPr>
                <w:rFonts w:eastAsia="Arial" w:cs="Times New Roman"/>
                <w:sz w:val="22"/>
                <w:lang w:val="fr-FR"/>
              </w:rPr>
              <w:t xml:space="preserve">Évaluation biologique des dispositifs médicaux – Partie 4 : Choix des essais pour les interactions avec le sang </w:t>
            </w:r>
          </w:p>
        </w:tc>
      </w:tr>
      <w:tr w:rsidR="0094168A" w:rsidRPr="003E0201" w14:paraId="6B4C18F9"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A31AAA1" w14:textId="77777777" w:rsidR="0094168A" w:rsidRPr="009461CC" w:rsidRDefault="0094168A" w:rsidP="00C36DF6">
            <w:pPr>
              <w:spacing w:after="0" w:afterAutospacing="0" w:line="216" w:lineRule="auto"/>
              <w:rPr>
                <w:rFonts w:cs="Times New Roman"/>
                <w:bCs/>
                <w:sz w:val="22"/>
              </w:rPr>
            </w:pPr>
            <w:r>
              <w:rPr>
                <w:rFonts w:eastAsia="Arial" w:cs="Times New Roman"/>
                <w:sz w:val="22"/>
                <w:lang w:val="fr-FR"/>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5E6BDEB8" w14:textId="77777777" w:rsidR="0094168A" w:rsidRPr="00CE53A8" w:rsidRDefault="0094168A" w:rsidP="00C36DF6">
            <w:pPr>
              <w:spacing w:after="0" w:afterAutospacing="0" w:line="216" w:lineRule="auto"/>
              <w:rPr>
                <w:rFonts w:cs="Times New Roman"/>
                <w:sz w:val="22"/>
                <w:lang w:val="fr-FR"/>
              </w:rPr>
            </w:pPr>
            <w:r>
              <w:rPr>
                <w:rFonts w:eastAsia="Arial" w:cs="Times New Roman"/>
                <w:sz w:val="22"/>
                <w:lang w:val="fr-FR"/>
              </w:rPr>
              <w:t xml:space="preserve">Évaluation biologique des dispositifs médicaux – Partie 5 : Essais de cytotoxicité </w:t>
            </w:r>
            <w:r>
              <w:rPr>
                <w:rFonts w:eastAsia="Arial" w:cs="Times New Roman"/>
                <w:i/>
                <w:iCs/>
                <w:sz w:val="22"/>
                <w:lang w:val="fr-FR"/>
              </w:rPr>
              <w:t>in vitro</w:t>
            </w:r>
            <w:r>
              <w:rPr>
                <w:rFonts w:eastAsia="Arial" w:cs="Times New Roman"/>
                <w:sz w:val="22"/>
                <w:lang w:val="fr-FR"/>
              </w:rPr>
              <w:t xml:space="preserve"> </w:t>
            </w:r>
          </w:p>
        </w:tc>
      </w:tr>
      <w:tr w:rsidR="0094168A" w:rsidRPr="003E0201" w14:paraId="0C8F61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1670A62" w14:textId="77777777" w:rsidR="0094168A" w:rsidRPr="009461CC" w:rsidRDefault="0094168A" w:rsidP="00C36DF6">
            <w:pPr>
              <w:spacing w:after="0" w:afterAutospacing="0" w:line="216" w:lineRule="auto"/>
              <w:rPr>
                <w:rFonts w:cs="Times New Roman"/>
                <w:bCs/>
                <w:sz w:val="22"/>
              </w:rPr>
            </w:pPr>
            <w:r>
              <w:rPr>
                <w:rFonts w:eastAsia="Arial" w:cs="Times New Roman"/>
                <w:sz w:val="22"/>
                <w:lang w:val="fr-FR"/>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49062A3E" w14:textId="77777777" w:rsidR="0094168A" w:rsidRPr="00CE53A8" w:rsidRDefault="0094168A" w:rsidP="00C36DF6">
            <w:pPr>
              <w:spacing w:after="0" w:afterAutospacing="0" w:line="216" w:lineRule="auto"/>
              <w:rPr>
                <w:rFonts w:cs="Times New Roman"/>
                <w:sz w:val="22"/>
                <w:lang w:val="fr-FR"/>
              </w:rPr>
            </w:pPr>
            <w:r>
              <w:rPr>
                <w:rFonts w:eastAsia="Arial" w:cs="Times New Roman"/>
                <w:sz w:val="22"/>
                <w:lang w:val="fr-FR"/>
              </w:rPr>
              <w:t xml:space="preserve">Évaluation biologique des dispositifs médicaux – Partie 10 : Essais d’irritation et de sensibilisation cutanée </w:t>
            </w:r>
          </w:p>
        </w:tc>
      </w:tr>
      <w:tr w:rsidR="0094168A" w:rsidRPr="003E0201" w14:paraId="0E6AC70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3A77758" w14:textId="77777777" w:rsidR="0094168A" w:rsidRPr="009461CC" w:rsidRDefault="0094168A" w:rsidP="00C36DF6">
            <w:pPr>
              <w:spacing w:after="0" w:afterAutospacing="0" w:line="216" w:lineRule="auto"/>
              <w:rPr>
                <w:rFonts w:cs="Times New Roman"/>
                <w:bCs/>
                <w:sz w:val="22"/>
              </w:rPr>
            </w:pPr>
            <w:r>
              <w:rPr>
                <w:rFonts w:eastAsia="Arial" w:cs="Times New Roman"/>
                <w:sz w:val="22"/>
                <w:lang w:val="fr-FR"/>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A9A598F" w14:textId="77777777" w:rsidR="0094168A" w:rsidRPr="00CE53A8" w:rsidRDefault="0094168A" w:rsidP="00C36DF6">
            <w:pPr>
              <w:spacing w:after="0" w:afterAutospacing="0" w:line="216" w:lineRule="auto"/>
              <w:rPr>
                <w:rFonts w:cs="Times New Roman"/>
                <w:sz w:val="22"/>
                <w:lang w:val="fr-FR"/>
              </w:rPr>
            </w:pPr>
            <w:r>
              <w:rPr>
                <w:rFonts w:eastAsia="Arial" w:cs="Times New Roman"/>
                <w:sz w:val="22"/>
                <w:lang w:val="fr-FR"/>
              </w:rPr>
              <w:t xml:space="preserve">Évaluation biologique des dispositifs médicaux – Partie 11 : Essais de toxicité systémique </w:t>
            </w:r>
          </w:p>
        </w:tc>
      </w:tr>
      <w:tr w:rsidR="0094168A" w:rsidRPr="003E0201" w14:paraId="4DA537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162FA31" w14:textId="77777777" w:rsidR="0094168A" w:rsidRPr="009461CC" w:rsidRDefault="0094168A" w:rsidP="00C36DF6">
            <w:pPr>
              <w:spacing w:after="0" w:afterAutospacing="0" w:line="216" w:lineRule="auto"/>
              <w:rPr>
                <w:rFonts w:cs="Times New Roman"/>
                <w:bCs/>
                <w:sz w:val="22"/>
              </w:rPr>
            </w:pPr>
            <w:r>
              <w:rPr>
                <w:rFonts w:eastAsia="Arial" w:cs="Times New Roman"/>
                <w:sz w:val="22"/>
                <w:lang w:val="fr-FR"/>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3D24F3AE" w14:textId="77777777" w:rsidR="0094168A" w:rsidRPr="00CE53A8" w:rsidRDefault="0094168A" w:rsidP="00C36DF6">
            <w:pPr>
              <w:spacing w:after="0" w:afterAutospacing="0" w:line="216" w:lineRule="auto"/>
              <w:rPr>
                <w:rFonts w:cs="Times New Roman"/>
                <w:sz w:val="22"/>
                <w:lang w:val="fr-FR"/>
              </w:rPr>
            </w:pPr>
            <w:r>
              <w:rPr>
                <w:rFonts w:eastAsia="Arial" w:cs="Times New Roman"/>
                <w:sz w:val="22"/>
                <w:lang w:val="fr-FR"/>
              </w:rPr>
              <w:t xml:space="preserve">Évaluation biologique des dispositifs médicaux – Partie 12 : Préparation des échantillons et matériaux de référence </w:t>
            </w:r>
          </w:p>
        </w:tc>
      </w:tr>
      <w:tr w:rsidR="00586415" w:rsidRPr="003E0201" w14:paraId="5BDB3E6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02AE4CB5" w14:textId="75B11B14" w:rsidR="00586415" w:rsidRPr="009461CC" w:rsidRDefault="00522664" w:rsidP="00C36DF6">
            <w:pPr>
              <w:spacing w:after="0" w:afterAutospacing="0" w:line="216" w:lineRule="auto"/>
              <w:rPr>
                <w:rFonts w:eastAsia="Arial" w:cs="Times New Roman"/>
                <w:bCs/>
                <w:sz w:val="22"/>
              </w:rPr>
            </w:pPr>
            <w:r>
              <w:rPr>
                <w:rFonts w:eastAsia="Arial" w:cs="Times New Roman"/>
                <w:sz w:val="22"/>
                <w:lang w:val="fr-FR"/>
              </w:rPr>
              <w:t>EN ISO 10993-17:2023</w:t>
            </w:r>
          </w:p>
        </w:tc>
        <w:tc>
          <w:tcPr>
            <w:tcW w:w="3871" w:type="pct"/>
            <w:tcBorders>
              <w:top w:val="single" w:sz="4" w:space="0" w:color="000000"/>
              <w:left w:val="single" w:sz="4" w:space="0" w:color="000000"/>
              <w:bottom w:val="single" w:sz="4" w:space="0" w:color="000000"/>
              <w:right w:val="single" w:sz="4" w:space="0" w:color="000000"/>
            </w:tcBorders>
          </w:tcPr>
          <w:p w14:paraId="73C15B5F" w14:textId="1691BD78" w:rsidR="00586415" w:rsidRPr="00CE53A8" w:rsidRDefault="00586415" w:rsidP="00C36DF6">
            <w:pPr>
              <w:spacing w:after="0" w:afterAutospacing="0" w:line="216" w:lineRule="auto"/>
              <w:rPr>
                <w:rFonts w:eastAsia="Arial" w:cs="Times New Roman"/>
                <w:sz w:val="22"/>
                <w:lang w:val="fr-FR"/>
              </w:rPr>
            </w:pPr>
            <w:r>
              <w:rPr>
                <w:rFonts w:eastAsia="Arial" w:cs="Times New Roman"/>
                <w:sz w:val="22"/>
                <w:lang w:val="fr-FR"/>
              </w:rPr>
              <w:t>Évaluation des risques toxicologiques des constituants d’un dispositif médical</w:t>
            </w:r>
          </w:p>
        </w:tc>
      </w:tr>
      <w:tr w:rsidR="00586415" w:rsidRPr="009461CC" w14:paraId="14855AA5" w14:textId="77777777" w:rsidTr="00293453">
        <w:tc>
          <w:tcPr>
            <w:tcW w:w="5000" w:type="pct"/>
            <w:gridSpan w:val="2"/>
            <w:shd w:val="clear" w:color="auto" w:fill="E7E6E6" w:themeFill="background2"/>
          </w:tcPr>
          <w:p w14:paraId="781D3BA0" w14:textId="77777777" w:rsidR="00586415" w:rsidRPr="009461CC" w:rsidRDefault="00586415" w:rsidP="00C36DF6">
            <w:pPr>
              <w:spacing w:after="0" w:afterAutospacing="0" w:line="216" w:lineRule="auto"/>
              <w:jc w:val="center"/>
              <w:rPr>
                <w:rFonts w:cs="Times New Roman"/>
                <w:sz w:val="22"/>
              </w:rPr>
            </w:pPr>
            <w:r>
              <w:rPr>
                <w:rFonts w:eastAsia="Arial" w:cs="Times New Roman"/>
                <w:b/>
                <w:bCs/>
                <w:sz w:val="22"/>
                <w:lang w:val="fr-FR"/>
              </w:rPr>
              <w:t>Évaluation clinique</w:t>
            </w:r>
          </w:p>
        </w:tc>
      </w:tr>
      <w:tr w:rsidR="00586415" w:rsidRPr="003E0201" w14:paraId="1F26EC64" w14:textId="77777777" w:rsidTr="00293453">
        <w:tc>
          <w:tcPr>
            <w:tcW w:w="1129" w:type="pct"/>
          </w:tcPr>
          <w:p w14:paraId="5AF3269C" w14:textId="4ECDCA3E" w:rsidR="00586415" w:rsidRPr="009461CC" w:rsidRDefault="00586415" w:rsidP="00C36DF6">
            <w:pPr>
              <w:spacing w:after="0" w:afterAutospacing="0" w:line="216" w:lineRule="auto"/>
              <w:rPr>
                <w:rFonts w:cs="Times New Roman"/>
                <w:bCs/>
                <w:sz w:val="22"/>
              </w:rPr>
            </w:pPr>
            <w:r>
              <w:rPr>
                <w:rFonts w:eastAsia="Arial" w:cs="Times New Roman"/>
                <w:sz w:val="22"/>
                <w:lang w:val="fr-FR"/>
              </w:rPr>
              <w:t>MEDDEV 2.7/1 R</w:t>
            </w:r>
            <w:r w:rsidR="00CE53A8">
              <w:rPr>
                <w:rFonts w:eastAsia="Arial" w:cs="Times New Roman"/>
                <w:sz w:val="22"/>
                <w:lang w:val="fr-FR"/>
              </w:rPr>
              <w:t>e</w:t>
            </w:r>
            <w:r>
              <w:rPr>
                <w:rFonts w:eastAsia="Arial" w:cs="Times New Roman"/>
                <w:sz w:val="22"/>
                <w:lang w:val="fr-FR"/>
              </w:rPr>
              <w:t>v4</w:t>
            </w:r>
          </w:p>
        </w:tc>
        <w:tc>
          <w:tcPr>
            <w:tcW w:w="3871" w:type="pct"/>
          </w:tcPr>
          <w:p w14:paraId="3D1D1121" w14:textId="77777777" w:rsidR="00586415" w:rsidRPr="00CE53A8" w:rsidRDefault="00586415" w:rsidP="00C36DF6">
            <w:pPr>
              <w:spacing w:after="0" w:afterAutospacing="0" w:line="216" w:lineRule="auto"/>
              <w:rPr>
                <w:rFonts w:cs="Times New Roman"/>
                <w:sz w:val="22"/>
                <w:lang w:val="fr-FR"/>
              </w:rPr>
            </w:pPr>
            <w:r>
              <w:rPr>
                <w:rFonts w:cs="Times New Roman"/>
                <w:sz w:val="22"/>
                <w:lang w:val="fr-FR"/>
              </w:rPr>
              <w:t>Évaluation clinique : Guide à l’intention des fabricants et des organismes notifiés</w:t>
            </w:r>
          </w:p>
        </w:tc>
      </w:tr>
      <w:tr w:rsidR="00586415" w:rsidRPr="009461CC" w14:paraId="59A5C57A" w14:textId="77777777" w:rsidTr="00293453">
        <w:tc>
          <w:tcPr>
            <w:tcW w:w="5000" w:type="pct"/>
            <w:gridSpan w:val="2"/>
            <w:shd w:val="clear" w:color="auto" w:fill="E7E6E6" w:themeFill="background2"/>
          </w:tcPr>
          <w:p w14:paraId="33478428" w14:textId="77777777" w:rsidR="00586415" w:rsidRPr="009461CC" w:rsidRDefault="00586415" w:rsidP="00C36DF6">
            <w:pPr>
              <w:spacing w:after="0" w:afterAutospacing="0" w:line="216" w:lineRule="auto"/>
              <w:jc w:val="center"/>
              <w:rPr>
                <w:rFonts w:cs="Times New Roman"/>
                <w:sz w:val="22"/>
              </w:rPr>
            </w:pPr>
            <w:r>
              <w:rPr>
                <w:rFonts w:eastAsia="Arial" w:cs="Times New Roman"/>
                <w:b/>
                <w:bCs/>
                <w:sz w:val="22"/>
                <w:lang w:val="fr-FR"/>
              </w:rPr>
              <w:t>Maîtrise de la conception</w:t>
            </w:r>
          </w:p>
        </w:tc>
      </w:tr>
      <w:tr w:rsidR="00586415" w:rsidRPr="003E0201" w14:paraId="54F49ECD" w14:textId="77777777" w:rsidTr="00293453">
        <w:tc>
          <w:tcPr>
            <w:tcW w:w="1129" w:type="pct"/>
          </w:tcPr>
          <w:p w14:paraId="4795B615" w14:textId="77777777" w:rsidR="00586415" w:rsidRPr="009461CC" w:rsidRDefault="00586415" w:rsidP="00C36DF6">
            <w:pPr>
              <w:spacing w:after="0" w:afterAutospacing="0" w:line="216" w:lineRule="auto"/>
              <w:rPr>
                <w:rFonts w:cs="Times New Roman"/>
                <w:sz w:val="22"/>
              </w:rPr>
            </w:pPr>
            <w:r>
              <w:rPr>
                <w:rFonts w:cs="Times New Roman"/>
                <w:sz w:val="22"/>
                <w:lang w:val="fr-FR"/>
              </w:rPr>
              <w:t>EN ISO 14971</w:t>
            </w:r>
          </w:p>
        </w:tc>
        <w:tc>
          <w:tcPr>
            <w:tcW w:w="3871" w:type="pct"/>
          </w:tcPr>
          <w:p w14:paraId="55771886" w14:textId="77777777" w:rsidR="00586415" w:rsidRPr="00CE53A8" w:rsidRDefault="00586415" w:rsidP="00C36DF6">
            <w:pPr>
              <w:spacing w:after="0" w:afterAutospacing="0" w:line="216" w:lineRule="auto"/>
              <w:rPr>
                <w:rFonts w:cs="Times New Roman"/>
                <w:sz w:val="22"/>
                <w:lang w:val="fr-FR"/>
              </w:rPr>
            </w:pPr>
            <w:r>
              <w:rPr>
                <w:rFonts w:cs="Times New Roman"/>
                <w:sz w:val="22"/>
                <w:lang w:val="fr-FR"/>
              </w:rPr>
              <w:t>Dispositifs médicaux – Application de la gestion des risques aux dispositifs médicaux</w:t>
            </w:r>
          </w:p>
        </w:tc>
      </w:tr>
      <w:tr w:rsidR="00586415" w:rsidRPr="003E0201" w14:paraId="48F71F50" w14:textId="77777777" w:rsidTr="00293453">
        <w:tc>
          <w:tcPr>
            <w:tcW w:w="1129" w:type="pct"/>
          </w:tcPr>
          <w:p w14:paraId="477CFB4F" w14:textId="77777777" w:rsidR="00586415" w:rsidRPr="00CE53A8" w:rsidRDefault="00586415" w:rsidP="00C36DF6">
            <w:pPr>
              <w:spacing w:after="0" w:afterAutospacing="0" w:line="216" w:lineRule="auto"/>
              <w:jc w:val="center"/>
              <w:rPr>
                <w:rFonts w:cs="Times New Roman"/>
                <w:sz w:val="22"/>
                <w:lang w:val="fr-FR"/>
              </w:rPr>
            </w:pPr>
          </w:p>
        </w:tc>
        <w:tc>
          <w:tcPr>
            <w:tcW w:w="3871" w:type="pct"/>
          </w:tcPr>
          <w:p w14:paraId="20C1E190" w14:textId="77777777" w:rsidR="00586415" w:rsidRPr="00CE53A8" w:rsidRDefault="00586415" w:rsidP="00C36DF6">
            <w:pPr>
              <w:spacing w:after="0" w:afterAutospacing="0" w:line="216" w:lineRule="auto"/>
              <w:rPr>
                <w:rFonts w:cs="Times New Roman"/>
                <w:sz w:val="22"/>
                <w:lang w:val="fr-FR"/>
              </w:rPr>
            </w:pPr>
          </w:p>
        </w:tc>
      </w:tr>
      <w:tr w:rsidR="00586415" w:rsidRPr="009461CC" w14:paraId="0064DEC6" w14:textId="77777777" w:rsidTr="00293453">
        <w:tc>
          <w:tcPr>
            <w:tcW w:w="5000" w:type="pct"/>
            <w:gridSpan w:val="2"/>
            <w:shd w:val="clear" w:color="auto" w:fill="E7E6E6" w:themeFill="background2"/>
          </w:tcPr>
          <w:p w14:paraId="4B791D46" w14:textId="77777777" w:rsidR="00586415" w:rsidRPr="009461CC" w:rsidRDefault="00586415" w:rsidP="00C36DF6">
            <w:pPr>
              <w:spacing w:after="0" w:afterAutospacing="0" w:line="216" w:lineRule="auto"/>
              <w:jc w:val="center"/>
              <w:rPr>
                <w:rFonts w:cs="Times New Roman"/>
                <w:b/>
                <w:bCs/>
                <w:sz w:val="22"/>
              </w:rPr>
            </w:pPr>
            <w:r>
              <w:rPr>
                <w:rFonts w:cs="Times New Roman"/>
                <w:b/>
                <w:bCs/>
                <w:sz w:val="22"/>
                <w:lang w:val="fr-FR"/>
              </w:rPr>
              <w:t>Aptitude à l’utilisation</w:t>
            </w:r>
          </w:p>
        </w:tc>
      </w:tr>
      <w:tr w:rsidR="00586415" w:rsidRPr="003E0201" w14:paraId="29A23DD2" w14:textId="77777777" w:rsidTr="00293453">
        <w:tc>
          <w:tcPr>
            <w:tcW w:w="1129" w:type="pct"/>
          </w:tcPr>
          <w:p w14:paraId="38C30B53" w14:textId="77777777" w:rsidR="00586415" w:rsidRPr="009461CC" w:rsidRDefault="00586415" w:rsidP="00C36DF6">
            <w:pPr>
              <w:spacing w:after="0" w:afterAutospacing="0" w:line="216" w:lineRule="auto"/>
              <w:rPr>
                <w:rFonts w:cs="Times New Roman"/>
                <w:sz w:val="22"/>
              </w:rPr>
            </w:pPr>
            <w:r>
              <w:rPr>
                <w:rFonts w:cs="Times New Roman"/>
                <w:sz w:val="22"/>
                <w:lang w:val="fr-FR"/>
              </w:rPr>
              <w:t>IEC 62366-1:2015 et</w:t>
            </w:r>
          </w:p>
          <w:p w14:paraId="2D964E3D" w14:textId="77777777" w:rsidR="00586415" w:rsidRPr="009461CC" w:rsidRDefault="00586415" w:rsidP="00C36DF6">
            <w:pPr>
              <w:spacing w:after="0" w:afterAutospacing="0" w:line="216" w:lineRule="auto"/>
              <w:rPr>
                <w:rFonts w:cs="Times New Roman"/>
                <w:sz w:val="22"/>
              </w:rPr>
            </w:pPr>
            <w:r>
              <w:rPr>
                <w:rFonts w:cs="Times New Roman"/>
                <w:sz w:val="22"/>
                <w:lang w:val="fr-FR"/>
              </w:rPr>
              <w:t>IEC 62366-1:2015/ COR1:2016</w:t>
            </w:r>
          </w:p>
        </w:tc>
        <w:tc>
          <w:tcPr>
            <w:tcW w:w="3871" w:type="pct"/>
          </w:tcPr>
          <w:p w14:paraId="7A444F47" w14:textId="77777777" w:rsidR="00586415" w:rsidRPr="00CE53A8" w:rsidRDefault="00586415" w:rsidP="00C36DF6">
            <w:pPr>
              <w:spacing w:after="0" w:afterAutospacing="0" w:line="216" w:lineRule="auto"/>
              <w:rPr>
                <w:rFonts w:cs="Times New Roman"/>
                <w:sz w:val="22"/>
                <w:lang w:val="fr-FR"/>
              </w:rPr>
            </w:pPr>
            <w:r>
              <w:rPr>
                <w:rFonts w:cs="Times New Roman"/>
                <w:sz w:val="22"/>
                <w:lang w:val="fr-FR"/>
              </w:rPr>
              <w:t>Dispositifs médicaux – Application de l’ingénierie de l’aptitude à l’utilisation aux dispositifs médicaux</w:t>
            </w:r>
          </w:p>
        </w:tc>
      </w:tr>
      <w:tr w:rsidR="00586415" w:rsidRPr="009461CC" w14:paraId="075E02B3" w14:textId="77777777" w:rsidTr="00293453">
        <w:tc>
          <w:tcPr>
            <w:tcW w:w="5000" w:type="pct"/>
            <w:gridSpan w:val="2"/>
            <w:shd w:val="clear" w:color="auto" w:fill="E7E6E6" w:themeFill="background2"/>
          </w:tcPr>
          <w:p w14:paraId="502A71D6" w14:textId="77777777" w:rsidR="00586415" w:rsidRPr="009461CC" w:rsidRDefault="00586415" w:rsidP="00C36DF6">
            <w:pPr>
              <w:spacing w:after="0" w:afterAutospacing="0" w:line="216" w:lineRule="auto"/>
              <w:jc w:val="center"/>
              <w:rPr>
                <w:rFonts w:cs="Times New Roman"/>
                <w:b/>
                <w:bCs/>
                <w:sz w:val="22"/>
              </w:rPr>
            </w:pPr>
            <w:r>
              <w:rPr>
                <w:rFonts w:cs="Times New Roman"/>
                <w:b/>
                <w:bCs/>
                <w:sz w:val="22"/>
                <w:lang w:val="fr-FR"/>
              </w:rPr>
              <w:t>Emballage</w:t>
            </w:r>
          </w:p>
        </w:tc>
      </w:tr>
      <w:tr w:rsidR="00586415" w:rsidRPr="003E0201" w14:paraId="0144C9E3"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C9A4C58" w14:textId="77777777" w:rsidR="00586415" w:rsidRPr="009461CC" w:rsidRDefault="00586415" w:rsidP="00C36DF6">
            <w:pPr>
              <w:spacing w:after="0" w:afterAutospacing="0" w:line="216" w:lineRule="auto"/>
              <w:rPr>
                <w:rFonts w:cs="Times New Roman"/>
                <w:bCs/>
                <w:sz w:val="22"/>
              </w:rPr>
            </w:pPr>
            <w:r>
              <w:rPr>
                <w:rFonts w:eastAsia="Arial" w:cs="Times New Roman"/>
                <w:sz w:val="22"/>
                <w:lang w:val="fr-FR"/>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066F921B" w14:textId="77777777" w:rsidR="00586415" w:rsidRPr="00CE53A8" w:rsidRDefault="00586415" w:rsidP="00C36DF6">
            <w:pPr>
              <w:spacing w:after="0" w:afterAutospacing="0" w:line="216" w:lineRule="auto"/>
              <w:rPr>
                <w:rFonts w:cs="Times New Roman"/>
                <w:sz w:val="22"/>
                <w:lang w:val="fr-FR"/>
              </w:rPr>
            </w:pPr>
            <w:r>
              <w:rPr>
                <w:rFonts w:eastAsia="Arial" w:cs="Times New Roman"/>
                <w:sz w:val="22"/>
                <w:lang w:val="fr-FR"/>
              </w:rPr>
              <w:t xml:space="preserve">Emballage des dispositifs médicaux stérilisés en phase terminale Partie 1 : Exigences relatives aux matériaux, aux systèmes de barrière stérile et aux systèmes d’emballage </w:t>
            </w:r>
          </w:p>
        </w:tc>
      </w:tr>
      <w:tr w:rsidR="00586415" w:rsidRPr="003E0201" w14:paraId="32D78976"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4701C628" w14:textId="77777777" w:rsidR="00586415" w:rsidRPr="009461CC" w:rsidRDefault="00586415" w:rsidP="00C36DF6">
            <w:pPr>
              <w:spacing w:after="16" w:afterAutospacing="0" w:line="216" w:lineRule="auto"/>
              <w:ind w:left="1"/>
              <w:rPr>
                <w:rFonts w:cs="Times New Roman"/>
                <w:bCs/>
                <w:sz w:val="22"/>
              </w:rPr>
            </w:pPr>
            <w:r>
              <w:rPr>
                <w:rFonts w:eastAsia="Arial" w:cs="Times New Roman"/>
                <w:sz w:val="22"/>
                <w:lang w:val="fr-FR"/>
              </w:rPr>
              <w:t>EN ISO 11607-2:2020</w:t>
            </w:r>
          </w:p>
          <w:p w14:paraId="2A1BCB52" w14:textId="77777777" w:rsidR="00586415" w:rsidRPr="009461CC" w:rsidRDefault="00586415" w:rsidP="00C36DF6">
            <w:pPr>
              <w:spacing w:after="0" w:afterAutospacing="0" w:line="216" w:lineRule="auto"/>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0753BF1E" w14:textId="77777777" w:rsidR="00586415" w:rsidRPr="00CE53A8" w:rsidRDefault="00586415" w:rsidP="00C36DF6">
            <w:pPr>
              <w:spacing w:after="0" w:afterAutospacing="0" w:line="216" w:lineRule="auto"/>
              <w:rPr>
                <w:rFonts w:cs="Times New Roman"/>
                <w:sz w:val="22"/>
                <w:lang w:val="fr-FR"/>
              </w:rPr>
            </w:pPr>
            <w:r>
              <w:rPr>
                <w:rFonts w:eastAsia="Arial" w:cs="Times New Roman"/>
                <w:sz w:val="22"/>
                <w:lang w:val="fr-FR"/>
              </w:rPr>
              <w:t xml:space="preserve">Emballage des dispositifs médicaux stérilisés en phase terminale Partie 2 : Exigences de validation pour les processus de formage, de scellage et d’assemblage </w:t>
            </w:r>
          </w:p>
        </w:tc>
      </w:tr>
      <w:tr w:rsidR="00586415" w:rsidRPr="003E0201" w14:paraId="1D891E6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1C14A1D" w14:textId="77777777" w:rsidR="00586415" w:rsidRPr="009461CC" w:rsidRDefault="00586415" w:rsidP="00C36DF6">
            <w:pPr>
              <w:spacing w:after="14" w:afterAutospacing="0" w:line="216" w:lineRule="auto"/>
              <w:ind w:left="1"/>
              <w:rPr>
                <w:rFonts w:cs="Times New Roman"/>
                <w:bCs/>
                <w:sz w:val="22"/>
              </w:rPr>
            </w:pPr>
            <w:r>
              <w:rPr>
                <w:rFonts w:eastAsia="Arial" w:cs="Times New Roman"/>
                <w:sz w:val="22"/>
                <w:lang w:val="fr-FR"/>
              </w:rPr>
              <w:t>EN ISO 2233:2001</w:t>
            </w:r>
          </w:p>
          <w:p w14:paraId="3F44F0A2" w14:textId="77777777" w:rsidR="00586415" w:rsidRPr="009461CC" w:rsidRDefault="00586415" w:rsidP="00C36DF6">
            <w:pPr>
              <w:spacing w:after="0" w:afterAutospacing="0" w:line="216" w:lineRule="auto"/>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D0563C" w14:textId="77777777" w:rsidR="00586415" w:rsidRPr="00CE53A8" w:rsidRDefault="00586415" w:rsidP="00C36DF6">
            <w:pPr>
              <w:spacing w:after="0" w:afterAutospacing="0" w:line="216" w:lineRule="auto"/>
              <w:rPr>
                <w:rFonts w:cs="Times New Roman"/>
                <w:sz w:val="22"/>
                <w:lang w:val="fr-FR"/>
              </w:rPr>
            </w:pPr>
            <w:r>
              <w:rPr>
                <w:rFonts w:eastAsia="Arial" w:cs="Times New Roman"/>
                <w:sz w:val="22"/>
                <w:lang w:val="fr-FR"/>
              </w:rPr>
              <w:t xml:space="preserve">Emballage – Colis de transport complets, remplis, et unités de charge – Conditionnement pour essais </w:t>
            </w:r>
          </w:p>
        </w:tc>
      </w:tr>
      <w:tr w:rsidR="00586415" w:rsidRPr="003E0201" w14:paraId="7DFBA78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06030C2" w14:textId="77777777" w:rsidR="00586415" w:rsidRPr="009461CC" w:rsidRDefault="00586415" w:rsidP="00C36DF6">
            <w:pPr>
              <w:spacing w:after="0" w:afterAutospacing="0" w:line="216" w:lineRule="auto"/>
              <w:rPr>
                <w:rFonts w:cs="Times New Roman"/>
                <w:bCs/>
                <w:sz w:val="22"/>
              </w:rPr>
            </w:pPr>
            <w:hyperlink r:id="rId10">
              <w:r>
                <w:rPr>
                  <w:rFonts w:eastAsia="Arial" w:cs="Times New Roman"/>
                  <w:sz w:val="22"/>
                  <w:lang w:val="fr-FR"/>
                </w:rPr>
                <w:t xml:space="preserve">ASTM D4169 </w:t>
              </w:r>
            </w:hyperlink>
            <w:r>
              <w:rPr>
                <w:rFonts w:eastAsia="Arial" w:cs="Times New Roman"/>
                <w:sz w:val="22"/>
                <w:lang w:val="fr-FR"/>
              </w:rPr>
              <w:t>:2022</w:t>
            </w:r>
            <w:hyperlink r:id="rId11">
              <w:r>
                <w:rPr>
                  <w:rFonts w:eastAsia="Arial" w:cs="Times New Roman"/>
                  <w:sz w:val="22"/>
                  <w:lang w:val="fr-FR"/>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53B460F" w14:textId="77777777" w:rsidR="00586415" w:rsidRPr="00CE53A8" w:rsidRDefault="00586415" w:rsidP="00C36DF6">
            <w:pPr>
              <w:spacing w:after="0" w:afterAutospacing="0" w:line="216" w:lineRule="auto"/>
              <w:rPr>
                <w:rFonts w:cs="Times New Roman"/>
                <w:sz w:val="22"/>
                <w:lang w:val="fr-FR"/>
              </w:rPr>
            </w:pPr>
            <w:r>
              <w:rPr>
                <w:rFonts w:eastAsia="Arial" w:cs="Times New Roman"/>
                <w:sz w:val="22"/>
                <w:lang w:val="fr-FR"/>
              </w:rPr>
              <w:t xml:space="preserve">Pratique normalisée pour les essais de performance des conteneurs et systèmes d’expédition – </w:t>
            </w:r>
          </w:p>
        </w:tc>
      </w:tr>
      <w:tr w:rsidR="00586415" w:rsidRPr="009461CC" w14:paraId="1A9015D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A55FC05" w14:textId="77777777" w:rsidR="00586415" w:rsidRPr="009461CC" w:rsidRDefault="00586415" w:rsidP="00C36DF6">
            <w:pPr>
              <w:spacing w:after="0" w:afterAutospacing="0" w:line="216" w:lineRule="auto"/>
              <w:rPr>
                <w:rFonts w:cs="Times New Roman"/>
                <w:bCs/>
                <w:sz w:val="22"/>
              </w:rPr>
            </w:pPr>
            <w:hyperlink r:id="rId12">
              <w:r>
                <w:rPr>
                  <w:rFonts w:eastAsia="Arial" w:cs="Times New Roman"/>
                  <w:sz w:val="22"/>
                  <w:lang w:val="fr-FR"/>
                </w:rPr>
                <w:t xml:space="preserve">ASTM F2096 </w:t>
              </w:r>
            </w:hyperlink>
            <w:hyperlink r:id="rId13">
              <w:r>
                <w:rPr>
                  <w:rFonts w:eastAsia="Arial" w:cs="Times New Roman"/>
                  <w:sz w:val="22"/>
                  <w:lang w:val="fr-FR"/>
                </w:rPr>
                <w:t xml:space="preserve">– </w:t>
              </w:r>
            </w:hyperlink>
            <w:r>
              <w:rPr>
                <w:rFonts w:eastAsia="Arial" w:cs="Times New Roman"/>
                <w:sz w:val="22"/>
                <w:lang w:val="fr-FR"/>
              </w:rPr>
              <w:t>20</w:t>
            </w:r>
            <w:hyperlink r:id="rId14">
              <w:r>
                <w:rPr>
                  <w:rFonts w:eastAsia="Arial" w:cs="Times New Roman"/>
                  <w:sz w:val="22"/>
                  <w:lang w:val="fr-FR"/>
                </w:rPr>
                <w:t xml:space="preserve">11 (R2019) </w:t>
              </w:r>
            </w:hyperlink>
            <w:hyperlink r:id="rId15">
              <w:r>
                <w:rPr>
                  <w:rFonts w:eastAsia="Arial" w:cs="Times New Roman"/>
                  <w:sz w:val="22"/>
                  <w:lang w:val="fr-FR"/>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0FB224E9" w14:textId="77777777" w:rsidR="00586415" w:rsidRPr="00CE53A8" w:rsidRDefault="00586415" w:rsidP="00C36DF6">
            <w:pPr>
              <w:spacing w:after="14" w:afterAutospacing="0" w:line="216" w:lineRule="auto"/>
              <w:rPr>
                <w:rFonts w:cs="Times New Roman"/>
                <w:sz w:val="22"/>
                <w:lang w:val="fr-FR"/>
              </w:rPr>
            </w:pPr>
            <w:r>
              <w:rPr>
                <w:rFonts w:eastAsia="Arial" w:cs="Times New Roman"/>
                <w:sz w:val="22"/>
                <w:lang w:val="fr-FR"/>
              </w:rPr>
              <w:t xml:space="preserve">Méthode d’essai normalisée pour la détection des fuites grossières dans </w:t>
            </w:r>
          </w:p>
          <w:p w14:paraId="403EB0FF" w14:textId="77777777" w:rsidR="00586415" w:rsidRPr="00CE53A8" w:rsidRDefault="00586415" w:rsidP="00C36DF6">
            <w:pPr>
              <w:spacing w:after="16" w:afterAutospacing="0" w:line="216" w:lineRule="auto"/>
              <w:rPr>
                <w:rFonts w:cs="Times New Roman"/>
                <w:sz w:val="22"/>
                <w:lang w:val="fr-FR"/>
              </w:rPr>
            </w:pPr>
            <w:proofErr w:type="gramStart"/>
            <w:r>
              <w:rPr>
                <w:rFonts w:eastAsia="Arial" w:cs="Times New Roman"/>
                <w:sz w:val="22"/>
                <w:lang w:val="fr-FR"/>
              </w:rPr>
              <w:t>les</w:t>
            </w:r>
            <w:proofErr w:type="gramEnd"/>
            <w:r>
              <w:rPr>
                <w:rFonts w:eastAsia="Arial" w:cs="Times New Roman"/>
                <w:sz w:val="22"/>
                <w:lang w:val="fr-FR"/>
              </w:rPr>
              <w:t xml:space="preserve"> emballages médicaux par pressurisation interne (essai de la bulle) </w:t>
            </w:r>
          </w:p>
          <w:p w14:paraId="401902E0" w14:textId="77777777" w:rsidR="00586415" w:rsidRPr="009461CC" w:rsidRDefault="00586415" w:rsidP="00C36DF6">
            <w:pPr>
              <w:spacing w:after="0" w:afterAutospacing="0" w:line="216" w:lineRule="auto"/>
              <w:rPr>
                <w:rFonts w:cs="Times New Roman"/>
                <w:sz w:val="22"/>
              </w:rPr>
            </w:pPr>
            <w:r>
              <w:rPr>
                <w:rFonts w:eastAsia="Arial" w:cs="Times New Roman"/>
                <w:sz w:val="22"/>
                <w:lang w:val="fr-FR"/>
              </w:rPr>
              <w:t xml:space="preserve">- ASTM F 2096-11 (2019) </w:t>
            </w:r>
          </w:p>
        </w:tc>
      </w:tr>
      <w:tr w:rsidR="00586415" w:rsidRPr="003E0201" w14:paraId="6A8F5AF4"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4A33B2B" w14:textId="77777777" w:rsidR="00586415" w:rsidRPr="009461CC" w:rsidRDefault="00586415" w:rsidP="00C36DF6">
            <w:pPr>
              <w:spacing w:after="0" w:afterAutospacing="0" w:line="216" w:lineRule="auto"/>
              <w:rPr>
                <w:rFonts w:cs="Times New Roman"/>
                <w:bCs/>
                <w:sz w:val="22"/>
              </w:rPr>
            </w:pPr>
            <w:hyperlink r:id="rId16">
              <w:r>
                <w:rPr>
                  <w:rFonts w:eastAsia="Arial" w:cs="Times New Roman"/>
                  <w:sz w:val="22"/>
                  <w:lang w:val="fr-FR"/>
                </w:rPr>
                <w:t xml:space="preserve">ASTM F1929 </w:t>
              </w:r>
            </w:hyperlink>
            <w:hyperlink r:id="rId17">
              <w:r>
                <w:rPr>
                  <w:rFonts w:eastAsia="Arial" w:cs="Times New Roman"/>
                  <w:sz w:val="22"/>
                  <w:lang w:val="fr-FR"/>
                </w:rPr>
                <w:t xml:space="preserve">– </w:t>
              </w:r>
            </w:hyperlink>
            <w:hyperlink r:id="rId18">
              <w:r>
                <w:rPr>
                  <w:rFonts w:eastAsia="Arial" w:cs="Times New Roman"/>
                  <w:sz w:val="22"/>
                  <w:lang w:val="fr-FR"/>
                </w:rPr>
                <w:t xml:space="preserve">15 </w:t>
              </w:r>
            </w:hyperlink>
            <w:hyperlink r:id="rId19">
              <w:r>
                <w:rPr>
                  <w:rFonts w:eastAsia="Arial" w:cs="Times New Roman"/>
                  <w:sz w:val="22"/>
                  <w:lang w:val="fr-FR"/>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5219479" w14:textId="77777777" w:rsidR="00586415" w:rsidRPr="00CE53A8" w:rsidRDefault="00586415" w:rsidP="00C36DF6">
            <w:pPr>
              <w:spacing w:after="14" w:afterAutospacing="0" w:line="216" w:lineRule="auto"/>
              <w:rPr>
                <w:rFonts w:cs="Times New Roman"/>
                <w:sz w:val="22"/>
                <w:lang w:val="fr-FR"/>
              </w:rPr>
            </w:pPr>
            <w:r>
              <w:rPr>
                <w:rFonts w:eastAsia="Arial" w:cs="Times New Roman"/>
                <w:sz w:val="22"/>
                <w:lang w:val="fr-FR"/>
              </w:rPr>
              <w:t xml:space="preserve">Méthode d’essai normalisée pour la détection des fuites de scellage dans les emballages médicaux poreux </w:t>
            </w:r>
          </w:p>
          <w:p w14:paraId="1449B41C" w14:textId="77777777" w:rsidR="00586415" w:rsidRPr="00CE53A8" w:rsidRDefault="00586415" w:rsidP="00C36DF6">
            <w:pPr>
              <w:spacing w:after="0" w:afterAutospacing="0" w:line="216" w:lineRule="auto"/>
              <w:rPr>
                <w:rFonts w:cs="Times New Roman"/>
                <w:sz w:val="22"/>
                <w:lang w:val="fr-FR"/>
              </w:rPr>
            </w:pPr>
            <w:proofErr w:type="gramStart"/>
            <w:r>
              <w:rPr>
                <w:rFonts w:eastAsia="Arial" w:cs="Times New Roman"/>
                <w:sz w:val="22"/>
                <w:lang w:val="fr-FR"/>
              </w:rPr>
              <w:t>par</w:t>
            </w:r>
            <w:proofErr w:type="gramEnd"/>
            <w:r>
              <w:rPr>
                <w:rFonts w:eastAsia="Arial" w:cs="Times New Roman"/>
                <w:sz w:val="22"/>
                <w:lang w:val="fr-FR"/>
              </w:rPr>
              <w:t xml:space="preserve"> pénétration de colorant – ASTM F 1929 </w:t>
            </w:r>
          </w:p>
        </w:tc>
      </w:tr>
      <w:tr w:rsidR="00586415" w:rsidRPr="003E0201" w14:paraId="5231BAAE"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8A1391B" w14:textId="77777777" w:rsidR="00586415" w:rsidRPr="009461CC" w:rsidRDefault="00586415" w:rsidP="00C36DF6">
            <w:pPr>
              <w:spacing w:after="0" w:afterAutospacing="0" w:line="216" w:lineRule="auto"/>
              <w:rPr>
                <w:rFonts w:cs="Times New Roman"/>
                <w:bCs/>
                <w:sz w:val="22"/>
              </w:rPr>
            </w:pPr>
            <w:hyperlink r:id="rId20">
              <w:r>
                <w:rPr>
                  <w:rFonts w:eastAsia="Arial" w:cs="Times New Roman"/>
                  <w:sz w:val="22"/>
                  <w:lang w:val="fr-FR"/>
                </w:rPr>
                <w:t xml:space="preserve">ASTM F88 / F88M </w:t>
              </w:r>
            </w:hyperlink>
            <w:hyperlink r:id="rId21">
              <w:r>
                <w:rPr>
                  <w:rFonts w:eastAsia="Arial" w:cs="Times New Roman"/>
                  <w:sz w:val="22"/>
                  <w:lang w:val="fr-FR"/>
                </w:rPr>
                <w:t xml:space="preserve">– </w:t>
              </w:r>
            </w:hyperlink>
            <w:r>
              <w:rPr>
                <w:rFonts w:eastAsia="Arial" w:cs="Times New Roman"/>
                <w:sz w:val="22"/>
                <w:lang w:val="fr-FR"/>
              </w:rPr>
              <w:t>2021</w:t>
            </w:r>
            <w:hyperlink r:id="rId22">
              <w:r>
                <w:rPr>
                  <w:rFonts w:eastAsia="Arial" w:cs="Times New Roman"/>
                  <w:sz w:val="22"/>
                  <w:lang w:val="fr-FR"/>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C187AF3" w14:textId="77777777" w:rsidR="00586415" w:rsidRPr="00CE53A8" w:rsidRDefault="00586415" w:rsidP="00C36DF6">
            <w:pPr>
              <w:spacing w:after="0" w:afterAutospacing="0" w:line="216" w:lineRule="auto"/>
              <w:rPr>
                <w:rFonts w:cs="Times New Roman"/>
                <w:sz w:val="22"/>
                <w:lang w:val="fr-FR"/>
              </w:rPr>
            </w:pPr>
            <w:r>
              <w:rPr>
                <w:rFonts w:eastAsia="Arial" w:cs="Times New Roman"/>
                <w:sz w:val="22"/>
                <w:lang w:val="fr-FR"/>
              </w:rPr>
              <w:t xml:space="preserve">Méthode d’essai normalisée pour la résistance du scellage des matériaux barrières flexibles – ASTM F88 </w:t>
            </w:r>
          </w:p>
        </w:tc>
      </w:tr>
      <w:tr w:rsidR="00586415" w:rsidRPr="003E0201" w14:paraId="08E5E70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58D38F88" w14:textId="77777777" w:rsidR="00586415" w:rsidRPr="009461CC" w:rsidRDefault="00586415" w:rsidP="00C36DF6">
            <w:pPr>
              <w:spacing w:after="0" w:afterAutospacing="0" w:line="216" w:lineRule="auto"/>
              <w:rPr>
                <w:rFonts w:cs="Times New Roman"/>
                <w:bCs/>
                <w:sz w:val="22"/>
              </w:rPr>
            </w:pPr>
            <w:hyperlink r:id="rId23">
              <w:r>
                <w:rPr>
                  <w:rFonts w:eastAsia="Arial" w:cs="Times New Roman"/>
                  <w:sz w:val="22"/>
                  <w:lang w:val="fr-FR"/>
                </w:rPr>
                <w:t xml:space="preserve">ASTM F1980 </w:t>
              </w:r>
            </w:hyperlink>
            <w:hyperlink r:id="rId24">
              <w:r>
                <w:rPr>
                  <w:rFonts w:eastAsia="Arial" w:cs="Times New Roman"/>
                  <w:sz w:val="22"/>
                  <w:lang w:val="fr-FR"/>
                </w:rPr>
                <w:t xml:space="preserve">– </w:t>
              </w:r>
            </w:hyperlink>
            <w:r>
              <w:rPr>
                <w:rFonts w:eastAsia="Arial" w:cs="Times New Roman"/>
                <w:sz w:val="22"/>
                <w:lang w:val="fr-FR"/>
              </w:rPr>
              <w:t>2021</w:t>
            </w:r>
            <w:hyperlink r:id="rId25">
              <w:r>
                <w:rPr>
                  <w:rFonts w:eastAsia="Arial" w:cs="Times New Roman"/>
                  <w:sz w:val="22"/>
                  <w:lang w:val="fr-FR"/>
                </w:rPr>
                <w:t xml:space="preserve"> </w:t>
              </w:r>
            </w:hyperlink>
            <w:hyperlink r:id="rId26">
              <w:r>
                <w:rPr>
                  <w:rFonts w:eastAsia="Arial" w:cs="Times New Roman"/>
                  <w:sz w:val="22"/>
                  <w:lang w:val="fr-FR"/>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47364AF1" w14:textId="77777777" w:rsidR="00586415" w:rsidRPr="00CE53A8" w:rsidRDefault="00586415" w:rsidP="00C36DF6">
            <w:pPr>
              <w:spacing w:after="0" w:afterAutospacing="0" w:line="216" w:lineRule="auto"/>
              <w:rPr>
                <w:rFonts w:cs="Times New Roman"/>
                <w:sz w:val="22"/>
                <w:lang w:val="fr-FR"/>
              </w:rPr>
            </w:pPr>
            <w:r>
              <w:rPr>
                <w:rFonts w:eastAsia="Arial" w:cs="Times New Roman"/>
                <w:sz w:val="22"/>
                <w:lang w:val="fr-FR"/>
              </w:rPr>
              <w:t xml:space="preserve">Guide normalisé pour le vieillissement accéléré des systèmes de barrière stérile pour dispositifs médicaux – ASTM F1980 </w:t>
            </w:r>
          </w:p>
        </w:tc>
      </w:tr>
      <w:tr w:rsidR="00586415" w:rsidRPr="009461CC" w14:paraId="0F76587E" w14:textId="77777777" w:rsidTr="00293453">
        <w:tc>
          <w:tcPr>
            <w:tcW w:w="5000" w:type="pct"/>
            <w:gridSpan w:val="2"/>
            <w:shd w:val="clear" w:color="auto" w:fill="E7E6E6" w:themeFill="background2"/>
          </w:tcPr>
          <w:p w14:paraId="76DCCB76" w14:textId="77777777" w:rsidR="00586415" w:rsidRPr="009461CC" w:rsidRDefault="00586415" w:rsidP="00C36DF6">
            <w:pPr>
              <w:spacing w:after="0" w:afterAutospacing="0" w:line="216" w:lineRule="auto"/>
              <w:jc w:val="center"/>
              <w:rPr>
                <w:rFonts w:cs="Times New Roman"/>
                <w:b/>
                <w:bCs/>
                <w:sz w:val="22"/>
              </w:rPr>
            </w:pPr>
            <w:r>
              <w:rPr>
                <w:rFonts w:cs="Times New Roman"/>
                <w:b/>
                <w:bCs/>
                <w:sz w:val="22"/>
                <w:lang w:val="fr-FR"/>
              </w:rPr>
              <w:t>Suivi clinique post-commercialisation</w:t>
            </w:r>
          </w:p>
        </w:tc>
      </w:tr>
      <w:tr w:rsidR="00586415" w:rsidRPr="003E0201" w14:paraId="72BDA171" w14:textId="77777777" w:rsidTr="00293453">
        <w:tc>
          <w:tcPr>
            <w:tcW w:w="1129" w:type="pct"/>
          </w:tcPr>
          <w:p w14:paraId="4A2D9F88" w14:textId="3F72AC9D" w:rsidR="00586415" w:rsidRPr="009461CC" w:rsidRDefault="00586415" w:rsidP="00C36DF6">
            <w:pPr>
              <w:spacing w:after="0" w:afterAutospacing="0" w:line="216" w:lineRule="auto"/>
              <w:jc w:val="center"/>
              <w:rPr>
                <w:rFonts w:cs="Times New Roman"/>
                <w:sz w:val="22"/>
              </w:rPr>
            </w:pPr>
            <w:r>
              <w:rPr>
                <w:rFonts w:cs="Times New Roman"/>
                <w:sz w:val="22"/>
                <w:lang w:val="fr-FR"/>
              </w:rPr>
              <w:t>MEDDEV 2.12/2 R</w:t>
            </w:r>
            <w:r w:rsidR="00295423">
              <w:rPr>
                <w:rFonts w:cs="Times New Roman"/>
                <w:sz w:val="22"/>
                <w:lang w:val="fr-FR"/>
              </w:rPr>
              <w:t>e</w:t>
            </w:r>
            <w:r>
              <w:rPr>
                <w:rFonts w:cs="Times New Roman"/>
                <w:sz w:val="22"/>
                <w:lang w:val="fr-FR"/>
              </w:rPr>
              <w:t>v2</w:t>
            </w:r>
          </w:p>
        </w:tc>
        <w:tc>
          <w:tcPr>
            <w:tcW w:w="3871" w:type="pct"/>
          </w:tcPr>
          <w:p w14:paraId="534E025E" w14:textId="77777777" w:rsidR="00586415" w:rsidRPr="00CE53A8" w:rsidRDefault="00586415" w:rsidP="00C36DF6">
            <w:pPr>
              <w:spacing w:after="0" w:afterAutospacing="0" w:line="216" w:lineRule="auto"/>
              <w:rPr>
                <w:rFonts w:cs="Times New Roman"/>
                <w:sz w:val="22"/>
                <w:lang w:val="fr-FR"/>
              </w:rPr>
            </w:pPr>
            <w:r>
              <w:rPr>
                <w:rFonts w:cs="Times New Roman"/>
                <w:sz w:val="22"/>
                <w:lang w:val="fr-FR"/>
              </w:rPr>
              <w:t>Études de suivi clinique post-commercialisation</w:t>
            </w:r>
          </w:p>
        </w:tc>
      </w:tr>
      <w:tr w:rsidR="00586415" w:rsidRPr="009461CC" w14:paraId="1CA6A5FC" w14:textId="77777777" w:rsidTr="00293453">
        <w:tc>
          <w:tcPr>
            <w:tcW w:w="5000" w:type="pct"/>
            <w:gridSpan w:val="2"/>
            <w:shd w:val="clear" w:color="auto" w:fill="E7E6E6" w:themeFill="background2"/>
          </w:tcPr>
          <w:p w14:paraId="6FE76F53" w14:textId="77777777" w:rsidR="00586415" w:rsidRPr="009461CC" w:rsidRDefault="00586415" w:rsidP="00C36DF6">
            <w:pPr>
              <w:spacing w:after="0" w:afterAutospacing="0" w:line="216" w:lineRule="auto"/>
              <w:jc w:val="center"/>
              <w:rPr>
                <w:rFonts w:cs="Times New Roman"/>
                <w:b/>
                <w:bCs/>
                <w:sz w:val="22"/>
              </w:rPr>
            </w:pPr>
            <w:r>
              <w:rPr>
                <w:rFonts w:cs="Times New Roman"/>
                <w:b/>
                <w:bCs/>
                <w:sz w:val="22"/>
                <w:lang w:val="fr-FR"/>
              </w:rPr>
              <w:t>Vigilance</w:t>
            </w:r>
          </w:p>
        </w:tc>
      </w:tr>
      <w:tr w:rsidR="00586415" w:rsidRPr="003E0201" w14:paraId="577ABEC8" w14:textId="77777777" w:rsidTr="00293453">
        <w:tc>
          <w:tcPr>
            <w:tcW w:w="1129" w:type="pct"/>
          </w:tcPr>
          <w:p w14:paraId="403A7E80" w14:textId="298267E1" w:rsidR="00586415" w:rsidRPr="009461CC" w:rsidRDefault="00586415" w:rsidP="00C36DF6">
            <w:pPr>
              <w:spacing w:after="0" w:afterAutospacing="0" w:line="216" w:lineRule="auto"/>
              <w:jc w:val="center"/>
              <w:rPr>
                <w:rFonts w:cs="Times New Roman"/>
                <w:sz w:val="22"/>
              </w:rPr>
            </w:pPr>
            <w:r>
              <w:rPr>
                <w:rFonts w:cs="Times New Roman"/>
                <w:sz w:val="22"/>
                <w:lang w:val="fr-FR"/>
              </w:rPr>
              <w:t>MEDDEV 2.12/1 R</w:t>
            </w:r>
            <w:r w:rsidR="00D0484D">
              <w:rPr>
                <w:rFonts w:cs="Times New Roman"/>
                <w:sz w:val="22"/>
                <w:lang w:val="fr-FR"/>
              </w:rPr>
              <w:t>e</w:t>
            </w:r>
            <w:r>
              <w:rPr>
                <w:rFonts w:cs="Times New Roman"/>
                <w:sz w:val="22"/>
                <w:lang w:val="fr-FR"/>
              </w:rPr>
              <w:t>v8</w:t>
            </w:r>
          </w:p>
        </w:tc>
        <w:tc>
          <w:tcPr>
            <w:tcW w:w="3871" w:type="pct"/>
          </w:tcPr>
          <w:p w14:paraId="1F13D90E" w14:textId="77777777" w:rsidR="00586415" w:rsidRPr="00CE53A8" w:rsidRDefault="00586415" w:rsidP="00C36DF6">
            <w:pPr>
              <w:spacing w:after="0" w:afterAutospacing="0" w:line="216" w:lineRule="auto"/>
              <w:rPr>
                <w:rFonts w:cs="Times New Roman"/>
                <w:sz w:val="22"/>
                <w:lang w:val="fr-FR"/>
              </w:rPr>
            </w:pPr>
            <w:r>
              <w:rPr>
                <w:rFonts w:cs="Times New Roman"/>
                <w:sz w:val="22"/>
                <w:lang w:val="fr-FR"/>
              </w:rPr>
              <w:t>Lignes directrices relatives au système de vigilance des dispositifs médicaux</w:t>
            </w:r>
          </w:p>
        </w:tc>
      </w:tr>
    </w:tbl>
    <w:p w14:paraId="06B25AF7" w14:textId="77777777" w:rsidR="00582286" w:rsidRPr="00CE53A8" w:rsidRDefault="00582286" w:rsidP="00C36DF6">
      <w:pPr>
        <w:spacing w:after="0" w:afterAutospacing="0" w:line="216" w:lineRule="auto"/>
        <w:rPr>
          <w:rFonts w:cs="Times New Roman"/>
          <w:lang w:val="fr-FR"/>
        </w:rPr>
      </w:pPr>
    </w:p>
    <w:p w14:paraId="6F757B16" w14:textId="77777777" w:rsidR="00601F87" w:rsidRPr="00CE53A8" w:rsidRDefault="00601F87" w:rsidP="00C36DF6">
      <w:pPr>
        <w:spacing w:after="0" w:afterAutospacing="0" w:line="216" w:lineRule="auto"/>
        <w:rPr>
          <w:rFonts w:cs="Times New Roman"/>
          <w:lang w:val="fr-FR"/>
        </w:rPr>
      </w:pPr>
    </w:p>
    <w:p w14:paraId="438059D7" w14:textId="77777777" w:rsidR="00601F87" w:rsidRPr="009461CC" w:rsidRDefault="00601F87" w:rsidP="00C36DF6">
      <w:pPr>
        <w:pStyle w:val="Heading1"/>
        <w:numPr>
          <w:ilvl w:val="0"/>
          <w:numId w:val="2"/>
        </w:numPr>
        <w:spacing w:line="216" w:lineRule="auto"/>
        <w:rPr>
          <w:rFonts w:cs="Times New Roman"/>
        </w:rPr>
      </w:pPr>
      <w:bookmarkStart w:id="80" w:name="_Toc181362715"/>
      <w:bookmarkStart w:id="81" w:name="_Toc222741393"/>
      <w:r>
        <w:rPr>
          <w:rFonts w:cs="Times New Roman"/>
          <w:bCs/>
          <w:lang w:val="fr-FR"/>
        </w:rPr>
        <w:t>Historique des révisions</w:t>
      </w:r>
      <w:bookmarkEnd w:id="80"/>
      <w:bookmarkEnd w:id="81"/>
    </w:p>
    <w:tbl>
      <w:tblPr>
        <w:tblStyle w:val="TableGrid"/>
        <w:tblW w:w="5000" w:type="pct"/>
        <w:tblLook w:val="04A0" w:firstRow="1" w:lastRow="0" w:firstColumn="1" w:lastColumn="0" w:noHBand="0" w:noVBand="1"/>
      </w:tblPr>
      <w:tblGrid>
        <w:gridCol w:w="1087"/>
        <w:gridCol w:w="1841"/>
        <w:gridCol w:w="4707"/>
        <w:gridCol w:w="2795"/>
      </w:tblGrid>
      <w:tr w:rsidR="00601F87" w:rsidRPr="003E0201" w14:paraId="5B6BFC55" w14:textId="77777777" w:rsidTr="00293453">
        <w:tc>
          <w:tcPr>
            <w:tcW w:w="575" w:type="pct"/>
          </w:tcPr>
          <w:p w14:paraId="2E035377" w14:textId="77777777" w:rsidR="00601F87" w:rsidRPr="009461CC" w:rsidRDefault="00601F87" w:rsidP="00C36DF6">
            <w:pPr>
              <w:spacing w:after="0" w:afterAutospacing="0" w:line="216" w:lineRule="auto"/>
              <w:rPr>
                <w:rFonts w:cs="Times New Roman"/>
                <w:b/>
                <w:sz w:val="22"/>
              </w:rPr>
            </w:pPr>
            <w:r>
              <w:rPr>
                <w:rFonts w:cs="Times New Roman"/>
                <w:b/>
                <w:bCs/>
                <w:sz w:val="22"/>
                <w:lang w:val="fr-FR"/>
              </w:rPr>
              <w:t>Révision</w:t>
            </w:r>
          </w:p>
        </w:tc>
        <w:tc>
          <w:tcPr>
            <w:tcW w:w="722" w:type="pct"/>
          </w:tcPr>
          <w:p w14:paraId="50A5C536" w14:textId="77777777" w:rsidR="00601F87" w:rsidRPr="009461CC" w:rsidRDefault="00601F87" w:rsidP="00C36DF6">
            <w:pPr>
              <w:spacing w:after="0" w:afterAutospacing="0" w:line="216" w:lineRule="auto"/>
              <w:rPr>
                <w:rFonts w:cs="Times New Roman"/>
                <w:b/>
                <w:sz w:val="22"/>
              </w:rPr>
            </w:pPr>
            <w:r>
              <w:rPr>
                <w:rFonts w:cs="Times New Roman"/>
                <w:b/>
                <w:bCs/>
                <w:sz w:val="22"/>
                <w:lang w:val="fr-FR"/>
              </w:rPr>
              <w:t>Date de publication</w:t>
            </w:r>
          </w:p>
        </w:tc>
        <w:tc>
          <w:tcPr>
            <w:tcW w:w="2310" w:type="pct"/>
          </w:tcPr>
          <w:p w14:paraId="028B7F50" w14:textId="77777777" w:rsidR="00601F87" w:rsidRPr="009461CC" w:rsidRDefault="00601F87" w:rsidP="00C36DF6">
            <w:pPr>
              <w:spacing w:after="0" w:afterAutospacing="0" w:line="216" w:lineRule="auto"/>
              <w:rPr>
                <w:rFonts w:cs="Times New Roman"/>
                <w:b/>
                <w:sz w:val="22"/>
              </w:rPr>
            </w:pPr>
            <w:r>
              <w:rPr>
                <w:rFonts w:cs="Times New Roman"/>
                <w:b/>
                <w:bCs/>
                <w:sz w:val="22"/>
                <w:lang w:val="fr-FR"/>
              </w:rPr>
              <w:t>Description des changements</w:t>
            </w:r>
          </w:p>
        </w:tc>
        <w:tc>
          <w:tcPr>
            <w:tcW w:w="1393" w:type="pct"/>
          </w:tcPr>
          <w:p w14:paraId="3C9FD99C" w14:textId="77777777" w:rsidR="00601F87" w:rsidRPr="00CE53A8" w:rsidRDefault="00601F87" w:rsidP="00C36DF6">
            <w:pPr>
              <w:spacing w:after="0" w:afterAutospacing="0" w:line="216" w:lineRule="auto"/>
              <w:rPr>
                <w:rFonts w:cs="Times New Roman"/>
                <w:b/>
                <w:sz w:val="22"/>
                <w:lang w:val="fr-FR"/>
              </w:rPr>
            </w:pPr>
            <w:r>
              <w:rPr>
                <w:rFonts w:cs="Times New Roman"/>
                <w:b/>
                <w:bCs/>
                <w:sz w:val="22"/>
                <w:lang w:val="fr-FR"/>
              </w:rPr>
              <w:t>Révision validée par l'organisme notifié ?</w:t>
            </w:r>
          </w:p>
        </w:tc>
      </w:tr>
      <w:tr w:rsidR="00601F87" w:rsidRPr="009461CC" w14:paraId="16EC10C7" w14:textId="77777777" w:rsidTr="00293453">
        <w:tc>
          <w:tcPr>
            <w:tcW w:w="575" w:type="pct"/>
          </w:tcPr>
          <w:p w14:paraId="58BC1E5F" w14:textId="77777777" w:rsidR="00601F87" w:rsidRPr="009461CC" w:rsidRDefault="00601F87" w:rsidP="00C36DF6">
            <w:pPr>
              <w:spacing w:after="0" w:afterAutospacing="0" w:line="216" w:lineRule="auto"/>
              <w:rPr>
                <w:rFonts w:cs="Times New Roman"/>
                <w:sz w:val="22"/>
              </w:rPr>
            </w:pPr>
            <w:r>
              <w:rPr>
                <w:rFonts w:cs="Times New Roman"/>
                <w:sz w:val="22"/>
                <w:lang w:val="fr-FR"/>
              </w:rPr>
              <w:t>A</w:t>
            </w:r>
          </w:p>
        </w:tc>
        <w:tc>
          <w:tcPr>
            <w:tcW w:w="722" w:type="pct"/>
          </w:tcPr>
          <w:p w14:paraId="6A81A9AF" w14:textId="71A1E241" w:rsidR="00601F87" w:rsidRPr="009461CC" w:rsidRDefault="002069F1" w:rsidP="00C36DF6">
            <w:pPr>
              <w:spacing w:after="0" w:afterAutospacing="0" w:line="216" w:lineRule="auto"/>
              <w:rPr>
                <w:rFonts w:cs="Times New Roman"/>
                <w:iCs/>
                <w:sz w:val="22"/>
              </w:rPr>
            </w:pPr>
            <w:r>
              <w:rPr>
                <w:rFonts w:cs="Times New Roman"/>
                <w:sz w:val="22"/>
                <w:lang w:val="fr-FR"/>
              </w:rPr>
              <w:t>22 mai 2022</w:t>
            </w:r>
          </w:p>
        </w:tc>
        <w:tc>
          <w:tcPr>
            <w:tcW w:w="2310" w:type="pct"/>
          </w:tcPr>
          <w:p w14:paraId="0B577D70" w14:textId="77777777" w:rsidR="00601F87" w:rsidRPr="00CE53A8" w:rsidRDefault="00601F87" w:rsidP="00C36DF6">
            <w:pPr>
              <w:spacing w:after="0" w:afterAutospacing="0" w:line="216" w:lineRule="auto"/>
              <w:rPr>
                <w:rFonts w:cs="Times New Roman"/>
                <w:sz w:val="22"/>
                <w:lang w:val="fr-FR"/>
              </w:rPr>
            </w:pPr>
            <w:r>
              <w:rPr>
                <w:rFonts w:cs="Times New Roman"/>
                <w:sz w:val="22"/>
                <w:lang w:val="fr-FR"/>
              </w:rPr>
              <w:t>Version interne initiale – Non validée par le BSI</w:t>
            </w:r>
          </w:p>
        </w:tc>
        <w:tc>
          <w:tcPr>
            <w:tcW w:w="1393" w:type="pct"/>
          </w:tcPr>
          <w:p w14:paraId="3673E384" w14:textId="77777777" w:rsidR="00601F87" w:rsidRPr="009461CC" w:rsidRDefault="00000000" w:rsidP="00C36DF6">
            <w:pPr>
              <w:spacing w:after="0" w:afterAutospacing="0" w:line="216" w:lineRule="auto"/>
              <w:rPr>
                <w:rFonts w:cs="Times New Roman"/>
                <w:sz w:val="22"/>
              </w:rPr>
            </w:pPr>
            <w:sdt>
              <w:sdtPr>
                <w:rPr>
                  <w:rFonts w:ascii="Segoe UI Symbol" w:eastAsia="MS Gothic" w:hAnsi="Segoe UI Symbol" w:cs="Times New Roman"/>
                  <w:sz w:val="22"/>
                </w:rPr>
                <w:id w:val="-216212727"/>
                <w14:checkbox>
                  <w14:checked w14:val="1"/>
                  <w14:checkedState w14:val="2612" w14:font="MS Gothic"/>
                  <w14:uncheckedState w14:val="2610" w14:font="MS Gothic"/>
                </w14:checkbox>
              </w:sdtPr>
              <w:sdtContent>
                <w:r w:rsidR="00FE148C">
                  <w:rPr>
                    <w:rFonts w:ascii="Segoe UI Symbol" w:eastAsia="MS Gothic" w:hAnsi="Segoe UI Symbol" w:cs="Segoe UI Symbol"/>
                    <w:sz w:val="22"/>
                    <w:lang w:val="fr-FR"/>
                  </w:rPr>
                  <w:t>☒</w:t>
                </w:r>
              </w:sdtContent>
            </w:sdt>
            <w:r w:rsidR="00FE148C">
              <w:rPr>
                <w:rFonts w:eastAsia="MS Gothic"/>
                <w:sz w:val="22"/>
                <w:lang w:val="fr-FR"/>
              </w:rPr>
              <w:t xml:space="preserve"> Pour usage interne uniquement</w:t>
            </w:r>
          </w:p>
        </w:tc>
      </w:tr>
      <w:tr w:rsidR="00601F87" w:rsidRPr="003E0201" w14:paraId="253ED939" w14:textId="77777777" w:rsidTr="00293453">
        <w:tc>
          <w:tcPr>
            <w:tcW w:w="575" w:type="pct"/>
          </w:tcPr>
          <w:p w14:paraId="794C6341" w14:textId="77777777" w:rsidR="00601F87" w:rsidRPr="009461CC" w:rsidRDefault="00601F87" w:rsidP="00C36DF6">
            <w:pPr>
              <w:spacing w:after="0" w:afterAutospacing="0" w:line="216" w:lineRule="auto"/>
              <w:rPr>
                <w:rFonts w:cs="Times New Roman"/>
                <w:sz w:val="22"/>
              </w:rPr>
            </w:pPr>
            <w:r>
              <w:rPr>
                <w:rFonts w:cs="Times New Roman"/>
                <w:sz w:val="22"/>
                <w:lang w:val="fr-FR"/>
              </w:rPr>
              <w:t xml:space="preserve">B </w:t>
            </w:r>
          </w:p>
        </w:tc>
        <w:tc>
          <w:tcPr>
            <w:tcW w:w="722" w:type="pct"/>
          </w:tcPr>
          <w:p w14:paraId="4E93CA05" w14:textId="47A5412E" w:rsidR="00601F87" w:rsidRPr="009461CC" w:rsidRDefault="00624761" w:rsidP="00C36DF6">
            <w:pPr>
              <w:spacing w:after="0" w:afterAutospacing="0" w:line="216" w:lineRule="auto"/>
              <w:rPr>
                <w:rFonts w:cs="Times New Roman"/>
                <w:iCs/>
                <w:sz w:val="22"/>
              </w:rPr>
            </w:pPr>
            <w:r>
              <w:rPr>
                <w:rFonts w:cs="Times New Roman"/>
                <w:sz w:val="22"/>
                <w:lang w:val="fr-FR"/>
              </w:rPr>
              <w:t xml:space="preserve">15 décembre 2025 </w:t>
            </w:r>
          </w:p>
          <w:p w14:paraId="76ECF0BB" w14:textId="21F4F941" w:rsidR="00601F87" w:rsidRPr="009461CC" w:rsidRDefault="00601F87" w:rsidP="00C36DF6">
            <w:pPr>
              <w:spacing w:after="0" w:afterAutospacing="0" w:line="216" w:lineRule="auto"/>
              <w:rPr>
                <w:rFonts w:cs="Times New Roman"/>
                <w:iCs/>
                <w:sz w:val="22"/>
              </w:rPr>
            </w:pPr>
          </w:p>
        </w:tc>
        <w:tc>
          <w:tcPr>
            <w:tcW w:w="2310" w:type="pct"/>
          </w:tcPr>
          <w:p w14:paraId="7ADC2C3E" w14:textId="77777777" w:rsidR="00601F87" w:rsidRPr="00CE53A8" w:rsidRDefault="00601F87" w:rsidP="00C36DF6">
            <w:pPr>
              <w:spacing w:after="0" w:afterAutospacing="0" w:line="216" w:lineRule="auto"/>
              <w:rPr>
                <w:rFonts w:cs="Times New Roman"/>
                <w:sz w:val="22"/>
                <w:lang w:val="fr-FR"/>
              </w:rPr>
            </w:pPr>
            <w:r>
              <w:rPr>
                <w:rFonts w:cs="Times New Roman"/>
                <w:sz w:val="22"/>
                <w:lang w:val="fr-FR"/>
              </w:rPr>
              <w:t>Soumission initiale à BSI, pour examen</w:t>
            </w:r>
          </w:p>
          <w:p w14:paraId="17842BBC" w14:textId="53FA9776" w:rsidR="00601F87" w:rsidRPr="00CE53A8" w:rsidRDefault="00601F87" w:rsidP="00C36DF6">
            <w:pPr>
              <w:spacing w:after="0" w:afterAutospacing="0" w:line="216" w:lineRule="auto"/>
              <w:rPr>
                <w:rFonts w:cs="Times New Roman"/>
                <w:sz w:val="22"/>
                <w:lang w:val="fr-FR"/>
              </w:rPr>
            </w:pPr>
            <w:r>
              <w:rPr>
                <w:rFonts w:cs="Times New Roman"/>
                <w:sz w:val="22"/>
                <w:lang w:val="fr-FR"/>
              </w:rPr>
              <w:t xml:space="preserve"> </w:t>
            </w:r>
          </w:p>
        </w:tc>
        <w:tc>
          <w:tcPr>
            <w:tcW w:w="1393" w:type="pct"/>
          </w:tcPr>
          <w:p w14:paraId="0FC9FC92" w14:textId="465431A0" w:rsidR="006D6EA3" w:rsidRPr="00CE53A8" w:rsidRDefault="00000000" w:rsidP="00C36DF6">
            <w:pPr>
              <w:spacing w:after="0" w:afterAutospacing="0" w:line="216" w:lineRule="auto"/>
              <w:rPr>
                <w:rFonts w:cs="Times New Roman"/>
                <w:sz w:val="22"/>
                <w:lang w:val="fr-FR"/>
              </w:rPr>
            </w:pPr>
            <w:sdt>
              <w:sdtPr>
                <w:rPr>
                  <w:rFonts w:ascii="Segoe UI Symbol" w:eastAsia="MS Gothic" w:hAnsi="Segoe UI Symbol" w:cs="Times New Roman"/>
                  <w:sz w:val="22"/>
                </w:rPr>
                <w:id w:val="1250311691"/>
                <w14:checkbox>
                  <w14:checked w14:val="1"/>
                  <w14:checkedState w14:val="2612" w14:font="MS Gothic"/>
                  <w14:uncheckedState w14:val="2610" w14:font="MS Gothic"/>
                </w14:checkbox>
              </w:sdtPr>
              <w:sdtContent>
                <w:r w:rsidR="00FE148C">
                  <w:rPr>
                    <w:rFonts w:ascii="Segoe UI Symbol" w:eastAsia="MS Gothic" w:hAnsi="Segoe UI Symbol" w:cs="Segoe UI Symbol"/>
                    <w:sz w:val="22"/>
                    <w:lang w:val="fr-FR"/>
                  </w:rPr>
                  <w:t>☒</w:t>
                </w:r>
              </w:sdtContent>
            </w:sdt>
            <w:r w:rsidR="00FE148C">
              <w:rPr>
                <w:rFonts w:eastAsia="MS Gothic"/>
                <w:sz w:val="22"/>
                <w:lang w:val="fr-FR"/>
              </w:rPr>
              <w:t xml:space="preserve"> Oui </w:t>
            </w:r>
          </w:p>
          <w:p w14:paraId="52EB2E13" w14:textId="77777777" w:rsidR="006D6EA3" w:rsidRPr="00CE53A8" w:rsidRDefault="006D6EA3" w:rsidP="00C36DF6">
            <w:pPr>
              <w:spacing w:after="0" w:afterAutospacing="0" w:line="216" w:lineRule="auto"/>
              <w:rPr>
                <w:rFonts w:cs="Times New Roman"/>
                <w:sz w:val="22"/>
                <w:lang w:val="fr-FR"/>
              </w:rPr>
            </w:pPr>
            <w:r>
              <w:rPr>
                <w:rFonts w:cs="Times New Roman"/>
                <w:sz w:val="22"/>
                <w:lang w:val="fr-FR"/>
              </w:rPr>
              <w:t xml:space="preserve">Langue de validation : </w:t>
            </w:r>
          </w:p>
          <w:p w14:paraId="293F45BE" w14:textId="789551FE" w:rsidR="00CA46B0" w:rsidRPr="00CE53A8" w:rsidRDefault="006D6EA3" w:rsidP="00C36DF6">
            <w:pPr>
              <w:spacing w:after="0" w:afterAutospacing="0" w:line="216" w:lineRule="auto"/>
              <w:rPr>
                <w:rFonts w:cs="Times New Roman"/>
                <w:sz w:val="22"/>
                <w:lang w:val="fr-FR"/>
              </w:rPr>
            </w:pPr>
            <w:r>
              <w:rPr>
                <w:rFonts w:cs="Times New Roman"/>
                <w:sz w:val="22"/>
                <w:lang w:val="fr-FR"/>
              </w:rPr>
              <w:t>Anglais</w:t>
            </w:r>
          </w:p>
          <w:p w14:paraId="2C6B2388" w14:textId="2CFB7279" w:rsidR="00601F87" w:rsidRPr="00CE53A8" w:rsidRDefault="006D6EA3" w:rsidP="00C36DF6">
            <w:pPr>
              <w:spacing w:after="0" w:afterAutospacing="0" w:line="216" w:lineRule="auto"/>
              <w:rPr>
                <w:rFonts w:cs="Times New Roman"/>
                <w:sz w:val="22"/>
                <w:highlight w:val="yellow"/>
                <w:lang w:val="fr-FR"/>
              </w:rPr>
            </w:pPr>
            <w:r>
              <w:rPr>
                <w:rFonts w:ascii="Segoe UI Symbol" w:hAnsi="Segoe UI Symbol"/>
                <w:sz w:val="22"/>
                <w:lang w:val="fr-FR"/>
              </w:rPr>
              <w:t>☐</w:t>
            </w:r>
            <w:r>
              <w:rPr>
                <w:sz w:val="22"/>
                <w:lang w:val="fr-FR"/>
              </w:rPr>
              <w:t xml:space="preserve"> Non (concerne uniquement les dispositifs de classe </w:t>
            </w:r>
            <w:proofErr w:type="spellStart"/>
            <w:r>
              <w:rPr>
                <w:sz w:val="22"/>
                <w:lang w:val="fr-FR"/>
              </w:rPr>
              <w:t>IIa</w:t>
            </w:r>
            <w:proofErr w:type="spellEnd"/>
            <w:r>
              <w:rPr>
                <w:sz w:val="22"/>
                <w:lang w:val="fr-FR"/>
              </w:rPr>
              <w:t xml:space="preserve"> ou </w:t>
            </w:r>
            <w:proofErr w:type="spellStart"/>
            <w:r>
              <w:rPr>
                <w:sz w:val="22"/>
                <w:lang w:val="fr-FR"/>
              </w:rPr>
              <w:t>IIb</w:t>
            </w:r>
            <w:proofErr w:type="spellEnd"/>
            <w:r>
              <w:rPr>
                <w:sz w:val="22"/>
                <w:lang w:val="fr-FR"/>
              </w:rPr>
              <w:t xml:space="preserve"> pour lesquels le SSCP n’est pas encore validé par l’organisme notifié</w:t>
            </w:r>
            <w:r w:rsidR="00D61385">
              <w:rPr>
                <w:sz w:val="22"/>
                <w:lang w:val="fr-FR"/>
              </w:rPr>
              <w:t xml:space="preserve"> (NB)</w:t>
            </w:r>
            <w:r>
              <w:rPr>
                <w:sz w:val="22"/>
                <w:lang w:val="fr-FR"/>
              </w:rPr>
              <w:t>)</w:t>
            </w:r>
            <w:r w:rsidR="00425802">
              <w:rPr>
                <w:sz w:val="22"/>
                <w:lang w:val="fr-FR"/>
              </w:rPr>
              <w:t xml:space="preserve"> </w:t>
            </w:r>
          </w:p>
        </w:tc>
      </w:tr>
    </w:tbl>
    <w:p w14:paraId="05B94FC3" w14:textId="73ABFCCD" w:rsidR="00601F87" w:rsidRPr="00CE53A8" w:rsidRDefault="00601F87" w:rsidP="00601F87">
      <w:pPr>
        <w:tabs>
          <w:tab w:val="left" w:pos="3633"/>
        </w:tabs>
        <w:rPr>
          <w:rFonts w:cs="Times New Roman"/>
          <w:lang w:val="fr-FR"/>
        </w:rPr>
      </w:pPr>
    </w:p>
    <w:sectPr w:rsidR="00601F87" w:rsidRPr="00CE53A8" w:rsidSect="008018FA">
      <w:headerReference w:type="default" r:id="rId27"/>
      <w:footerReference w:type="default" r:id="rId28"/>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1ED3" w14:textId="77777777" w:rsidR="00390810" w:rsidRDefault="00390810" w:rsidP="009855C3">
      <w:r>
        <w:separator/>
      </w:r>
    </w:p>
  </w:endnote>
  <w:endnote w:type="continuationSeparator" w:id="0">
    <w:p w14:paraId="6D462D6A" w14:textId="77777777" w:rsidR="00390810" w:rsidRDefault="00390810" w:rsidP="0098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G Times 12p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0DF23B11" w:rsidR="00BE3D15" w:rsidRPr="00CE53A8" w:rsidRDefault="003036AD" w:rsidP="009855C3">
    <w:pPr>
      <w:pStyle w:val="Footer"/>
      <w:rPr>
        <w:szCs w:val="24"/>
        <w:lang w:val="fr-FR"/>
      </w:rPr>
    </w:pPr>
    <w:r>
      <w:rPr>
        <w:b/>
        <w:bCs/>
        <w:sz w:val="18"/>
        <w:szCs w:val="18"/>
        <w:lang w:val="fr-FR"/>
      </w:rPr>
      <w:t>CAQ-QA-025-F1 R</w:t>
    </w:r>
    <w:r w:rsidR="00EF2EB4">
      <w:rPr>
        <w:b/>
        <w:bCs/>
        <w:sz w:val="18"/>
        <w:szCs w:val="18"/>
        <w:lang w:val="fr-FR"/>
      </w:rPr>
      <w:t>e</w:t>
    </w:r>
    <w:r>
      <w:rPr>
        <w:b/>
        <w:bCs/>
        <w:sz w:val="18"/>
        <w:szCs w:val="18"/>
        <w:lang w:val="fr-FR"/>
      </w:rPr>
      <w:t>v. G : Résumé des caractéristiques de sécurité et des performances cliniques (SSCP)</w:t>
    </w:r>
    <w:r>
      <w:rPr>
        <w:lang w:val="fr-FR"/>
      </w:rPr>
      <w:t xml:space="preserve"> </w:t>
    </w:r>
    <w:r>
      <w:rPr>
        <w:lang w:val="fr-FR"/>
      </w:rPr>
      <w:tab/>
      <w:t xml:space="preserve">Page </w:t>
    </w:r>
    <w:r>
      <w:rPr>
        <w:lang w:val="fr-FR"/>
      </w:rPr>
      <w:fldChar w:fldCharType="begin"/>
    </w:r>
    <w:r>
      <w:rPr>
        <w:lang w:val="fr-FR"/>
      </w:rPr>
      <w:instrText xml:space="preserve"> PAGE  \* Arabic </w:instrText>
    </w:r>
    <w:r>
      <w:rPr>
        <w:lang w:val="fr-FR"/>
      </w:rPr>
      <w:fldChar w:fldCharType="separate"/>
    </w:r>
    <w:r>
      <w:rPr>
        <w:lang w:val="fr-FR"/>
      </w:rPr>
      <w:t>0</w:t>
    </w:r>
    <w:r>
      <w:rPr>
        <w:lang w:val="fr-FR"/>
      </w:rPr>
      <w:fldChar w:fldCharType="end"/>
    </w:r>
    <w:r>
      <w:rPr>
        <w:lang w:val="fr-FR"/>
      </w:rPr>
      <w:t xml:space="preserve"> de </w:t>
    </w:r>
    <w:r>
      <w:fldChar w:fldCharType="begin"/>
    </w:r>
    <w:r w:rsidRPr="00CE53A8">
      <w:rPr>
        <w:lang w:val="fr-FR"/>
      </w:rPr>
      <w:instrText xml:space="preserve"> NUMPAGES  </w:instrText>
    </w:r>
    <w:r>
      <w:fldChar w:fldCharType="separate"/>
    </w:r>
    <w:r>
      <w:rPr>
        <w:lang w:val="fr-FR"/>
      </w:rPr>
      <w:t>12</w:t>
    </w:r>
    <w:r>
      <w:rPr>
        <w:lang w:val="fr-FR"/>
      </w:rPr>
      <w:fldChar w:fldCharType="end"/>
    </w:r>
    <w:r>
      <w:rPr>
        <w:lang w:val="fr-FR"/>
      </w:rPr>
      <w:t xml:space="preserve">  </w:t>
    </w:r>
    <w:r>
      <w:rPr>
        <w:lang w:val="fr-FR"/>
      </w:rPr>
      <w:tab/>
    </w:r>
    <w:r>
      <w:rPr>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E157" w14:textId="77777777" w:rsidR="00390810" w:rsidRDefault="00390810" w:rsidP="009855C3">
      <w:r>
        <w:separator/>
      </w:r>
    </w:p>
  </w:footnote>
  <w:footnote w:type="continuationSeparator" w:id="0">
    <w:p w14:paraId="12490A66" w14:textId="77777777" w:rsidR="00390810" w:rsidRDefault="00390810" w:rsidP="0098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3E0201" w14:paraId="7E46E4C7" w14:textId="77777777" w:rsidTr="00B62140">
      <w:tc>
        <w:tcPr>
          <w:tcW w:w="3080" w:type="dxa"/>
        </w:tcPr>
        <w:p w14:paraId="184F2588" w14:textId="6EABB2E0" w:rsidR="00B62140" w:rsidRDefault="00B62140" w:rsidP="00B62140">
          <w:pPr>
            <w:pStyle w:val="Header"/>
            <w:jc w:val="left"/>
          </w:pPr>
          <w:r>
            <w:rPr>
              <w:noProof/>
              <w:lang w:val="fr-FR"/>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CE53A8" w:rsidRDefault="005450DC" w:rsidP="005450DC">
          <w:pPr>
            <w:spacing w:after="0" w:afterAutospacing="0"/>
            <w:rPr>
              <w:rFonts w:ascii="Arial" w:hAnsi="Arial" w:cs="Arial"/>
              <w:b/>
              <w:bCs/>
              <w:sz w:val="28"/>
              <w:szCs w:val="28"/>
              <w:lang w:val="fr-FR"/>
            </w:rPr>
          </w:pPr>
          <w:r>
            <w:rPr>
              <w:rFonts w:ascii="Arial" w:hAnsi="Arial" w:cs="Arial"/>
              <w:b/>
              <w:bCs/>
              <w:sz w:val="28"/>
              <w:szCs w:val="28"/>
              <w:lang w:val="fr-FR"/>
            </w:rPr>
            <w:t>Résumé de la sécurité et des performances cliniques (SSCP)</w:t>
          </w:r>
        </w:p>
        <w:p w14:paraId="3BB3B2B1" w14:textId="78B5CF38" w:rsidR="009F5769" w:rsidRPr="00CE53A8" w:rsidRDefault="009F5769" w:rsidP="009F5769">
          <w:pPr>
            <w:spacing w:after="0" w:afterAutospacing="0"/>
            <w:rPr>
              <w:rFonts w:ascii="Arial" w:hAnsi="Arial" w:cs="Arial"/>
              <w:sz w:val="18"/>
              <w:szCs w:val="18"/>
              <w:lang w:val="fr-FR"/>
            </w:rPr>
          </w:pPr>
          <w:r>
            <w:rPr>
              <w:rFonts w:ascii="Arial" w:hAnsi="Arial" w:cs="Arial"/>
              <w:b/>
              <w:bCs/>
              <w:sz w:val="18"/>
              <w:szCs w:val="18"/>
              <w:lang w:val="fr-FR"/>
            </w:rPr>
            <w:t xml:space="preserve">SSCP-0006 : </w:t>
          </w:r>
          <w:bookmarkStart w:id="82" w:name="_Hlk196721157"/>
          <w:r>
            <w:rPr>
              <w:rFonts w:ascii="Arial" w:hAnsi="Arial" w:cs="Arial"/>
              <w:sz w:val="18"/>
              <w:szCs w:val="18"/>
              <w:lang w:val="fr-FR"/>
            </w:rPr>
            <w:t>Kit de</w:t>
          </w:r>
          <w:r w:rsidR="00C36DF6">
            <w:rPr>
              <w:rFonts w:ascii="Arial" w:hAnsi="Arial" w:cs="Arial"/>
              <w:sz w:val="18"/>
              <w:szCs w:val="18"/>
              <w:lang w:val="fr-FR"/>
            </w:rPr>
            <w:t xml:space="preserve"> </w:t>
          </w:r>
          <w:proofErr w:type="spellStart"/>
          <w:r w:rsidR="00C36DF6">
            <w:rPr>
              <w:rFonts w:ascii="Arial" w:hAnsi="Arial" w:cs="Arial"/>
              <w:sz w:val="18"/>
              <w:szCs w:val="18"/>
              <w:lang w:val="fr-FR"/>
            </w:rPr>
            <w:t>Snare</w:t>
          </w:r>
          <w:proofErr w:type="spellEnd"/>
          <w:r>
            <w:rPr>
              <w:rFonts w:ascii="Arial" w:hAnsi="Arial" w:cs="Arial"/>
              <w:sz w:val="18"/>
              <w:szCs w:val="18"/>
              <w:lang w:val="fr-FR"/>
            </w:rPr>
            <w:t xml:space="preserve"> vasculaire </w:t>
          </w:r>
          <w:proofErr w:type="spellStart"/>
          <w:r>
            <w:rPr>
              <w:rFonts w:ascii="Arial" w:hAnsi="Arial" w:cs="Arial"/>
              <w:sz w:val="18"/>
              <w:szCs w:val="18"/>
              <w:lang w:val="fr-FR"/>
            </w:rPr>
            <w:t>Atrieve</w:t>
          </w:r>
          <w:bookmarkEnd w:id="82"/>
          <w:proofErr w:type="spellEnd"/>
        </w:p>
        <w:p w14:paraId="32066318" w14:textId="5996CDC6" w:rsidR="005450DC" w:rsidRPr="00CE53A8" w:rsidRDefault="005450DC" w:rsidP="005450DC">
          <w:pPr>
            <w:spacing w:after="0" w:afterAutospacing="0"/>
            <w:rPr>
              <w:rFonts w:ascii="Arial" w:hAnsi="Arial" w:cs="Arial"/>
              <w:sz w:val="18"/>
              <w:szCs w:val="18"/>
              <w:lang w:val="fr-FR"/>
            </w:rPr>
          </w:pPr>
          <w:r>
            <w:rPr>
              <w:rFonts w:ascii="Arial" w:hAnsi="Arial" w:cs="Arial"/>
              <w:sz w:val="18"/>
              <w:szCs w:val="18"/>
              <w:lang w:val="fr-FR"/>
            </w:rPr>
            <w:t>Révision : B</w:t>
          </w:r>
        </w:p>
        <w:p w14:paraId="2F5F8390" w14:textId="0ABFBBD1" w:rsidR="005450DC" w:rsidRPr="00CE53A8" w:rsidRDefault="005450DC" w:rsidP="005450DC">
          <w:pPr>
            <w:pStyle w:val="Header"/>
            <w:jc w:val="left"/>
            <w:rPr>
              <w:rFonts w:ascii="Arial" w:hAnsi="Arial" w:cs="Arial"/>
              <w:sz w:val="18"/>
              <w:lang w:val="fr-FR"/>
            </w:rPr>
          </w:pPr>
          <w:r>
            <w:rPr>
              <w:rFonts w:ascii="Calibri" w:eastAsiaTheme="minorHAnsi" w:hAnsi="Calibri" w:cs="Calibri"/>
              <w:sz w:val="18"/>
              <w:szCs w:val="18"/>
              <w:lang w:val="fr-FR"/>
            </w:rPr>
            <w:t>Site Argon : Tous les sites</w:t>
          </w:r>
        </w:p>
      </w:tc>
    </w:tr>
  </w:tbl>
  <w:p w14:paraId="0BD58B4F" w14:textId="7DA38D57" w:rsidR="00B62140" w:rsidRPr="00CE53A8" w:rsidRDefault="00B62140" w:rsidP="00B62140">
    <w:pPr>
      <w:pStyle w:val="Header"/>
      <w:jc w:val="lef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77569"/>
    <w:multiLevelType w:val="hybridMultilevel"/>
    <w:tmpl w:val="15B4E1B2"/>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642F"/>
    <w:multiLevelType w:val="multilevel"/>
    <w:tmpl w:val="475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7021"/>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37B14"/>
    <w:multiLevelType w:val="hybridMultilevel"/>
    <w:tmpl w:val="DD1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A27"/>
    <w:multiLevelType w:val="hybridMultilevel"/>
    <w:tmpl w:val="CA6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54A05"/>
    <w:multiLevelType w:val="hybridMultilevel"/>
    <w:tmpl w:val="FEAEE55C"/>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2C16D5"/>
    <w:multiLevelType w:val="multilevel"/>
    <w:tmpl w:val="3DB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4DA"/>
    <w:multiLevelType w:val="hybridMultilevel"/>
    <w:tmpl w:val="412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5329F"/>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95574"/>
    <w:multiLevelType w:val="hybridMultilevel"/>
    <w:tmpl w:val="1DF48DB6"/>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15951"/>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F32A0"/>
    <w:multiLevelType w:val="hybridMultilevel"/>
    <w:tmpl w:val="DD72E7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ADC3F5B"/>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C1CC7"/>
    <w:multiLevelType w:val="multilevel"/>
    <w:tmpl w:val="19D2CB68"/>
    <w:lvl w:ilvl="0">
      <w:start w:val="1"/>
      <w:numFmt w:val="decimal"/>
      <w:lvlText w:val="%1."/>
      <w:lvlJc w:val="left"/>
      <w:pPr>
        <w:ind w:left="360" w:hanging="360"/>
      </w:pPr>
      <w:rPr>
        <w:b/>
        <w:bCs w:val="0"/>
      </w:rPr>
    </w:lvl>
    <w:lvl w:ilvl="1">
      <w:start w:val="1"/>
      <w:numFmt w:val="decimal"/>
      <w:pStyle w:val="Heading1"/>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33BF6"/>
    <w:multiLevelType w:val="hybridMultilevel"/>
    <w:tmpl w:val="5A40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4B7D64"/>
    <w:multiLevelType w:val="multilevel"/>
    <w:tmpl w:val="7B2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A37D2"/>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F27DD"/>
    <w:multiLevelType w:val="multilevel"/>
    <w:tmpl w:val="1CA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F5615"/>
    <w:multiLevelType w:val="hybridMultilevel"/>
    <w:tmpl w:val="39B8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8342CC"/>
    <w:multiLevelType w:val="hybridMultilevel"/>
    <w:tmpl w:val="D394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B39D6"/>
    <w:multiLevelType w:val="hybridMultilevel"/>
    <w:tmpl w:val="7264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62866B7F"/>
    <w:multiLevelType w:val="hybridMultilevel"/>
    <w:tmpl w:val="0D6C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C0CD0"/>
    <w:multiLevelType w:val="hybridMultilevel"/>
    <w:tmpl w:val="57DCF68C"/>
    <w:lvl w:ilvl="0" w:tplc="FFFFFFFF">
      <w:start w:val="1"/>
      <w:numFmt w:val="bullet"/>
      <w:lvlText w:val=""/>
      <w:lvlJc w:val="left"/>
      <w:pPr>
        <w:ind w:left="720" w:hanging="360"/>
      </w:pPr>
      <w:rPr>
        <w:rFonts w:ascii="Symbol" w:hAnsi="Symbol" w:hint="default"/>
      </w:rPr>
    </w:lvl>
    <w:lvl w:ilvl="1" w:tplc="EA7AE87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C224B"/>
    <w:multiLevelType w:val="multilevel"/>
    <w:tmpl w:val="8E1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C4F74"/>
    <w:multiLevelType w:val="hybridMultilevel"/>
    <w:tmpl w:val="C85A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66B5D"/>
    <w:multiLevelType w:val="multilevel"/>
    <w:tmpl w:val="1C2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B8E"/>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F0477"/>
    <w:multiLevelType w:val="hybridMultilevel"/>
    <w:tmpl w:val="E6F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87167"/>
    <w:multiLevelType w:val="hybridMultilevel"/>
    <w:tmpl w:val="980EE75C"/>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86F75"/>
    <w:multiLevelType w:val="multilevel"/>
    <w:tmpl w:val="30B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6312">
    <w:abstractNumId w:val="22"/>
  </w:num>
  <w:num w:numId="2" w16cid:durableId="1360936298">
    <w:abstractNumId w:val="14"/>
  </w:num>
  <w:num w:numId="3" w16cid:durableId="300112310">
    <w:abstractNumId w:val="19"/>
  </w:num>
  <w:num w:numId="4" w16cid:durableId="1853834821">
    <w:abstractNumId w:val="6"/>
  </w:num>
  <w:num w:numId="5" w16cid:durableId="1034691173">
    <w:abstractNumId w:val="12"/>
  </w:num>
  <w:num w:numId="6" w16cid:durableId="1593513253">
    <w:abstractNumId w:val="21"/>
  </w:num>
  <w:num w:numId="7" w16cid:durableId="346831415">
    <w:abstractNumId w:val="23"/>
  </w:num>
  <w:num w:numId="8" w16cid:durableId="1853715173">
    <w:abstractNumId w:val="0"/>
  </w:num>
  <w:num w:numId="9" w16cid:durableId="1855343271">
    <w:abstractNumId w:val="15"/>
  </w:num>
  <w:num w:numId="10" w16cid:durableId="916865255">
    <w:abstractNumId w:val="24"/>
  </w:num>
  <w:num w:numId="11" w16cid:durableId="364184473">
    <w:abstractNumId w:val="25"/>
  </w:num>
  <w:num w:numId="12" w16cid:durableId="2108647119">
    <w:abstractNumId w:val="16"/>
  </w:num>
  <w:num w:numId="13" w16cid:durableId="1982877844">
    <w:abstractNumId w:val="3"/>
  </w:num>
  <w:num w:numId="14" w16cid:durableId="1684937638">
    <w:abstractNumId w:val="9"/>
  </w:num>
  <w:num w:numId="15" w16cid:durableId="586424511">
    <w:abstractNumId w:val="17"/>
  </w:num>
  <w:num w:numId="16" w16cid:durableId="1213268901">
    <w:abstractNumId w:val="28"/>
  </w:num>
  <w:num w:numId="17" w16cid:durableId="171838373">
    <w:abstractNumId w:val="13"/>
  </w:num>
  <w:num w:numId="18" w16cid:durableId="799612473">
    <w:abstractNumId w:val="11"/>
  </w:num>
  <w:num w:numId="19" w16cid:durableId="475414826">
    <w:abstractNumId w:val="31"/>
  </w:num>
  <w:num w:numId="20" w16cid:durableId="320740550">
    <w:abstractNumId w:val="27"/>
  </w:num>
  <w:num w:numId="21" w16cid:durableId="166943843">
    <w:abstractNumId w:val="4"/>
  </w:num>
  <w:num w:numId="22" w16cid:durableId="1888569262">
    <w:abstractNumId w:val="8"/>
  </w:num>
  <w:num w:numId="23" w16cid:durableId="1644770191">
    <w:abstractNumId w:val="20"/>
  </w:num>
  <w:num w:numId="24" w16cid:durableId="1439636620">
    <w:abstractNumId w:val="26"/>
  </w:num>
  <w:num w:numId="25" w16cid:durableId="882600577">
    <w:abstractNumId w:val="5"/>
  </w:num>
  <w:num w:numId="26" w16cid:durableId="1718622400">
    <w:abstractNumId w:val="10"/>
  </w:num>
  <w:num w:numId="27" w16cid:durableId="1475558162">
    <w:abstractNumId w:val="30"/>
  </w:num>
  <w:num w:numId="28" w16cid:durableId="1475566087">
    <w:abstractNumId w:val="1"/>
  </w:num>
  <w:num w:numId="29" w16cid:durableId="1286497301">
    <w:abstractNumId w:val="7"/>
  </w:num>
  <w:num w:numId="30" w16cid:durableId="3093058">
    <w:abstractNumId w:val="18"/>
  </w:num>
  <w:num w:numId="31" w16cid:durableId="972251898">
    <w:abstractNumId w:val="29"/>
  </w:num>
  <w:num w:numId="32" w16cid:durableId="70591431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6459"/>
    <w:rsid w:val="00011045"/>
    <w:rsid w:val="00012E12"/>
    <w:rsid w:val="000167B6"/>
    <w:rsid w:val="00017BF4"/>
    <w:rsid w:val="00020314"/>
    <w:rsid w:val="00021D6F"/>
    <w:rsid w:val="00021E83"/>
    <w:rsid w:val="000242B9"/>
    <w:rsid w:val="0002755B"/>
    <w:rsid w:val="00034879"/>
    <w:rsid w:val="000379B4"/>
    <w:rsid w:val="00042B91"/>
    <w:rsid w:val="00047250"/>
    <w:rsid w:val="00050F24"/>
    <w:rsid w:val="0005411A"/>
    <w:rsid w:val="00057D5B"/>
    <w:rsid w:val="000628F7"/>
    <w:rsid w:val="00063367"/>
    <w:rsid w:val="00072ADF"/>
    <w:rsid w:val="00076AE4"/>
    <w:rsid w:val="00076F70"/>
    <w:rsid w:val="000774DD"/>
    <w:rsid w:val="00081F87"/>
    <w:rsid w:val="000843BA"/>
    <w:rsid w:val="000857E5"/>
    <w:rsid w:val="000920E7"/>
    <w:rsid w:val="000975C6"/>
    <w:rsid w:val="000A1236"/>
    <w:rsid w:val="000A23CB"/>
    <w:rsid w:val="000A25FA"/>
    <w:rsid w:val="000A5EBD"/>
    <w:rsid w:val="000A6E93"/>
    <w:rsid w:val="000B3E80"/>
    <w:rsid w:val="000B6CF0"/>
    <w:rsid w:val="000C41AC"/>
    <w:rsid w:val="000C5F93"/>
    <w:rsid w:val="000C633A"/>
    <w:rsid w:val="000C7AF6"/>
    <w:rsid w:val="000D2F57"/>
    <w:rsid w:val="000D5406"/>
    <w:rsid w:val="000D7B59"/>
    <w:rsid w:val="000E0F6B"/>
    <w:rsid w:val="000E3689"/>
    <w:rsid w:val="000E39A6"/>
    <w:rsid w:val="000F0AC2"/>
    <w:rsid w:val="000F0DCC"/>
    <w:rsid w:val="000F4DF1"/>
    <w:rsid w:val="001035F0"/>
    <w:rsid w:val="00103AF7"/>
    <w:rsid w:val="00113A33"/>
    <w:rsid w:val="001209D7"/>
    <w:rsid w:val="00120DD8"/>
    <w:rsid w:val="00122999"/>
    <w:rsid w:val="001239CC"/>
    <w:rsid w:val="00125511"/>
    <w:rsid w:val="00125D9F"/>
    <w:rsid w:val="001319AD"/>
    <w:rsid w:val="00142B70"/>
    <w:rsid w:val="00142D15"/>
    <w:rsid w:val="001440E1"/>
    <w:rsid w:val="001475A8"/>
    <w:rsid w:val="00151F01"/>
    <w:rsid w:val="001533A4"/>
    <w:rsid w:val="00154AAA"/>
    <w:rsid w:val="00155220"/>
    <w:rsid w:val="0015690A"/>
    <w:rsid w:val="00156CF3"/>
    <w:rsid w:val="00162917"/>
    <w:rsid w:val="00162923"/>
    <w:rsid w:val="00165A00"/>
    <w:rsid w:val="001861C6"/>
    <w:rsid w:val="00187CF5"/>
    <w:rsid w:val="001919D6"/>
    <w:rsid w:val="00191ED2"/>
    <w:rsid w:val="001A3916"/>
    <w:rsid w:val="001A7EA5"/>
    <w:rsid w:val="001B4005"/>
    <w:rsid w:val="001B6D13"/>
    <w:rsid w:val="001C43C6"/>
    <w:rsid w:val="001D1887"/>
    <w:rsid w:val="001E5AFF"/>
    <w:rsid w:val="001E6921"/>
    <w:rsid w:val="001E7A0E"/>
    <w:rsid w:val="001F4798"/>
    <w:rsid w:val="001F48BA"/>
    <w:rsid w:val="001F5B3B"/>
    <w:rsid w:val="00201156"/>
    <w:rsid w:val="002069F1"/>
    <w:rsid w:val="00207A7C"/>
    <w:rsid w:val="00210ACA"/>
    <w:rsid w:val="00210E41"/>
    <w:rsid w:val="00214E2F"/>
    <w:rsid w:val="0021589A"/>
    <w:rsid w:val="0022033C"/>
    <w:rsid w:val="00221CEF"/>
    <w:rsid w:val="00226C45"/>
    <w:rsid w:val="002277B9"/>
    <w:rsid w:val="00230011"/>
    <w:rsid w:val="002351E5"/>
    <w:rsid w:val="00235AAE"/>
    <w:rsid w:val="00237870"/>
    <w:rsid w:val="00242075"/>
    <w:rsid w:val="00243417"/>
    <w:rsid w:val="0024643E"/>
    <w:rsid w:val="002538C9"/>
    <w:rsid w:val="00257EE2"/>
    <w:rsid w:val="002669BD"/>
    <w:rsid w:val="00272B97"/>
    <w:rsid w:val="00272DEA"/>
    <w:rsid w:val="00273413"/>
    <w:rsid w:val="00275A67"/>
    <w:rsid w:val="00277426"/>
    <w:rsid w:val="00280A53"/>
    <w:rsid w:val="00290AFE"/>
    <w:rsid w:val="002914F4"/>
    <w:rsid w:val="00291A3E"/>
    <w:rsid w:val="00295423"/>
    <w:rsid w:val="00297A62"/>
    <w:rsid w:val="002A1AF1"/>
    <w:rsid w:val="002A24E8"/>
    <w:rsid w:val="002A75DC"/>
    <w:rsid w:val="002B2F38"/>
    <w:rsid w:val="002C56AF"/>
    <w:rsid w:val="002D4833"/>
    <w:rsid w:val="002D4C43"/>
    <w:rsid w:val="002D6103"/>
    <w:rsid w:val="002D6725"/>
    <w:rsid w:val="002E59B4"/>
    <w:rsid w:val="002F199B"/>
    <w:rsid w:val="002F2571"/>
    <w:rsid w:val="002F344E"/>
    <w:rsid w:val="002F37BF"/>
    <w:rsid w:val="002F39DB"/>
    <w:rsid w:val="00300E25"/>
    <w:rsid w:val="00300FC0"/>
    <w:rsid w:val="003036AD"/>
    <w:rsid w:val="003074B3"/>
    <w:rsid w:val="00314766"/>
    <w:rsid w:val="00314ACD"/>
    <w:rsid w:val="0032368A"/>
    <w:rsid w:val="00331C27"/>
    <w:rsid w:val="003326A4"/>
    <w:rsid w:val="00335020"/>
    <w:rsid w:val="00335181"/>
    <w:rsid w:val="0033663C"/>
    <w:rsid w:val="0034308B"/>
    <w:rsid w:val="003513E0"/>
    <w:rsid w:val="00354365"/>
    <w:rsid w:val="003624DF"/>
    <w:rsid w:val="00363BFD"/>
    <w:rsid w:val="003663A1"/>
    <w:rsid w:val="0037316E"/>
    <w:rsid w:val="00375370"/>
    <w:rsid w:val="0037599D"/>
    <w:rsid w:val="00375CFE"/>
    <w:rsid w:val="00376A92"/>
    <w:rsid w:val="00380316"/>
    <w:rsid w:val="00383678"/>
    <w:rsid w:val="00384B21"/>
    <w:rsid w:val="003859AF"/>
    <w:rsid w:val="003859DA"/>
    <w:rsid w:val="00386F47"/>
    <w:rsid w:val="00390810"/>
    <w:rsid w:val="003912E5"/>
    <w:rsid w:val="00394151"/>
    <w:rsid w:val="003951DC"/>
    <w:rsid w:val="00395788"/>
    <w:rsid w:val="00395FDB"/>
    <w:rsid w:val="003966BD"/>
    <w:rsid w:val="00397AE0"/>
    <w:rsid w:val="003A26B9"/>
    <w:rsid w:val="003A3A2E"/>
    <w:rsid w:val="003A3DB1"/>
    <w:rsid w:val="003B1D70"/>
    <w:rsid w:val="003B4C77"/>
    <w:rsid w:val="003B5B28"/>
    <w:rsid w:val="003B70D7"/>
    <w:rsid w:val="003D4104"/>
    <w:rsid w:val="003D63DA"/>
    <w:rsid w:val="003E0201"/>
    <w:rsid w:val="003E5476"/>
    <w:rsid w:val="003E6DCD"/>
    <w:rsid w:val="003E783B"/>
    <w:rsid w:val="003F2EB4"/>
    <w:rsid w:val="003F3F3C"/>
    <w:rsid w:val="003F5F86"/>
    <w:rsid w:val="003F789B"/>
    <w:rsid w:val="004065D7"/>
    <w:rsid w:val="004235A7"/>
    <w:rsid w:val="00425802"/>
    <w:rsid w:val="004263BF"/>
    <w:rsid w:val="0043056A"/>
    <w:rsid w:val="004329F3"/>
    <w:rsid w:val="00433305"/>
    <w:rsid w:val="00441215"/>
    <w:rsid w:val="0044138A"/>
    <w:rsid w:val="00442087"/>
    <w:rsid w:val="004430BE"/>
    <w:rsid w:val="00446152"/>
    <w:rsid w:val="004466ED"/>
    <w:rsid w:val="00453251"/>
    <w:rsid w:val="00453B44"/>
    <w:rsid w:val="00454296"/>
    <w:rsid w:val="004553D9"/>
    <w:rsid w:val="00465F4B"/>
    <w:rsid w:val="00466071"/>
    <w:rsid w:val="00466981"/>
    <w:rsid w:val="004673EB"/>
    <w:rsid w:val="004714F7"/>
    <w:rsid w:val="00472F06"/>
    <w:rsid w:val="00474E2A"/>
    <w:rsid w:val="00475E00"/>
    <w:rsid w:val="0047648B"/>
    <w:rsid w:val="00476A48"/>
    <w:rsid w:val="00481A9E"/>
    <w:rsid w:val="0048338B"/>
    <w:rsid w:val="00483CA4"/>
    <w:rsid w:val="004846A6"/>
    <w:rsid w:val="00490703"/>
    <w:rsid w:val="0049079D"/>
    <w:rsid w:val="00490B97"/>
    <w:rsid w:val="0049275B"/>
    <w:rsid w:val="00493B5B"/>
    <w:rsid w:val="00495F6C"/>
    <w:rsid w:val="004A0035"/>
    <w:rsid w:val="004A2596"/>
    <w:rsid w:val="004A4063"/>
    <w:rsid w:val="004A4D87"/>
    <w:rsid w:val="004B30A3"/>
    <w:rsid w:val="004B4929"/>
    <w:rsid w:val="004C0D7F"/>
    <w:rsid w:val="004C12F0"/>
    <w:rsid w:val="004C73EF"/>
    <w:rsid w:val="004D77A4"/>
    <w:rsid w:val="004D7A94"/>
    <w:rsid w:val="004E07E8"/>
    <w:rsid w:val="004E24F8"/>
    <w:rsid w:val="004E28F8"/>
    <w:rsid w:val="004E397F"/>
    <w:rsid w:val="004E3C57"/>
    <w:rsid w:val="004E6C1C"/>
    <w:rsid w:val="004F01A5"/>
    <w:rsid w:val="004F26D9"/>
    <w:rsid w:val="004F2CB7"/>
    <w:rsid w:val="004F3CA9"/>
    <w:rsid w:val="004F5057"/>
    <w:rsid w:val="004F7F77"/>
    <w:rsid w:val="005010E4"/>
    <w:rsid w:val="005063EA"/>
    <w:rsid w:val="005072B8"/>
    <w:rsid w:val="005104CC"/>
    <w:rsid w:val="0051131D"/>
    <w:rsid w:val="00511B41"/>
    <w:rsid w:val="0051305A"/>
    <w:rsid w:val="00516D79"/>
    <w:rsid w:val="00522664"/>
    <w:rsid w:val="00524D41"/>
    <w:rsid w:val="00525377"/>
    <w:rsid w:val="005257E7"/>
    <w:rsid w:val="0052695A"/>
    <w:rsid w:val="00526B1F"/>
    <w:rsid w:val="00533C0A"/>
    <w:rsid w:val="00536EDE"/>
    <w:rsid w:val="00540616"/>
    <w:rsid w:val="005439FC"/>
    <w:rsid w:val="005450DC"/>
    <w:rsid w:val="00547018"/>
    <w:rsid w:val="00547353"/>
    <w:rsid w:val="00550F97"/>
    <w:rsid w:val="0055697A"/>
    <w:rsid w:val="00560A40"/>
    <w:rsid w:val="00563107"/>
    <w:rsid w:val="005647F4"/>
    <w:rsid w:val="00567FF4"/>
    <w:rsid w:val="00570454"/>
    <w:rsid w:val="00575EE3"/>
    <w:rsid w:val="00577A16"/>
    <w:rsid w:val="00580274"/>
    <w:rsid w:val="0058041F"/>
    <w:rsid w:val="005808F2"/>
    <w:rsid w:val="00582286"/>
    <w:rsid w:val="005842F3"/>
    <w:rsid w:val="00586415"/>
    <w:rsid w:val="00595963"/>
    <w:rsid w:val="005A1E4B"/>
    <w:rsid w:val="005A23F3"/>
    <w:rsid w:val="005A310B"/>
    <w:rsid w:val="005A3D4F"/>
    <w:rsid w:val="005A48D7"/>
    <w:rsid w:val="005A5584"/>
    <w:rsid w:val="005A6AE9"/>
    <w:rsid w:val="005B3E76"/>
    <w:rsid w:val="005B4422"/>
    <w:rsid w:val="005C2B7C"/>
    <w:rsid w:val="005C642C"/>
    <w:rsid w:val="005C6A90"/>
    <w:rsid w:val="005D00E4"/>
    <w:rsid w:val="005D04DF"/>
    <w:rsid w:val="005D3210"/>
    <w:rsid w:val="005D41AF"/>
    <w:rsid w:val="005D424F"/>
    <w:rsid w:val="005D4A52"/>
    <w:rsid w:val="005D5FB3"/>
    <w:rsid w:val="005D7627"/>
    <w:rsid w:val="005D7D43"/>
    <w:rsid w:val="005E76F6"/>
    <w:rsid w:val="005F1F10"/>
    <w:rsid w:val="005F2B16"/>
    <w:rsid w:val="00601F73"/>
    <w:rsid w:val="00601F87"/>
    <w:rsid w:val="00602115"/>
    <w:rsid w:val="006027B7"/>
    <w:rsid w:val="00607046"/>
    <w:rsid w:val="006072DF"/>
    <w:rsid w:val="006109EF"/>
    <w:rsid w:val="00612216"/>
    <w:rsid w:val="00612BE6"/>
    <w:rsid w:val="00614E9F"/>
    <w:rsid w:val="00616ADF"/>
    <w:rsid w:val="00620D8F"/>
    <w:rsid w:val="00622C5B"/>
    <w:rsid w:val="00623CC6"/>
    <w:rsid w:val="00624761"/>
    <w:rsid w:val="006266F5"/>
    <w:rsid w:val="00634E28"/>
    <w:rsid w:val="00647A09"/>
    <w:rsid w:val="0065086A"/>
    <w:rsid w:val="006517A0"/>
    <w:rsid w:val="006524A2"/>
    <w:rsid w:val="006738B8"/>
    <w:rsid w:val="00674185"/>
    <w:rsid w:val="00683D4A"/>
    <w:rsid w:val="00686D39"/>
    <w:rsid w:val="00692CDD"/>
    <w:rsid w:val="0069398D"/>
    <w:rsid w:val="006962F2"/>
    <w:rsid w:val="00696541"/>
    <w:rsid w:val="006A4B34"/>
    <w:rsid w:val="006A5C21"/>
    <w:rsid w:val="006B14EA"/>
    <w:rsid w:val="006B2504"/>
    <w:rsid w:val="006B3B84"/>
    <w:rsid w:val="006B3C71"/>
    <w:rsid w:val="006C1385"/>
    <w:rsid w:val="006C2B68"/>
    <w:rsid w:val="006C66D0"/>
    <w:rsid w:val="006D00F2"/>
    <w:rsid w:val="006D0CBE"/>
    <w:rsid w:val="006D29A6"/>
    <w:rsid w:val="006D6EA3"/>
    <w:rsid w:val="006D7D1C"/>
    <w:rsid w:val="006E0847"/>
    <w:rsid w:val="006E4BCB"/>
    <w:rsid w:val="006E55CB"/>
    <w:rsid w:val="006F0810"/>
    <w:rsid w:val="006F0D7E"/>
    <w:rsid w:val="006F12B6"/>
    <w:rsid w:val="006F1D9B"/>
    <w:rsid w:val="006F2D64"/>
    <w:rsid w:val="006F4A4F"/>
    <w:rsid w:val="006F65D5"/>
    <w:rsid w:val="006F76E2"/>
    <w:rsid w:val="006F7FE6"/>
    <w:rsid w:val="007002E4"/>
    <w:rsid w:val="00706757"/>
    <w:rsid w:val="007076C9"/>
    <w:rsid w:val="00710948"/>
    <w:rsid w:val="00710EE4"/>
    <w:rsid w:val="00713233"/>
    <w:rsid w:val="0071436C"/>
    <w:rsid w:val="00716E6B"/>
    <w:rsid w:val="00717248"/>
    <w:rsid w:val="00720869"/>
    <w:rsid w:val="00723AC2"/>
    <w:rsid w:val="00725BB8"/>
    <w:rsid w:val="007263BF"/>
    <w:rsid w:val="0073263C"/>
    <w:rsid w:val="007349B0"/>
    <w:rsid w:val="007354A2"/>
    <w:rsid w:val="00736211"/>
    <w:rsid w:val="0073680D"/>
    <w:rsid w:val="00737E50"/>
    <w:rsid w:val="00740900"/>
    <w:rsid w:val="0074262E"/>
    <w:rsid w:val="00744702"/>
    <w:rsid w:val="0075662C"/>
    <w:rsid w:val="00757131"/>
    <w:rsid w:val="00760400"/>
    <w:rsid w:val="00761873"/>
    <w:rsid w:val="007618AC"/>
    <w:rsid w:val="00762212"/>
    <w:rsid w:val="00763272"/>
    <w:rsid w:val="007646E7"/>
    <w:rsid w:val="00765B21"/>
    <w:rsid w:val="00770C94"/>
    <w:rsid w:val="007714FC"/>
    <w:rsid w:val="00771CF6"/>
    <w:rsid w:val="0077387D"/>
    <w:rsid w:val="00773B3B"/>
    <w:rsid w:val="00775E6F"/>
    <w:rsid w:val="00780A59"/>
    <w:rsid w:val="007811AA"/>
    <w:rsid w:val="007867EE"/>
    <w:rsid w:val="00790BF0"/>
    <w:rsid w:val="00790C23"/>
    <w:rsid w:val="007A1221"/>
    <w:rsid w:val="007A2AD5"/>
    <w:rsid w:val="007A47F1"/>
    <w:rsid w:val="007A5226"/>
    <w:rsid w:val="007B0F04"/>
    <w:rsid w:val="007B19AD"/>
    <w:rsid w:val="007B2D5F"/>
    <w:rsid w:val="007B72EE"/>
    <w:rsid w:val="007C7E15"/>
    <w:rsid w:val="007D5088"/>
    <w:rsid w:val="007D708F"/>
    <w:rsid w:val="007F42BD"/>
    <w:rsid w:val="008002AB"/>
    <w:rsid w:val="00801037"/>
    <w:rsid w:val="008018FA"/>
    <w:rsid w:val="0080218B"/>
    <w:rsid w:val="0080432B"/>
    <w:rsid w:val="00804949"/>
    <w:rsid w:val="00805DD8"/>
    <w:rsid w:val="008103FA"/>
    <w:rsid w:val="008170F8"/>
    <w:rsid w:val="00823DDC"/>
    <w:rsid w:val="0083288A"/>
    <w:rsid w:val="00832C94"/>
    <w:rsid w:val="00832EBC"/>
    <w:rsid w:val="008373C6"/>
    <w:rsid w:val="0084795E"/>
    <w:rsid w:val="00864E1E"/>
    <w:rsid w:val="00873051"/>
    <w:rsid w:val="008735FE"/>
    <w:rsid w:val="0087371C"/>
    <w:rsid w:val="008745ED"/>
    <w:rsid w:val="00874EDF"/>
    <w:rsid w:val="00882C64"/>
    <w:rsid w:val="0088793A"/>
    <w:rsid w:val="00887E5D"/>
    <w:rsid w:val="00894B7F"/>
    <w:rsid w:val="008A15B7"/>
    <w:rsid w:val="008A18D5"/>
    <w:rsid w:val="008A210D"/>
    <w:rsid w:val="008B0C3D"/>
    <w:rsid w:val="008B13A5"/>
    <w:rsid w:val="008B1BA9"/>
    <w:rsid w:val="008B3CB9"/>
    <w:rsid w:val="008B667F"/>
    <w:rsid w:val="008C2DA2"/>
    <w:rsid w:val="008C5C2C"/>
    <w:rsid w:val="008C7623"/>
    <w:rsid w:val="008C78ED"/>
    <w:rsid w:val="008D7F1C"/>
    <w:rsid w:val="008E0695"/>
    <w:rsid w:val="008F6E85"/>
    <w:rsid w:val="00900933"/>
    <w:rsid w:val="009011A0"/>
    <w:rsid w:val="0090367B"/>
    <w:rsid w:val="00905F56"/>
    <w:rsid w:val="00913186"/>
    <w:rsid w:val="00914027"/>
    <w:rsid w:val="009140CD"/>
    <w:rsid w:val="00921090"/>
    <w:rsid w:val="009214EC"/>
    <w:rsid w:val="009224DD"/>
    <w:rsid w:val="00922F95"/>
    <w:rsid w:val="00923982"/>
    <w:rsid w:val="00923DA5"/>
    <w:rsid w:val="00924CA5"/>
    <w:rsid w:val="00930F2F"/>
    <w:rsid w:val="009337D8"/>
    <w:rsid w:val="00934A5D"/>
    <w:rsid w:val="00937760"/>
    <w:rsid w:val="00941292"/>
    <w:rsid w:val="0094168A"/>
    <w:rsid w:val="00941D63"/>
    <w:rsid w:val="00942C1E"/>
    <w:rsid w:val="0094476E"/>
    <w:rsid w:val="009456AE"/>
    <w:rsid w:val="009461CC"/>
    <w:rsid w:val="0094624C"/>
    <w:rsid w:val="00953A7F"/>
    <w:rsid w:val="009645C9"/>
    <w:rsid w:val="00966ED8"/>
    <w:rsid w:val="009709B4"/>
    <w:rsid w:val="00970F10"/>
    <w:rsid w:val="00971960"/>
    <w:rsid w:val="00972802"/>
    <w:rsid w:val="00976460"/>
    <w:rsid w:val="00976960"/>
    <w:rsid w:val="00981AFC"/>
    <w:rsid w:val="00982459"/>
    <w:rsid w:val="00982823"/>
    <w:rsid w:val="00982903"/>
    <w:rsid w:val="009855C3"/>
    <w:rsid w:val="00987307"/>
    <w:rsid w:val="00994DB9"/>
    <w:rsid w:val="009964D2"/>
    <w:rsid w:val="009977D7"/>
    <w:rsid w:val="009A1AED"/>
    <w:rsid w:val="009A1FF8"/>
    <w:rsid w:val="009A5F24"/>
    <w:rsid w:val="009B4453"/>
    <w:rsid w:val="009B569A"/>
    <w:rsid w:val="009B7C1D"/>
    <w:rsid w:val="009C3B26"/>
    <w:rsid w:val="009C4FD5"/>
    <w:rsid w:val="009D19D6"/>
    <w:rsid w:val="009D3291"/>
    <w:rsid w:val="009D54C6"/>
    <w:rsid w:val="009D6FE2"/>
    <w:rsid w:val="009D7E33"/>
    <w:rsid w:val="009E10C6"/>
    <w:rsid w:val="009E1EBB"/>
    <w:rsid w:val="009E4BE1"/>
    <w:rsid w:val="009F1498"/>
    <w:rsid w:val="009F1998"/>
    <w:rsid w:val="009F1BD0"/>
    <w:rsid w:val="009F282F"/>
    <w:rsid w:val="009F2A57"/>
    <w:rsid w:val="009F319A"/>
    <w:rsid w:val="009F4223"/>
    <w:rsid w:val="009F51B0"/>
    <w:rsid w:val="009F5769"/>
    <w:rsid w:val="009F78EE"/>
    <w:rsid w:val="00A006F5"/>
    <w:rsid w:val="00A00853"/>
    <w:rsid w:val="00A0129F"/>
    <w:rsid w:val="00A02A54"/>
    <w:rsid w:val="00A030DC"/>
    <w:rsid w:val="00A03A91"/>
    <w:rsid w:val="00A05360"/>
    <w:rsid w:val="00A06EA0"/>
    <w:rsid w:val="00A12C5D"/>
    <w:rsid w:val="00A2055A"/>
    <w:rsid w:val="00A24C7B"/>
    <w:rsid w:val="00A25FCE"/>
    <w:rsid w:val="00A30F54"/>
    <w:rsid w:val="00A36237"/>
    <w:rsid w:val="00A3639B"/>
    <w:rsid w:val="00A377B2"/>
    <w:rsid w:val="00A44D21"/>
    <w:rsid w:val="00A4616A"/>
    <w:rsid w:val="00A5239F"/>
    <w:rsid w:val="00A538EF"/>
    <w:rsid w:val="00A56D87"/>
    <w:rsid w:val="00A570BF"/>
    <w:rsid w:val="00A57182"/>
    <w:rsid w:val="00A603C9"/>
    <w:rsid w:val="00A62721"/>
    <w:rsid w:val="00A62AA4"/>
    <w:rsid w:val="00A80721"/>
    <w:rsid w:val="00A8284F"/>
    <w:rsid w:val="00A8483B"/>
    <w:rsid w:val="00A8663C"/>
    <w:rsid w:val="00A86CBA"/>
    <w:rsid w:val="00A90A1C"/>
    <w:rsid w:val="00A95910"/>
    <w:rsid w:val="00AA2E04"/>
    <w:rsid w:val="00AA3502"/>
    <w:rsid w:val="00AA3694"/>
    <w:rsid w:val="00AA7F1D"/>
    <w:rsid w:val="00AB04FB"/>
    <w:rsid w:val="00AC1EE8"/>
    <w:rsid w:val="00AC2C59"/>
    <w:rsid w:val="00AC53BA"/>
    <w:rsid w:val="00AC7864"/>
    <w:rsid w:val="00AD0542"/>
    <w:rsid w:val="00AD22EF"/>
    <w:rsid w:val="00AD355F"/>
    <w:rsid w:val="00AD3C62"/>
    <w:rsid w:val="00AD4A16"/>
    <w:rsid w:val="00AE212B"/>
    <w:rsid w:val="00AE2B73"/>
    <w:rsid w:val="00AE5A46"/>
    <w:rsid w:val="00AF2584"/>
    <w:rsid w:val="00B0012D"/>
    <w:rsid w:val="00B01620"/>
    <w:rsid w:val="00B0256A"/>
    <w:rsid w:val="00B04139"/>
    <w:rsid w:val="00B06F88"/>
    <w:rsid w:val="00B07777"/>
    <w:rsid w:val="00B1087D"/>
    <w:rsid w:val="00B11A66"/>
    <w:rsid w:val="00B15E55"/>
    <w:rsid w:val="00B16AB3"/>
    <w:rsid w:val="00B17CC3"/>
    <w:rsid w:val="00B26297"/>
    <w:rsid w:val="00B343C2"/>
    <w:rsid w:val="00B37A72"/>
    <w:rsid w:val="00B407B6"/>
    <w:rsid w:val="00B459A4"/>
    <w:rsid w:val="00B62140"/>
    <w:rsid w:val="00B66253"/>
    <w:rsid w:val="00B67432"/>
    <w:rsid w:val="00B7112F"/>
    <w:rsid w:val="00B714A8"/>
    <w:rsid w:val="00B7247B"/>
    <w:rsid w:val="00B73BEA"/>
    <w:rsid w:val="00B763A0"/>
    <w:rsid w:val="00B82FB3"/>
    <w:rsid w:val="00B8570A"/>
    <w:rsid w:val="00B8696D"/>
    <w:rsid w:val="00B9692A"/>
    <w:rsid w:val="00BA7D3E"/>
    <w:rsid w:val="00BB10A1"/>
    <w:rsid w:val="00BB36B1"/>
    <w:rsid w:val="00BB79B1"/>
    <w:rsid w:val="00BC0CE0"/>
    <w:rsid w:val="00BC3DD7"/>
    <w:rsid w:val="00BD0A3C"/>
    <w:rsid w:val="00BD1913"/>
    <w:rsid w:val="00BD7F46"/>
    <w:rsid w:val="00BE0727"/>
    <w:rsid w:val="00BE09C5"/>
    <w:rsid w:val="00BE3D15"/>
    <w:rsid w:val="00BE7E3B"/>
    <w:rsid w:val="00BF53FD"/>
    <w:rsid w:val="00BF7DE6"/>
    <w:rsid w:val="00C00243"/>
    <w:rsid w:val="00C01A53"/>
    <w:rsid w:val="00C0200E"/>
    <w:rsid w:val="00C02BC0"/>
    <w:rsid w:val="00C134BC"/>
    <w:rsid w:val="00C13612"/>
    <w:rsid w:val="00C1549E"/>
    <w:rsid w:val="00C16423"/>
    <w:rsid w:val="00C16D85"/>
    <w:rsid w:val="00C3050A"/>
    <w:rsid w:val="00C361CA"/>
    <w:rsid w:val="00C36DF6"/>
    <w:rsid w:val="00C3745E"/>
    <w:rsid w:val="00C43672"/>
    <w:rsid w:val="00C462E5"/>
    <w:rsid w:val="00C46C3A"/>
    <w:rsid w:val="00C47B0F"/>
    <w:rsid w:val="00C56109"/>
    <w:rsid w:val="00C6261A"/>
    <w:rsid w:val="00C64987"/>
    <w:rsid w:val="00C64AB4"/>
    <w:rsid w:val="00C673A6"/>
    <w:rsid w:val="00C706D6"/>
    <w:rsid w:val="00C70884"/>
    <w:rsid w:val="00C76698"/>
    <w:rsid w:val="00C824D9"/>
    <w:rsid w:val="00C82528"/>
    <w:rsid w:val="00C83032"/>
    <w:rsid w:val="00C91927"/>
    <w:rsid w:val="00C94CB5"/>
    <w:rsid w:val="00C97841"/>
    <w:rsid w:val="00CA2472"/>
    <w:rsid w:val="00CA46B0"/>
    <w:rsid w:val="00CA7832"/>
    <w:rsid w:val="00CB0F1E"/>
    <w:rsid w:val="00CB7CB0"/>
    <w:rsid w:val="00CC0372"/>
    <w:rsid w:val="00CD129C"/>
    <w:rsid w:val="00CD6594"/>
    <w:rsid w:val="00CD6EF2"/>
    <w:rsid w:val="00CD76E0"/>
    <w:rsid w:val="00CE3EA4"/>
    <w:rsid w:val="00CE53A8"/>
    <w:rsid w:val="00CE6144"/>
    <w:rsid w:val="00CE7154"/>
    <w:rsid w:val="00CF0AF4"/>
    <w:rsid w:val="00CF6BEB"/>
    <w:rsid w:val="00CF73A8"/>
    <w:rsid w:val="00CF7C5F"/>
    <w:rsid w:val="00D0484D"/>
    <w:rsid w:val="00D0560B"/>
    <w:rsid w:val="00D104AC"/>
    <w:rsid w:val="00D12793"/>
    <w:rsid w:val="00D14601"/>
    <w:rsid w:val="00D15BBE"/>
    <w:rsid w:val="00D16500"/>
    <w:rsid w:val="00D20FA4"/>
    <w:rsid w:val="00D23267"/>
    <w:rsid w:val="00D23846"/>
    <w:rsid w:val="00D24167"/>
    <w:rsid w:val="00D26121"/>
    <w:rsid w:val="00D26B0D"/>
    <w:rsid w:val="00D35E63"/>
    <w:rsid w:val="00D42481"/>
    <w:rsid w:val="00D4248E"/>
    <w:rsid w:val="00D4289F"/>
    <w:rsid w:val="00D47200"/>
    <w:rsid w:val="00D479C6"/>
    <w:rsid w:val="00D52DF8"/>
    <w:rsid w:val="00D558E5"/>
    <w:rsid w:val="00D56C82"/>
    <w:rsid w:val="00D600D7"/>
    <w:rsid w:val="00D61385"/>
    <w:rsid w:val="00D62E8E"/>
    <w:rsid w:val="00D63EAA"/>
    <w:rsid w:val="00D64EA5"/>
    <w:rsid w:val="00D7023E"/>
    <w:rsid w:val="00D75384"/>
    <w:rsid w:val="00D75D87"/>
    <w:rsid w:val="00D760D8"/>
    <w:rsid w:val="00D7728B"/>
    <w:rsid w:val="00D82C89"/>
    <w:rsid w:val="00D91CDB"/>
    <w:rsid w:val="00D94089"/>
    <w:rsid w:val="00D96F6A"/>
    <w:rsid w:val="00D979CC"/>
    <w:rsid w:val="00DA4404"/>
    <w:rsid w:val="00DA5FD1"/>
    <w:rsid w:val="00DA6381"/>
    <w:rsid w:val="00DB020C"/>
    <w:rsid w:val="00DB582A"/>
    <w:rsid w:val="00DB74A8"/>
    <w:rsid w:val="00DD13F4"/>
    <w:rsid w:val="00DD54B4"/>
    <w:rsid w:val="00DE0007"/>
    <w:rsid w:val="00DE2118"/>
    <w:rsid w:val="00DE3CC0"/>
    <w:rsid w:val="00DE6313"/>
    <w:rsid w:val="00DE6327"/>
    <w:rsid w:val="00DE7820"/>
    <w:rsid w:val="00DE7FD7"/>
    <w:rsid w:val="00DF0617"/>
    <w:rsid w:val="00DF62DC"/>
    <w:rsid w:val="00E01E5A"/>
    <w:rsid w:val="00E03D31"/>
    <w:rsid w:val="00E11D92"/>
    <w:rsid w:val="00E1442F"/>
    <w:rsid w:val="00E14C97"/>
    <w:rsid w:val="00E15A97"/>
    <w:rsid w:val="00E20747"/>
    <w:rsid w:val="00E213E0"/>
    <w:rsid w:val="00E23984"/>
    <w:rsid w:val="00E269CF"/>
    <w:rsid w:val="00E3060B"/>
    <w:rsid w:val="00E3332E"/>
    <w:rsid w:val="00E352B4"/>
    <w:rsid w:val="00E407A5"/>
    <w:rsid w:val="00E409AE"/>
    <w:rsid w:val="00E41C44"/>
    <w:rsid w:val="00E46137"/>
    <w:rsid w:val="00E529DC"/>
    <w:rsid w:val="00E535E2"/>
    <w:rsid w:val="00E541DE"/>
    <w:rsid w:val="00E7114E"/>
    <w:rsid w:val="00E714ED"/>
    <w:rsid w:val="00E725CD"/>
    <w:rsid w:val="00E818B5"/>
    <w:rsid w:val="00E87974"/>
    <w:rsid w:val="00E91403"/>
    <w:rsid w:val="00E950A1"/>
    <w:rsid w:val="00E9587C"/>
    <w:rsid w:val="00EA0589"/>
    <w:rsid w:val="00EA2539"/>
    <w:rsid w:val="00EA2A12"/>
    <w:rsid w:val="00EA34B1"/>
    <w:rsid w:val="00EA386A"/>
    <w:rsid w:val="00EA3F04"/>
    <w:rsid w:val="00EB3CE1"/>
    <w:rsid w:val="00EB4EEE"/>
    <w:rsid w:val="00EB5323"/>
    <w:rsid w:val="00EB55F4"/>
    <w:rsid w:val="00EB7528"/>
    <w:rsid w:val="00EC009B"/>
    <w:rsid w:val="00EC0A5C"/>
    <w:rsid w:val="00EC0F3C"/>
    <w:rsid w:val="00ED2006"/>
    <w:rsid w:val="00ED2C52"/>
    <w:rsid w:val="00ED57DD"/>
    <w:rsid w:val="00ED6077"/>
    <w:rsid w:val="00ED60E5"/>
    <w:rsid w:val="00EE18FA"/>
    <w:rsid w:val="00EE3541"/>
    <w:rsid w:val="00EF2775"/>
    <w:rsid w:val="00EF2EB4"/>
    <w:rsid w:val="00F0588E"/>
    <w:rsid w:val="00F07DD1"/>
    <w:rsid w:val="00F07F31"/>
    <w:rsid w:val="00F11EC2"/>
    <w:rsid w:val="00F12464"/>
    <w:rsid w:val="00F12AB9"/>
    <w:rsid w:val="00F1562A"/>
    <w:rsid w:val="00F1569C"/>
    <w:rsid w:val="00F20DD6"/>
    <w:rsid w:val="00F24AE3"/>
    <w:rsid w:val="00F32C32"/>
    <w:rsid w:val="00F332F1"/>
    <w:rsid w:val="00F343C3"/>
    <w:rsid w:val="00F347FB"/>
    <w:rsid w:val="00F34BCF"/>
    <w:rsid w:val="00F3731D"/>
    <w:rsid w:val="00F37F87"/>
    <w:rsid w:val="00F44E82"/>
    <w:rsid w:val="00F501B1"/>
    <w:rsid w:val="00F556AD"/>
    <w:rsid w:val="00F56303"/>
    <w:rsid w:val="00F56B50"/>
    <w:rsid w:val="00F604C9"/>
    <w:rsid w:val="00F63689"/>
    <w:rsid w:val="00F66077"/>
    <w:rsid w:val="00F66E1F"/>
    <w:rsid w:val="00F67A0E"/>
    <w:rsid w:val="00F67D06"/>
    <w:rsid w:val="00F7558C"/>
    <w:rsid w:val="00F761EC"/>
    <w:rsid w:val="00F86E3F"/>
    <w:rsid w:val="00F9112F"/>
    <w:rsid w:val="00FA1D26"/>
    <w:rsid w:val="00FB05F7"/>
    <w:rsid w:val="00FB0A38"/>
    <w:rsid w:val="00FB14AD"/>
    <w:rsid w:val="00FB1FDD"/>
    <w:rsid w:val="00FB59FD"/>
    <w:rsid w:val="00FC52C8"/>
    <w:rsid w:val="00FC5667"/>
    <w:rsid w:val="00FC6DBB"/>
    <w:rsid w:val="00FD0ECB"/>
    <w:rsid w:val="00FE148C"/>
    <w:rsid w:val="00FE191E"/>
    <w:rsid w:val="00FE3112"/>
    <w:rsid w:val="00FE4230"/>
    <w:rsid w:val="00FE5B73"/>
    <w:rsid w:val="00FE6595"/>
    <w:rsid w:val="00FE78AD"/>
    <w:rsid w:val="00FF50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F21F001E-88CD-4871-AF23-786D977E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C3"/>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ind w:left="792"/>
      <w:outlineLvl w:val="0"/>
    </w:pPr>
    <w:rPr>
      <w:b/>
      <w:color w:val="000000" w:themeColor="text1"/>
    </w:rPr>
  </w:style>
  <w:style w:type="paragraph" w:styleId="Heading2">
    <w:name w:val="heading 2"/>
    <w:basedOn w:val="Heading1"/>
    <w:next w:val="Normal"/>
    <w:link w:val="Heading2Char"/>
    <w:uiPriority w:val="9"/>
    <w:unhideWhenUsed/>
    <w:qFormat/>
    <w:rsid w:val="009855C3"/>
    <w:pPr>
      <w:numPr>
        <w:numId w:val="1"/>
      </w:numPr>
      <w:outlineLvl w:val="1"/>
    </w:pPr>
  </w:style>
  <w:style w:type="paragraph" w:styleId="Heading3">
    <w:name w:val="heading 3"/>
    <w:basedOn w:val="Normal"/>
    <w:next w:val="Normal"/>
    <w:link w:val="Heading3Char"/>
    <w:uiPriority w:val="9"/>
    <w:semiHidden/>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3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uiPriority w:val="9"/>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paragraph" w:customStyle="1" w:styleId="TableHeading-Font10">
    <w:name w:val="Table Heading-Font 10"/>
    <w:next w:val="Normal"/>
    <w:link w:val="TableHeading-Font10Char"/>
    <w:qFormat/>
    <w:rsid w:val="00AC1EE8"/>
    <w:pPr>
      <w:keepNext/>
      <w:keepLines/>
      <w:tabs>
        <w:tab w:val="left" w:pos="1440"/>
      </w:tabs>
      <w:spacing w:before="80" w:after="80" w:line="200" w:lineRule="exact"/>
      <w:jc w:val="center"/>
    </w:pPr>
    <w:rPr>
      <w:rFonts w:ascii="Arial" w:hAnsi="Arial" w:cs="Arial"/>
      <w:b/>
      <w:bCs/>
      <w:kern w:val="32"/>
      <w:sz w:val="20"/>
      <w:szCs w:val="20"/>
    </w:rPr>
  </w:style>
  <w:style w:type="character" w:customStyle="1" w:styleId="TableHeading-Font10Char">
    <w:name w:val="Table Heading-Font 10 Char"/>
    <w:link w:val="TableHeading-Font10"/>
    <w:rsid w:val="00AC1EE8"/>
    <w:rPr>
      <w:rFonts w:ascii="Arial" w:hAnsi="Arial" w:cs="Arial"/>
      <w:b/>
      <w:bCs/>
      <w:kern w:val="32"/>
      <w:sz w:val="20"/>
      <w:szCs w:val="20"/>
    </w:rPr>
  </w:style>
  <w:style w:type="paragraph" w:customStyle="1" w:styleId="TableTextLeft">
    <w:name w:val="Table Text Left"/>
    <w:basedOn w:val="Normal"/>
    <w:link w:val="TableTextLeftChar"/>
    <w:qFormat/>
    <w:rsid w:val="00AC1EE8"/>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AC1EE8"/>
    <w:rPr>
      <w:rFonts w:ascii="Arial" w:eastAsia="Arial Unicode MS" w:hAnsi="Arial" w:cs="Arial"/>
      <w:iCs/>
      <w:sz w:val="20"/>
      <w:szCs w:val="20"/>
      <w:lang w:eastAsia="en-GB"/>
    </w:rPr>
  </w:style>
  <w:style w:type="paragraph" w:styleId="BodyText">
    <w:name w:val="Body Text"/>
    <w:basedOn w:val="Normal"/>
    <w:link w:val="BodyTextChar"/>
    <w:uiPriority w:val="99"/>
    <w:unhideWhenUsed/>
    <w:rsid w:val="00D75D87"/>
    <w:pPr>
      <w:spacing w:after="120"/>
    </w:pPr>
  </w:style>
  <w:style w:type="character" w:customStyle="1" w:styleId="BodyTextChar">
    <w:name w:val="Body Text Char"/>
    <w:basedOn w:val="DefaultParagraphFont"/>
    <w:link w:val="BodyText"/>
    <w:uiPriority w:val="99"/>
    <w:rsid w:val="00D75D87"/>
    <w:rPr>
      <w:rFonts w:ascii="Times New Roman" w:hAnsi="Times New Roman"/>
      <w:sz w:val="24"/>
      <w:lang w:eastAsia="en-GB"/>
    </w:rPr>
  </w:style>
  <w:style w:type="character" w:styleId="CommentReference">
    <w:name w:val="annotation reference"/>
    <w:basedOn w:val="DefaultParagraphFont"/>
    <w:uiPriority w:val="99"/>
    <w:semiHidden/>
    <w:unhideWhenUsed/>
    <w:rsid w:val="009F4223"/>
    <w:rPr>
      <w:sz w:val="16"/>
      <w:szCs w:val="16"/>
    </w:rPr>
  </w:style>
  <w:style w:type="paragraph" w:styleId="CommentText">
    <w:name w:val="annotation text"/>
    <w:basedOn w:val="Normal"/>
    <w:link w:val="CommentTextChar"/>
    <w:uiPriority w:val="99"/>
    <w:unhideWhenUsed/>
    <w:rsid w:val="009F4223"/>
    <w:pPr>
      <w:widowControl w:val="0"/>
      <w:autoSpaceDE w:val="0"/>
      <w:autoSpaceDN w:val="0"/>
      <w:spacing w:after="0" w:afterAutospacing="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9F4223"/>
    <w:rPr>
      <w:rFonts w:ascii="Arial" w:eastAsia="Arial" w:hAnsi="Arial" w:cs="Arial"/>
      <w:sz w:val="20"/>
      <w:szCs w:val="20"/>
    </w:rPr>
  </w:style>
  <w:style w:type="table" w:customStyle="1" w:styleId="TableGrid1">
    <w:name w:val="Table Grid1"/>
    <w:basedOn w:val="TableNormal"/>
    <w:next w:val="TableGrid"/>
    <w:uiPriority w:val="59"/>
    <w:rsid w:val="00493B5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10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B6D13"/>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T1BodyTextI1">
    <w:name w:val="BT1: Body Text I1"/>
    <w:basedOn w:val="BodyText"/>
    <w:link w:val="BT1BodyTextI1Char"/>
    <w:qFormat/>
    <w:rsid w:val="00476A48"/>
    <w:pPr>
      <w:spacing w:before="240" w:after="0" w:afterAutospacing="0" w:line="240" w:lineRule="auto"/>
      <w:jc w:val="both"/>
    </w:pPr>
    <w:rPr>
      <w:rFonts w:ascii="Arial" w:eastAsia="Calibri" w:hAnsi="Arial" w:cs="Arial"/>
      <w:iCs/>
      <w:sz w:val="22"/>
      <w:lang w:eastAsia="en-US"/>
    </w:rPr>
  </w:style>
  <w:style w:type="character" w:customStyle="1" w:styleId="BT1BodyTextI1Char">
    <w:name w:val="BT1: Body Text I1 Char"/>
    <w:basedOn w:val="DefaultParagraphFont"/>
    <w:link w:val="BT1BodyTextI1"/>
    <w:locked/>
    <w:rsid w:val="00476A48"/>
    <w:rPr>
      <w:rFonts w:ascii="Arial" w:eastAsia="Calibri" w:hAnsi="Arial" w:cs="Arial"/>
      <w:iC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A2539"/>
    <w:rPr>
      <w:rFonts w:ascii="Times New Roman" w:hAnsi="Times New Roman"/>
      <w:sz w:val="24"/>
      <w:lang w:eastAsia="en-GB"/>
    </w:rPr>
  </w:style>
  <w:style w:type="paragraph" w:styleId="Caption">
    <w:name w:val="caption"/>
    <w:aliases w:val="Footnote,Times Roman 10 bold,Char2,Char Char Char Char,Top Caption,1 Tbl Titles,Table Caption,Figure Caption,cerCAPTION,Pg1Title,Char Char Char + Arial,Left,Before:  6 pt,Caption Char1 Char,Fig Tittle,Caption Table, Char Char Char Char,Caption_m"/>
    <w:next w:val="Normal"/>
    <w:link w:val="CaptionChar"/>
    <w:qFormat/>
    <w:rsid w:val="00ED6077"/>
    <w:pPr>
      <w:keepNext/>
      <w:spacing w:before="240" w:after="240" w:line="240" w:lineRule="auto"/>
      <w:ind w:left="1411" w:hanging="1411"/>
    </w:pPr>
    <w:rPr>
      <w:rFonts w:ascii="Arial" w:eastAsia="Times New Roman" w:hAnsi="Arial" w:cs="Arial"/>
      <w:b/>
      <w:bCs/>
      <w:lang w:val="en-AU"/>
    </w:rPr>
  </w:style>
  <w:style w:type="character" w:customStyle="1" w:styleId="CaptionChar">
    <w:name w:val="Caption Char"/>
    <w:aliases w:val="Footnote Char,Times Roman 10 bold Char,Char2 Char,Char Char Char Char Char,Top Caption Char,1 Tbl Titles Char,Table Caption Char,Figure Caption Char,cerCAPTION Char,Pg1Title Char,Char Char Char + Arial Char,Left Char,Before:  6 pt Char"/>
    <w:link w:val="Caption"/>
    <w:qFormat/>
    <w:rsid w:val="00ED6077"/>
    <w:rPr>
      <w:rFonts w:ascii="Arial" w:eastAsia="Times New Roman" w:hAnsi="Arial" w:cs="Arial"/>
      <w:b/>
      <w:bCs/>
      <w:lang w:val="en-AU"/>
    </w:rPr>
  </w:style>
  <w:style w:type="paragraph" w:customStyle="1" w:styleId="Tablefootnotetext">
    <w:name w:val="Table footnote text"/>
    <w:basedOn w:val="Normal"/>
    <w:qFormat/>
    <w:locked/>
    <w:rsid w:val="00ED6077"/>
    <w:pPr>
      <w:spacing w:before="40" w:after="0" w:afterAutospacing="0" w:line="240" w:lineRule="auto"/>
      <w:jc w:val="both"/>
    </w:pPr>
    <w:rPr>
      <w:rFonts w:ascii="Arial" w:eastAsia="Times New Roman" w:hAnsi="Arial" w:cs="Times New Roman"/>
      <w:sz w:val="18"/>
      <w:szCs w:val="16"/>
      <w:lang w:eastAsia="en-US"/>
    </w:rPr>
  </w:style>
  <w:style w:type="paragraph" w:styleId="NormalWeb">
    <w:name w:val="Normal (Web)"/>
    <w:basedOn w:val="Normal"/>
    <w:uiPriority w:val="99"/>
    <w:unhideWhenUsed/>
    <w:rsid w:val="00E11D92"/>
    <w:pPr>
      <w:spacing w:before="100" w:beforeAutospacing="1" w:line="240" w:lineRule="auto"/>
    </w:pPr>
    <w:rPr>
      <w:rFonts w:eastAsia="Times New Roman" w:cs="Times New Roman"/>
      <w:szCs w:val="24"/>
      <w:lang w:eastAsia="en-US"/>
    </w:rPr>
  </w:style>
  <w:style w:type="character" w:styleId="Strong">
    <w:name w:val="Strong"/>
    <w:basedOn w:val="DefaultParagraphFont"/>
    <w:uiPriority w:val="22"/>
    <w:qFormat/>
    <w:rsid w:val="00E11D92"/>
    <w:rPr>
      <w:b/>
      <w:bCs/>
    </w:rPr>
  </w:style>
  <w:style w:type="paragraph" w:customStyle="1" w:styleId="pf0">
    <w:name w:val="pf0"/>
    <w:basedOn w:val="Normal"/>
    <w:rsid w:val="003B70D7"/>
    <w:pPr>
      <w:spacing w:before="100" w:beforeAutospacing="1" w:line="240" w:lineRule="auto"/>
    </w:pPr>
    <w:rPr>
      <w:rFonts w:eastAsia="Times New Roman" w:cs="Times New Roman"/>
      <w:szCs w:val="24"/>
      <w:lang w:val="en-GB"/>
    </w:rPr>
  </w:style>
  <w:style w:type="paragraph" w:styleId="CommentSubject">
    <w:name w:val="annotation subject"/>
    <w:basedOn w:val="CommentText"/>
    <w:next w:val="CommentText"/>
    <w:link w:val="CommentSubjectChar"/>
    <w:uiPriority w:val="99"/>
    <w:semiHidden/>
    <w:unhideWhenUsed/>
    <w:rsid w:val="009011A0"/>
    <w:pPr>
      <w:widowControl/>
      <w:autoSpaceDE/>
      <w:autoSpaceDN/>
      <w:spacing w:after="100" w:afterAutospacing="1"/>
    </w:pPr>
    <w:rPr>
      <w:rFonts w:ascii="Times New Roman" w:eastAsiaTheme="minorHAnsi" w:hAnsi="Times New Roman" w:cstheme="minorBidi"/>
      <w:b/>
      <w:bCs/>
      <w:lang w:eastAsia="en-GB"/>
    </w:rPr>
  </w:style>
  <w:style w:type="character" w:customStyle="1" w:styleId="CommentSubjectChar">
    <w:name w:val="Comment Subject Char"/>
    <w:basedOn w:val="CommentTextChar"/>
    <w:link w:val="CommentSubject"/>
    <w:uiPriority w:val="99"/>
    <w:semiHidden/>
    <w:rsid w:val="009011A0"/>
    <w:rPr>
      <w:rFonts w:ascii="Times New Roman" w:eastAsia="Arial" w:hAnsi="Times New Roman"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665">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1021">
      <w:bodyDiv w:val="1"/>
      <w:marLeft w:val="0"/>
      <w:marRight w:val="0"/>
      <w:marTop w:val="0"/>
      <w:marBottom w:val="0"/>
      <w:divBdr>
        <w:top w:val="none" w:sz="0" w:space="0" w:color="auto"/>
        <w:left w:val="none" w:sz="0" w:space="0" w:color="auto"/>
        <w:bottom w:val="none" w:sz="0" w:space="0" w:color="auto"/>
        <w:right w:val="none" w:sz="0" w:space="0" w:color="auto"/>
      </w:divBdr>
    </w:div>
    <w:div w:id="357781500">
      <w:bodyDiv w:val="1"/>
      <w:marLeft w:val="0"/>
      <w:marRight w:val="0"/>
      <w:marTop w:val="0"/>
      <w:marBottom w:val="0"/>
      <w:divBdr>
        <w:top w:val="none" w:sz="0" w:space="0" w:color="auto"/>
        <w:left w:val="none" w:sz="0" w:space="0" w:color="auto"/>
        <w:bottom w:val="none" w:sz="0" w:space="0" w:color="auto"/>
        <w:right w:val="none" w:sz="0" w:space="0" w:color="auto"/>
      </w:divBdr>
    </w:div>
    <w:div w:id="410398333">
      <w:bodyDiv w:val="1"/>
      <w:marLeft w:val="0"/>
      <w:marRight w:val="0"/>
      <w:marTop w:val="0"/>
      <w:marBottom w:val="0"/>
      <w:divBdr>
        <w:top w:val="none" w:sz="0" w:space="0" w:color="auto"/>
        <w:left w:val="none" w:sz="0" w:space="0" w:color="auto"/>
        <w:bottom w:val="none" w:sz="0" w:space="0" w:color="auto"/>
        <w:right w:val="none" w:sz="0" w:space="0" w:color="auto"/>
      </w:divBdr>
    </w:div>
    <w:div w:id="516499836">
      <w:bodyDiv w:val="1"/>
      <w:marLeft w:val="0"/>
      <w:marRight w:val="0"/>
      <w:marTop w:val="0"/>
      <w:marBottom w:val="0"/>
      <w:divBdr>
        <w:top w:val="none" w:sz="0" w:space="0" w:color="auto"/>
        <w:left w:val="none" w:sz="0" w:space="0" w:color="auto"/>
        <w:bottom w:val="none" w:sz="0" w:space="0" w:color="auto"/>
        <w:right w:val="none" w:sz="0" w:space="0" w:color="auto"/>
      </w:divBdr>
    </w:div>
    <w:div w:id="703794608">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760569569">
      <w:bodyDiv w:val="1"/>
      <w:marLeft w:val="0"/>
      <w:marRight w:val="0"/>
      <w:marTop w:val="0"/>
      <w:marBottom w:val="0"/>
      <w:divBdr>
        <w:top w:val="none" w:sz="0" w:space="0" w:color="auto"/>
        <w:left w:val="none" w:sz="0" w:space="0" w:color="auto"/>
        <w:bottom w:val="none" w:sz="0" w:space="0" w:color="auto"/>
        <w:right w:val="none" w:sz="0" w:space="0" w:color="auto"/>
      </w:divBdr>
    </w:div>
    <w:div w:id="1062099580">
      <w:bodyDiv w:val="1"/>
      <w:marLeft w:val="0"/>
      <w:marRight w:val="0"/>
      <w:marTop w:val="0"/>
      <w:marBottom w:val="0"/>
      <w:divBdr>
        <w:top w:val="none" w:sz="0" w:space="0" w:color="auto"/>
        <w:left w:val="none" w:sz="0" w:space="0" w:color="auto"/>
        <w:bottom w:val="none" w:sz="0" w:space="0" w:color="auto"/>
        <w:right w:val="none" w:sz="0" w:space="0" w:color="auto"/>
      </w:divBdr>
    </w:div>
    <w:div w:id="1089739924">
      <w:bodyDiv w:val="1"/>
      <w:marLeft w:val="0"/>
      <w:marRight w:val="0"/>
      <w:marTop w:val="0"/>
      <w:marBottom w:val="0"/>
      <w:divBdr>
        <w:top w:val="none" w:sz="0" w:space="0" w:color="auto"/>
        <w:left w:val="none" w:sz="0" w:space="0" w:color="auto"/>
        <w:bottom w:val="none" w:sz="0" w:space="0" w:color="auto"/>
        <w:right w:val="none" w:sz="0" w:space="0" w:color="auto"/>
      </w:divBdr>
    </w:div>
    <w:div w:id="1100954022">
      <w:bodyDiv w:val="1"/>
      <w:marLeft w:val="0"/>
      <w:marRight w:val="0"/>
      <w:marTop w:val="0"/>
      <w:marBottom w:val="0"/>
      <w:divBdr>
        <w:top w:val="none" w:sz="0" w:space="0" w:color="auto"/>
        <w:left w:val="none" w:sz="0" w:space="0" w:color="auto"/>
        <w:bottom w:val="none" w:sz="0" w:space="0" w:color="auto"/>
        <w:right w:val="none" w:sz="0" w:space="0" w:color="auto"/>
      </w:divBdr>
    </w:div>
    <w:div w:id="1205286823">
      <w:bodyDiv w:val="1"/>
      <w:marLeft w:val="0"/>
      <w:marRight w:val="0"/>
      <w:marTop w:val="0"/>
      <w:marBottom w:val="0"/>
      <w:divBdr>
        <w:top w:val="none" w:sz="0" w:space="0" w:color="auto"/>
        <w:left w:val="none" w:sz="0" w:space="0" w:color="auto"/>
        <w:bottom w:val="none" w:sz="0" w:space="0" w:color="auto"/>
        <w:right w:val="none" w:sz="0" w:space="0" w:color="auto"/>
      </w:divBdr>
    </w:div>
    <w:div w:id="1216744114">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88150971">
      <w:bodyDiv w:val="1"/>
      <w:marLeft w:val="0"/>
      <w:marRight w:val="0"/>
      <w:marTop w:val="0"/>
      <w:marBottom w:val="0"/>
      <w:divBdr>
        <w:top w:val="none" w:sz="0" w:space="0" w:color="auto"/>
        <w:left w:val="none" w:sz="0" w:space="0" w:color="auto"/>
        <w:bottom w:val="none" w:sz="0" w:space="0" w:color="auto"/>
        <w:right w:val="none" w:sz="0" w:space="0" w:color="auto"/>
      </w:divBdr>
    </w:div>
    <w:div w:id="1632133531">
      <w:bodyDiv w:val="1"/>
      <w:marLeft w:val="0"/>
      <w:marRight w:val="0"/>
      <w:marTop w:val="0"/>
      <w:marBottom w:val="0"/>
      <w:divBdr>
        <w:top w:val="none" w:sz="0" w:space="0" w:color="auto"/>
        <w:left w:val="none" w:sz="0" w:space="0" w:color="auto"/>
        <w:bottom w:val="none" w:sz="0" w:space="0" w:color="auto"/>
        <w:right w:val="none" w:sz="0" w:space="0" w:color="auto"/>
      </w:divBdr>
    </w:div>
    <w:div w:id="1669013527">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68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ergoVigilance@ul.com" TargetMode="External"/><Relationship Id="rId13" Type="http://schemas.openxmlformats.org/officeDocument/2006/relationships/hyperlink" Target="https://www.astm.org/Standards/F2096.htm" TargetMode="External"/><Relationship Id="rId18" Type="http://schemas.openxmlformats.org/officeDocument/2006/relationships/hyperlink" Target="https://www.astm.org/Standards/F1929.htm" TargetMode="External"/><Relationship Id="rId26" Type="http://schemas.openxmlformats.org/officeDocument/2006/relationships/hyperlink" Target="https://www.astm.org/Standards/F1980.htm" TargetMode="External"/><Relationship Id="rId3" Type="http://schemas.openxmlformats.org/officeDocument/2006/relationships/settings" Target="settings.xml"/><Relationship Id="rId21" Type="http://schemas.openxmlformats.org/officeDocument/2006/relationships/hyperlink" Target="https://www.astm.org/Standards/F88.htm" TargetMode="External"/><Relationship Id="rId7" Type="http://schemas.openxmlformats.org/officeDocument/2006/relationships/hyperlink" Target="mailto:RegCompliance@argonmedical.com" TargetMode="External"/><Relationship Id="rId12" Type="http://schemas.openxmlformats.org/officeDocument/2006/relationships/hyperlink" Target="https://www.astm.org/Standards/F2096.htm" TargetMode="External"/><Relationship Id="rId17" Type="http://schemas.openxmlformats.org/officeDocument/2006/relationships/hyperlink" Target="https://www.astm.org/Standards/F1929.htm" TargetMode="External"/><Relationship Id="rId25" Type="http://schemas.openxmlformats.org/officeDocument/2006/relationships/hyperlink" Target="https://www.astm.org/Standards/F1980.htm" TargetMode="External"/><Relationship Id="rId2" Type="http://schemas.openxmlformats.org/officeDocument/2006/relationships/styles" Target="styles.xml"/><Relationship Id="rId16" Type="http://schemas.openxmlformats.org/officeDocument/2006/relationships/hyperlink" Target="https://www.astm.org/Standards/F1929.htm" TargetMode="External"/><Relationship Id="rId20" Type="http://schemas.openxmlformats.org/officeDocument/2006/relationships/hyperlink" Target="https://www.astm.org/Standards/F88.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tm.org/Standards/D4169.htm" TargetMode="External"/><Relationship Id="rId24" Type="http://schemas.openxmlformats.org/officeDocument/2006/relationships/hyperlink" Target="https://www.astm.org/Standards/F1980.htm" TargetMode="External"/><Relationship Id="rId5" Type="http://schemas.openxmlformats.org/officeDocument/2006/relationships/footnotes" Target="footnotes.xml"/><Relationship Id="rId15" Type="http://schemas.openxmlformats.org/officeDocument/2006/relationships/hyperlink" Target="https://www.astm.org/Standards/F2096.htm" TargetMode="External"/><Relationship Id="rId23" Type="http://schemas.openxmlformats.org/officeDocument/2006/relationships/hyperlink" Target="https://www.astm.org/Standards/F1980.htm" TargetMode="External"/><Relationship Id="rId28" Type="http://schemas.openxmlformats.org/officeDocument/2006/relationships/footer" Target="footer1.xml"/><Relationship Id="rId10" Type="http://schemas.openxmlformats.org/officeDocument/2006/relationships/hyperlink" Target="https://www.astm.org/Standards/D4169.htm" TargetMode="External"/><Relationship Id="rId19" Type="http://schemas.openxmlformats.org/officeDocument/2006/relationships/hyperlink" Target="https://www.astm.org/Standards/F1929.htm" TargetMode="External"/><Relationship Id="rId4" Type="http://schemas.openxmlformats.org/officeDocument/2006/relationships/webSettings" Target="webSettings.xml"/><Relationship Id="rId9" Type="http://schemas.openxmlformats.org/officeDocument/2006/relationships/hyperlink" Target="http://www.bsigroup.com" TargetMode="External"/><Relationship Id="rId14" Type="http://schemas.openxmlformats.org/officeDocument/2006/relationships/hyperlink" Target="https://www.astm.org/Standards/F2096.htm" TargetMode="External"/><Relationship Id="rId22" Type="http://schemas.openxmlformats.org/officeDocument/2006/relationships/hyperlink" Target="https://www.astm.org/Standards/F88.ht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5039</Words>
  <Characters>28728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Pablo Lopez</cp:lastModifiedBy>
  <cp:revision>3</cp:revision>
  <dcterms:created xsi:type="dcterms:W3CDTF">2026-02-25T16:45:00Z</dcterms:created>
  <dcterms:modified xsi:type="dcterms:W3CDTF">2026-02-25T21:42:00Z</dcterms:modified>
</cp:coreProperties>
</file>