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CB8D4" w14:textId="7140A925" w:rsidR="0005411A" w:rsidRPr="009461CC" w:rsidRDefault="0005411A" w:rsidP="00042B91">
      <w:pPr>
        <w:pStyle w:val="BodyText3"/>
        <w:spacing w:after="0" w:afterAutospacing="0"/>
        <w:rPr>
          <w:sz w:val="24"/>
        </w:rPr>
      </w:pPr>
    </w:p>
    <w:p w14:paraId="2D72A510" w14:textId="58A5ED92" w:rsidR="0005411A" w:rsidRPr="009461CC" w:rsidRDefault="00E91403" w:rsidP="00042B91">
      <w:pPr>
        <w:pStyle w:val="BodyText3"/>
        <w:spacing w:after="0" w:afterAutospacing="0"/>
      </w:pPr>
      <w:r>
        <w:rPr>
          <w:bCs/>
          <w:noProof/>
          <w:lang w:val="hr"/>
        </w:rPr>
        <mc:AlternateContent>
          <mc:Choice Requires="wps">
            <w:drawing>
              <wp:anchor distT="0" distB="0" distL="114300" distR="114300" simplePos="0" relativeHeight="251659264" behindDoc="0" locked="0" layoutInCell="1" allowOverlap="1" wp14:anchorId="6FC0C8B7" wp14:editId="1A2EDAA4">
                <wp:simplePos x="0" y="0"/>
                <wp:positionH relativeFrom="column">
                  <wp:posOffset>-191262</wp:posOffset>
                </wp:positionH>
                <wp:positionV relativeFrom="paragraph">
                  <wp:posOffset>68961</wp:posOffset>
                </wp:positionV>
                <wp:extent cx="6448425" cy="1291590"/>
                <wp:effectExtent l="25400" t="25400" r="41275" b="419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291590"/>
                        </a:xfrm>
                        <a:prstGeom prst="rect">
                          <a:avLst/>
                        </a:prstGeom>
                        <a:solidFill>
                          <a:srgbClr val="FFFFFF"/>
                        </a:solidFill>
                        <a:ln w="57150" cmpd="thinThick">
                          <a:solidFill>
                            <a:srgbClr val="000000"/>
                          </a:solidFill>
                          <a:miter lim="800000"/>
                          <a:headEnd/>
                          <a:tailEnd/>
                        </a:ln>
                      </wps:spPr>
                      <wps:txbx>
                        <w:txbxContent>
                          <w:p w14:paraId="488C1F47" w14:textId="77777777" w:rsidR="0005411A" w:rsidRPr="00722580" w:rsidRDefault="006F0810" w:rsidP="006D00F2">
                            <w:pPr>
                              <w:pStyle w:val="Heading7"/>
                              <w:spacing w:after="0" w:afterAutospacing="0"/>
                              <w:rPr>
                                <w:sz w:val="32"/>
                                <w:szCs w:val="32"/>
                                <w:lang w:val="pl-PL"/>
                              </w:rPr>
                            </w:pPr>
                            <w:r>
                              <w:rPr>
                                <w:bCs/>
                                <w:sz w:val="32"/>
                                <w:szCs w:val="32"/>
                                <w:lang w:val="hr"/>
                              </w:rPr>
                              <w:t>SAŽETAK O SIGURNOSNOJ I KLINIČKOJ UČINKOVITOSTI (SSCP)</w:t>
                            </w:r>
                          </w:p>
                          <w:p w14:paraId="0E1996B2" w14:textId="77777777" w:rsidR="005D4A52" w:rsidRPr="00722580" w:rsidRDefault="005D4A52" w:rsidP="006D00F2">
                            <w:pPr>
                              <w:pStyle w:val="Heading7"/>
                              <w:spacing w:after="0" w:afterAutospacing="0"/>
                              <w:rPr>
                                <w:sz w:val="32"/>
                                <w:szCs w:val="32"/>
                                <w:lang w:val="pl-PL"/>
                              </w:rPr>
                            </w:pPr>
                            <w:r>
                              <w:rPr>
                                <w:bCs/>
                                <w:sz w:val="32"/>
                                <w:szCs w:val="32"/>
                                <w:lang w:val="hr"/>
                              </w:rPr>
                              <w:t>SSCP-0006</w:t>
                            </w:r>
                          </w:p>
                          <w:p w14:paraId="06B6F153" w14:textId="1D937F31" w:rsidR="005D4A52" w:rsidRPr="00722580" w:rsidRDefault="00F1569C" w:rsidP="006D00F2">
                            <w:pPr>
                              <w:pStyle w:val="Heading7"/>
                              <w:spacing w:after="0" w:afterAutospacing="0"/>
                              <w:rPr>
                                <w:sz w:val="32"/>
                                <w:szCs w:val="32"/>
                                <w:lang w:val="pl-PL"/>
                              </w:rPr>
                            </w:pPr>
                            <w:r>
                              <w:rPr>
                                <w:bCs/>
                                <w:sz w:val="32"/>
                                <w:szCs w:val="32"/>
                                <w:lang w:val="hr"/>
                              </w:rPr>
                              <w:t>Komplet vaskularne omče Atrieve</w:t>
                            </w:r>
                            <w:r>
                              <w:rPr>
                                <w:bCs/>
                                <w:sz w:val="32"/>
                                <w:szCs w:val="32"/>
                                <w:vertAlign w:val="superscript"/>
                                <w:lang w:val="hr"/>
                              </w:rPr>
                              <w:t>TM</w:t>
                            </w:r>
                            <w:r w:rsidR="00AE1FBE" w:rsidRPr="00722580">
                              <w:rPr>
                                <w:sz w:val="32"/>
                                <w:szCs w:val="32"/>
                                <w:lang w:val="pl-PL"/>
                              </w:rPr>
                              <w:t xml:space="preserve"> Snare</w:t>
                            </w:r>
                          </w:p>
                          <w:p w14:paraId="3354BBA5" w14:textId="08AF297F" w:rsidR="005D4A52" w:rsidRPr="00722580" w:rsidRDefault="005D4A52" w:rsidP="006D00F2">
                            <w:pPr>
                              <w:spacing w:after="0" w:afterAutospacing="0"/>
                              <w:jc w:val="center"/>
                              <w:rPr>
                                <w:b/>
                                <w:bCs/>
                                <w:sz w:val="32"/>
                                <w:szCs w:val="32"/>
                                <w:lang w:val="pl-PL"/>
                              </w:rPr>
                            </w:pPr>
                            <w:r>
                              <w:rPr>
                                <w:b/>
                                <w:bCs/>
                                <w:sz w:val="32"/>
                                <w:szCs w:val="32"/>
                                <w:lang w:val="hr"/>
                              </w:rPr>
                              <w:t>DHF-82248</w:t>
                            </w:r>
                          </w:p>
                          <w:p w14:paraId="3CF39942" w14:textId="77777777" w:rsidR="0005411A" w:rsidRPr="00722580" w:rsidRDefault="0005411A" w:rsidP="009855C3">
                            <w:pPr>
                              <w:rPr>
                                <w:lang w:val="pl-PL"/>
                              </w:rPr>
                            </w:pPr>
                          </w:p>
                          <w:p w14:paraId="684B57C2" w14:textId="77777777" w:rsidR="0005411A" w:rsidRPr="00267292" w:rsidRDefault="0005411A" w:rsidP="009855C3">
                            <w:r>
                              <w:rPr>
                                <w:lang w:val="hr"/>
                              </w:rPr>
                              <w:t>[DATUM]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0C8B7" id="_x0000_t202" coordsize="21600,21600" o:spt="202" path="m,l,21600r21600,l21600,xe">
                <v:stroke joinstyle="miter"/>
                <v:path gradientshapeok="t" o:connecttype="rect"/>
              </v:shapetype>
              <v:shape id="Text Box 2" o:spid="_x0000_s1026" type="#_x0000_t202" style="position:absolute;left:0;text-align:left;margin-left:-15.05pt;margin-top:5.45pt;width:507.75pt;height:10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" strokeweight="4.5pt">
                <v:stroke linestyle="thinThick"/>
                <v:textbox>
                  <w:txbxContent>
                    <w:p w14:paraId="488C1F47" w14:textId="77777777" w:rsidR="0005411A" w:rsidRPr="00722580" w:rsidRDefault="006F0810" w:rsidP="006D00F2">
                      <w:pPr>
                        <w:pStyle w:val="Heading7"/>
                        <w:spacing w:after="0" w:afterAutospacing="0"/>
                        <w:rPr>
                          <w:sz w:val="32"/>
                          <w:szCs w:val="32"/>
                          <w:lang w:val="pl-PL"/>
                        </w:rPr>
                      </w:pPr>
                      <w:r>
                        <w:rPr>
                          <w:bCs/>
                          <w:sz w:val="32"/>
                          <w:szCs w:val="32"/>
                          <w:lang w:val="hr"/>
                        </w:rPr>
                        <w:t>SAŽETAK O SIGURNOSNOJ I KLINIČKOJ UČINKOVITOSTI (SSCP)</w:t>
                      </w:r>
                    </w:p>
                    <w:p w14:paraId="0E1996B2" w14:textId="77777777" w:rsidR="005D4A52" w:rsidRPr="00722580" w:rsidRDefault="005D4A52" w:rsidP="006D00F2">
                      <w:pPr>
                        <w:pStyle w:val="Heading7"/>
                        <w:spacing w:after="0" w:afterAutospacing="0"/>
                        <w:rPr>
                          <w:sz w:val="32"/>
                          <w:szCs w:val="32"/>
                          <w:lang w:val="pl-PL"/>
                        </w:rPr>
                      </w:pPr>
                      <w:r>
                        <w:rPr>
                          <w:bCs/>
                          <w:sz w:val="32"/>
                          <w:szCs w:val="32"/>
                          <w:lang w:val="hr"/>
                        </w:rPr>
                        <w:t>SSCP-0006</w:t>
                      </w:r>
                    </w:p>
                    <w:p w14:paraId="06B6F153" w14:textId="1D937F31" w:rsidR="005D4A52" w:rsidRPr="00722580" w:rsidRDefault="00F1569C" w:rsidP="006D00F2">
                      <w:pPr>
                        <w:pStyle w:val="Heading7"/>
                        <w:spacing w:after="0" w:afterAutospacing="0"/>
                        <w:rPr>
                          <w:sz w:val="32"/>
                          <w:szCs w:val="32"/>
                          <w:lang w:val="pl-PL"/>
                        </w:rPr>
                      </w:pPr>
                      <w:r>
                        <w:rPr>
                          <w:bCs/>
                          <w:sz w:val="32"/>
                          <w:szCs w:val="32"/>
                          <w:lang w:val="hr"/>
                        </w:rPr>
                        <w:t>Komplet vaskularne omče Atrieve</w:t>
                      </w:r>
                      <w:r>
                        <w:rPr>
                          <w:bCs/>
                          <w:sz w:val="32"/>
                          <w:szCs w:val="32"/>
                          <w:vertAlign w:val="superscript"/>
                          <w:lang w:val="hr"/>
                        </w:rPr>
                        <w:t>TM</w:t>
                      </w:r>
                      <w:r w:rsidR="00AE1FBE" w:rsidRPr="00722580">
                        <w:rPr>
                          <w:sz w:val="32"/>
                          <w:szCs w:val="32"/>
                          <w:lang w:val="pl-PL"/>
                        </w:rPr>
                        <w:t xml:space="preserve"> Snare</w:t>
                      </w:r>
                    </w:p>
                    <w:p w14:paraId="3354BBA5" w14:textId="08AF297F" w:rsidR="005D4A52" w:rsidRPr="00722580" w:rsidRDefault="005D4A52" w:rsidP="006D00F2">
                      <w:pPr>
                        <w:spacing w:after="0" w:afterAutospacing="0"/>
                        <w:jc w:val="center"/>
                        <w:rPr>
                          <w:b/>
                          <w:bCs/>
                          <w:sz w:val="32"/>
                          <w:szCs w:val="32"/>
                          <w:lang w:val="pl-PL"/>
                        </w:rPr>
                      </w:pPr>
                      <w:r>
                        <w:rPr>
                          <w:b/>
                          <w:bCs/>
                          <w:sz w:val="32"/>
                          <w:szCs w:val="32"/>
                          <w:lang w:val="hr"/>
                        </w:rPr>
                        <w:t>DHF-82248</w:t>
                      </w:r>
                    </w:p>
                    <w:p w14:paraId="3CF39942" w14:textId="77777777" w:rsidR="0005411A" w:rsidRPr="00722580" w:rsidRDefault="0005411A" w:rsidP="009855C3">
                      <w:pPr>
                        <w:rPr>
                          <w:lang w:val="pl-PL"/>
                        </w:rPr>
                      </w:pPr>
                    </w:p>
                    <w:p w14:paraId="684B57C2" w14:textId="77777777" w:rsidR="0005411A" w:rsidRPr="00267292" w:rsidRDefault="0005411A" w:rsidP="009855C3">
                      <w:r>
                        <w:rPr>
                          <w:lang w:val="hr"/>
                        </w:rPr>
                        <w:t>[DATUM]</w:t>
                      </w:r>
                    </w:p>
                  </w:txbxContent>
                </v:textbox>
              </v:shape>
            </w:pict>
          </mc:Fallback>
        </mc:AlternateContent>
      </w:r>
    </w:p>
    <w:p w14:paraId="22332CC2" w14:textId="77777777" w:rsidR="0005411A" w:rsidRPr="009461CC" w:rsidRDefault="0005411A" w:rsidP="00042B91">
      <w:pPr>
        <w:pStyle w:val="BodyText3"/>
        <w:spacing w:after="0" w:afterAutospacing="0"/>
      </w:pPr>
    </w:p>
    <w:p w14:paraId="2048CF11" w14:textId="77777777" w:rsidR="0005411A" w:rsidRPr="009461CC" w:rsidRDefault="0005411A" w:rsidP="00042B91">
      <w:pPr>
        <w:pStyle w:val="BodyText3"/>
        <w:spacing w:after="0" w:afterAutospacing="0"/>
      </w:pPr>
    </w:p>
    <w:p w14:paraId="243C88AF" w14:textId="77777777" w:rsidR="0005411A" w:rsidRPr="009461CC" w:rsidRDefault="0005411A" w:rsidP="00042B91">
      <w:pPr>
        <w:pStyle w:val="BodyText3"/>
        <w:spacing w:after="0" w:afterAutospacing="0"/>
      </w:pPr>
    </w:p>
    <w:p w14:paraId="41545C51" w14:textId="2690A02B" w:rsidR="0005411A" w:rsidRPr="009461CC" w:rsidRDefault="0005411A" w:rsidP="00042B91">
      <w:pPr>
        <w:spacing w:after="0" w:afterAutospacing="0" w:line="240" w:lineRule="auto"/>
        <w:rPr>
          <w:rFonts w:cs="Times New Roman"/>
        </w:rPr>
      </w:pPr>
    </w:p>
    <w:p w14:paraId="155D5FB3" w14:textId="51695512" w:rsidR="00042B91" w:rsidRPr="009461CC" w:rsidRDefault="00042B91" w:rsidP="00042B91">
      <w:pPr>
        <w:spacing w:after="0" w:afterAutospacing="0" w:line="240" w:lineRule="auto"/>
        <w:rPr>
          <w:rFonts w:cs="Times New Roman"/>
        </w:rPr>
      </w:pPr>
    </w:p>
    <w:p w14:paraId="50F16F2D" w14:textId="5942F0CE" w:rsidR="00042B91" w:rsidRPr="009461CC" w:rsidRDefault="00042B91" w:rsidP="00042B91">
      <w:pPr>
        <w:spacing w:after="0" w:afterAutospacing="0" w:line="240" w:lineRule="auto"/>
        <w:rPr>
          <w:rFonts w:cs="Times New Roman"/>
        </w:rPr>
      </w:pPr>
    </w:p>
    <w:p w14:paraId="781CF868" w14:textId="0A72AB5D" w:rsidR="00042B91" w:rsidRPr="009461CC" w:rsidRDefault="00042B91" w:rsidP="00042B91">
      <w:pPr>
        <w:spacing w:after="0" w:afterAutospacing="0" w:line="240" w:lineRule="auto"/>
        <w:rPr>
          <w:rFonts w:cs="Times New Roman"/>
        </w:rPr>
      </w:pPr>
    </w:p>
    <w:p w14:paraId="7525C55B" w14:textId="09737261" w:rsidR="00042B91" w:rsidRPr="009461CC" w:rsidRDefault="00042B91" w:rsidP="00042B91">
      <w:pPr>
        <w:spacing w:after="0" w:afterAutospacing="0" w:line="240" w:lineRule="auto"/>
        <w:rPr>
          <w:rFonts w:cs="Times New Roman"/>
        </w:rPr>
      </w:pPr>
    </w:p>
    <w:p w14:paraId="2CF7AE6F" w14:textId="1272C31A" w:rsidR="00E91403" w:rsidRPr="009461CC" w:rsidRDefault="00E91403" w:rsidP="00042B91">
      <w:pPr>
        <w:spacing w:after="0" w:afterAutospacing="0" w:line="240" w:lineRule="auto"/>
        <w:rPr>
          <w:rFonts w:cs="Times New Roman"/>
        </w:rPr>
      </w:pPr>
      <w:r>
        <w:rPr>
          <w:rFonts w:cs="Times New Roman"/>
          <w:lang w:val="hr"/>
        </w:rPr>
        <w:t>Za objavu u Eudamedu</w:t>
      </w:r>
    </w:p>
    <w:p w14:paraId="57B38593" w14:textId="77777777" w:rsidR="00E91403" w:rsidRPr="009461CC" w:rsidRDefault="00E91403" w:rsidP="00042B91">
      <w:pPr>
        <w:spacing w:after="0" w:afterAutospacing="0" w:line="240" w:lineRule="auto"/>
        <w:rPr>
          <w:rFonts w:cs="Times New Roman"/>
        </w:rPr>
      </w:pP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523"/>
        <w:gridCol w:w="1389"/>
        <w:gridCol w:w="7037"/>
      </w:tblGrid>
      <w:tr w:rsidR="00E91403" w:rsidRPr="009D54AB" w14:paraId="481127A2" w14:textId="77777777" w:rsidTr="00E91403">
        <w:tc>
          <w:tcPr>
            <w:tcW w:w="1125" w:type="dxa"/>
            <w:tcBorders>
              <w:top w:val="single" w:sz="18" w:space="0" w:color="auto"/>
              <w:bottom w:val="double" w:sz="4" w:space="0" w:color="auto"/>
            </w:tcBorders>
            <w:shd w:val="clear" w:color="auto" w:fill="E0E0E0"/>
          </w:tcPr>
          <w:p w14:paraId="164CC73A" w14:textId="77777777" w:rsidR="00E91403" w:rsidRPr="009461CC" w:rsidRDefault="00E91403" w:rsidP="00842611">
            <w:pPr>
              <w:jc w:val="center"/>
              <w:rPr>
                <w:rFonts w:cs="Times New Roman"/>
                <w:b/>
                <w:szCs w:val="24"/>
              </w:rPr>
            </w:pPr>
            <w:r>
              <w:rPr>
                <w:rFonts w:cs="Times New Roman"/>
                <w:b/>
                <w:bCs/>
                <w:szCs w:val="24"/>
                <w:lang w:val="hr"/>
              </w:rPr>
              <w:t>ULOGA</w:t>
            </w:r>
          </w:p>
        </w:tc>
        <w:tc>
          <w:tcPr>
            <w:tcW w:w="1305" w:type="dxa"/>
            <w:tcBorders>
              <w:top w:val="single" w:sz="18" w:space="0" w:color="auto"/>
              <w:bottom w:val="double" w:sz="4" w:space="0" w:color="auto"/>
            </w:tcBorders>
            <w:shd w:val="clear" w:color="auto" w:fill="E0E0E0"/>
          </w:tcPr>
          <w:p w14:paraId="1A83C01C" w14:textId="77777777" w:rsidR="00E91403" w:rsidRPr="009461CC" w:rsidRDefault="00E91403" w:rsidP="00842611">
            <w:pPr>
              <w:jc w:val="center"/>
              <w:rPr>
                <w:rFonts w:cs="Times New Roman"/>
                <w:b/>
                <w:szCs w:val="24"/>
              </w:rPr>
            </w:pPr>
            <w:r>
              <w:rPr>
                <w:rFonts w:cs="Times New Roman"/>
                <w:b/>
                <w:bCs/>
                <w:szCs w:val="24"/>
                <w:lang w:val="hr"/>
              </w:rPr>
              <w:t>ODJEL</w:t>
            </w:r>
          </w:p>
        </w:tc>
        <w:tc>
          <w:tcPr>
            <w:tcW w:w="7519" w:type="dxa"/>
            <w:tcBorders>
              <w:top w:val="single" w:sz="18" w:space="0" w:color="auto"/>
              <w:bottom w:val="double" w:sz="4" w:space="0" w:color="auto"/>
            </w:tcBorders>
            <w:shd w:val="clear" w:color="auto" w:fill="E0E0E0"/>
          </w:tcPr>
          <w:p w14:paraId="4B6DA2F3" w14:textId="77777777" w:rsidR="00E91403" w:rsidRPr="00E105B6" w:rsidRDefault="00E91403" w:rsidP="00842611">
            <w:pPr>
              <w:jc w:val="center"/>
              <w:rPr>
                <w:rFonts w:cs="Times New Roman"/>
                <w:b/>
                <w:szCs w:val="24"/>
                <w:lang w:val="it-IT"/>
              </w:rPr>
            </w:pPr>
            <w:r>
              <w:rPr>
                <w:rFonts w:cs="Times New Roman"/>
                <w:b/>
                <w:bCs/>
                <w:szCs w:val="24"/>
                <w:lang w:val="hr"/>
              </w:rPr>
              <w:t>IME I PREZIME / RADNO MJESTO</w:t>
            </w:r>
          </w:p>
        </w:tc>
      </w:tr>
      <w:tr w:rsidR="006E0847" w:rsidRPr="00E105B6" w14:paraId="45F6CF0D" w14:textId="77777777" w:rsidTr="008E1D43">
        <w:trPr>
          <w:trHeight w:val="582"/>
        </w:trPr>
        <w:tc>
          <w:tcPr>
            <w:tcW w:w="1125" w:type="dxa"/>
            <w:tcBorders>
              <w:top w:val="double" w:sz="4" w:space="0" w:color="auto"/>
            </w:tcBorders>
            <w:vAlign w:val="center"/>
          </w:tcPr>
          <w:p w14:paraId="552A4625" w14:textId="77777777" w:rsidR="006E0847" w:rsidRPr="009461CC" w:rsidRDefault="006E0847" w:rsidP="006E0847">
            <w:pPr>
              <w:jc w:val="center"/>
              <w:rPr>
                <w:rFonts w:cs="Times New Roman"/>
                <w:b/>
                <w:szCs w:val="24"/>
              </w:rPr>
            </w:pPr>
            <w:r>
              <w:rPr>
                <w:rFonts w:cs="Times New Roman"/>
                <w:b/>
                <w:bCs/>
                <w:szCs w:val="24"/>
                <w:lang w:val="hr"/>
              </w:rPr>
              <w:t>Pripremio/la</w:t>
            </w:r>
          </w:p>
        </w:tc>
        <w:tc>
          <w:tcPr>
            <w:tcW w:w="1305" w:type="dxa"/>
            <w:tcBorders>
              <w:top w:val="double" w:sz="4" w:space="0" w:color="auto"/>
            </w:tcBorders>
          </w:tcPr>
          <w:p w14:paraId="51D1E08B" w14:textId="5374772E" w:rsidR="006E0847" w:rsidRPr="009461CC" w:rsidRDefault="006E0847" w:rsidP="006E0847">
            <w:pPr>
              <w:jc w:val="center"/>
              <w:rPr>
                <w:rFonts w:cs="Times New Roman"/>
                <w:szCs w:val="24"/>
              </w:rPr>
            </w:pPr>
            <w:r>
              <w:rPr>
                <w:rFonts w:cs="Times New Roman"/>
                <w:szCs w:val="24"/>
                <w:lang w:val="hr"/>
              </w:rPr>
              <w:t>Regulatorna pitanja</w:t>
            </w:r>
          </w:p>
        </w:tc>
        <w:tc>
          <w:tcPr>
            <w:tcW w:w="7519" w:type="dxa"/>
            <w:tcBorders>
              <w:top w:val="double" w:sz="4" w:space="0" w:color="auto"/>
            </w:tcBorders>
          </w:tcPr>
          <w:p w14:paraId="360D10DB" w14:textId="77777777" w:rsidR="006E0847" w:rsidRPr="00E105B6" w:rsidRDefault="006E0847" w:rsidP="006E0847">
            <w:pPr>
              <w:spacing w:after="0" w:afterAutospacing="0"/>
              <w:jc w:val="center"/>
              <w:rPr>
                <w:rFonts w:cs="Times New Roman"/>
                <w:szCs w:val="24"/>
                <w:lang w:val="it-IT"/>
              </w:rPr>
            </w:pPr>
            <w:r>
              <w:rPr>
                <w:rFonts w:cs="Times New Roman"/>
                <w:szCs w:val="24"/>
                <w:lang w:val="hr"/>
              </w:rPr>
              <w:t>Nadira Lotus</w:t>
            </w:r>
          </w:p>
          <w:p w14:paraId="7BA00BEF" w14:textId="2E4C5FAD" w:rsidR="006E0847" w:rsidRPr="00E105B6" w:rsidRDefault="006E0847" w:rsidP="006E0847">
            <w:pPr>
              <w:jc w:val="center"/>
              <w:rPr>
                <w:rFonts w:cs="Times New Roman"/>
                <w:szCs w:val="24"/>
                <w:lang w:val="it-IT"/>
              </w:rPr>
            </w:pPr>
            <w:r>
              <w:rPr>
                <w:rFonts w:cs="Times New Roman"/>
                <w:szCs w:val="24"/>
                <w:lang w:val="hr"/>
              </w:rPr>
              <w:t>Voditeljica, Posttržišni nadzor</w:t>
            </w:r>
          </w:p>
        </w:tc>
      </w:tr>
    </w:tbl>
    <w:p w14:paraId="45EA3393" w14:textId="77777777" w:rsidR="00E91403" w:rsidRPr="00E105B6" w:rsidRDefault="00E91403" w:rsidP="00E91403">
      <w:pPr>
        <w:jc w:val="center"/>
        <w:rPr>
          <w:rFonts w:cs="Times New Roman"/>
          <w:b/>
          <w:lang w:val="it-IT"/>
        </w:rPr>
      </w:pPr>
    </w:p>
    <w:p w14:paraId="3ADE6C89" w14:textId="0496458B" w:rsidR="00E91403" w:rsidRPr="00E105B6" w:rsidRDefault="00E91403" w:rsidP="00E91403">
      <w:pPr>
        <w:tabs>
          <w:tab w:val="center" w:pos="5220"/>
          <w:tab w:val="right" w:pos="10440"/>
        </w:tabs>
        <w:rPr>
          <w:rFonts w:cs="Times New Roman"/>
          <w:b/>
          <w:lang w:val="hr"/>
        </w:rPr>
      </w:pPr>
      <w:r>
        <w:rPr>
          <w:rFonts w:cs="Times New Roman"/>
          <w:lang w:val="hr"/>
        </w:rPr>
        <w:tab/>
      </w:r>
      <w:r>
        <w:rPr>
          <w:rFonts w:cs="Times New Roman"/>
          <w:b/>
          <w:bCs/>
          <w:lang w:val="hr"/>
        </w:rPr>
        <w:t>Matrica potpisa odobrenja</w:t>
      </w:r>
      <w:r>
        <w:rPr>
          <w:rFonts w:cs="Times New Roman"/>
          <w:lang w:val="hr"/>
        </w:rPr>
        <w:tab/>
      </w:r>
    </w:p>
    <w:p w14:paraId="01F684E3" w14:textId="77777777" w:rsidR="00E91403" w:rsidRPr="00E105B6" w:rsidRDefault="00E91403" w:rsidP="00E91403">
      <w:pPr>
        <w:spacing w:after="60"/>
        <w:ind w:right="274"/>
        <w:rPr>
          <w:rFonts w:cs="Times New Roman"/>
          <w:sz w:val="20"/>
          <w:szCs w:val="20"/>
          <w:lang w:val="hr"/>
        </w:rPr>
      </w:pPr>
      <w:r>
        <w:rPr>
          <w:rFonts w:cs="Times New Roman"/>
          <w:sz w:val="20"/>
          <w:szCs w:val="20"/>
          <w:lang w:val="hr"/>
        </w:rPr>
        <w:t>Ovaj dokument moraju pregledati i odobriti sve dolje navedene osobe ili njihovi ovlašteni predstavnici.</w:t>
      </w:r>
    </w:p>
    <w:tbl>
      <w:tblPr>
        <w:tblW w:w="9949" w:type="dxa"/>
        <w:tblInd w:w="-162"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323"/>
        <w:gridCol w:w="1389"/>
        <w:gridCol w:w="7237"/>
      </w:tblGrid>
      <w:tr w:rsidR="00E91403" w:rsidRPr="009D54AB" w14:paraId="0DB197AA" w14:textId="77777777" w:rsidTr="00E91403">
        <w:trPr>
          <w:trHeight w:val="279"/>
        </w:trPr>
        <w:tc>
          <w:tcPr>
            <w:tcW w:w="1125" w:type="dxa"/>
            <w:tcBorders>
              <w:top w:val="single" w:sz="18" w:space="0" w:color="auto"/>
              <w:bottom w:val="double" w:sz="4" w:space="0" w:color="auto"/>
            </w:tcBorders>
            <w:shd w:val="clear" w:color="auto" w:fill="E0E0E0"/>
          </w:tcPr>
          <w:p w14:paraId="6954A605" w14:textId="77777777" w:rsidR="00E91403" w:rsidRPr="009461CC" w:rsidRDefault="00E91403" w:rsidP="00842611">
            <w:pPr>
              <w:jc w:val="center"/>
              <w:rPr>
                <w:rFonts w:cs="Times New Roman"/>
                <w:b/>
                <w:szCs w:val="24"/>
              </w:rPr>
            </w:pPr>
            <w:r>
              <w:rPr>
                <w:rFonts w:cs="Times New Roman"/>
                <w:b/>
                <w:bCs/>
                <w:szCs w:val="24"/>
                <w:lang w:val="hr"/>
              </w:rPr>
              <w:t>ULOGA</w:t>
            </w:r>
          </w:p>
        </w:tc>
        <w:tc>
          <w:tcPr>
            <w:tcW w:w="1305" w:type="dxa"/>
            <w:tcBorders>
              <w:top w:val="single" w:sz="18" w:space="0" w:color="auto"/>
              <w:bottom w:val="double" w:sz="4" w:space="0" w:color="auto"/>
            </w:tcBorders>
            <w:shd w:val="clear" w:color="auto" w:fill="E0E0E0"/>
          </w:tcPr>
          <w:p w14:paraId="6F71F870" w14:textId="77777777" w:rsidR="00E91403" w:rsidRPr="009461CC" w:rsidRDefault="00E91403" w:rsidP="00842611">
            <w:pPr>
              <w:jc w:val="center"/>
              <w:rPr>
                <w:rFonts w:cs="Times New Roman"/>
                <w:b/>
                <w:szCs w:val="24"/>
              </w:rPr>
            </w:pPr>
            <w:r>
              <w:rPr>
                <w:rFonts w:cs="Times New Roman"/>
                <w:b/>
                <w:bCs/>
                <w:szCs w:val="24"/>
                <w:lang w:val="hr"/>
              </w:rPr>
              <w:t>ODJEL</w:t>
            </w:r>
          </w:p>
        </w:tc>
        <w:tc>
          <w:tcPr>
            <w:tcW w:w="7519" w:type="dxa"/>
            <w:tcBorders>
              <w:top w:val="single" w:sz="18" w:space="0" w:color="auto"/>
              <w:bottom w:val="double" w:sz="4" w:space="0" w:color="auto"/>
            </w:tcBorders>
            <w:shd w:val="clear" w:color="auto" w:fill="E0E0E0"/>
          </w:tcPr>
          <w:p w14:paraId="0254E3BE" w14:textId="77777777" w:rsidR="00E91403" w:rsidRPr="00E105B6" w:rsidRDefault="00E91403" w:rsidP="00842611">
            <w:pPr>
              <w:jc w:val="center"/>
              <w:rPr>
                <w:rFonts w:cs="Times New Roman"/>
                <w:b/>
                <w:szCs w:val="24"/>
                <w:lang w:val="it-IT"/>
              </w:rPr>
            </w:pPr>
            <w:r>
              <w:rPr>
                <w:rFonts w:cs="Times New Roman"/>
                <w:b/>
                <w:bCs/>
                <w:szCs w:val="24"/>
                <w:lang w:val="hr"/>
              </w:rPr>
              <w:t>IME I PREZIME / RADNO MJESTO</w:t>
            </w:r>
          </w:p>
        </w:tc>
      </w:tr>
      <w:tr w:rsidR="00386F47" w:rsidRPr="009D54AB" w14:paraId="658FB919" w14:textId="77777777" w:rsidTr="00E91403">
        <w:trPr>
          <w:trHeight w:val="606"/>
        </w:trPr>
        <w:tc>
          <w:tcPr>
            <w:tcW w:w="1125" w:type="dxa"/>
            <w:vAlign w:val="center"/>
          </w:tcPr>
          <w:p w14:paraId="41D60951" w14:textId="77777777" w:rsidR="00386F47" w:rsidRPr="009461CC" w:rsidRDefault="00386F47" w:rsidP="00386F47">
            <w:pPr>
              <w:jc w:val="center"/>
              <w:rPr>
                <w:rFonts w:cs="Times New Roman"/>
                <w:b/>
                <w:szCs w:val="24"/>
              </w:rPr>
            </w:pPr>
            <w:r>
              <w:rPr>
                <w:rFonts w:cs="Times New Roman"/>
                <w:b/>
                <w:bCs/>
                <w:szCs w:val="24"/>
                <w:lang w:val="hr"/>
              </w:rPr>
              <w:t>Odobrenje</w:t>
            </w:r>
          </w:p>
        </w:tc>
        <w:tc>
          <w:tcPr>
            <w:tcW w:w="1305" w:type="dxa"/>
            <w:vAlign w:val="center"/>
          </w:tcPr>
          <w:p w14:paraId="4B304E07" w14:textId="2D98EABD" w:rsidR="00386F47" w:rsidRPr="009461CC" w:rsidRDefault="00386F47" w:rsidP="00386F47">
            <w:pPr>
              <w:jc w:val="center"/>
              <w:rPr>
                <w:rFonts w:cs="Times New Roman"/>
                <w:szCs w:val="24"/>
              </w:rPr>
            </w:pPr>
            <w:r>
              <w:rPr>
                <w:rFonts w:cs="Times New Roman"/>
                <w:szCs w:val="24"/>
                <w:lang w:val="hr"/>
              </w:rPr>
              <w:t>Klinička pitanja</w:t>
            </w:r>
          </w:p>
        </w:tc>
        <w:tc>
          <w:tcPr>
            <w:tcW w:w="7519" w:type="dxa"/>
            <w:vAlign w:val="center"/>
          </w:tcPr>
          <w:p w14:paraId="613876EC" w14:textId="77777777" w:rsidR="00386F47" w:rsidRPr="00E105B6" w:rsidRDefault="00386F47" w:rsidP="00386F47">
            <w:pPr>
              <w:spacing w:after="0" w:afterAutospacing="0"/>
              <w:jc w:val="center"/>
              <w:rPr>
                <w:rFonts w:cs="Times New Roman"/>
                <w:szCs w:val="24"/>
                <w:lang w:val="de-DE"/>
              </w:rPr>
            </w:pPr>
            <w:r>
              <w:rPr>
                <w:rFonts w:cs="Times New Roman"/>
                <w:szCs w:val="24"/>
                <w:lang w:val="hr"/>
              </w:rPr>
              <w:t>Daniel Carr</w:t>
            </w:r>
          </w:p>
          <w:p w14:paraId="172E4813" w14:textId="2E4F9175" w:rsidR="00386F47" w:rsidRPr="00E105B6" w:rsidRDefault="00E03D31" w:rsidP="00386F47">
            <w:pPr>
              <w:jc w:val="center"/>
              <w:rPr>
                <w:rFonts w:cs="Times New Roman"/>
                <w:szCs w:val="24"/>
                <w:lang w:val="de-DE"/>
              </w:rPr>
            </w:pPr>
            <w:r>
              <w:rPr>
                <w:rFonts w:cs="Times New Roman"/>
                <w:szCs w:val="24"/>
                <w:lang w:val="hr"/>
              </w:rPr>
              <w:t>Viši direktor, Klinička pitanja</w:t>
            </w:r>
          </w:p>
        </w:tc>
      </w:tr>
      <w:tr w:rsidR="00386F47" w:rsidRPr="009D54AB" w14:paraId="526E9923" w14:textId="77777777" w:rsidTr="00E91403">
        <w:trPr>
          <w:trHeight w:val="624"/>
        </w:trPr>
        <w:tc>
          <w:tcPr>
            <w:tcW w:w="1125" w:type="dxa"/>
            <w:vAlign w:val="center"/>
          </w:tcPr>
          <w:p w14:paraId="55BCD6C3" w14:textId="77777777" w:rsidR="00386F47" w:rsidRPr="009461CC" w:rsidRDefault="00386F47" w:rsidP="00386F47">
            <w:pPr>
              <w:jc w:val="center"/>
              <w:rPr>
                <w:rFonts w:cs="Times New Roman"/>
                <w:b/>
                <w:szCs w:val="24"/>
              </w:rPr>
            </w:pPr>
            <w:r>
              <w:rPr>
                <w:rFonts w:cs="Times New Roman"/>
                <w:b/>
                <w:bCs/>
                <w:szCs w:val="24"/>
                <w:lang w:val="hr"/>
              </w:rPr>
              <w:t>Odobrenje</w:t>
            </w:r>
          </w:p>
        </w:tc>
        <w:tc>
          <w:tcPr>
            <w:tcW w:w="1305" w:type="dxa"/>
            <w:vAlign w:val="center"/>
          </w:tcPr>
          <w:p w14:paraId="4887D925" w14:textId="1B032CD4" w:rsidR="00386F47" w:rsidRPr="009461CC" w:rsidRDefault="00386F47" w:rsidP="00386F47">
            <w:pPr>
              <w:jc w:val="center"/>
              <w:rPr>
                <w:rFonts w:cs="Times New Roman"/>
                <w:szCs w:val="24"/>
              </w:rPr>
            </w:pPr>
            <w:r>
              <w:rPr>
                <w:rFonts w:cs="Times New Roman"/>
                <w:szCs w:val="24"/>
                <w:lang w:val="hr"/>
              </w:rPr>
              <w:t xml:space="preserve">Kvaliteta </w:t>
            </w:r>
          </w:p>
        </w:tc>
        <w:tc>
          <w:tcPr>
            <w:tcW w:w="7519" w:type="dxa"/>
            <w:vAlign w:val="center"/>
          </w:tcPr>
          <w:p w14:paraId="3D954801" w14:textId="77777777" w:rsidR="00F07DD1" w:rsidRPr="005B6722" w:rsidRDefault="00F07DD1" w:rsidP="004065D7">
            <w:pPr>
              <w:spacing w:after="0" w:afterAutospacing="0"/>
              <w:jc w:val="center"/>
              <w:rPr>
                <w:rFonts w:cs="Times New Roman"/>
                <w:szCs w:val="24"/>
                <w:lang w:val="pt-BR"/>
              </w:rPr>
            </w:pPr>
            <w:r>
              <w:rPr>
                <w:rFonts w:cs="Times New Roman"/>
                <w:szCs w:val="24"/>
                <w:lang w:val="hr"/>
              </w:rPr>
              <w:t xml:space="preserve">James Stephens </w:t>
            </w:r>
          </w:p>
          <w:p w14:paraId="1EA24645" w14:textId="5BC698A1" w:rsidR="00386F47" w:rsidRPr="005B6722" w:rsidRDefault="00547353" w:rsidP="004065D7">
            <w:pPr>
              <w:spacing w:after="0" w:afterAutospacing="0"/>
              <w:jc w:val="center"/>
              <w:rPr>
                <w:rFonts w:cs="Times New Roman"/>
                <w:szCs w:val="24"/>
                <w:lang w:val="pt-BR"/>
              </w:rPr>
            </w:pPr>
            <w:r>
              <w:rPr>
                <w:rFonts w:cs="Times New Roman"/>
                <w:szCs w:val="24"/>
                <w:lang w:val="hr"/>
              </w:rPr>
              <w:t>Viši direktor, Operacije osiguranja kvalitete</w:t>
            </w:r>
          </w:p>
        </w:tc>
      </w:tr>
      <w:tr w:rsidR="00386F47" w:rsidRPr="00973C91" w14:paraId="01329AB2" w14:textId="77777777" w:rsidTr="00E91403">
        <w:trPr>
          <w:trHeight w:val="624"/>
        </w:trPr>
        <w:tc>
          <w:tcPr>
            <w:tcW w:w="1125" w:type="dxa"/>
            <w:vAlign w:val="center"/>
          </w:tcPr>
          <w:p w14:paraId="77F5A5E8" w14:textId="77777777" w:rsidR="00386F47" w:rsidRPr="009461CC" w:rsidRDefault="00386F47" w:rsidP="00386F47">
            <w:pPr>
              <w:jc w:val="center"/>
              <w:rPr>
                <w:rFonts w:cs="Times New Roman"/>
                <w:b/>
                <w:szCs w:val="24"/>
              </w:rPr>
            </w:pPr>
            <w:r>
              <w:rPr>
                <w:rFonts w:cs="Times New Roman"/>
                <w:b/>
                <w:bCs/>
                <w:szCs w:val="24"/>
                <w:lang w:val="hr"/>
              </w:rPr>
              <w:t>Odobrenje</w:t>
            </w:r>
          </w:p>
        </w:tc>
        <w:tc>
          <w:tcPr>
            <w:tcW w:w="1305" w:type="dxa"/>
            <w:vAlign w:val="center"/>
          </w:tcPr>
          <w:p w14:paraId="25EABF73" w14:textId="63DB84E6" w:rsidR="00386F47" w:rsidRPr="009461CC" w:rsidRDefault="00386F47" w:rsidP="00386F47">
            <w:pPr>
              <w:jc w:val="center"/>
              <w:rPr>
                <w:rFonts w:cs="Times New Roman"/>
                <w:szCs w:val="24"/>
              </w:rPr>
            </w:pPr>
            <w:r>
              <w:rPr>
                <w:rFonts w:cs="Times New Roman"/>
                <w:szCs w:val="24"/>
                <w:lang w:val="hr"/>
              </w:rPr>
              <w:t xml:space="preserve">Regulatorna pitanja </w:t>
            </w:r>
          </w:p>
        </w:tc>
        <w:tc>
          <w:tcPr>
            <w:tcW w:w="7519" w:type="dxa"/>
            <w:vAlign w:val="center"/>
          </w:tcPr>
          <w:p w14:paraId="7676555E" w14:textId="77777777" w:rsidR="00386F47" w:rsidRPr="00722580" w:rsidRDefault="00386F47" w:rsidP="00386F47">
            <w:pPr>
              <w:spacing w:after="0" w:afterAutospacing="0" w:line="240" w:lineRule="auto"/>
              <w:jc w:val="center"/>
              <w:rPr>
                <w:rFonts w:eastAsia="Times New Roman" w:cs="Times New Roman"/>
                <w:color w:val="000000" w:themeColor="text1"/>
                <w:szCs w:val="24"/>
                <w:lang w:val="pl-PL"/>
              </w:rPr>
            </w:pPr>
            <w:r>
              <w:rPr>
                <w:rFonts w:eastAsia="Times New Roman" w:cs="Times New Roman"/>
                <w:color w:val="000000" w:themeColor="text1"/>
                <w:szCs w:val="24"/>
                <w:lang w:val="hr"/>
              </w:rPr>
              <w:t>Scott Bishops</w:t>
            </w:r>
          </w:p>
          <w:p w14:paraId="39BF7685" w14:textId="4DD9DE97" w:rsidR="00386F47" w:rsidRPr="00722580" w:rsidRDefault="00E950A1" w:rsidP="00386F47">
            <w:pPr>
              <w:jc w:val="center"/>
              <w:rPr>
                <w:rFonts w:cs="Times New Roman"/>
                <w:szCs w:val="24"/>
                <w:lang w:val="pl-PL"/>
              </w:rPr>
            </w:pPr>
            <w:r>
              <w:rPr>
                <w:rFonts w:eastAsia="Times New Roman" w:cs="Times New Roman"/>
                <w:color w:val="000000" w:themeColor="text1"/>
                <w:szCs w:val="24"/>
                <w:lang w:val="hr"/>
              </w:rPr>
              <w:t>Potpredsjednik, Globalni RA i QA</w:t>
            </w:r>
          </w:p>
        </w:tc>
      </w:tr>
    </w:tbl>
    <w:p w14:paraId="51DA0A01" w14:textId="5402C604" w:rsidR="00E91403" w:rsidRPr="009461CC" w:rsidRDefault="00E91403" w:rsidP="00E91403">
      <w:pPr>
        <w:jc w:val="center"/>
        <w:rPr>
          <w:rFonts w:cs="Times New Roman"/>
          <w:b/>
        </w:rPr>
      </w:pPr>
      <w:r>
        <w:rPr>
          <w:rFonts w:cs="Times New Roman"/>
          <w:b/>
          <w:bCs/>
          <w:lang w:val="hr"/>
        </w:rPr>
        <w:t>Povijest revizija</w:t>
      </w:r>
    </w:p>
    <w:tbl>
      <w:tblPr>
        <w:tblW w:w="978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214"/>
        <w:gridCol w:w="1128"/>
        <w:gridCol w:w="1150"/>
        <w:gridCol w:w="4496"/>
        <w:gridCol w:w="1799"/>
      </w:tblGrid>
      <w:tr w:rsidR="00E91403" w:rsidRPr="009461CC" w14:paraId="38F29FD4" w14:textId="77777777" w:rsidTr="00740900">
        <w:tc>
          <w:tcPr>
            <w:tcW w:w="1214" w:type="dxa"/>
            <w:tcBorders>
              <w:top w:val="single" w:sz="18" w:space="0" w:color="auto"/>
              <w:bottom w:val="double" w:sz="4" w:space="0" w:color="auto"/>
            </w:tcBorders>
            <w:shd w:val="clear" w:color="auto" w:fill="E0E0E0"/>
          </w:tcPr>
          <w:p w14:paraId="34BEB815" w14:textId="77777777" w:rsidR="00E91403" w:rsidRPr="009461CC" w:rsidRDefault="00E91403" w:rsidP="00842611">
            <w:pPr>
              <w:jc w:val="center"/>
              <w:rPr>
                <w:rFonts w:cs="Times New Roman"/>
                <w:b/>
                <w:szCs w:val="24"/>
              </w:rPr>
            </w:pPr>
            <w:r>
              <w:rPr>
                <w:rFonts w:cs="Times New Roman"/>
                <w:b/>
                <w:bCs/>
                <w:szCs w:val="24"/>
                <w:lang w:val="hr"/>
              </w:rPr>
              <w:t>Revizija</w:t>
            </w:r>
          </w:p>
        </w:tc>
        <w:tc>
          <w:tcPr>
            <w:tcW w:w="1128" w:type="dxa"/>
            <w:tcBorders>
              <w:top w:val="single" w:sz="18" w:space="0" w:color="auto"/>
              <w:bottom w:val="double" w:sz="4" w:space="0" w:color="auto"/>
            </w:tcBorders>
            <w:shd w:val="clear" w:color="auto" w:fill="E0E0E0"/>
          </w:tcPr>
          <w:p w14:paraId="13A8D0CD" w14:textId="77777777" w:rsidR="00E91403" w:rsidRPr="009461CC" w:rsidRDefault="00E91403" w:rsidP="00842611">
            <w:pPr>
              <w:jc w:val="center"/>
              <w:rPr>
                <w:rFonts w:cs="Times New Roman"/>
                <w:b/>
                <w:szCs w:val="24"/>
              </w:rPr>
            </w:pPr>
            <w:r>
              <w:rPr>
                <w:rFonts w:cs="Times New Roman"/>
                <w:b/>
                <w:bCs/>
                <w:szCs w:val="24"/>
                <w:lang w:val="hr"/>
              </w:rPr>
              <w:t>Datum</w:t>
            </w:r>
          </w:p>
        </w:tc>
        <w:tc>
          <w:tcPr>
            <w:tcW w:w="1150" w:type="dxa"/>
            <w:tcBorders>
              <w:top w:val="single" w:sz="18" w:space="0" w:color="auto"/>
              <w:bottom w:val="double" w:sz="4" w:space="0" w:color="auto"/>
            </w:tcBorders>
            <w:shd w:val="clear" w:color="auto" w:fill="E0E0E0"/>
          </w:tcPr>
          <w:p w14:paraId="4E5F13C6" w14:textId="77777777" w:rsidR="00E91403" w:rsidRPr="009461CC" w:rsidRDefault="00E91403" w:rsidP="00842611">
            <w:pPr>
              <w:jc w:val="center"/>
              <w:rPr>
                <w:rFonts w:cs="Times New Roman"/>
                <w:b/>
                <w:szCs w:val="24"/>
              </w:rPr>
            </w:pPr>
            <w:r>
              <w:rPr>
                <w:rFonts w:cs="Times New Roman"/>
                <w:b/>
                <w:bCs/>
                <w:szCs w:val="24"/>
                <w:lang w:val="hr"/>
              </w:rPr>
              <w:t>Odjeljci</w:t>
            </w:r>
          </w:p>
        </w:tc>
        <w:tc>
          <w:tcPr>
            <w:tcW w:w="4496" w:type="dxa"/>
            <w:tcBorders>
              <w:top w:val="single" w:sz="18" w:space="0" w:color="auto"/>
              <w:bottom w:val="double" w:sz="4" w:space="0" w:color="auto"/>
            </w:tcBorders>
            <w:shd w:val="clear" w:color="auto" w:fill="E0E0E0"/>
          </w:tcPr>
          <w:p w14:paraId="308681D3" w14:textId="77777777" w:rsidR="00E91403" w:rsidRPr="009461CC" w:rsidRDefault="00E91403" w:rsidP="00842611">
            <w:pPr>
              <w:jc w:val="center"/>
              <w:rPr>
                <w:rFonts w:cs="Times New Roman"/>
                <w:b/>
                <w:szCs w:val="24"/>
              </w:rPr>
            </w:pPr>
            <w:r>
              <w:rPr>
                <w:rFonts w:cs="Times New Roman"/>
                <w:b/>
                <w:bCs/>
                <w:szCs w:val="24"/>
                <w:lang w:val="hr"/>
              </w:rPr>
              <w:t>Opis revizije</w:t>
            </w:r>
          </w:p>
        </w:tc>
        <w:tc>
          <w:tcPr>
            <w:tcW w:w="1799" w:type="dxa"/>
            <w:tcBorders>
              <w:top w:val="single" w:sz="18" w:space="0" w:color="auto"/>
              <w:bottom w:val="double" w:sz="4" w:space="0" w:color="auto"/>
            </w:tcBorders>
            <w:shd w:val="clear" w:color="auto" w:fill="E0E0E0"/>
          </w:tcPr>
          <w:p w14:paraId="332F4EE6" w14:textId="77777777" w:rsidR="00E91403" w:rsidRPr="009461CC" w:rsidRDefault="00E91403" w:rsidP="00842611">
            <w:pPr>
              <w:tabs>
                <w:tab w:val="left" w:pos="465"/>
              </w:tabs>
              <w:jc w:val="center"/>
              <w:rPr>
                <w:rFonts w:cs="Times New Roman"/>
                <w:b/>
                <w:szCs w:val="24"/>
              </w:rPr>
            </w:pPr>
            <w:r>
              <w:rPr>
                <w:rFonts w:cs="Times New Roman"/>
                <w:b/>
                <w:bCs/>
                <w:szCs w:val="24"/>
                <w:lang w:val="hr"/>
              </w:rPr>
              <w:t>Br. zahtjeva za promjenu</w:t>
            </w:r>
          </w:p>
        </w:tc>
      </w:tr>
      <w:tr w:rsidR="00740900" w:rsidRPr="009461CC" w14:paraId="47D66140" w14:textId="77777777" w:rsidTr="00740900">
        <w:tc>
          <w:tcPr>
            <w:tcW w:w="1214" w:type="dxa"/>
            <w:tcBorders>
              <w:top w:val="double" w:sz="4" w:space="0" w:color="auto"/>
              <w:bottom w:val="single" w:sz="4" w:space="0" w:color="auto"/>
            </w:tcBorders>
          </w:tcPr>
          <w:p w14:paraId="4EEA4C6D" w14:textId="5A95910B" w:rsidR="00740900" w:rsidRPr="009461CC" w:rsidRDefault="00740900" w:rsidP="00740900">
            <w:pPr>
              <w:jc w:val="center"/>
              <w:rPr>
                <w:rFonts w:cs="Times New Roman"/>
                <w:szCs w:val="24"/>
              </w:rPr>
            </w:pPr>
            <w:r>
              <w:rPr>
                <w:rFonts w:cs="Times New Roman"/>
                <w:szCs w:val="24"/>
                <w:lang w:val="hr"/>
              </w:rPr>
              <w:t>A</w:t>
            </w:r>
          </w:p>
        </w:tc>
        <w:tc>
          <w:tcPr>
            <w:tcW w:w="1128" w:type="dxa"/>
            <w:tcBorders>
              <w:top w:val="double" w:sz="4" w:space="0" w:color="auto"/>
              <w:bottom w:val="single" w:sz="4" w:space="0" w:color="auto"/>
            </w:tcBorders>
          </w:tcPr>
          <w:p w14:paraId="0D82C539" w14:textId="6206AFE6" w:rsidR="00740900" w:rsidRPr="009461CC" w:rsidRDefault="00740900" w:rsidP="00740900">
            <w:pPr>
              <w:jc w:val="center"/>
              <w:rPr>
                <w:rFonts w:cs="Times New Roman"/>
                <w:szCs w:val="24"/>
              </w:rPr>
            </w:pPr>
            <w:r>
              <w:rPr>
                <w:rFonts w:cs="Times New Roman"/>
                <w:szCs w:val="24"/>
                <w:lang w:val="hr"/>
              </w:rPr>
              <w:t>22. 5. 2022.</w:t>
            </w:r>
          </w:p>
        </w:tc>
        <w:tc>
          <w:tcPr>
            <w:tcW w:w="1150" w:type="dxa"/>
            <w:tcBorders>
              <w:top w:val="double" w:sz="4" w:space="0" w:color="auto"/>
              <w:bottom w:val="single" w:sz="4" w:space="0" w:color="auto"/>
            </w:tcBorders>
          </w:tcPr>
          <w:p w14:paraId="6CD4C417" w14:textId="536D40E4" w:rsidR="00740900" w:rsidRPr="009461CC" w:rsidRDefault="00740900" w:rsidP="00740900">
            <w:pPr>
              <w:jc w:val="center"/>
              <w:rPr>
                <w:rFonts w:cs="Times New Roman"/>
                <w:szCs w:val="24"/>
              </w:rPr>
            </w:pPr>
            <w:r>
              <w:rPr>
                <w:rFonts w:cs="Times New Roman"/>
                <w:szCs w:val="24"/>
                <w:lang w:val="hr"/>
              </w:rPr>
              <w:t>Svi</w:t>
            </w:r>
          </w:p>
        </w:tc>
        <w:tc>
          <w:tcPr>
            <w:tcW w:w="4496" w:type="dxa"/>
            <w:tcBorders>
              <w:top w:val="double" w:sz="4" w:space="0" w:color="auto"/>
              <w:bottom w:val="single" w:sz="4" w:space="0" w:color="auto"/>
            </w:tcBorders>
          </w:tcPr>
          <w:p w14:paraId="3973A2E3" w14:textId="3D8B33BA" w:rsidR="00740900" w:rsidRPr="00722580" w:rsidRDefault="00740900" w:rsidP="00740900">
            <w:pPr>
              <w:rPr>
                <w:rFonts w:cs="Times New Roman"/>
                <w:szCs w:val="24"/>
                <w:lang w:val="pl-PL"/>
              </w:rPr>
            </w:pPr>
            <w:r>
              <w:rPr>
                <w:rFonts w:cs="Times New Roman"/>
                <w:szCs w:val="24"/>
                <w:lang w:val="hr"/>
              </w:rPr>
              <w:t>Početno izvješće samo za unutarnju upotrebu</w:t>
            </w:r>
          </w:p>
        </w:tc>
        <w:tc>
          <w:tcPr>
            <w:tcW w:w="1799" w:type="dxa"/>
            <w:tcBorders>
              <w:top w:val="double" w:sz="4" w:space="0" w:color="auto"/>
              <w:bottom w:val="single" w:sz="4" w:space="0" w:color="auto"/>
            </w:tcBorders>
          </w:tcPr>
          <w:p w14:paraId="243CB41C" w14:textId="62833BA2" w:rsidR="00740900" w:rsidRPr="009461CC" w:rsidRDefault="00740900" w:rsidP="00740900">
            <w:pPr>
              <w:rPr>
                <w:rFonts w:cs="Times New Roman"/>
                <w:szCs w:val="24"/>
              </w:rPr>
            </w:pPr>
            <w:r>
              <w:rPr>
                <w:rFonts w:cs="Times New Roman"/>
                <w:szCs w:val="24"/>
                <w:lang w:val="hr"/>
              </w:rPr>
              <w:t>N. p.</w:t>
            </w:r>
          </w:p>
        </w:tc>
      </w:tr>
      <w:tr w:rsidR="00923982" w:rsidRPr="009461CC" w14:paraId="495D8A1C" w14:textId="77777777" w:rsidTr="00740900">
        <w:tc>
          <w:tcPr>
            <w:tcW w:w="1214" w:type="dxa"/>
            <w:tcBorders>
              <w:top w:val="single" w:sz="4" w:space="0" w:color="auto"/>
              <w:bottom w:val="single" w:sz="12" w:space="0" w:color="auto"/>
            </w:tcBorders>
          </w:tcPr>
          <w:p w14:paraId="065DAE3E" w14:textId="16DC1CE4" w:rsidR="00923982" w:rsidRPr="009461CC" w:rsidRDefault="00923982" w:rsidP="00923982">
            <w:pPr>
              <w:jc w:val="center"/>
              <w:rPr>
                <w:rFonts w:cs="Times New Roman"/>
                <w:szCs w:val="24"/>
              </w:rPr>
            </w:pPr>
            <w:r>
              <w:rPr>
                <w:rFonts w:cs="Times New Roman"/>
                <w:szCs w:val="24"/>
                <w:lang w:val="hr"/>
              </w:rPr>
              <w:t>B</w:t>
            </w:r>
          </w:p>
        </w:tc>
        <w:tc>
          <w:tcPr>
            <w:tcW w:w="1128" w:type="dxa"/>
            <w:tcBorders>
              <w:top w:val="single" w:sz="4" w:space="0" w:color="auto"/>
              <w:bottom w:val="single" w:sz="12" w:space="0" w:color="auto"/>
            </w:tcBorders>
          </w:tcPr>
          <w:p w14:paraId="52F239C5" w14:textId="69AD5128" w:rsidR="00923982" w:rsidRPr="009461CC" w:rsidRDefault="006F76E2" w:rsidP="00923982">
            <w:pPr>
              <w:jc w:val="center"/>
              <w:rPr>
                <w:rFonts w:cs="Times New Roman"/>
                <w:szCs w:val="24"/>
              </w:rPr>
            </w:pPr>
            <w:r>
              <w:rPr>
                <w:rFonts w:cs="Times New Roman"/>
                <w:szCs w:val="24"/>
                <w:lang w:val="hr"/>
              </w:rPr>
              <w:t>15. 12. 2025.</w:t>
            </w:r>
          </w:p>
        </w:tc>
        <w:tc>
          <w:tcPr>
            <w:tcW w:w="1150" w:type="dxa"/>
            <w:tcBorders>
              <w:top w:val="single" w:sz="4" w:space="0" w:color="auto"/>
              <w:bottom w:val="single" w:sz="12" w:space="0" w:color="auto"/>
            </w:tcBorders>
          </w:tcPr>
          <w:p w14:paraId="319F0BB7" w14:textId="488E18A0" w:rsidR="00923982" w:rsidRPr="009461CC" w:rsidRDefault="00923982" w:rsidP="00923982">
            <w:pPr>
              <w:jc w:val="center"/>
              <w:rPr>
                <w:rFonts w:cs="Times New Roman"/>
                <w:szCs w:val="24"/>
              </w:rPr>
            </w:pPr>
            <w:r>
              <w:rPr>
                <w:rFonts w:cs="Times New Roman"/>
                <w:szCs w:val="24"/>
                <w:lang w:val="hr"/>
              </w:rPr>
              <w:t>Svi</w:t>
            </w:r>
          </w:p>
        </w:tc>
        <w:tc>
          <w:tcPr>
            <w:tcW w:w="4496" w:type="dxa"/>
            <w:tcBorders>
              <w:top w:val="single" w:sz="4" w:space="0" w:color="auto"/>
              <w:bottom w:val="single" w:sz="12" w:space="0" w:color="auto"/>
            </w:tcBorders>
          </w:tcPr>
          <w:p w14:paraId="3D913A75" w14:textId="28EDCF6D" w:rsidR="00923982" w:rsidRPr="005B6722" w:rsidRDefault="0080432B" w:rsidP="00923982">
            <w:pPr>
              <w:rPr>
                <w:rFonts w:cs="Times New Roman"/>
                <w:szCs w:val="24"/>
                <w:lang w:val="pt-BR"/>
              </w:rPr>
            </w:pPr>
            <w:r>
              <w:rPr>
                <w:rFonts w:cs="Times New Roman"/>
                <w:szCs w:val="24"/>
                <w:lang w:val="hr"/>
              </w:rPr>
              <w:t xml:space="preserve">Podnošenje zahtjeva u skladu </w:t>
            </w:r>
            <w:r w:rsidR="00E105B6">
              <w:rPr>
                <w:rFonts w:cs="Times New Roman"/>
                <w:szCs w:val="24"/>
                <w:lang w:val="hr"/>
              </w:rPr>
              <w:br/>
            </w:r>
            <w:r>
              <w:rPr>
                <w:rFonts w:cs="Times New Roman"/>
                <w:szCs w:val="24"/>
                <w:lang w:val="hr"/>
              </w:rPr>
              <w:t>s EU MDR-om</w:t>
            </w:r>
          </w:p>
        </w:tc>
        <w:tc>
          <w:tcPr>
            <w:tcW w:w="1799" w:type="dxa"/>
            <w:tcBorders>
              <w:top w:val="single" w:sz="4" w:space="0" w:color="auto"/>
              <w:bottom w:val="single" w:sz="12" w:space="0" w:color="auto"/>
            </w:tcBorders>
          </w:tcPr>
          <w:p w14:paraId="077C5F38" w14:textId="76003B93" w:rsidR="00923982" w:rsidRPr="009461CC" w:rsidRDefault="008735FE" w:rsidP="00923982">
            <w:pPr>
              <w:rPr>
                <w:rFonts w:cs="Times New Roman"/>
                <w:szCs w:val="24"/>
              </w:rPr>
            </w:pPr>
            <w:r>
              <w:rPr>
                <w:rFonts w:cs="Times New Roman"/>
                <w:szCs w:val="24"/>
                <w:lang w:val="hr"/>
              </w:rPr>
              <w:t>07919</w:t>
            </w:r>
          </w:p>
        </w:tc>
      </w:tr>
    </w:tbl>
    <w:p w14:paraId="5C951A98" w14:textId="6A651DC3" w:rsidR="0005411A" w:rsidRPr="00722580" w:rsidRDefault="00E91403" w:rsidP="00E91403">
      <w:pPr>
        <w:jc w:val="center"/>
        <w:rPr>
          <w:rFonts w:cs="Times New Roman"/>
          <w:lang w:val="pl-PL"/>
        </w:rPr>
      </w:pPr>
      <w:r>
        <w:rPr>
          <w:rFonts w:cs="Times New Roman"/>
          <w:i/>
          <w:iCs/>
          <w:lang w:val="hr"/>
        </w:rPr>
        <w:t>Napomena: odobrenja će se zabilježiti putem povezanog zahtjeva za promjenom.</w:t>
      </w:r>
    </w:p>
    <w:p w14:paraId="700C8B5F" w14:textId="34A53550" w:rsidR="006F0810" w:rsidRPr="009461CC" w:rsidRDefault="0005411A" w:rsidP="00042B91">
      <w:pPr>
        <w:spacing w:after="0" w:afterAutospacing="0" w:line="240" w:lineRule="auto"/>
        <w:rPr>
          <w:rFonts w:cs="Times New Roman"/>
        </w:rPr>
      </w:pPr>
      <w:r>
        <w:rPr>
          <w:rFonts w:cs="Times New Roman"/>
          <w:szCs w:val="24"/>
          <w:lang w:val="hr"/>
        </w:rPr>
        <w:br w:type="page"/>
      </w:r>
      <w:r>
        <w:rPr>
          <w:rFonts w:cs="Times New Roman"/>
          <w:lang w:val="hr"/>
        </w:rPr>
        <w:lastRenderedPageBreak/>
        <w:t>Sadržaj</w:t>
      </w:r>
    </w:p>
    <w:p w14:paraId="1C941AE4" w14:textId="3DE0F322" w:rsidR="00E105B6" w:rsidRDefault="006F0810">
      <w:pPr>
        <w:pStyle w:val="TOC1"/>
        <w:rPr>
          <w:rFonts w:asciiTheme="minorHAnsi" w:eastAsiaTheme="minorEastAsia" w:hAnsiTheme="minorHAnsi" w:cstheme="minorBidi"/>
          <w:noProof/>
          <w:kern w:val="2"/>
          <w:lang w:eastAsia="zh-CN"/>
          <w14:ligatures w14:val="standardContextual"/>
        </w:rPr>
      </w:pPr>
      <w:r>
        <w:rPr>
          <w:lang w:val="hr"/>
        </w:rPr>
        <w:fldChar w:fldCharType="begin"/>
      </w:r>
      <w:r>
        <w:instrText xml:space="preserve"> TOC \o "1-3" \h \z \u </w:instrText>
      </w:r>
      <w:r>
        <w:fldChar w:fldCharType="separate"/>
      </w:r>
      <w:hyperlink w:anchor="_Toc222741424" w:history="1">
        <w:r w:rsidR="00E105B6" w:rsidRPr="00C37291">
          <w:rPr>
            <w:rStyle w:val="Hyperlink"/>
            <w:noProof/>
            <w:lang w:val="it-IT"/>
          </w:rPr>
          <w:t>1.</w:t>
        </w:r>
        <w:r w:rsidR="00E105B6">
          <w:rPr>
            <w:rFonts w:asciiTheme="minorHAnsi" w:eastAsiaTheme="minorEastAsia" w:hAnsiTheme="minorHAnsi" w:cstheme="minorBidi"/>
            <w:noProof/>
            <w:kern w:val="2"/>
            <w:lang w:eastAsia="zh-CN"/>
            <w14:ligatures w14:val="standardContextual"/>
          </w:rPr>
          <w:tab/>
        </w:r>
        <w:r w:rsidR="00E105B6" w:rsidRPr="00C37291">
          <w:rPr>
            <w:rStyle w:val="Hyperlink"/>
            <w:bCs/>
            <w:noProof/>
            <w:lang w:val="hr"/>
          </w:rPr>
          <w:t>Područje primjene ovog sažetka o sigurnosnoj i kliničkoj učinkovitosti (SSCP):</w:t>
        </w:r>
        <w:r w:rsidR="00E105B6">
          <w:rPr>
            <w:noProof/>
            <w:webHidden/>
          </w:rPr>
          <w:tab/>
        </w:r>
        <w:r w:rsidR="00E105B6">
          <w:rPr>
            <w:noProof/>
            <w:webHidden/>
          </w:rPr>
          <w:fldChar w:fldCharType="begin"/>
        </w:r>
        <w:r w:rsidR="00E105B6">
          <w:rPr>
            <w:noProof/>
            <w:webHidden/>
          </w:rPr>
          <w:instrText xml:space="preserve"> PAGEREF _Toc222741424 \h </w:instrText>
        </w:r>
        <w:r w:rsidR="00E105B6">
          <w:rPr>
            <w:noProof/>
            <w:webHidden/>
          </w:rPr>
        </w:r>
        <w:r w:rsidR="00E105B6">
          <w:rPr>
            <w:noProof/>
            <w:webHidden/>
          </w:rPr>
          <w:fldChar w:fldCharType="separate"/>
        </w:r>
        <w:r w:rsidR="00686A11">
          <w:rPr>
            <w:noProof/>
            <w:webHidden/>
          </w:rPr>
          <w:t>3</w:t>
        </w:r>
        <w:r w:rsidR="00E105B6">
          <w:rPr>
            <w:noProof/>
            <w:webHidden/>
          </w:rPr>
          <w:fldChar w:fldCharType="end"/>
        </w:r>
      </w:hyperlink>
    </w:p>
    <w:p w14:paraId="78D8691A" w14:textId="22080882"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25" w:history="1">
        <w:r w:rsidRPr="00C37291">
          <w:rPr>
            <w:rStyle w:val="Hyperlink"/>
            <w:noProof/>
          </w:rPr>
          <w:t>1.1.</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Trgovački naziv proizvoda:</w:t>
        </w:r>
        <w:r>
          <w:rPr>
            <w:noProof/>
            <w:webHidden/>
          </w:rPr>
          <w:tab/>
        </w:r>
        <w:r>
          <w:rPr>
            <w:noProof/>
            <w:webHidden/>
          </w:rPr>
          <w:fldChar w:fldCharType="begin"/>
        </w:r>
        <w:r>
          <w:rPr>
            <w:noProof/>
            <w:webHidden/>
          </w:rPr>
          <w:instrText xml:space="preserve"> PAGEREF _Toc222741425 \h </w:instrText>
        </w:r>
        <w:r>
          <w:rPr>
            <w:noProof/>
            <w:webHidden/>
          </w:rPr>
        </w:r>
        <w:r>
          <w:rPr>
            <w:noProof/>
            <w:webHidden/>
          </w:rPr>
          <w:fldChar w:fldCharType="separate"/>
        </w:r>
        <w:r w:rsidR="00686A11">
          <w:rPr>
            <w:noProof/>
            <w:webHidden/>
          </w:rPr>
          <w:t>3</w:t>
        </w:r>
        <w:r>
          <w:rPr>
            <w:noProof/>
            <w:webHidden/>
          </w:rPr>
          <w:fldChar w:fldCharType="end"/>
        </w:r>
      </w:hyperlink>
    </w:p>
    <w:p w14:paraId="21450734" w14:textId="60074DD4"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26" w:history="1">
        <w:r w:rsidRPr="00C37291">
          <w:rPr>
            <w:rStyle w:val="Hyperlink"/>
            <w:noProof/>
            <w:lang w:val="it-IT"/>
          </w:rPr>
          <w:t>1.2.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Opis proizvoda, osnovni UDI-DI i klasifikacija EU-a:</w:t>
        </w:r>
        <w:r>
          <w:rPr>
            <w:noProof/>
            <w:webHidden/>
          </w:rPr>
          <w:tab/>
        </w:r>
        <w:r>
          <w:rPr>
            <w:noProof/>
            <w:webHidden/>
          </w:rPr>
          <w:fldChar w:fldCharType="begin"/>
        </w:r>
        <w:r>
          <w:rPr>
            <w:noProof/>
            <w:webHidden/>
          </w:rPr>
          <w:instrText xml:space="preserve"> PAGEREF _Toc222741426 \h </w:instrText>
        </w:r>
        <w:r>
          <w:rPr>
            <w:noProof/>
            <w:webHidden/>
          </w:rPr>
        </w:r>
        <w:r>
          <w:rPr>
            <w:noProof/>
            <w:webHidden/>
          </w:rPr>
          <w:fldChar w:fldCharType="separate"/>
        </w:r>
        <w:r w:rsidR="00686A11">
          <w:rPr>
            <w:noProof/>
            <w:webHidden/>
          </w:rPr>
          <w:t>3</w:t>
        </w:r>
        <w:r>
          <w:rPr>
            <w:noProof/>
            <w:webHidden/>
          </w:rPr>
          <w:fldChar w:fldCharType="end"/>
        </w:r>
      </w:hyperlink>
    </w:p>
    <w:p w14:paraId="703219FF" w14:textId="5AF4C9FB"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27" w:history="1">
        <w:r w:rsidRPr="00C37291">
          <w:rPr>
            <w:rStyle w:val="Hyperlink"/>
            <w:noProof/>
          </w:rPr>
          <w:t>1.3.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Godina kad je izdan prvi certifikat (CE) za ovaj proizvod:</w:t>
        </w:r>
        <w:r>
          <w:rPr>
            <w:noProof/>
            <w:webHidden/>
          </w:rPr>
          <w:tab/>
        </w:r>
        <w:r>
          <w:rPr>
            <w:noProof/>
            <w:webHidden/>
          </w:rPr>
          <w:fldChar w:fldCharType="begin"/>
        </w:r>
        <w:r>
          <w:rPr>
            <w:noProof/>
            <w:webHidden/>
          </w:rPr>
          <w:instrText xml:space="preserve"> PAGEREF _Toc222741427 \h </w:instrText>
        </w:r>
        <w:r>
          <w:rPr>
            <w:noProof/>
            <w:webHidden/>
          </w:rPr>
        </w:r>
        <w:r>
          <w:rPr>
            <w:noProof/>
            <w:webHidden/>
          </w:rPr>
          <w:fldChar w:fldCharType="separate"/>
        </w:r>
        <w:r w:rsidR="00686A11">
          <w:rPr>
            <w:noProof/>
            <w:webHidden/>
          </w:rPr>
          <w:t>3</w:t>
        </w:r>
        <w:r>
          <w:rPr>
            <w:noProof/>
            <w:webHidden/>
          </w:rPr>
          <w:fldChar w:fldCharType="end"/>
        </w:r>
      </w:hyperlink>
    </w:p>
    <w:p w14:paraId="4D1C501C" w14:textId="1707DCCC"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28" w:history="1">
        <w:r w:rsidRPr="00C37291">
          <w:rPr>
            <w:rStyle w:val="Hyperlink"/>
            <w:noProof/>
            <w:lang w:val="it-IT"/>
          </w:rPr>
          <w:t>1.4.</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Naziv, adresa i SRN proizvođača:</w:t>
        </w:r>
        <w:r>
          <w:rPr>
            <w:noProof/>
            <w:webHidden/>
          </w:rPr>
          <w:tab/>
        </w:r>
        <w:r>
          <w:rPr>
            <w:noProof/>
            <w:webHidden/>
          </w:rPr>
          <w:fldChar w:fldCharType="begin"/>
        </w:r>
        <w:r>
          <w:rPr>
            <w:noProof/>
            <w:webHidden/>
          </w:rPr>
          <w:instrText xml:space="preserve"> PAGEREF _Toc222741428 \h </w:instrText>
        </w:r>
        <w:r>
          <w:rPr>
            <w:noProof/>
            <w:webHidden/>
          </w:rPr>
        </w:r>
        <w:r>
          <w:rPr>
            <w:noProof/>
            <w:webHidden/>
          </w:rPr>
          <w:fldChar w:fldCharType="separate"/>
        </w:r>
        <w:r w:rsidR="00686A11">
          <w:rPr>
            <w:noProof/>
            <w:webHidden/>
          </w:rPr>
          <w:t>4</w:t>
        </w:r>
        <w:r>
          <w:rPr>
            <w:noProof/>
            <w:webHidden/>
          </w:rPr>
          <w:fldChar w:fldCharType="end"/>
        </w:r>
      </w:hyperlink>
    </w:p>
    <w:p w14:paraId="523A2168" w14:textId="6FD5F4F3"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29" w:history="1">
        <w:r w:rsidRPr="00C37291">
          <w:rPr>
            <w:rStyle w:val="Hyperlink"/>
            <w:noProof/>
          </w:rPr>
          <w:t>1.5.</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Naziv i SRN ovlaštenog zastupnika:</w:t>
        </w:r>
        <w:r>
          <w:rPr>
            <w:noProof/>
            <w:webHidden/>
          </w:rPr>
          <w:tab/>
        </w:r>
        <w:r>
          <w:rPr>
            <w:noProof/>
            <w:webHidden/>
          </w:rPr>
          <w:fldChar w:fldCharType="begin"/>
        </w:r>
        <w:r>
          <w:rPr>
            <w:noProof/>
            <w:webHidden/>
          </w:rPr>
          <w:instrText xml:space="preserve"> PAGEREF _Toc222741429 \h </w:instrText>
        </w:r>
        <w:r>
          <w:rPr>
            <w:noProof/>
            <w:webHidden/>
          </w:rPr>
        </w:r>
        <w:r>
          <w:rPr>
            <w:noProof/>
            <w:webHidden/>
          </w:rPr>
          <w:fldChar w:fldCharType="separate"/>
        </w:r>
        <w:r w:rsidR="00686A11">
          <w:rPr>
            <w:noProof/>
            <w:webHidden/>
          </w:rPr>
          <w:t>4</w:t>
        </w:r>
        <w:r>
          <w:rPr>
            <w:noProof/>
            <w:webHidden/>
          </w:rPr>
          <w:fldChar w:fldCharType="end"/>
        </w:r>
      </w:hyperlink>
    </w:p>
    <w:p w14:paraId="1B206774" w14:textId="216B1C62"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0" w:history="1">
        <w:r w:rsidRPr="00C37291">
          <w:rPr>
            <w:rStyle w:val="Hyperlink"/>
            <w:noProof/>
          </w:rPr>
          <w:t>1.6.</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Naziv i jedinstveni identifikacijski broj prijavljenog tijela:</w:t>
        </w:r>
        <w:r>
          <w:rPr>
            <w:noProof/>
            <w:webHidden/>
          </w:rPr>
          <w:tab/>
        </w:r>
        <w:r>
          <w:rPr>
            <w:noProof/>
            <w:webHidden/>
          </w:rPr>
          <w:fldChar w:fldCharType="begin"/>
        </w:r>
        <w:r>
          <w:rPr>
            <w:noProof/>
            <w:webHidden/>
          </w:rPr>
          <w:instrText xml:space="preserve"> PAGEREF _Toc222741430 \h </w:instrText>
        </w:r>
        <w:r>
          <w:rPr>
            <w:noProof/>
            <w:webHidden/>
          </w:rPr>
        </w:r>
        <w:r>
          <w:rPr>
            <w:noProof/>
            <w:webHidden/>
          </w:rPr>
          <w:fldChar w:fldCharType="separate"/>
        </w:r>
        <w:r w:rsidR="00686A11">
          <w:rPr>
            <w:noProof/>
            <w:webHidden/>
          </w:rPr>
          <w:t>4</w:t>
        </w:r>
        <w:r>
          <w:rPr>
            <w:noProof/>
            <w:webHidden/>
          </w:rPr>
          <w:fldChar w:fldCharType="end"/>
        </w:r>
      </w:hyperlink>
    </w:p>
    <w:p w14:paraId="452D8A5B" w14:textId="3A207C70"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1" w:history="1">
        <w:r w:rsidRPr="00C37291">
          <w:rPr>
            <w:rStyle w:val="Hyperlink"/>
            <w:noProof/>
          </w:rPr>
          <w:t>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Namjena/svrha proizvoda</w:t>
        </w:r>
        <w:r>
          <w:rPr>
            <w:noProof/>
            <w:webHidden/>
          </w:rPr>
          <w:tab/>
        </w:r>
        <w:r>
          <w:rPr>
            <w:noProof/>
            <w:webHidden/>
          </w:rPr>
          <w:fldChar w:fldCharType="begin"/>
        </w:r>
        <w:r>
          <w:rPr>
            <w:noProof/>
            <w:webHidden/>
          </w:rPr>
          <w:instrText xml:space="preserve"> PAGEREF _Toc222741431 \h </w:instrText>
        </w:r>
        <w:r>
          <w:rPr>
            <w:noProof/>
            <w:webHidden/>
          </w:rPr>
        </w:r>
        <w:r>
          <w:rPr>
            <w:noProof/>
            <w:webHidden/>
          </w:rPr>
          <w:fldChar w:fldCharType="separate"/>
        </w:r>
        <w:r w:rsidR="00686A11">
          <w:rPr>
            <w:noProof/>
            <w:webHidden/>
          </w:rPr>
          <w:t>4</w:t>
        </w:r>
        <w:r>
          <w:rPr>
            <w:noProof/>
            <w:webHidden/>
          </w:rPr>
          <w:fldChar w:fldCharType="end"/>
        </w:r>
      </w:hyperlink>
    </w:p>
    <w:p w14:paraId="7F21AE41" w14:textId="7C99D2BF"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2" w:history="1">
        <w:r w:rsidRPr="00C37291">
          <w:rPr>
            <w:rStyle w:val="Hyperlink"/>
            <w:noProof/>
          </w:rPr>
          <w:t>2.1.</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Predviđena svrha/namjena</w:t>
        </w:r>
        <w:r>
          <w:rPr>
            <w:noProof/>
            <w:webHidden/>
          </w:rPr>
          <w:tab/>
        </w:r>
        <w:r>
          <w:rPr>
            <w:noProof/>
            <w:webHidden/>
          </w:rPr>
          <w:fldChar w:fldCharType="begin"/>
        </w:r>
        <w:r>
          <w:rPr>
            <w:noProof/>
            <w:webHidden/>
          </w:rPr>
          <w:instrText xml:space="preserve"> PAGEREF _Toc222741432 \h </w:instrText>
        </w:r>
        <w:r>
          <w:rPr>
            <w:noProof/>
            <w:webHidden/>
          </w:rPr>
        </w:r>
        <w:r>
          <w:rPr>
            <w:noProof/>
            <w:webHidden/>
          </w:rPr>
          <w:fldChar w:fldCharType="separate"/>
        </w:r>
        <w:r w:rsidR="00686A11">
          <w:rPr>
            <w:noProof/>
            <w:webHidden/>
          </w:rPr>
          <w:t>4</w:t>
        </w:r>
        <w:r>
          <w:rPr>
            <w:noProof/>
            <w:webHidden/>
          </w:rPr>
          <w:fldChar w:fldCharType="end"/>
        </w:r>
      </w:hyperlink>
    </w:p>
    <w:p w14:paraId="4A26F4B7" w14:textId="008779A0"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33" w:history="1">
        <w:r w:rsidRPr="00C37291">
          <w:rPr>
            <w:rStyle w:val="Hyperlink"/>
            <w:noProof/>
          </w:rPr>
          <w:t>2.2.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Indikacije za upotrebu</w:t>
        </w:r>
        <w:r>
          <w:rPr>
            <w:noProof/>
            <w:webHidden/>
          </w:rPr>
          <w:tab/>
          <w:t>4</w:t>
        </w:r>
      </w:hyperlink>
    </w:p>
    <w:p w14:paraId="5386E91F" w14:textId="5492AD7A"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4" w:history="1">
        <w:r w:rsidRPr="00C37291">
          <w:rPr>
            <w:rStyle w:val="Hyperlink"/>
            <w:noProof/>
          </w:rPr>
          <w:t>2.3.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Ciljna populacija</w:t>
        </w:r>
        <w:r>
          <w:rPr>
            <w:noProof/>
            <w:webHidden/>
          </w:rPr>
          <w:tab/>
        </w:r>
        <w:r>
          <w:rPr>
            <w:noProof/>
            <w:webHidden/>
          </w:rPr>
          <w:fldChar w:fldCharType="begin"/>
        </w:r>
        <w:r>
          <w:rPr>
            <w:noProof/>
            <w:webHidden/>
          </w:rPr>
          <w:instrText xml:space="preserve"> PAGEREF _Toc222741434 \h </w:instrText>
        </w:r>
        <w:r>
          <w:rPr>
            <w:noProof/>
            <w:webHidden/>
          </w:rPr>
        </w:r>
        <w:r>
          <w:rPr>
            <w:noProof/>
            <w:webHidden/>
          </w:rPr>
          <w:fldChar w:fldCharType="separate"/>
        </w:r>
        <w:r w:rsidR="00686A11">
          <w:rPr>
            <w:noProof/>
            <w:webHidden/>
          </w:rPr>
          <w:t>5</w:t>
        </w:r>
        <w:r>
          <w:rPr>
            <w:noProof/>
            <w:webHidden/>
          </w:rPr>
          <w:fldChar w:fldCharType="end"/>
        </w:r>
      </w:hyperlink>
    </w:p>
    <w:p w14:paraId="79AA1F87" w14:textId="591D3C62"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5" w:history="1">
        <w:r w:rsidRPr="00C37291">
          <w:rPr>
            <w:rStyle w:val="Hyperlink"/>
            <w:noProof/>
          </w:rPr>
          <w:t>2.4.</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Kontraindikacije</w:t>
        </w:r>
        <w:r>
          <w:rPr>
            <w:noProof/>
            <w:webHidden/>
          </w:rPr>
          <w:tab/>
        </w:r>
        <w:r>
          <w:rPr>
            <w:noProof/>
            <w:webHidden/>
          </w:rPr>
          <w:fldChar w:fldCharType="begin"/>
        </w:r>
        <w:r>
          <w:rPr>
            <w:noProof/>
            <w:webHidden/>
          </w:rPr>
          <w:instrText xml:space="preserve"> PAGEREF _Toc222741435 \h </w:instrText>
        </w:r>
        <w:r>
          <w:rPr>
            <w:noProof/>
            <w:webHidden/>
          </w:rPr>
        </w:r>
        <w:r>
          <w:rPr>
            <w:noProof/>
            <w:webHidden/>
          </w:rPr>
          <w:fldChar w:fldCharType="separate"/>
        </w:r>
        <w:r w:rsidR="00686A11">
          <w:rPr>
            <w:noProof/>
            <w:webHidden/>
          </w:rPr>
          <w:t>5</w:t>
        </w:r>
        <w:r>
          <w:rPr>
            <w:noProof/>
            <w:webHidden/>
          </w:rPr>
          <w:fldChar w:fldCharType="end"/>
        </w:r>
      </w:hyperlink>
    </w:p>
    <w:p w14:paraId="0E887302" w14:textId="5DC869CC"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6" w:history="1">
        <w:r w:rsidRPr="00C37291">
          <w:rPr>
            <w:rStyle w:val="Hyperlink"/>
            <w:noProof/>
          </w:rPr>
          <w:t>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Opis proizvoda</w:t>
        </w:r>
        <w:r>
          <w:rPr>
            <w:noProof/>
            <w:webHidden/>
          </w:rPr>
          <w:tab/>
        </w:r>
        <w:r>
          <w:rPr>
            <w:noProof/>
            <w:webHidden/>
          </w:rPr>
          <w:fldChar w:fldCharType="begin"/>
        </w:r>
        <w:r>
          <w:rPr>
            <w:noProof/>
            <w:webHidden/>
          </w:rPr>
          <w:instrText xml:space="preserve"> PAGEREF _Toc222741436 \h </w:instrText>
        </w:r>
        <w:r>
          <w:rPr>
            <w:noProof/>
            <w:webHidden/>
          </w:rPr>
        </w:r>
        <w:r>
          <w:rPr>
            <w:noProof/>
            <w:webHidden/>
          </w:rPr>
          <w:fldChar w:fldCharType="separate"/>
        </w:r>
        <w:r w:rsidR="00686A11">
          <w:rPr>
            <w:noProof/>
            <w:webHidden/>
          </w:rPr>
          <w:t>5</w:t>
        </w:r>
        <w:r>
          <w:rPr>
            <w:noProof/>
            <w:webHidden/>
          </w:rPr>
          <w:fldChar w:fldCharType="end"/>
        </w:r>
      </w:hyperlink>
    </w:p>
    <w:p w14:paraId="23B0DC09" w14:textId="5B622451"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7" w:history="1">
        <w:r w:rsidRPr="00C37291">
          <w:rPr>
            <w:rStyle w:val="Hyperlink"/>
            <w:noProof/>
          </w:rPr>
          <w:t>3.1.</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Opis proizvoda</w:t>
        </w:r>
        <w:r>
          <w:rPr>
            <w:noProof/>
            <w:webHidden/>
          </w:rPr>
          <w:tab/>
        </w:r>
        <w:r>
          <w:rPr>
            <w:noProof/>
            <w:webHidden/>
          </w:rPr>
          <w:fldChar w:fldCharType="begin"/>
        </w:r>
        <w:r>
          <w:rPr>
            <w:noProof/>
            <w:webHidden/>
          </w:rPr>
          <w:instrText xml:space="preserve"> PAGEREF _Toc222741437 \h </w:instrText>
        </w:r>
        <w:r>
          <w:rPr>
            <w:noProof/>
            <w:webHidden/>
          </w:rPr>
        </w:r>
        <w:r>
          <w:rPr>
            <w:noProof/>
            <w:webHidden/>
          </w:rPr>
          <w:fldChar w:fldCharType="separate"/>
        </w:r>
        <w:r w:rsidR="00686A11">
          <w:rPr>
            <w:noProof/>
            <w:webHidden/>
          </w:rPr>
          <w:t>5</w:t>
        </w:r>
        <w:r>
          <w:rPr>
            <w:noProof/>
            <w:webHidden/>
          </w:rPr>
          <w:fldChar w:fldCharType="end"/>
        </w:r>
      </w:hyperlink>
    </w:p>
    <w:p w14:paraId="52F6039C" w14:textId="3D1B442E"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38" w:history="1">
        <w:r w:rsidRPr="00C37291">
          <w:rPr>
            <w:rStyle w:val="Hyperlink"/>
            <w:noProof/>
          </w:rPr>
          <w:t>3.2.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Prethodne varijante i razlike među njima</w:t>
        </w:r>
        <w:r>
          <w:rPr>
            <w:noProof/>
            <w:webHidden/>
          </w:rPr>
          <w:tab/>
        </w:r>
        <w:r>
          <w:rPr>
            <w:noProof/>
            <w:webHidden/>
          </w:rPr>
          <w:fldChar w:fldCharType="begin"/>
        </w:r>
        <w:r>
          <w:rPr>
            <w:noProof/>
            <w:webHidden/>
          </w:rPr>
          <w:instrText xml:space="preserve"> PAGEREF _Toc222741438 \h </w:instrText>
        </w:r>
        <w:r>
          <w:rPr>
            <w:noProof/>
            <w:webHidden/>
          </w:rPr>
        </w:r>
        <w:r>
          <w:rPr>
            <w:noProof/>
            <w:webHidden/>
          </w:rPr>
          <w:fldChar w:fldCharType="separate"/>
        </w:r>
        <w:r w:rsidR="00686A11">
          <w:rPr>
            <w:noProof/>
            <w:webHidden/>
          </w:rPr>
          <w:t>5</w:t>
        </w:r>
        <w:r>
          <w:rPr>
            <w:noProof/>
            <w:webHidden/>
          </w:rPr>
          <w:fldChar w:fldCharType="end"/>
        </w:r>
      </w:hyperlink>
    </w:p>
    <w:p w14:paraId="42F5564E" w14:textId="6851AAC4"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39" w:history="1">
        <w:r w:rsidRPr="00C37291">
          <w:rPr>
            <w:rStyle w:val="Hyperlink"/>
            <w:noProof/>
          </w:rPr>
          <w:t>3.3.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Dodaci, kompatibilni proizvodi i ostali proizvodi koji se mogu kombinirati</w:t>
        </w:r>
        <w:r>
          <w:rPr>
            <w:noProof/>
            <w:webHidden/>
          </w:rPr>
          <w:tab/>
          <w:t>5</w:t>
        </w:r>
      </w:hyperlink>
    </w:p>
    <w:p w14:paraId="58FCD7FC" w14:textId="08F52BB6"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0" w:history="1">
        <w:r w:rsidRPr="00C37291">
          <w:rPr>
            <w:rStyle w:val="Hyperlink"/>
            <w:noProof/>
          </w:rPr>
          <w:t>4.</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Rizici i upozorenja</w:t>
        </w:r>
        <w:r>
          <w:rPr>
            <w:noProof/>
            <w:webHidden/>
          </w:rPr>
          <w:tab/>
        </w:r>
        <w:r>
          <w:rPr>
            <w:noProof/>
            <w:webHidden/>
          </w:rPr>
          <w:fldChar w:fldCharType="begin"/>
        </w:r>
        <w:r>
          <w:rPr>
            <w:noProof/>
            <w:webHidden/>
          </w:rPr>
          <w:instrText xml:space="preserve"> PAGEREF _Toc222741440 \h </w:instrText>
        </w:r>
        <w:r>
          <w:rPr>
            <w:noProof/>
            <w:webHidden/>
          </w:rPr>
        </w:r>
        <w:r>
          <w:rPr>
            <w:noProof/>
            <w:webHidden/>
          </w:rPr>
          <w:fldChar w:fldCharType="separate"/>
        </w:r>
        <w:r w:rsidR="00686A11">
          <w:rPr>
            <w:noProof/>
            <w:webHidden/>
          </w:rPr>
          <w:t>6</w:t>
        </w:r>
        <w:r>
          <w:rPr>
            <w:noProof/>
            <w:webHidden/>
          </w:rPr>
          <w:fldChar w:fldCharType="end"/>
        </w:r>
      </w:hyperlink>
    </w:p>
    <w:p w14:paraId="76F6BCBB" w14:textId="08B1304E"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1" w:history="1">
        <w:r w:rsidRPr="00C37291">
          <w:rPr>
            <w:rStyle w:val="Hyperlink"/>
            <w:noProof/>
          </w:rPr>
          <w:t>4.1.</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Preostali rizici i neželjene nuspojave</w:t>
        </w:r>
        <w:r>
          <w:rPr>
            <w:noProof/>
            <w:webHidden/>
          </w:rPr>
          <w:tab/>
        </w:r>
        <w:r>
          <w:rPr>
            <w:noProof/>
            <w:webHidden/>
          </w:rPr>
          <w:fldChar w:fldCharType="begin"/>
        </w:r>
        <w:r>
          <w:rPr>
            <w:noProof/>
            <w:webHidden/>
          </w:rPr>
          <w:instrText xml:space="preserve"> PAGEREF _Toc222741441 \h </w:instrText>
        </w:r>
        <w:r>
          <w:rPr>
            <w:noProof/>
            <w:webHidden/>
          </w:rPr>
        </w:r>
        <w:r>
          <w:rPr>
            <w:noProof/>
            <w:webHidden/>
          </w:rPr>
          <w:fldChar w:fldCharType="separate"/>
        </w:r>
        <w:r w:rsidR="00686A11">
          <w:rPr>
            <w:noProof/>
            <w:webHidden/>
          </w:rPr>
          <w:t>6</w:t>
        </w:r>
        <w:r>
          <w:rPr>
            <w:noProof/>
            <w:webHidden/>
          </w:rPr>
          <w:fldChar w:fldCharType="end"/>
        </w:r>
      </w:hyperlink>
    </w:p>
    <w:p w14:paraId="72B33822" w14:textId="04CFE9AC"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2" w:history="1">
        <w:r w:rsidRPr="00C37291">
          <w:rPr>
            <w:rStyle w:val="Hyperlink"/>
            <w:noProof/>
          </w:rPr>
          <w:t>4.2.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Upozorenja i mjere opreza</w:t>
        </w:r>
        <w:r>
          <w:rPr>
            <w:noProof/>
            <w:webHidden/>
          </w:rPr>
          <w:tab/>
        </w:r>
        <w:r>
          <w:rPr>
            <w:noProof/>
            <w:webHidden/>
          </w:rPr>
          <w:fldChar w:fldCharType="begin"/>
        </w:r>
        <w:r>
          <w:rPr>
            <w:noProof/>
            <w:webHidden/>
          </w:rPr>
          <w:instrText xml:space="preserve"> PAGEREF _Toc222741442 \h </w:instrText>
        </w:r>
        <w:r>
          <w:rPr>
            <w:noProof/>
            <w:webHidden/>
          </w:rPr>
        </w:r>
        <w:r>
          <w:rPr>
            <w:noProof/>
            <w:webHidden/>
          </w:rPr>
          <w:fldChar w:fldCharType="separate"/>
        </w:r>
        <w:r w:rsidR="00686A11">
          <w:rPr>
            <w:noProof/>
            <w:webHidden/>
          </w:rPr>
          <w:t>6</w:t>
        </w:r>
        <w:r>
          <w:rPr>
            <w:noProof/>
            <w:webHidden/>
          </w:rPr>
          <w:fldChar w:fldCharType="end"/>
        </w:r>
      </w:hyperlink>
    </w:p>
    <w:p w14:paraId="607D6743" w14:textId="4884B625"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3" w:history="1">
        <w:r w:rsidRPr="00C37291">
          <w:rPr>
            <w:rStyle w:val="Hyperlink"/>
            <w:noProof/>
          </w:rPr>
          <w:t>4.3.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Ostali relevantni aspekti sigurnosti, uključujući sažetak svih sigurnosnih korektivnih mjera (FSCA, uključujući FSN), ako je primjenjivo</w:t>
        </w:r>
        <w:r>
          <w:rPr>
            <w:noProof/>
            <w:webHidden/>
          </w:rPr>
          <w:tab/>
        </w:r>
        <w:r>
          <w:rPr>
            <w:noProof/>
            <w:webHidden/>
          </w:rPr>
          <w:fldChar w:fldCharType="begin"/>
        </w:r>
        <w:r>
          <w:rPr>
            <w:noProof/>
            <w:webHidden/>
          </w:rPr>
          <w:instrText xml:space="preserve"> PAGEREF _Toc222741443 \h </w:instrText>
        </w:r>
        <w:r>
          <w:rPr>
            <w:noProof/>
            <w:webHidden/>
          </w:rPr>
        </w:r>
        <w:r>
          <w:rPr>
            <w:noProof/>
            <w:webHidden/>
          </w:rPr>
          <w:fldChar w:fldCharType="separate"/>
        </w:r>
        <w:r w:rsidR="00686A11">
          <w:rPr>
            <w:noProof/>
            <w:webHidden/>
          </w:rPr>
          <w:t>7</w:t>
        </w:r>
        <w:r>
          <w:rPr>
            <w:noProof/>
            <w:webHidden/>
          </w:rPr>
          <w:fldChar w:fldCharType="end"/>
        </w:r>
      </w:hyperlink>
    </w:p>
    <w:p w14:paraId="45EF595E" w14:textId="6323D27F"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4" w:history="1">
        <w:r w:rsidRPr="00C37291">
          <w:rPr>
            <w:rStyle w:val="Hyperlink"/>
            <w:noProof/>
          </w:rPr>
          <w:t>5.</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Sažetak kliničke procjene i posttržišnog kliničkog praćenja (PMCF)</w:t>
        </w:r>
        <w:r>
          <w:rPr>
            <w:noProof/>
            <w:webHidden/>
          </w:rPr>
          <w:tab/>
        </w:r>
        <w:r>
          <w:rPr>
            <w:noProof/>
            <w:webHidden/>
          </w:rPr>
          <w:fldChar w:fldCharType="begin"/>
        </w:r>
        <w:r>
          <w:rPr>
            <w:noProof/>
            <w:webHidden/>
          </w:rPr>
          <w:instrText xml:space="preserve"> PAGEREF _Toc222741444 \h </w:instrText>
        </w:r>
        <w:r>
          <w:rPr>
            <w:noProof/>
            <w:webHidden/>
          </w:rPr>
        </w:r>
        <w:r>
          <w:rPr>
            <w:noProof/>
            <w:webHidden/>
          </w:rPr>
          <w:fldChar w:fldCharType="separate"/>
        </w:r>
        <w:r w:rsidR="00686A11">
          <w:rPr>
            <w:noProof/>
            <w:webHidden/>
          </w:rPr>
          <w:t>7</w:t>
        </w:r>
        <w:r>
          <w:rPr>
            <w:noProof/>
            <w:webHidden/>
          </w:rPr>
          <w:fldChar w:fldCharType="end"/>
        </w:r>
      </w:hyperlink>
    </w:p>
    <w:p w14:paraId="0A4457CC" w14:textId="291A5EB3"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5" w:history="1">
        <w:r w:rsidRPr="00C37291">
          <w:rPr>
            <w:rStyle w:val="Hyperlink"/>
            <w:noProof/>
          </w:rPr>
          <w:t>5.1.</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Sažetak kliničkih podataka u vezi s ekvivalentnim proizvodom, ako je primjenjivo</w:t>
        </w:r>
        <w:r>
          <w:rPr>
            <w:noProof/>
            <w:webHidden/>
          </w:rPr>
          <w:tab/>
        </w:r>
        <w:r>
          <w:rPr>
            <w:noProof/>
            <w:webHidden/>
          </w:rPr>
          <w:fldChar w:fldCharType="begin"/>
        </w:r>
        <w:r>
          <w:rPr>
            <w:noProof/>
            <w:webHidden/>
          </w:rPr>
          <w:instrText xml:space="preserve"> PAGEREF _Toc222741445 \h </w:instrText>
        </w:r>
        <w:r>
          <w:rPr>
            <w:noProof/>
            <w:webHidden/>
          </w:rPr>
        </w:r>
        <w:r>
          <w:rPr>
            <w:noProof/>
            <w:webHidden/>
          </w:rPr>
          <w:fldChar w:fldCharType="separate"/>
        </w:r>
        <w:r w:rsidR="00686A11">
          <w:rPr>
            <w:noProof/>
            <w:webHidden/>
          </w:rPr>
          <w:t>8</w:t>
        </w:r>
        <w:r>
          <w:rPr>
            <w:noProof/>
            <w:webHidden/>
          </w:rPr>
          <w:fldChar w:fldCharType="end"/>
        </w:r>
      </w:hyperlink>
    </w:p>
    <w:p w14:paraId="7AE8EF1E" w14:textId="3967B546"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6" w:history="1">
        <w:r w:rsidRPr="00C37291">
          <w:rPr>
            <w:rStyle w:val="Hyperlink"/>
            <w:noProof/>
          </w:rPr>
          <w:t>5.2.</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Sažetak kliničkih podataka provedenih ispitivanja proizvoda prije oznake CE, ako je primjenjivo</w:t>
        </w:r>
        <w:r>
          <w:rPr>
            <w:noProof/>
            <w:webHidden/>
          </w:rPr>
          <w:tab/>
        </w:r>
        <w:r>
          <w:rPr>
            <w:noProof/>
            <w:webHidden/>
          </w:rPr>
          <w:fldChar w:fldCharType="begin"/>
        </w:r>
        <w:r>
          <w:rPr>
            <w:noProof/>
            <w:webHidden/>
          </w:rPr>
          <w:instrText xml:space="preserve"> PAGEREF _Toc222741446 \h </w:instrText>
        </w:r>
        <w:r>
          <w:rPr>
            <w:noProof/>
            <w:webHidden/>
          </w:rPr>
        </w:r>
        <w:r>
          <w:rPr>
            <w:noProof/>
            <w:webHidden/>
          </w:rPr>
          <w:fldChar w:fldCharType="separate"/>
        </w:r>
        <w:r w:rsidR="00686A11">
          <w:rPr>
            <w:noProof/>
            <w:webHidden/>
          </w:rPr>
          <w:t>8</w:t>
        </w:r>
        <w:r>
          <w:rPr>
            <w:noProof/>
            <w:webHidden/>
          </w:rPr>
          <w:fldChar w:fldCharType="end"/>
        </w:r>
      </w:hyperlink>
    </w:p>
    <w:p w14:paraId="552A5313" w14:textId="14090917"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7" w:history="1">
        <w:r w:rsidRPr="00C37291">
          <w:rPr>
            <w:rStyle w:val="Hyperlink"/>
            <w:noProof/>
          </w:rPr>
          <w:t>5.3.</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Sažetak kliničkih podataka iz drugih izvora, ako je primjenjivo</w:t>
        </w:r>
        <w:r>
          <w:rPr>
            <w:noProof/>
            <w:webHidden/>
          </w:rPr>
          <w:tab/>
        </w:r>
        <w:r>
          <w:rPr>
            <w:noProof/>
            <w:webHidden/>
          </w:rPr>
          <w:fldChar w:fldCharType="begin"/>
        </w:r>
        <w:r>
          <w:rPr>
            <w:noProof/>
            <w:webHidden/>
          </w:rPr>
          <w:instrText xml:space="preserve"> PAGEREF _Toc222741447 \h </w:instrText>
        </w:r>
        <w:r>
          <w:rPr>
            <w:noProof/>
            <w:webHidden/>
          </w:rPr>
        </w:r>
        <w:r>
          <w:rPr>
            <w:noProof/>
            <w:webHidden/>
          </w:rPr>
          <w:fldChar w:fldCharType="separate"/>
        </w:r>
        <w:r w:rsidR="00686A11">
          <w:rPr>
            <w:noProof/>
            <w:webHidden/>
          </w:rPr>
          <w:t>8</w:t>
        </w:r>
        <w:r>
          <w:rPr>
            <w:noProof/>
            <w:webHidden/>
          </w:rPr>
          <w:fldChar w:fldCharType="end"/>
        </w:r>
      </w:hyperlink>
    </w:p>
    <w:p w14:paraId="53C1DF6F" w14:textId="762ADDAF" w:rsidR="00E105B6" w:rsidRDefault="00E105B6">
      <w:pPr>
        <w:pStyle w:val="TOC1"/>
        <w:rPr>
          <w:rFonts w:asciiTheme="minorHAnsi" w:eastAsiaTheme="minorEastAsia" w:hAnsiTheme="minorHAnsi" w:cstheme="minorBidi"/>
          <w:noProof/>
          <w:kern w:val="2"/>
          <w:lang w:eastAsia="zh-CN"/>
          <w14:ligatures w14:val="standardContextual"/>
        </w:rPr>
      </w:pPr>
      <w:hyperlink w:anchor="_Toc222741448" w:history="1">
        <w:r w:rsidRPr="00C37291">
          <w:rPr>
            <w:rStyle w:val="Hyperlink"/>
            <w:noProof/>
          </w:rPr>
          <w:t>5.4.</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Ukupni sažetak kliničke učinkovitosti i sigurnosti</w:t>
        </w:r>
        <w:r>
          <w:rPr>
            <w:noProof/>
            <w:webHidden/>
          </w:rPr>
          <w:tab/>
        </w:r>
        <w:r>
          <w:rPr>
            <w:noProof/>
            <w:webHidden/>
          </w:rPr>
          <w:fldChar w:fldCharType="begin"/>
        </w:r>
        <w:r>
          <w:rPr>
            <w:noProof/>
            <w:webHidden/>
          </w:rPr>
          <w:instrText xml:space="preserve"> PAGEREF _Toc222741448 \h </w:instrText>
        </w:r>
        <w:r>
          <w:rPr>
            <w:noProof/>
            <w:webHidden/>
          </w:rPr>
        </w:r>
        <w:r>
          <w:rPr>
            <w:noProof/>
            <w:webHidden/>
          </w:rPr>
          <w:fldChar w:fldCharType="separate"/>
        </w:r>
        <w:r w:rsidR="00686A11">
          <w:rPr>
            <w:noProof/>
            <w:webHidden/>
          </w:rPr>
          <w:t>9</w:t>
        </w:r>
        <w:r>
          <w:rPr>
            <w:noProof/>
            <w:webHidden/>
          </w:rPr>
          <w:fldChar w:fldCharType="end"/>
        </w:r>
      </w:hyperlink>
    </w:p>
    <w:p w14:paraId="4FA595DE" w14:textId="20111186"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49" w:history="1">
        <w:r w:rsidRPr="00C37291">
          <w:rPr>
            <w:rStyle w:val="Hyperlink"/>
            <w:noProof/>
          </w:rPr>
          <w:t>5.5.</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Tekuće ili planirano posttržišno kliničko praćenje</w:t>
        </w:r>
        <w:r>
          <w:rPr>
            <w:noProof/>
            <w:webHidden/>
          </w:rPr>
          <w:tab/>
        </w:r>
        <w:r>
          <w:rPr>
            <w:noProof/>
            <w:webHidden/>
          </w:rPr>
          <w:fldChar w:fldCharType="begin"/>
        </w:r>
        <w:r>
          <w:rPr>
            <w:noProof/>
            <w:webHidden/>
          </w:rPr>
          <w:instrText xml:space="preserve"> PAGEREF _Toc222741449 \h </w:instrText>
        </w:r>
        <w:r>
          <w:rPr>
            <w:noProof/>
            <w:webHidden/>
          </w:rPr>
        </w:r>
        <w:r>
          <w:rPr>
            <w:noProof/>
            <w:webHidden/>
          </w:rPr>
          <w:fldChar w:fldCharType="separate"/>
        </w:r>
        <w:r>
          <w:rPr>
            <w:noProof/>
            <w:webHidden/>
          </w:rPr>
          <w:t>10</w:t>
        </w:r>
        <w:r>
          <w:rPr>
            <w:noProof/>
            <w:webHidden/>
          </w:rPr>
          <w:fldChar w:fldCharType="end"/>
        </w:r>
      </w:hyperlink>
    </w:p>
    <w:p w14:paraId="1E7338BF" w14:textId="49DA0B55"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50" w:history="1">
        <w:r w:rsidRPr="00C37291">
          <w:rPr>
            <w:rStyle w:val="Hyperlink"/>
            <w:noProof/>
          </w:rPr>
          <w:t>6.</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Moguće dijagnostičke ili terapijske alternative</w:t>
        </w:r>
        <w:r>
          <w:rPr>
            <w:noProof/>
            <w:webHidden/>
          </w:rPr>
          <w:tab/>
        </w:r>
        <w:r>
          <w:rPr>
            <w:noProof/>
            <w:webHidden/>
          </w:rPr>
          <w:fldChar w:fldCharType="begin"/>
        </w:r>
        <w:r>
          <w:rPr>
            <w:noProof/>
            <w:webHidden/>
          </w:rPr>
          <w:instrText xml:space="preserve"> PAGEREF _Toc222741450 \h </w:instrText>
        </w:r>
        <w:r>
          <w:rPr>
            <w:noProof/>
            <w:webHidden/>
          </w:rPr>
        </w:r>
        <w:r>
          <w:rPr>
            <w:noProof/>
            <w:webHidden/>
          </w:rPr>
          <w:fldChar w:fldCharType="separate"/>
        </w:r>
        <w:r>
          <w:rPr>
            <w:noProof/>
            <w:webHidden/>
          </w:rPr>
          <w:t>11</w:t>
        </w:r>
        <w:r>
          <w:rPr>
            <w:noProof/>
            <w:webHidden/>
          </w:rPr>
          <w:fldChar w:fldCharType="end"/>
        </w:r>
      </w:hyperlink>
    </w:p>
    <w:p w14:paraId="4554BBB9" w14:textId="4CF1AAEC"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51" w:history="1">
        <w:r w:rsidRPr="00C37291">
          <w:rPr>
            <w:rStyle w:val="Hyperlink"/>
            <w:noProof/>
          </w:rPr>
          <w:t>7.</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Predloženi profil i obuka korisnika</w:t>
        </w:r>
        <w:r>
          <w:rPr>
            <w:noProof/>
            <w:webHidden/>
          </w:rPr>
          <w:tab/>
        </w:r>
        <w:r>
          <w:rPr>
            <w:noProof/>
            <w:webHidden/>
          </w:rPr>
          <w:fldChar w:fldCharType="begin"/>
        </w:r>
        <w:r>
          <w:rPr>
            <w:noProof/>
            <w:webHidden/>
          </w:rPr>
          <w:instrText xml:space="preserve"> PAGEREF _Toc222741451 \h </w:instrText>
        </w:r>
        <w:r>
          <w:rPr>
            <w:noProof/>
            <w:webHidden/>
          </w:rPr>
        </w:r>
        <w:r>
          <w:rPr>
            <w:noProof/>
            <w:webHidden/>
          </w:rPr>
          <w:fldChar w:fldCharType="separate"/>
        </w:r>
        <w:r>
          <w:rPr>
            <w:noProof/>
            <w:webHidden/>
          </w:rPr>
          <w:t>11</w:t>
        </w:r>
        <w:r>
          <w:rPr>
            <w:noProof/>
            <w:webHidden/>
          </w:rPr>
          <w:fldChar w:fldCharType="end"/>
        </w:r>
      </w:hyperlink>
    </w:p>
    <w:p w14:paraId="5EB274DB" w14:textId="6E3700EA"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52" w:history="1">
        <w:r w:rsidRPr="00C37291">
          <w:rPr>
            <w:rStyle w:val="Hyperlink"/>
            <w:noProof/>
          </w:rPr>
          <w:t>8.</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Usklađene norme / zajedničke značajke</w:t>
        </w:r>
        <w:r>
          <w:rPr>
            <w:noProof/>
            <w:webHidden/>
          </w:rPr>
          <w:tab/>
        </w:r>
        <w:r>
          <w:rPr>
            <w:noProof/>
            <w:webHidden/>
          </w:rPr>
          <w:fldChar w:fldCharType="begin"/>
        </w:r>
        <w:r>
          <w:rPr>
            <w:noProof/>
            <w:webHidden/>
          </w:rPr>
          <w:instrText xml:space="preserve"> PAGEREF _Toc222741452 \h </w:instrText>
        </w:r>
        <w:r>
          <w:rPr>
            <w:noProof/>
            <w:webHidden/>
          </w:rPr>
        </w:r>
        <w:r>
          <w:rPr>
            <w:noProof/>
            <w:webHidden/>
          </w:rPr>
          <w:fldChar w:fldCharType="separate"/>
        </w:r>
        <w:r>
          <w:rPr>
            <w:noProof/>
            <w:webHidden/>
          </w:rPr>
          <w:t>11</w:t>
        </w:r>
        <w:r>
          <w:rPr>
            <w:noProof/>
            <w:webHidden/>
          </w:rPr>
          <w:fldChar w:fldCharType="end"/>
        </w:r>
      </w:hyperlink>
    </w:p>
    <w:p w14:paraId="7F39EECA" w14:textId="4F2B0166" w:rsidR="00E105B6" w:rsidRDefault="009D54AB">
      <w:pPr>
        <w:pStyle w:val="TOC1"/>
        <w:rPr>
          <w:rFonts w:asciiTheme="minorHAnsi" w:eastAsiaTheme="minorEastAsia" w:hAnsiTheme="minorHAnsi" w:cstheme="minorBidi"/>
          <w:noProof/>
          <w:kern w:val="2"/>
          <w:lang w:eastAsia="zh-CN"/>
          <w14:ligatures w14:val="standardContextual"/>
        </w:rPr>
      </w:pPr>
      <w:hyperlink w:anchor="_Toc222741453" w:history="1">
        <w:r w:rsidRPr="00C37291">
          <w:rPr>
            <w:rStyle w:val="Hyperlink"/>
            <w:noProof/>
          </w:rPr>
          <w:t>9.</w:t>
        </w:r>
        <w:r>
          <w:rPr>
            <w:rFonts w:asciiTheme="minorHAnsi" w:eastAsiaTheme="minorEastAsia" w:hAnsiTheme="minorHAnsi" w:cstheme="minorBidi"/>
            <w:noProof/>
            <w:kern w:val="2"/>
            <w:lang w:eastAsia="zh-CN"/>
            <w14:ligatures w14:val="standardContextual"/>
          </w:rPr>
          <w:tab/>
        </w:r>
        <w:r w:rsidRPr="00C37291">
          <w:rPr>
            <w:rStyle w:val="Hyperlink"/>
            <w:bCs/>
            <w:noProof/>
            <w:lang w:val="hr"/>
          </w:rPr>
          <w:t>Povijest revizija</w:t>
        </w:r>
        <w:r>
          <w:rPr>
            <w:noProof/>
            <w:webHidden/>
          </w:rPr>
          <w:tab/>
        </w:r>
        <w:r>
          <w:rPr>
            <w:noProof/>
            <w:webHidden/>
          </w:rPr>
          <w:fldChar w:fldCharType="begin"/>
        </w:r>
        <w:r>
          <w:rPr>
            <w:noProof/>
            <w:webHidden/>
          </w:rPr>
          <w:instrText xml:space="preserve"> PAGEREF _Toc222741453 \h </w:instrText>
        </w:r>
        <w:r>
          <w:rPr>
            <w:noProof/>
            <w:webHidden/>
          </w:rPr>
        </w:r>
        <w:r>
          <w:rPr>
            <w:noProof/>
            <w:webHidden/>
          </w:rPr>
          <w:fldChar w:fldCharType="separate"/>
        </w:r>
        <w:r>
          <w:rPr>
            <w:noProof/>
            <w:webHidden/>
          </w:rPr>
          <w:t>13</w:t>
        </w:r>
        <w:r>
          <w:rPr>
            <w:noProof/>
            <w:webHidden/>
          </w:rPr>
          <w:fldChar w:fldCharType="end"/>
        </w:r>
      </w:hyperlink>
    </w:p>
    <w:p w14:paraId="29D6E5E3" w14:textId="6C8AB789" w:rsidR="006F0810" w:rsidRPr="009461CC" w:rsidRDefault="006F0810" w:rsidP="00042B91">
      <w:pPr>
        <w:spacing w:after="0" w:afterAutospacing="0" w:line="240" w:lineRule="auto"/>
        <w:rPr>
          <w:rFonts w:cs="Times New Roman"/>
        </w:rPr>
      </w:pPr>
      <w:r>
        <w:rPr>
          <w:rFonts w:cs="Times New Roman"/>
        </w:rPr>
        <w:fldChar w:fldCharType="end"/>
      </w:r>
    </w:p>
    <w:p w14:paraId="343DF155" w14:textId="77777777" w:rsidR="006F0810" w:rsidRPr="009461CC" w:rsidRDefault="006F0810" w:rsidP="00042B91">
      <w:pPr>
        <w:spacing w:after="0" w:afterAutospacing="0" w:line="240" w:lineRule="auto"/>
        <w:rPr>
          <w:rFonts w:cs="Times New Roman"/>
        </w:rPr>
      </w:pPr>
      <w:r>
        <w:rPr>
          <w:rFonts w:cs="Times New Roman"/>
          <w:lang w:val="hr"/>
        </w:rPr>
        <w:br w:type="page"/>
      </w:r>
    </w:p>
    <w:p w14:paraId="453DC774" w14:textId="77777777" w:rsidR="00221CEF" w:rsidRPr="00E105B6" w:rsidRDefault="00221CEF" w:rsidP="00042B91">
      <w:pPr>
        <w:pStyle w:val="Heading7"/>
        <w:spacing w:after="0" w:afterAutospacing="0"/>
        <w:rPr>
          <w:lang w:val="it-IT"/>
        </w:rPr>
      </w:pPr>
      <w:r>
        <w:rPr>
          <w:bCs/>
          <w:lang w:val="hr"/>
        </w:rPr>
        <w:lastRenderedPageBreak/>
        <w:t>Sažetak o sigurnosnoj i kliničkoj učinkovitosti</w:t>
      </w:r>
    </w:p>
    <w:p w14:paraId="2D567C3A" w14:textId="4D6B7954" w:rsidR="00221CEF" w:rsidRPr="00E105B6" w:rsidRDefault="00221CEF" w:rsidP="00042B91">
      <w:pPr>
        <w:spacing w:after="0" w:afterAutospacing="0" w:line="240" w:lineRule="auto"/>
        <w:rPr>
          <w:rFonts w:cs="Times New Roman"/>
          <w:lang w:val="it-IT"/>
        </w:rPr>
      </w:pPr>
      <w:r>
        <w:rPr>
          <w:rFonts w:cs="Times New Roman"/>
          <w:lang w:val="hr"/>
        </w:rPr>
        <w:t>Ovaj Sažetak o sigurnosnoj i kliničkoj učinkovitosti (SSCP) namijenjen je pružanju javnog pristupa ažuriranom sažetku glavnih aspekata sigurnosne i kliničke učinkovitosti uređaja.</w:t>
      </w:r>
    </w:p>
    <w:p w14:paraId="549AF428" w14:textId="35F6904C" w:rsidR="00221CEF" w:rsidRPr="00E105B6" w:rsidRDefault="00221CEF" w:rsidP="00042B91">
      <w:pPr>
        <w:spacing w:after="0" w:afterAutospacing="0" w:line="240" w:lineRule="auto"/>
        <w:rPr>
          <w:rFonts w:cs="Times New Roman"/>
          <w:lang w:val="it-IT"/>
        </w:rPr>
      </w:pPr>
      <w:r>
        <w:rPr>
          <w:rFonts w:cs="Times New Roman"/>
          <w:lang w:val="hr"/>
        </w:rPr>
        <w:t>SSCP nije namijenjen zamjeni uputa za uporabu kao glavnog dokumenta koji osigurava sigurnu uporabu uređaja, niti je namijenjen pružanju dijagnostičkih ili terapijskih prijedloga predviđenim korisnicima ili pacijentima.</w:t>
      </w:r>
    </w:p>
    <w:p w14:paraId="6E1D4297" w14:textId="77777777" w:rsidR="00042B91" w:rsidRPr="00E105B6" w:rsidRDefault="00042B91" w:rsidP="00042B91">
      <w:pPr>
        <w:spacing w:after="0" w:afterAutospacing="0" w:line="240" w:lineRule="auto"/>
        <w:rPr>
          <w:rFonts w:cs="Times New Roman"/>
          <w:lang w:val="it-IT"/>
        </w:rPr>
      </w:pPr>
    </w:p>
    <w:p w14:paraId="57958E5A" w14:textId="739089BF" w:rsidR="00221CEF" w:rsidRPr="00E105B6" w:rsidRDefault="00221CEF" w:rsidP="00042B91">
      <w:pPr>
        <w:spacing w:after="0" w:afterAutospacing="0" w:line="240" w:lineRule="auto"/>
        <w:rPr>
          <w:rFonts w:cs="Times New Roman"/>
          <w:lang w:val="it-IT"/>
        </w:rPr>
      </w:pPr>
      <w:r>
        <w:rPr>
          <w:rFonts w:cs="Times New Roman"/>
          <w:lang w:val="hr"/>
        </w:rPr>
        <w:t>Sljedeće informacije namijenjene su korisnicima / zdravstvenim radnicima.</w:t>
      </w:r>
    </w:p>
    <w:p w14:paraId="18A77BED" w14:textId="77777777" w:rsidR="00042B91" w:rsidRPr="00E105B6" w:rsidRDefault="00042B91" w:rsidP="00042B91">
      <w:pPr>
        <w:spacing w:after="0" w:afterAutospacing="0" w:line="240" w:lineRule="auto"/>
        <w:rPr>
          <w:rFonts w:cs="Times New Roman"/>
          <w:lang w:val="it-IT"/>
        </w:rPr>
      </w:pPr>
    </w:p>
    <w:p w14:paraId="6E5276B4" w14:textId="2AFD9220" w:rsidR="00042B91" w:rsidRPr="00E105B6" w:rsidRDefault="006F0810" w:rsidP="00F67A0E">
      <w:pPr>
        <w:pStyle w:val="Heading1"/>
        <w:numPr>
          <w:ilvl w:val="0"/>
          <w:numId w:val="2"/>
        </w:numPr>
        <w:rPr>
          <w:rFonts w:cs="Times New Roman"/>
          <w:lang w:val="it-IT"/>
        </w:rPr>
      </w:pPr>
      <w:bookmarkStart w:id="0" w:name="_Toc222741424"/>
      <w:r>
        <w:rPr>
          <w:rFonts w:cs="Times New Roman"/>
          <w:bCs/>
          <w:lang w:val="hr"/>
        </w:rPr>
        <w:t>Područje primjene ovog sažetka o sigurnosnoj i kliničkoj učinkovitosti (SSCP):</w:t>
      </w:r>
      <w:bookmarkEnd w:id="0"/>
    </w:p>
    <w:p w14:paraId="5CDBAEA3" w14:textId="77777777" w:rsidR="00042B91" w:rsidRPr="00E105B6" w:rsidRDefault="00042B91" w:rsidP="00042B91">
      <w:pPr>
        <w:spacing w:after="0" w:afterAutospacing="0" w:line="240" w:lineRule="auto"/>
        <w:rPr>
          <w:rFonts w:cs="Times New Roman"/>
          <w:lang w:val="it-IT"/>
        </w:rPr>
      </w:pPr>
    </w:p>
    <w:p w14:paraId="45E5BCB2" w14:textId="6E901CD2" w:rsidR="00AA2E04" w:rsidRPr="009461CC" w:rsidRDefault="00221CEF" w:rsidP="00042B91">
      <w:pPr>
        <w:pStyle w:val="Heading1"/>
        <w:rPr>
          <w:rFonts w:cs="Times New Roman"/>
        </w:rPr>
      </w:pPr>
      <w:bookmarkStart w:id="1" w:name="_Toc222741425"/>
      <w:r>
        <w:rPr>
          <w:rFonts w:cs="Times New Roman"/>
          <w:bCs/>
          <w:lang w:val="hr"/>
        </w:rPr>
        <w:t>Trgovački naziv proizvoda:</w:t>
      </w:r>
      <w:bookmarkEnd w:id="1"/>
      <w:r>
        <w:rPr>
          <w:rFonts w:cs="Times New Roman"/>
          <w:bCs/>
          <w:lang w:val="hr"/>
        </w:rPr>
        <w:t xml:space="preserve"> </w:t>
      </w:r>
    </w:p>
    <w:p w14:paraId="29AE9E59" w14:textId="3FE19194" w:rsidR="00042B91" w:rsidRPr="009461CC" w:rsidRDefault="00982459" w:rsidP="001E6921">
      <w:pPr>
        <w:spacing w:after="0" w:afterAutospacing="0" w:line="240" w:lineRule="auto"/>
        <w:ind w:left="792"/>
        <w:rPr>
          <w:rFonts w:cs="Times New Roman"/>
        </w:rPr>
      </w:pPr>
      <w:r>
        <w:rPr>
          <w:rFonts w:cs="Times New Roman"/>
          <w:lang w:val="hr"/>
        </w:rPr>
        <w:t>Komplet vaskularne omče Atrieve</w:t>
      </w:r>
      <w:r w:rsidR="00AE1FBE" w:rsidRPr="00AE1FBE">
        <w:t xml:space="preserve"> </w:t>
      </w:r>
      <w:r w:rsidR="00AE1FBE" w:rsidRPr="00AE1FBE">
        <w:rPr>
          <w:rFonts w:cs="Times New Roman"/>
          <w:lang w:val="hr"/>
        </w:rPr>
        <w:t>Snare</w:t>
      </w:r>
    </w:p>
    <w:p w14:paraId="6E4554A3" w14:textId="77777777" w:rsidR="00982459" w:rsidRPr="009461CC" w:rsidRDefault="00982459" w:rsidP="00042B91">
      <w:pPr>
        <w:spacing w:after="0" w:afterAutospacing="0" w:line="240" w:lineRule="auto"/>
        <w:rPr>
          <w:rFonts w:cs="Times New Roman"/>
        </w:rPr>
      </w:pPr>
    </w:p>
    <w:p w14:paraId="7E6E8DB0" w14:textId="23280863" w:rsidR="00221CEF" w:rsidRPr="00E105B6" w:rsidRDefault="00221CEF" w:rsidP="00042B91">
      <w:pPr>
        <w:pStyle w:val="Heading1"/>
        <w:rPr>
          <w:rFonts w:cs="Times New Roman"/>
          <w:lang w:val="it-IT"/>
        </w:rPr>
      </w:pPr>
      <w:bookmarkStart w:id="2" w:name="_Toc222741426"/>
      <w:r>
        <w:rPr>
          <w:rFonts w:cs="Times New Roman"/>
          <w:bCs/>
          <w:lang w:val="hr"/>
        </w:rPr>
        <w:t>Opis proizvoda, osnovni UDI-DI i klasifikacija EU-a:</w:t>
      </w:r>
      <w:bookmarkEnd w:id="2"/>
    </w:p>
    <w:tbl>
      <w:tblPr>
        <w:tblStyle w:val="TableGrid"/>
        <w:tblW w:w="0" w:type="auto"/>
        <w:tblLook w:val="04A0" w:firstRow="1" w:lastRow="0" w:firstColumn="1" w:lastColumn="0" w:noHBand="0" w:noVBand="1"/>
      </w:tblPr>
      <w:tblGrid>
        <w:gridCol w:w="3795"/>
        <w:gridCol w:w="1603"/>
        <w:gridCol w:w="1350"/>
        <w:gridCol w:w="1266"/>
        <w:gridCol w:w="2416"/>
      </w:tblGrid>
      <w:tr w:rsidR="006266F5" w:rsidRPr="009461CC" w14:paraId="77A15E5D" w14:textId="77777777" w:rsidTr="00536EDE">
        <w:tc>
          <w:tcPr>
            <w:tcW w:w="3795" w:type="dxa"/>
            <w:shd w:val="clear" w:color="auto" w:fill="E7E6E6" w:themeFill="background2"/>
          </w:tcPr>
          <w:p w14:paraId="6089AC65" w14:textId="5ACA6E64" w:rsidR="006266F5" w:rsidRPr="009461CC" w:rsidRDefault="006266F5" w:rsidP="0015690A">
            <w:pPr>
              <w:jc w:val="center"/>
              <w:rPr>
                <w:rFonts w:cs="Times New Roman"/>
                <w:b/>
                <w:bCs/>
              </w:rPr>
            </w:pPr>
            <w:r>
              <w:rPr>
                <w:rFonts w:cs="Times New Roman"/>
                <w:b/>
                <w:bCs/>
                <w:lang w:val="hr"/>
              </w:rPr>
              <w:t>Naziv i opis proizvoda</w:t>
            </w:r>
          </w:p>
        </w:tc>
        <w:tc>
          <w:tcPr>
            <w:tcW w:w="1603" w:type="dxa"/>
            <w:shd w:val="clear" w:color="auto" w:fill="E7E6E6" w:themeFill="background2"/>
          </w:tcPr>
          <w:p w14:paraId="18959F52" w14:textId="108D25E1" w:rsidR="006266F5" w:rsidRPr="009461CC" w:rsidRDefault="006266F5" w:rsidP="0015690A">
            <w:pPr>
              <w:jc w:val="center"/>
              <w:rPr>
                <w:rFonts w:cs="Times New Roman"/>
                <w:b/>
                <w:bCs/>
              </w:rPr>
            </w:pPr>
            <w:r>
              <w:rPr>
                <w:rFonts w:cs="Times New Roman"/>
                <w:b/>
                <w:bCs/>
                <w:lang w:val="hr"/>
              </w:rPr>
              <w:t>Klasifikacija</w:t>
            </w:r>
          </w:p>
        </w:tc>
        <w:tc>
          <w:tcPr>
            <w:tcW w:w="1350" w:type="dxa"/>
            <w:shd w:val="clear" w:color="auto" w:fill="E7E6E6" w:themeFill="background2"/>
          </w:tcPr>
          <w:p w14:paraId="1CA77B88" w14:textId="5CBB4D69" w:rsidR="006266F5" w:rsidRPr="009461CC" w:rsidRDefault="006266F5" w:rsidP="0015690A">
            <w:pPr>
              <w:jc w:val="center"/>
              <w:rPr>
                <w:rFonts w:cs="Times New Roman"/>
                <w:b/>
                <w:bCs/>
              </w:rPr>
            </w:pPr>
            <w:r>
              <w:rPr>
                <w:rFonts w:cs="Times New Roman"/>
                <w:b/>
                <w:bCs/>
                <w:lang w:val="hr"/>
              </w:rPr>
              <w:t>Šifra GMDN</w:t>
            </w:r>
          </w:p>
        </w:tc>
        <w:tc>
          <w:tcPr>
            <w:tcW w:w="1266" w:type="dxa"/>
            <w:shd w:val="clear" w:color="auto" w:fill="E7E6E6" w:themeFill="background2"/>
          </w:tcPr>
          <w:p w14:paraId="603AC5E7" w14:textId="64E6761C" w:rsidR="006266F5" w:rsidRPr="009461CC" w:rsidRDefault="006266F5" w:rsidP="0015690A">
            <w:pPr>
              <w:jc w:val="center"/>
              <w:rPr>
                <w:rFonts w:cs="Times New Roman"/>
                <w:b/>
                <w:bCs/>
              </w:rPr>
            </w:pPr>
            <w:r>
              <w:rPr>
                <w:rFonts w:cs="Times New Roman"/>
                <w:b/>
                <w:bCs/>
                <w:lang w:val="hr"/>
              </w:rPr>
              <w:t>EMDN</w:t>
            </w:r>
          </w:p>
        </w:tc>
        <w:tc>
          <w:tcPr>
            <w:tcW w:w="2416" w:type="dxa"/>
            <w:shd w:val="clear" w:color="auto" w:fill="E7E6E6" w:themeFill="background2"/>
          </w:tcPr>
          <w:p w14:paraId="49C72348" w14:textId="0CB79C70" w:rsidR="006266F5" w:rsidRPr="009461CC" w:rsidRDefault="006266F5" w:rsidP="0015690A">
            <w:pPr>
              <w:jc w:val="center"/>
              <w:rPr>
                <w:rFonts w:cs="Times New Roman"/>
                <w:b/>
                <w:bCs/>
              </w:rPr>
            </w:pPr>
            <w:r>
              <w:rPr>
                <w:rFonts w:cs="Times New Roman"/>
                <w:b/>
                <w:bCs/>
                <w:lang w:val="hr"/>
              </w:rPr>
              <w:t>Osnovni UDI-DI</w:t>
            </w:r>
          </w:p>
        </w:tc>
      </w:tr>
      <w:tr w:rsidR="006266F5" w:rsidRPr="009461CC" w14:paraId="72288A12" w14:textId="77777777" w:rsidTr="006266F5">
        <w:tc>
          <w:tcPr>
            <w:tcW w:w="3795" w:type="dxa"/>
          </w:tcPr>
          <w:p w14:paraId="04AE147E" w14:textId="4B9AA758"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Snare</w:t>
            </w:r>
            <w:r w:rsidR="006266F5">
              <w:rPr>
                <w:rFonts w:cs="Times New Roman"/>
                <w:lang w:val="hr"/>
              </w:rPr>
              <w:t>™, omča promjera 6 – 10 mm x 120 cm, kateter 6F x 100 cm</w:t>
            </w:r>
          </w:p>
        </w:tc>
        <w:tc>
          <w:tcPr>
            <w:tcW w:w="1603" w:type="dxa"/>
            <w:vMerge w:val="restart"/>
          </w:tcPr>
          <w:p w14:paraId="016CD4E1" w14:textId="205743A9" w:rsidR="006266F5" w:rsidRPr="009461CC" w:rsidRDefault="00BA7D3E" w:rsidP="00D24167">
            <w:pPr>
              <w:jc w:val="center"/>
              <w:rPr>
                <w:rFonts w:cs="Times New Roman"/>
              </w:rPr>
            </w:pPr>
            <w:r>
              <w:rPr>
                <w:rFonts w:cs="Times New Roman"/>
                <w:lang w:val="hr"/>
              </w:rPr>
              <w:t>Klasa III</w:t>
            </w:r>
          </w:p>
        </w:tc>
        <w:tc>
          <w:tcPr>
            <w:tcW w:w="1350" w:type="dxa"/>
            <w:vMerge w:val="restart"/>
          </w:tcPr>
          <w:p w14:paraId="2554DF3F" w14:textId="217E32BA" w:rsidR="006266F5" w:rsidRPr="009461CC" w:rsidRDefault="006266F5" w:rsidP="00D24167">
            <w:pPr>
              <w:jc w:val="center"/>
              <w:rPr>
                <w:rFonts w:cs="Times New Roman"/>
              </w:rPr>
            </w:pPr>
            <w:r>
              <w:rPr>
                <w:rFonts w:cs="Times New Roman"/>
                <w:lang w:val="hr"/>
              </w:rPr>
              <w:t>17927</w:t>
            </w:r>
          </w:p>
        </w:tc>
        <w:tc>
          <w:tcPr>
            <w:tcW w:w="1266" w:type="dxa"/>
            <w:vMerge w:val="restart"/>
          </w:tcPr>
          <w:p w14:paraId="44053393" w14:textId="5F7E5816" w:rsidR="006266F5" w:rsidRPr="009461CC" w:rsidRDefault="006266F5" w:rsidP="00D24167">
            <w:pPr>
              <w:jc w:val="center"/>
              <w:rPr>
                <w:rFonts w:cs="Times New Roman"/>
              </w:rPr>
            </w:pPr>
            <w:r>
              <w:rPr>
                <w:rFonts w:cs="Times New Roman"/>
                <w:lang w:val="hr"/>
              </w:rPr>
              <w:t>C019005</w:t>
            </w:r>
          </w:p>
        </w:tc>
        <w:tc>
          <w:tcPr>
            <w:tcW w:w="2416" w:type="dxa"/>
            <w:vMerge w:val="restart"/>
          </w:tcPr>
          <w:p w14:paraId="16987761" w14:textId="1464A232" w:rsidR="006266F5" w:rsidRPr="009461CC" w:rsidRDefault="006266F5" w:rsidP="00D24167">
            <w:pPr>
              <w:jc w:val="center"/>
              <w:rPr>
                <w:rFonts w:cs="Times New Roman"/>
              </w:rPr>
            </w:pPr>
            <w:r>
              <w:rPr>
                <w:rFonts w:cs="Times New Roman"/>
                <w:lang w:val="hr"/>
              </w:rPr>
              <w:t>088633329000132</w:t>
            </w:r>
          </w:p>
        </w:tc>
      </w:tr>
      <w:tr w:rsidR="006266F5" w:rsidRPr="009461CC" w14:paraId="674985B4" w14:textId="77777777" w:rsidTr="006266F5">
        <w:tc>
          <w:tcPr>
            <w:tcW w:w="3795" w:type="dxa"/>
          </w:tcPr>
          <w:p w14:paraId="1845B978" w14:textId="0712A6E0"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 xml:space="preserve">omča promjera 9 – 15 mm x 120 cm, kateter 6 F x 100 cm </w:t>
            </w:r>
          </w:p>
        </w:tc>
        <w:tc>
          <w:tcPr>
            <w:tcW w:w="1603" w:type="dxa"/>
            <w:vMerge/>
          </w:tcPr>
          <w:p w14:paraId="0F2DCD20" w14:textId="77777777" w:rsidR="006266F5" w:rsidRPr="009461CC" w:rsidRDefault="006266F5" w:rsidP="005B3E76">
            <w:pPr>
              <w:rPr>
                <w:rFonts w:cs="Times New Roman"/>
              </w:rPr>
            </w:pPr>
          </w:p>
        </w:tc>
        <w:tc>
          <w:tcPr>
            <w:tcW w:w="1350" w:type="dxa"/>
            <w:vMerge/>
          </w:tcPr>
          <w:p w14:paraId="45E8FDD8" w14:textId="4AADF8C7" w:rsidR="006266F5" w:rsidRPr="009461CC" w:rsidRDefault="006266F5" w:rsidP="005B3E76">
            <w:pPr>
              <w:rPr>
                <w:rFonts w:cs="Times New Roman"/>
              </w:rPr>
            </w:pPr>
          </w:p>
        </w:tc>
        <w:tc>
          <w:tcPr>
            <w:tcW w:w="1266" w:type="dxa"/>
            <w:vMerge/>
          </w:tcPr>
          <w:p w14:paraId="165F2BBA" w14:textId="77777777" w:rsidR="006266F5" w:rsidRPr="009461CC" w:rsidRDefault="006266F5" w:rsidP="005B3E76">
            <w:pPr>
              <w:rPr>
                <w:rFonts w:cs="Times New Roman"/>
              </w:rPr>
            </w:pPr>
          </w:p>
        </w:tc>
        <w:tc>
          <w:tcPr>
            <w:tcW w:w="2416" w:type="dxa"/>
            <w:vMerge/>
          </w:tcPr>
          <w:p w14:paraId="5C1D3365" w14:textId="77777777" w:rsidR="006266F5" w:rsidRPr="009461CC" w:rsidRDefault="006266F5" w:rsidP="005B3E76">
            <w:pPr>
              <w:rPr>
                <w:rFonts w:cs="Times New Roman"/>
              </w:rPr>
            </w:pPr>
          </w:p>
        </w:tc>
      </w:tr>
      <w:tr w:rsidR="006266F5" w:rsidRPr="009461CC" w14:paraId="1B0B0E25" w14:textId="77777777" w:rsidTr="006266F5">
        <w:tc>
          <w:tcPr>
            <w:tcW w:w="3795" w:type="dxa"/>
          </w:tcPr>
          <w:p w14:paraId="0A9B2655" w14:textId="719892EC"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 xml:space="preserve">omča promjera 12 – 20 mm x 120 cm, kateter 6 F x 100 cm </w:t>
            </w:r>
          </w:p>
        </w:tc>
        <w:tc>
          <w:tcPr>
            <w:tcW w:w="1603" w:type="dxa"/>
            <w:vMerge/>
          </w:tcPr>
          <w:p w14:paraId="4F42F09B" w14:textId="77777777" w:rsidR="006266F5" w:rsidRPr="009461CC" w:rsidRDefault="006266F5" w:rsidP="005B3E76">
            <w:pPr>
              <w:rPr>
                <w:rFonts w:cs="Times New Roman"/>
              </w:rPr>
            </w:pPr>
          </w:p>
        </w:tc>
        <w:tc>
          <w:tcPr>
            <w:tcW w:w="1350" w:type="dxa"/>
            <w:vMerge/>
          </w:tcPr>
          <w:p w14:paraId="7D1A397B" w14:textId="2F1838AC" w:rsidR="006266F5" w:rsidRPr="009461CC" w:rsidRDefault="006266F5" w:rsidP="005B3E76">
            <w:pPr>
              <w:rPr>
                <w:rFonts w:cs="Times New Roman"/>
              </w:rPr>
            </w:pPr>
          </w:p>
        </w:tc>
        <w:tc>
          <w:tcPr>
            <w:tcW w:w="1266" w:type="dxa"/>
            <w:vMerge/>
          </w:tcPr>
          <w:p w14:paraId="721C2322" w14:textId="77777777" w:rsidR="006266F5" w:rsidRPr="009461CC" w:rsidRDefault="006266F5" w:rsidP="005B3E76">
            <w:pPr>
              <w:rPr>
                <w:rFonts w:cs="Times New Roman"/>
              </w:rPr>
            </w:pPr>
          </w:p>
        </w:tc>
        <w:tc>
          <w:tcPr>
            <w:tcW w:w="2416" w:type="dxa"/>
            <w:vMerge/>
          </w:tcPr>
          <w:p w14:paraId="3C7CCE81" w14:textId="77777777" w:rsidR="006266F5" w:rsidRPr="009461CC" w:rsidRDefault="006266F5" w:rsidP="005B3E76">
            <w:pPr>
              <w:rPr>
                <w:rFonts w:cs="Times New Roman"/>
              </w:rPr>
            </w:pPr>
          </w:p>
        </w:tc>
      </w:tr>
      <w:tr w:rsidR="006266F5" w:rsidRPr="009461CC" w14:paraId="06B07953" w14:textId="77777777" w:rsidTr="006266F5">
        <w:tc>
          <w:tcPr>
            <w:tcW w:w="3795" w:type="dxa"/>
          </w:tcPr>
          <w:p w14:paraId="122A6EC5" w14:textId="054966BE"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 xml:space="preserve">omča promjera 18 – 30 mm x 120 cm, kateter 7 F x 100 cm </w:t>
            </w:r>
          </w:p>
        </w:tc>
        <w:tc>
          <w:tcPr>
            <w:tcW w:w="1603" w:type="dxa"/>
            <w:vMerge/>
          </w:tcPr>
          <w:p w14:paraId="1913C875" w14:textId="77777777" w:rsidR="006266F5" w:rsidRPr="009461CC" w:rsidRDefault="006266F5" w:rsidP="005B3E76">
            <w:pPr>
              <w:rPr>
                <w:rFonts w:cs="Times New Roman"/>
              </w:rPr>
            </w:pPr>
          </w:p>
        </w:tc>
        <w:tc>
          <w:tcPr>
            <w:tcW w:w="1350" w:type="dxa"/>
            <w:vMerge/>
          </w:tcPr>
          <w:p w14:paraId="00E8406E" w14:textId="7131A855" w:rsidR="006266F5" w:rsidRPr="009461CC" w:rsidRDefault="006266F5" w:rsidP="005B3E76">
            <w:pPr>
              <w:rPr>
                <w:rFonts w:cs="Times New Roman"/>
              </w:rPr>
            </w:pPr>
          </w:p>
        </w:tc>
        <w:tc>
          <w:tcPr>
            <w:tcW w:w="1266" w:type="dxa"/>
            <w:vMerge/>
          </w:tcPr>
          <w:p w14:paraId="68FC6CAA" w14:textId="77777777" w:rsidR="006266F5" w:rsidRPr="009461CC" w:rsidRDefault="006266F5" w:rsidP="005B3E76">
            <w:pPr>
              <w:rPr>
                <w:rFonts w:cs="Times New Roman"/>
              </w:rPr>
            </w:pPr>
          </w:p>
        </w:tc>
        <w:tc>
          <w:tcPr>
            <w:tcW w:w="2416" w:type="dxa"/>
            <w:vMerge/>
          </w:tcPr>
          <w:p w14:paraId="36E19225" w14:textId="77777777" w:rsidR="006266F5" w:rsidRPr="009461CC" w:rsidRDefault="006266F5" w:rsidP="005B3E76">
            <w:pPr>
              <w:rPr>
                <w:rFonts w:cs="Times New Roman"/>
              </w:rPr>
            </w:pPr>
          </w:p>
        </w:tc>
      </w:tr>
      <w:tr w:rsidR="006266F5" w:rsidRPr="009461CC" w14:paraId="70E2EDC2" w14:textId="77777777" w:rsidTr="006266F5">
        <w:tc>
          <w:tcPr>
            <w:tcW w:w="3795" w:type="dxa"/>
          </w:tcPr>
          <w:p w14:paraId="3B2B1D80" w14:textId="6BF73600"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omča promjera 27 – 45 mm x 120 cm, kateter 7 F x 100 cm</w:t>
            </w:r>
          </w:p>
        </w:tc>
        <w:tc>
          <w:tcPr>
            <w:tcW w:w="1603" w:type="dxa"/>
            <w:vMerge/>
          </w:tcPr>
          <w:p w14:paraId="5D298385" w14:textId="77777777" w:rsidR="006266F5" w:rsidRPr="009461CC" w:rsidRDefault="006266F5" w:rsidP="005B3E76">
            <w:pPr>
              <w:rPr>
                <w:rFonts w:cs="Times New Roman"/>
              </w:rPr>
            </w:pPr>
          </w:p>
        </w:tc>
        <w:tc>
          <w:tcPr>
            <w:tcW w:w="1350" w:type="dxa"/>
            <w:vMerge/>
          </w:tcPr>
          <w:p w14:paraId="001781C2" w14:textId="46419622" w:rsidR="006266F5" w:rsidRPr="009461CC" w:rsidRDefault="006266F5" w:rsidP="005B3E76">
            <w:pPr>
              <w:rPr>
                <w:rFonts w:cs="Times New Roman"/>
              </w:rPr>
            </w:pPr>
          </w:p>
        </w:tc>
        <w:tc>
          <w:tcPr>
            <w:tcW w:w="1266" w:type="dxa"/>
            <w:vMerge/>
          </w:tcPr>
          <w:p w14:paraId="20D9A32E" w14:textId="77777777" w:rsidR="006266F5" w:rsidRPr="009461CC" w:rsidRDefault="006266F5" w:rsidP="005B3E76">
            <w:pPr>
              <w:rPr>
                <w:rFonts w:cs="Times New Roman"/>
              </w:rPr>
            </w:pPr>
          </w:p>
        </w:tc>
        <w:tc>
          <w:tcPr>
            <w:tcW w:w="2416" w:type="dxa"/>
            <w:vMerge/>
          </w:tcPr>
          <w:p w14:paraId="5855DBED" w14:textId="77777777" w:rsidR="006266F5" w:rsidRPr="009461CC" w:rsidRDefault="006266F5" w:rsidP="005B3E76">
            <w:pPr>
              <w:rPr>
                <w:rFonts w:cs="Times New Roman"/>
              </w:rPr>
            </w:pPr>
          </w:p>
        </w:tc>
      </w:tr>
      <w:tr w:rsidR="006266F5" w:rsidRPr="009461CC" w14:paraId="7E3403A6" w14:textId="77777777" w:rsidTr="006266F5">
        <w:tc>
          <w:tcPr>
            <w:tcW w:w="3795" w:type="dxa"/>
          </w:tcPr>
          <w:p w14:paraId="675708BF" w14:textId="05DF99EF"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 xml:space="preserve">omča promjera 2 – 4 mm x 175 cm, kateter 3,2 F x 150 cm </w:t>
            </w:r>
          </w:p>
        </w:tc>
        <w:tc>
          <w:tcPr>
            <w:tcW w:w="1603" w:type="dxa"/>
            <w:vMerge/>
          </w:tcPr>
          <w:p w14:paraId="4005AAE7" w14:textId="77777777" w:rsidR="006266F5" w:rsidRPr="009461CC" w:rsidRDefault="006266F5" w:rsidP="005B3E76">
            <w:pPr>
              <w:rPr>
                <w:rFonts w:cs="Times New Roman"/>
              </w:rPr>
            </w:pPr>
          </w:p>
        </w:tc>
        <w:tc>
          <w:tcPr>
            <w:tcW w:w="1350" w:type="dxa"/>
            <w:vMerge/>
          </w:tcPr>
          <w:p w14:paraId="10F77F80" w14:textId="1EEE88E0" w:rsidR="006266F5" w:rsidRPr="009461CC" w:rsidRDefault="006266F5" w:rsidP="005B3E76">
            <w:pPr>
              <w:rPr>
                <w:rFonts w:cs="Times New Roman"/>
              </w:rPr>
            </w:pPr>
          </w:p>
        </w:tc>
        <w:tc>
          <w:tcPr>
            <w:tcW w:w="1266" w:type="dxa"/>
            <w:vMerge/>
          </w:tcPr>
          <w:p w14:paraId="01E30B80" w14:textId="77777777" w:rsidR="006266F5" w:rsidRPr="009461CC" w:rsidRDefault="006266F5" w:rsidP="005B3E76">
            <w:pPr>
              <w:rPr>
                <w:rFonts w:cs="Times New Roman"/>
              </w:rPr>
            </w:pPr>
          </w:p>
        </w:tc>
        <w:tc>
          <w:tcPr>
            <w:tcW w:w="2416" w:type="dxa"/>
            <w:vMerge/>
          </w:tcPr>
          <w:p w14:paraId="7E3CD13D" w14:textId="77777777" w:rsidR="006266F5" w:rsidRPr="009461CC" w:rsidRDefault="006266F5" w:rsidP="005B3E76">
            <w:pPr>
              <w:rPr>
                <w:rFonts w:cs="Times New Roman"/>
              </w:rPr>
            </w:pPr>
          </w:p>
        </w:tc>
      </w:tr>
      <w:tr w:rsidR="006266F5" w:rsidRPr="009461CC" w14:paraId="163BEE28" w14:textId="77777777" w:rsidTr="006266F5">
        <w:tc>
          <w:tcPr>
            <w:tcW w:w="3795" w:type="dxa"/>
          </w:tcPr>
          <w:p w14:paraId="2C7CFD34" w14:textId="6E212A15" w:rsidR="006266F5" w:rsidRPr="009461CC" w:rsidRDefault="00973C91" w:rsidP="005B3E76">
            <w:pPr>
              <w:rPr>
                <w:rFonts w:cs="Times New Roman"/>
              </w:rPr>
            </w:pPr>
            <w:r w:rsidRPr="00973C91">
              <w:rPr>
                <w:rFonts w:cs="Times New Roman"/>
                <w:lang w:val="hr"/>
              </w:rPr>
              <w:t xml:space="preserve">Komplet vaskularne omče Atrieve </w:t>
            </w:r>
            <w:r>
              <w:rPr>
                <w:rFonts w:cs="Times New Roman"/>
                <w:lang w:val="hr"/>
              </w:rPr>
              <w:t xml:space="preserve">Snare™, </w:t>
            </w:r>
            <w:r w:rsidR="006266F5">
              <w:rPr>
                <w:rFonts w:cs="Times New Roman"/>
                <w:lang w:val="hr"/>
              </w:rPr>
              <w:t>omča promjera 4 – 8 mm x 175 cm, kateter 3,2 F x 150 cm</w:t>
            </w:r>
          </w:p>
        </w:tc>
        <w:tc>
          <w:tcPr>
            <w:tcW w:w="1603" w:type="dxa"/>
            <w:vMerge/>
          </w:tcPr>
          <w:p w14:paraId="796C4314" w14:textId="77777777" w:rsidR="006266F5" w:rsidRPr="009461CC" w:rsidRDefault="006266F5" w:rsidP="005B3E76">
            <w:pPr>
              <w:rPr>
                <w:rFonts w:cs="Times New Roman"/>
              </w:rPr>
            </w:pPr>
          </w:p>
        </w:tc>
        <w:tc>
          <w:tcPr>
            <w:tcW w:w="1350" w:type="dxa"/>
            <w:vMerge/>
          </w:tcPr>
          <w:p w14:paraId="520A7E25" w14:textId="5F41C696" w:rsidR="006266F5" w:rsidRPr="009461CC" w:rsidRDefault="006266F5" w:rsidP="005B3E76">
            <w:pPr>
              <w:rPr>
                <w:rFonts w:cs="Times New Roman"/>
              </w:rPr>
            </w:pPr>
          </w:p>
        </w:tc>
        <w:tc>
          <w:tcPr>
            <w:tcW w:w="1266" w:type="dxa"/>
            <w:vMerge/>
          </w:tcPr>
          <w:p w14:paraId="77962B81" w14:textId="77777777" w:rsidR="006266F5" w:rsidRPr="009461CC" w:rsidRDefault="006266F5" w:rsidP="005B3E76">
            <w:pPr>
              <w:rPr>
                <w:rFonts w:cs="Times New Roman"/>
              </w:rPr>
            </w:pPr>
          </w:p>
        </w:tc>
        <w:tc>
          <w:tcPr>
            <w:tcW w:w="2416" w:type="dxa"/>
            <w:vMerge/>
          </w:tcPr>
          <w:p w14:paraId="570FDA70" w14:textId="77777777" w:rsidR="006266F5" w:rsidRPr="009461CC" w:rsidRDefault="006266F5" w:rsidP="005B3E76">
            <w:pPr>
              <w:rPr>
                <w:rFonts w:cs="Times New Roman"/>
              </w:rPr>
            </w:pPr>
          </w:p>
        </w:tc>
      </w:tr>
    </w:tbl>
    <w:p w14:paraId="2DAE4D4B" w14:textId="77777777" w:rsidR="00AA2E04" w:rsidRPr="009461CC" w:rsidRDefault="00AA2E04" w:rsidP="00AA3694">
      <w:pPr>
        <w:pStyle w:val="Heading1"/>
        <w:numPr>
          <w:ilvl w:val="0"/>
          <w:numId w:val="0"/>
        </w:numPr>
        <w:rPr>
          <w:rFonts w:cs="Times New Roman"/>
        </w:rPr>
      </w:pPr>
    </w:p>
    <w:p w14:paraId="4B18C73D" w14:textId="72C79B52" w:rsidR="009855C3" w:rsidRPr="00722580" w:rsidRDefault="009855C3" w:rsidP="00042B91">
      <w:pPr>
        <w:pStyle w:val="Heading1"/>
        <w:rPr>
          <w:rFonts w:cs="Times New Roman"/>
          <w:lang w:val="pl-PL"/>
        </w:rPr>
      </w:pPr>
      <w:bookmarkStart w:id="3" w:name="_Toc222741427"/>
      <w:r>
        <w:rPr>
          <w:rFonts w:cs="Times New Roman"/>
          <w:bCs/>
          <w:lang w:val="hr"/>
        </w:rPr>
        <w:t>Godina kad je izdan prvi certifikat (CE) za ovaj proizvod:</w:t>
      </w:r>
      <w:bookmarkEnd w:id="3"/>
      <w:r>
        <w:rPr>
          <w:rFonts w:cs="Times New Roman"/>
          <w:bCs/>
          <w:lang w:val="hr"/>
        </w:rPr>
        <w:t xml:space="preserve"> </w:t>
      </w:r>
    </w:p>
    <w:p w14:paraId="76BA3EF9" w14:textId="095853AE" w:rsidR="00713233" w:rsidRPr="00722580" w:rsidRDefault="00780A59" w:rsidP="00E714ED">
      <w:pPr>
        <w:spacing w:after="0" w:afterAutospacing="0" w:line="240" w:lineRule="auto"/>
        <w:ind w:left="792"/>
        <w:rPr>
          <w:rFonts w:cs="Times New Roman"/>
          <w:lang w:val="pl-PL"/>
        </w:rPr>
      </w:pPr>
      <w:r>
        <w:rPr>
          <w:rFonts w:cs="Times New Roman"/>
          <w:lang w:val="hr"/>
        </w:rPr>
        <w:t>Komplet vaskularne omče Atrieve</w:t>
      </w:r>
      <w:r w:rsidR="00AE1FBE" w:rsidRPr="00722580">
        <w:rPr>
          <w:lang w:val="pl-PL"/>
        </w:rPr>
        <w:t xml:space="preserve"> </w:t>
      </w:r>
      <w:r w:rsidR="00AE1FBE" w:rsidRPr="00AE1FBE">
        <w:rPr>
          <w:rFonts w:cs="Times New Roman"/>
          <w:lang w:val="hr"/>
        </w:rPr>
        <w:t>Snare</w:t>
      </w:r>
      <w:r>
        <w:rPr>
          <w:rFonts w:cs="Times New Roman"/>
          <w:lang w:val="hr"/>
        </w:rPr>
        <w:t xml:space="preserve"> dobio je oznaku CE (CE 608298) 2010. godine sukladno MDD-u </w:t>
      </w:r>
    </w:p>
    <w:p w14:paraId="6B157940" w14:textId="77777777" w:rsidR="00FE78AD" w:rsidRPr="00722580" w:rsidRDefault="00FE78AD" w:rsidP="00E714ED">
      <w:pPr>
        <w:spacing w:after="0" w:afterAutospacing="0" w:line="240" w:lineRule="auto"/>
        <w:ind w:left="792"/>
        <w:rPr>
          <w:rFonts w:cs="Times New Roman"/>
          <w:lang w:val="pl-PL"/>
        </w:rPr>
      </w:pPr>
    </w:p>
    <w:p w14:paraId="10A04209" w14:textId="75FC9DEC" w:rsidR="009855C3" w:rsidRPr="00E105B6" w:rsidRDefault="009855C3" w:rsidP="00042B91">
      <w:pPr>
        <w:pStyle w:val="Heading1"/>
        <w:rPr>
          <w:rFonts w:cs="Times New Roman"/>
          <w:lang w:val="it-IT"/>
        </w:rPr>
      </w:pPr>
      <w:r>
        <w:rPr>
          <w:rFonts w:cs="Times New Roman"/>
          <w:bCs/>
          <w:lang w:val="hr"/>
        </w:rPr>
        <w:lastRenderedPageBreak/>
        <w:t xml:space="preserve"> </w:t>
      </w:r>
      <w:bookmarkStart w:id="4" w:name="_Toc222741428"/>
      <w:r>
        <w:rPr>
          <w:rFonts w:cs="Times New Roman"/>
          <w:bCs/>
          <w:lang w:val="hr"/>
        </w:rPr>
        <w:t>Naziv, adresa i SRN proizvođača:</w:t>
      </w:r>
      <w:bookmarkEnd w:id="4"/>
    </w:p>
    <w:tbl>
      <w:tblPr>
        <w:tblStyle w:val="TableGrid1"/>
        <w:tblW w:w="5000" w:type="pct"/>
        <w:tblLook w:val="04A0" w:firstRow="1" w:lastRow="0" w:firstColumn="1" w:lastColumn="0" w:noHBand="0" w:noVBand="1"/>
      </w:tblPr>
      <w:tblGrid>
        <w:gridCol w:w="4675"/>
        <w:gridCol w:w="5755"/>
      </w:tblGrid>
      <w:tr w:rsidR="00493B5B" w:rsidRPr="009461CC" w14:paraId="49C995E4" w14:textId="77777777" w:rsidTr="00272DEA">
        <w:tc>
          <w:tcPr>
            <w:tcW w:w="5000" w:type="pct"/>
            <w:gridSpan w:val="2"/>
            <w:shd w:val="clear" w:color="auto" w:fill="D9D9D9" w:themeFill="background1" w:themeFillShade="D9"/>
          </w:tcPr>
          <w:p w14:paraId="6DB8134E" w14:textId="77777777" w:rsidR="00493B5B" w:rsidRPr="009461CC" w:rsidRDefault="00493B5B" w:rsidP="00AA3694">
            <w:pPr>
              <w:spacing w:after="0" w:afterAutospacing="0"/>
              <w:jc w:val="center"/>
              <w:rPr>
                <w:b/>
                <w:bCs/>
                <w:szCs w:val="24"/>
              </w:rPr>
            </w:pPr>
            <w:r>
              <w:rPr>
                <w:b/>
                <w:bCs/>
                <w:szCs w:val="24"/>
                <w:lang w:val="hr"/>
              </w:rPr>
              <w:t>Informacije o proizvođaču</w:t>
            </w:r>
          </w:p>
        </w:tc>
      </w:tr>
      <w:tr w:rsidR="00493B5B" w:rsidRPr="009461CC" w14:paraId="49F686BA" w14:textId="77777777" w:rsidTr="00722580">
        <w:trPr>
          <w:trHeight w:val="377"/>
        </w:trPr>
        <w:tc>
          <w:tcPr>
            <w:tcW w:w="2241" w:type="pct"/>
          </w:tcPr>
          <w:p w14:paraId="55881DB9" w14:textId="77777777" w:rsidR="00493B5B" w:rsidRPr="009461CC" w:rsidRDefault="00493B5B" w:rsidP="00AA3694">
            <w:pPr>
              <w:spacing w:after="0" w:afterAutospacing="0"/>
              <w:jc w:val="both"/>
              <w:rPr>
                <w:spacing w:val="-5"/>
                <w:szCs w:val="24"/>
              </w:rPr>
            </w:pPr>
            <w:r>
              <w:rPr>
                <w:szCs w:val="24"/>
                <w:lang w:val="hr"/>
              </w:rPr>
              <w:t>SRN proizvođača: US-MF-000002324</w:t>
            </w:r>
          </w:p>
        </w:tc>
        <w:tc>
          <w:tcPr>
            <w:tcW w:w="2759" w:type="pct"/>
          </w:tcPr>
          <w:p w14:paraId="61E93080" w14:textId="77777777" w:rsidR="00493B5B" w:rsidRPr="009461CC" w:rsidRDefault="00493B5B" w:rsidP="00AA3694">
            <w:pPr>
              <w:spacing w:after="0" w:afterAutospacing="0"/>
              <w:rPr>
                <w:szCs w:val="24"/>
              </w:rPr>
            </w:pPr>
            <w:r>
              <w:rPr>
                <w:szCs w:val="24"/>
                <w:lang w:val="hr"/>
              </w:rPr>
              <w:t>Naziv proizvođača: Argon Medical Devices, Inc.</w:t>
            </w:r>
          </w:p>
        </w:tc>
      </w:tr>
      <w:tr w:rsidR="00493B5B" w:rsidRPr="009D54AB" w14:paraId="03F91594" w14:textId="77777777" w:rsidTr="00722580">
        <w:trPr>
          <w:trHeight w:val="413"/>
        </w:trPr>
        <w:tc>
          <w:tcPr>
            <w:tcW w:w="2241" w:type="pct"/>
          </w:tcPr>
          <w:p w14:paraId="119B5A73" w14:textId="77777777" w:rsidR="00493B5B" w:rsidRPr="00E105B6" w:rsidRDefault="00493B5B" w:rsidP="00AA3694">
            <w:pPr>
              <w:spacing w:after="0" w:afterAutospacing="0"/>
              <w:jc w:val="both"/>
              <w:rPr>
                <w:spacing w:val="-2"/>
                <w:szCs w:val="24"/>
                <w:lang w:val="de-DE"/>
              </w:rPr>
            </w:pPr>
            <w:r>
              <w:rPr>
                <w:szCs w:val="24"/>
                <w:lang w:val="hr"/>
              </w:rPr>
              <w:t>Ime i prezime kontakt osobe: Scott Bishop</w:t>
            </w:r>
          </w:p>
        </w:tc>
        <w:tc>
          <w:tcPr>
            <w:tcW w:w="2759" w:type="pct"/>
          </w:tcPr>
          <w:p w14:paraId="12F2B43C" w14:textId="1C8EEAFE" w:rsidR="00493B5B" w:rsidRPr="00722580" w:rsidRDefault="00493B5B" w:rsidP="00722580">
            <w:pPr>
              <w:widowControl w:val="0"/>
              <w:autoSpaceDE w:val="0"/>
              <w:autoSpaceDN w:val="0"/>
              <w:spacing w:before="42" w:after="0" w:afterAutospacing="0"/>
              <w:rPr>
                <w:szCs w:val="24"/>
                <w:lang w:val="pt-BR"/>
              </w:rPr>
            </w:pPr>
            <w:r>
              <w:rPr>
                <w:szCs w:val="24"/>
                <w:lang w:val="hr"/>
              </w:rPr>
              <w:t>E-pošta:</w:t>
            </w:r>
            <w:r>
              <w:rPr>
                <w:sz w:val="22"/>
                <w:lang w:val="hr"/>
              </w:rPr>
              <w:t xml:space="preserve"> </w:t>
            </w:r>
            <w:hyperlink r:id="rId11" w:history="1">
              <w:r>
                <w:rPr>
                  <w:color w:val="0563C1"/>
                  <w:szCs w:val="24"/>
                  <w:u w:val="single"/>
                  <w:lang w:val="hr"/>
                </w:rPr>
                <w:t>RegCompliance@argonmedical.com</w:t>
              </w:r>
            </w:hyperlink>
          </w:p>
        </w:tc>
      </w:tr>
      <w:tr w:rsidR="00493B5B" w:rsidRPr="009461CC" w14:paraId="075079C3" w14:textId="77777777" w:rsidTr="00272DEA">
        <w:trPr>
          <w:trHeight w:val="525"/>
        </w:trPr>
        <w:tc>
          <w:tcPr>
            <w:tcW w:w="2241" w:type="pct"/>
          </w:tcPr>
          <w:p w14:paraId="05BD6F97" w14:textId="77777777" w:rsidR="00493B5B" w:rsidRPr="009461CC" w:rsidRDefault="00493B5B" w:rsidP="00AA3694">
            <w:pPr>
              <w:widowControl w:val="0"/>
              <w:autoSpaceDE w:val="0"/>
              <w:autoSpaceDN w:val="0"/>
              <w:spacing w:before="42" w:after="0" w:afterAutospacing="0"/>
              <w:rPr>
                <w:spacing w:val="-2"/>
                <w:szCs w:val="24"/>
              </w:rPr>
            </w:pPr>
            <w:r>
              <w:rPr>
                <w:szCs w:val="24"/>
                <w:lang w:val="hr"/>
              </w:rPr>
              <w:t>Broj telefona: 903.675.9321</w:t>
            </w:r>
          </w:p>
        </w:tc>
        <w:tc>
          <w:tcPr>
            <w:tcW w:w="2759" w:type="pct"/>
          </w:tcPr>
          <w:p w14:paraId="260E0D3D" w14:textId="77777777" w:rsidR="001533A4" w:rsidRPr="009461CC" w:rsidRDefault="001533A4" w:rsidP="009709B4">
            <w:pPr>
              <w:widowControl w:val="0"/>
              <w:autoSpaceDE w:val="0"/>
              <w:autoSpaceDN w:val="0"/>
              <w:spacing w:after="0" w:afterAutospacing="0"/>
              <w:rPr>
                <w:spacing w:val="-2"/>
                <w:szCs w:val="24"/>
              </w:rPr>
            </w:pPr>
            <w:r>
              <w:rPr>
                <w:szCs w:val="24"/>
                <w:lang w:val="hr"/>
              </w:rPr>
              <w:t>Adresa:</w:t>
            </w:r>
          </w:p>
          <w:p w14:paraId="041EA64B" w14:textId="77777777" w:rsidR="001533A4" w:rsidRPr="009461CC" w:rsidRDefault="001533A4" w:rsidP="009709B4">
            <w:pPr>
              <w:widowControl w:val="0"/>
              <w:autoSpaceDE w:val="0"/>
              <w:autoSpaceDN w:val="0"/>
              <w:spacing w:after="0" w:afterAutospacing="0"/>
              <w:rPr>
                <w:spacing w:val="-2"/>
                <w:szCs w:val="24"/>
              </w:rPr>
            </w:pPr>
            <w:r>
              <w:rPr>
                <w:szCs w:val="24"/>
                <w:lang w:val="hr"/>
              </w:rPr>
              <w:t>1445 Flat Creek Rd.</w:t>
            </w:r>
          </w:p>
          <w:p w14:paraId="26DE4983" w14:textId="77777777" w:rsidR="001533A4" w:rsidRPr="009461CC" w:rsidRDefault="001533A4" w:rsidP="009709B4">
            <w:pPr>
              <w:widowControl w:val="0"/>
              <w:autoSpaceDE w:val="0"/>
              <w:autoSpaceDN w:val="0"/>
              <w:spacing w:after="0" w:afterAutospacing="0"/>
              <w:rPr>
                <w:spacing w:val="-2"/>
                <w:szCs w:val="24"/>
              </w:rPr>
            </w:pPr>
            <w:r>
              <w:rPr>
                <w:szCs w:val="24"/>
                <w:lang w:val="hr"/>
              </w:rPr>
              <w:t>Athens, Teksas 75751</w:t>
            </w:r>
          </w:p>
          <w:p w14:paraId="586DCCA3" w14:textId="38B6FE42" w:rsidR="00493B5B" w:rsidRPr="009461CC" w:rsidRDefault="001533A4" w:rsidP="009709B4">
            <w:pPr>
              <w:widowControl w:val="0"/>
              <w:autoSpaceDE w:val="0"/>
              <w:autoSpaceDN w:val="0"/>
              <w:spacing w:after="0" w:afterAutospacing="0"/>
              <w:rPr>
                <w:spacing w:val="-2"/>
                <w:szCs w:val="24"/>
              </w:rPr>
            </w:pPr>
            <w:r>
              <w:rPr>
                <w:szCs w:val="24"/>
                <w:lang w:val="hr"/>
              </w:rPr>
              <w:t>SAD</w:t>
            </w:r>
          </w:p>
        </w:tc>
      </w:tr>
    </w:tbl>
    <w:p w14:paraId="2E5002E8" w14:textId="77777777" w:rsidR="00D20FA4" w:rsidRPr="009461CC" w:rsidRDefault="00D20FA4" w:rsidP="00042B91">
      <w:pPr>
        <w:spacing w:after="0" w:afterAutospacing="0" w:line="240" w:lineRule="auto"/>
        <w:ind w:left="1440"/>
        <w:rPr>
          <w:rFonts w:cs="Times New Roman"/>
        </w:rPr>
      </w:pPr>
    </w:p>
    <w:p w14:paraId="1CFB1B57" w14:textId="4BD4E170" w:rsidR="009855C3" w:rsidRPr="00722580" w:rsidRDefault="00887E5D" w:rsidP="00AA3694">
      <w:pPr>
        <w:pStyle w:val="Heading1"/>
        <w:rPr>
          <w:rFonts w:cs="Times New Roman"/>
          <w:lang w:val="pl-PL"/>
        </w:rPr>
      </w:pPr>
      <w:bookmarkStart w:id="5" w:name="_Toc222741429"/>
      <w:r>
        <w:rPr>
          <w:rFonts w:cs="Times New Roman"/>
          <w:bCs/>
          <w:lang w:val="hr"/>
        </w:rPr>
        <w:t>Naziv i SRN ovlaštenog zastupnika:</w:t>
      </w:r>
      <w:bookmarkEnd w:id="5"/>
    </w:p>
    <w:tbl>
      <w:tblPr>
        <w:tblStyle w:val="TableGrid2"/>
        <w:tblW w:w="5000" w:type="pct"/>
        <w:tblLook w:val="04A0" w:firstRow="1" w:lastRow="0" w:firstColumn="1" w:lastColumn="0" w:noHBand="0" w:noVBand="1"/>
      </w:tblPr>
      <w:tblGrid>
        <w:gridCol w:w="4675"/>
        <w:gridCol w:w="5755"/>
      </w:tblGrid>
      <w:tr w:rsidR="008A210D" w:rsidRPr="009461CC" w14:paraId="5389928F" w14:textId="77777777" w:rsidTr="00272DEA">
        <w:tc>
          <w:tcPr>
            <w:tcW w:w="5000" w:type="pct"/>
            <w:gridSpan w:val="2"/>
            <w:shd w:val="clear" w:color="auto" w:fill="D9D9D9" w:themeFill="background1" w:themeFillShade="D9"/>
          </w:tcPr>
          <w:p w14:paraId="7FB4BB7C" w14:textId="77777777" w:rsidR="008A210D" w:rsidRPr="009461CC" w:rsidRDefault="008A210D" w:rsidP="008A210D">
            <w:pPr>
              <w:spacing w:after="0" w:afterAutospacing="0"/>
              <w:jc w:val="center"/>
              <w:rPr>
                <w:b/>
                <w:bCs/>
                <w:szCs w:val="24"/>
              </w:rPr>
            </w:pPr>
            <w:r>
              <w:rPr>
                <w:b/>
                <w:bCs/>
                <w:szCs w:val="24"/>
                <w:lang w:val="hr"/>
              </w:rPr>
              <w:t>Informacije o ovlaštenom zastupniku</w:t>
            </w:r>
          </w:p>
        </w:tc>
      </w:tr>
      <w:tr w:rsidR="008A210D" w:rsidRPr="009D54AB" w14:paraId="486856D5" w14:textId="77777777" w:rsidTr="00272DEA">
        <w:trPr>
          <w:trHeight w:val="489"/>
        </w:trPr>
        <w:tc>
          <w:tcPr>
            <w:tcW w:w="2241" w:type="pct"/>
          </w:tcPr>
          <w:p w14:paraId="5FC8645E" w14:textId="77777777" w:rsidR="008A210D" w:rsidRPr="009461CC" w:rsidRDefault="008A210D" w:rsidP="008A210D">
            <w:pPr>
              <w:spacing w:after="0" w:afterAutospacing="0"/>
              <w:jc w:val="both"/>
              <w:rPr>
                <w:spacing w:val="-5"/>
                <w:szCs w:val="24"/>
              </w:rPr>
            </w:pPr>
            <w:r>
              <w:rPr>
                <w:szCs w:val="24"/>
                <w:lang w:val="hr"/>
              </w:rPr>
              <w:t>SRN: NL-AR-000000116</w:t>
            </w:r>
          </w:p>
        </w:tc>
        <w:tc>
          <w:tcPr>
            <w:tcW w:w="2759" w:type="pct"/>
          </w:tcPr>
          <w:p w14:paraId="25BF63FC" w14:textId="77777777" w:rsidR="008A210D" w:rsidRPr="00E105B6" w:rsidRDefault="008A210D" w:rsidP="008A210D">
            <w:pPr>
              <w:widowControl w:val="0"/>
              <w:autoSpaceDE w:val="0"/>
              <w:autoSpaceDN w:val="0"/>
              <w:spacing w:before="119" w:after="0" w:afterAutospacing="0"/>
              <w:rPr>
                <w:bCs/>
                <w:szCs w:val="24"/>
                <w:lang w:val="it-IT"/>
              </w:rPr>
            </w:pPr>
            <w:r>
              <w:rPr>
                <w:szCs w:val="24"/>
                <w:lang w:val="hr"/>
              </w:rPr>
              <w:t>Naziv organizacije ovlaštenog zastupnika:</w:t>
            </w:r>
          </w:p>
          <w:p w14:paraId="3A6B7B5C" w14:textId="77777777" w:rsidR="008A210D" w:rsidRPr="00E105B6" w:rsidRDefault="008A210D" w:rsidP="008A210D">
            <w:pPr>
              <w:spacing w:after="0" w:afterAutospacing="0"/>
              <w:rPr>
                <w:szCs w:val="24"/>
                <w:lang w:val="it-IT"/>
              </w:rPr>
            </w:pPr>
            <w:r>
              <w:rPr>
                <w:szCs w:val="24"/>
                <w:lang w:val="hr"/>
              </w:rPr>
              <w:t>Emergo Europe</w:t>
            </w:r>
          </w:p>
        </w:tc>
      </w:tr>
      <w:tr w:rsidR="008A210D" w:rsidRPr="009D54AB" w14:paraId="7AE34B46" w14:textId="77777777" w:rsidTr="00722580">
        <w:trPr>
          <w:trHeight w:val="404"/>
        </w:trPr>
        <w:tc>
          <w:tcPr>
            <w:tcW w:w="2241" w:type="pct"/>
          </w:tcPr>
          <w:p w14:paraId="65D7FE1F" w14:textId="77777777" w:rsidR="008A210D" w:rsidRPr="00722580" w:rsidRDefault="008A210D" w:rsidP="008A210D">
            <w:pPr>
              <w:spacing w:after="0" w:afterAutospacing="0"/>
              <w:jc w:val="both"/>
              <w:rPr>
                <w:spacing w:val="-2"/>
                <w:szCs w:val="24"/>
                <w:lang w:val="pl-PL"/>
              </w:rPr>
            </w:pPr>
            <w:r>
              <w:rPr>
                <w:szCs w:val="24"/>
                <w:lang w:val="hr"/>
              </w:rPr>
              <w:t>Kontakt informacije: Tim za vigilanciju</w:t>
            </w:r>
          </w:p>
        </w:tc>
        <w:tc>
          <w:tcPr>
            <w:tcW w:w="2759" w:type="pct"/>
          </w:tcPr>
          <w:p w14:paraId="2A3CD5D0" w14:textId="77777777" w:rsidR="008A210D" w:rsidRPr="00E105B6" w:rsidRDefault="008A210D" w:rsidP="008A210D">
            <w:pPr>
              <w:widowControl w:val="0"/>
              <w:autoSpaceDE w:val="0"/>
              <w:autoSpaceDN w:val="0"/>
              <w:spacing w:before="39" w:after="0" w:afterAutospacing="0"/>
              <w:rPr>
                <w:spacing w:val="-2"/>
                <w:szCs w:val="24"/>
                <w:lang w:val="it-IT"/>
              </w:rPr>
            </w:pPr>
            <w:r>
              <w:rPr>
                <w:szCs w:val="24"/>
                <w:lang w:val="hr"/>
              </w:rPr>
              <w:t xml:space="preserve">E-pošta: </w:t>
            </w:r>
            <w:hyperlink r:id="rId12" w:history="1">
              <w:r>
                <w:rPr>
                  <w:color w:val="0563C1"/>
                  <w:szCs w:val="24"/>
                  <w:u w:val="single"/>
                  <w:lang w:val="hr"/>
                </w:rPr>
                <w:t>EmergoVigilance@ul.com</w:t>
              </w:r>
            </w:hyperlink>
          </w:p>
        </w:tc>
      </w:tr>
      <w:tr w:rsidR="008A210D" w:rsidRPr="009D54AB" w14:paraId="0CB481FF" w14:textId="77777777" w:rsidTr="00272DEA">
        <w:trPr>
          <w:trHeight w:val="525"/>
        </w:trPr>
        <w:tc>
          <w:tcPr>
            <w:tcW w:w="2241" w:type="pct"/>
          </w:tcPr>
          <w:p w14:paraId="3652CFB2" w14:textId="77777777" w:rsidR="008A210D" w:rsidRPr="009461CC" w:rsidRDefault="008A210D" w:rsidP="008A210D">
            <w:pPr>
              <w:widowControl w:val="0"/>
              <w:autoSpaceDE w:val="0"/>
              <w:autoSpaceDN w:val="0"/>
              <w:spacing w:before="42" w:after="0" w:afterAutospacing="0"/>
              <w:rPr>
                <w:spacing w:val="-2"/>
                <w:szCs w:val="24"/>
              </w:rPr>
            </w:pPr>
            <w:r>
              <w:rPr>
                <w:szCs w:val="24"/>
                <w:lang w:val="hr"/>
              </w:rPr>
              <w:t>Broj telefona: +31.70.345.8570</w:t>
            </w:r>
          </w:p>
          <w:p w14:paraId="7CCBBDE7" w14:textId="739E5D21" w:rsidR="00A603C9" w:rsidRPr="009461CC" w:rsidRDefault="00A603C9" w:rsidP="008A210D">
            <w:pPr>
              <w:widowControl w:val="0"/>
              <w:autoSpaceDE w:val="0"/>
              <w:autoSpaceDN w:val="0"/>
              <w:spacing w:before="42" w:after="0" w:afterAutospacing="0"/>
              <w:rPr>
                <w:spacing w:val="-2"/>
                <w:szCs w:val="24"/>
              </w:rPr>
            </w:pPr>
            <w:r>
              <w:rPr>
                <w:color w:val="000000"/>
                <w:szCs w:val="24"/>
                <w:lang w:val="hr"/>
              </w:rPr>
              <w:t>Faks: +31 (0)70 346 7299</w:t>
            </w:r>
          </w:p>
        </w:tc>
        <w:tc>
          <w:tcPr>
            <w:tcW w:w="2759" w:type="pct"/>
          </w:tcPr>
          <w:p w14:paraId="2F414254" w14:textId="77777777" w:rsidR="008A210D" w:rsidRPr="005B6722" w:rsidRDefault="008A210D" w:rsidP="009709B4">
            <w:pPr>
              <w:widowControl w:val="0"/>
              <w:autoSpaceDE w:val="0"/>
              <w:autoSpaceDN w:val="0"/>
              <w:spacing w:after="0" w:afterAutospacing="0"/>
              <w:rPr>
                <w:spacing w:val="-2"/>
                <w:szCs w:val="24"/>
                <w:lang w:val="de-DE"/>
              </w:rPr>
            </w:pPr>
            <w:r>
              <w:rPr>
                <w:szCs w:val="24"/>
                <w:lang w:val="hr"/>
              </w:rPr>
              <w:t>Adresa</w:t>
            </w:r>
          </w:p>
          <w:p w14:paraId="759A4A48" w14:textId="77777777" w:rsidR="008A210D" w:rsidRPr="005B6722" w:rsidRDefault="008A210D" w:rsidP="009709B4">
            <w:pPr>
              <w:widowControl w:val="0"/>
              <w:autoSpaceDE w:val="0"/>
              <w:autoSpaceDN w:val="0"/>
              <w:spacing w:after="0" w:afterAutospacing="0"/>
              <w:rPr>
                <w:spacing w:val="-2"/>
                <w:szCs w:val="24"/>
                <w:lang w:val="de-DE"/>
              </w:rPr>
            </w:pPr>
            <w:r>
              <w:rPr>
                <w:szCs w:val="24"/>
                <w:lang w:val="hr"/>
              </w:rPr>
              <w:t>Broj i naziv ulice:</w:t>
            </w:r>
            <w:r>
              <w:rPr>
                <w:sz w:val="22"/>
                <w:lang w:val="hr"/>
              </w:rPr>
              <w:t xml:space="preserve"> 60 </w:t>
            </w:r>
            <w:r>
              <w:rPr>
                <w:szCs w:val="24"/>
                <w:lang w:val="hr"/>
              </w:rPr>
              <w:t>Westervoortsedijk</w:t>
            </w:r>
          </w:p>
          <w:p w14:paraId="3B20AE15" w14:textId="77777777" w:rsidR="008A210D" w:rsidRPr="005B6722" w:rsidRDefault="008A210D" w:rsidP="009709B4">
            <w:pPr>
              <w:widowControl w:val="0"/>
              <w:autoSpaceDE w:val="0"/>
              <w:autoSpaceDN w:val="0"/>
              <w:spacing w:after="0" w:afterAutospacing="0"/>
              <w:rPr>
                <w:spacing w:val="-2"/>
                <w:szCs w:val="24"/>
                <w:lang w:val="de-DE"/>
              </w:rPr>
            </w:pPr>
            <w:r>
              <w:rPr>
                <w:szCs w:val="24"/>
                <w:lang w:val="hr"/>
              </w:rPr>
              <w:t>Grad: Arnhem</w:t>
            </w:r>
          </w:p>
          <w:p w14:paraId="6FC33444" w14:textId="77777777" w:rsidR="008A210D" w:rsidRPr="005B6722" w:rsidRDefault="008A210D" w:rsidP="009709B4">
            <w:pPr>
              <w:widowControl w:val="0"/>
              <w:autoSpaceDE w:val="0"/>
              <w:autoSpaceDN w:val="0"/>
              <w:spacing w:after="0" w:afterAutospacing="0"/>
              <w:rPr>
                <w:spacing w:val="-2"/>
                <w:szCs w:val="24"/>
                <w:lang w:val="de-DE"/>
              </w:rPr>
            </w:pPr>
            <w:r>
              <w:rPr>
                <w:szCs w:val="24"/>
                <w:lang w:val="hr"/>
              </w:rPr>
              <w:t>Poštanski broj: 6827 AT</w:t>
            </w:r>
          </w:p>
          <w:p w14:paraId="2EB91056" w14:textId="77777777" w:rsidR="008A210D" w:rsidRPr="005B6722" w:rsidRDefault="008A210D" w:rsidP="009709B4">
            <w:pPr>
              <w:widowControl w:val="0"/>
              <w:autoSpaceDE w:val="0"/>
              <w:autoSpaceDN w:val="0"/>
              <w:spacing w:after="0" w:afterAutospacing="0"/>
              <w:rPr>
                <w:spacing w:val="-2"/>
                <w:szCs w:val="24"/>
                <w:lang w:val="de-DE"/>
              </w:rPr>
            </w:pPr>
            <w:r>
              <w:rPr>
                <w:szCs w:val="24"/>
                <w:lang w:val="hr"/>
              </w:rPr>
              <w:t>Zemlja: Nizozemska</w:t>
            </w:r>
          </w:p>
        </w:tc>
      </w:tr>
    </w:tbl>
    <w:p w14:paraId="1624A296" w14:textId="77777777" w:rsidR="009855C3" w:rsidRPr="005B6722" w:rsidRDefault="009855C3" w:rsidP="00042B91">
      <w:pPr>
        <w:spacing w:after="0" w:afterAutospacing="0" w:line="240" w:lineRule="auto"/>
        <w:ind w:left="1440"/>
        <w:rPr>
          <w:rFonts w:cs="Times New Roman"/>
          <w:lang w:val="de-DE"/>
        </w:rPr>
      </w:pPr>
    </w:p>
    <w:p w14:paraId="6CE36BA3" w14:textId="5901806C" w:rsidR="006517A0" w:rsidRPr="005B6722" w:rsidRDefault="009855C3" w:rsidP="003074B3">
      <w:pPr>
        <w:pStyle w:val="Heading1"/>
        <w:rPr>
          <w:rFonts w:cs="Times New Roman"/>
          <w:lang w:val="de-DE"/>
        </w:rPr>
      </w:pPr>
      <w:bookmarkStart w:id="6" w:name="_Toc222741430"/>
      <w:r>
        <w:rPr>
          <w:rFonts w:cs="Times New Roman"/>
          <w:bCs/>
          <w:lang w:val="hr"/>
        </w:rPr>
        <w:t>Naziv i jedinstveni identifikacijski broj prijavljenog tijela</w:t>
      </w:r>
      <w:r w:rsidR="009D54AB">
        <w:rPr>
          <w:rFonts w:cs="Times New Roman"/>
          <w:bCs/>
          <w:lang w:val="hr"/>
        </w:rPr>
        <w:t xml:space="preserve"> (NB)</w:t>
      </w:r>
      <w:r>
        <w:rPr>
          <w:rFonts w:cs="Times New Roman"/>
          <w:bCs/>
          <w:lang w:val="hr"/>
        </w:rPr>
        <w:t>:</w:t>
      </w:r>
      <w:bookmarkEnd w:id="6"/>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6613"/>
      </w:tblGrid>
      <w:tr w:rsidR="003074B3" w:rsidRPr="009461CC" w14:paraId="7E457138" w14:textId="77777777" w:rsidTr="00272DEA">
        <w:trPr>
          <w:trHeight w:val="260"/>
          <w:jc w:val="center"/>
        </w:trPr>
        <w:tc>
          <w:tcPr>
            <w:tcW w:w="5000" w:type="pct"/>
            <w:gridSpan w:val="2"/>
            <w:shd w:val="clear" w:color="auto" w:fill="D9D9D9" w:themeFill="background1" w:themeFillShade="D9"/>
          </w:tcPr>
          <w:p w14:paraId="59932D80" w14:textId="77777777" w:rsidR="003074B3" w:rsidRPr="009461CC" w:rsidRDefault="003074B3" w:rsidP="00B066F7">
            <w:pPr>
              <w:suppressAutoHyphens/>
              <w:spacing w:after="0" w:afterAutospacing="0" w:line="240" w:lineRule="exact"/>
              <w:jc w:val="center"/>
              <w:rPr>
                <w:rFonts w:cs="Times New Roman"/>
                <w:szCs w:val="24"/>
              </w:rPr>
            </w:pPr>
            <w:r>
              <w:rPr>
                <w:rFonts w:eastAsia="Times New Roman" w:cs="Times New Roman"/>
                <w:b/>
                <w:bCs/>
                <w:szCs w:val="24"/>
                <w:lang w:val="hr"/>
              </w:rPr>
              <w:t>Prijavljeno tijelo</w:t>
            </w:r>
          </w:p>
        </w:tc>
      </w:tr>
      <w:tr w:rsidR="00272DEA" w:rsidRPr="009461CC" w14:paraId="0B814508" w14:textId="77777777" w:rsidTr="00272DEA">
        <w:trPr>
          <w:trHeight w:val="350"/>
          <w:jc w:val="center"/>
        </w:trPr>
        <w:tc>
          <w:tcPr>
            <w:tcW w:w="1830" w:type="pct"/>
          </w:tcPr>
          <w:p w14:paraId="49157CDC"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hr"/>
              </w:rPr>
              <w:t>Naziv:</w:t>
            </w:r>
          </w:p>
        </w:tc>
        <w:tc>
          <w:tcPr>
            <w:tcW w:w="3170" w:type="pct"/>
          </w:tcPr>
          <w:p w14:paraId="5863E627" w14:textId="77777777" w:rsidR="003074B3" w:rsidRPr="009461CC" w:rsidRDefault="003074B3" w:rsidP="00B066F7">
            <w:pPr>
              <w:suppressAutoHyphens/>
              <w:spacing w:after="0" w:afterAutospacing="0" w:line="240" w:lineRule="exact"/>
              <w:rPr>
                <w:rFonts w:eastAsia="Times New Roman" w:cs="Times New Roman"/>
                <w:bCs/>
                <w:szCs w:val="24"/>
              </w:rPr>
            </w:pPr>
            <w:r>
              <w:rPr>
                <w:rFonts w:cs="Times New Roman"/>
                <w:szCs w:val="24"/>
                <w:lang w:val="hr"/>
              </w:rPr>
              <w:t>Britanski institut za standarde (engl. British Standards Institution, BSI), Grupa Nizozemska B.V.</w:t>
            </w:r>
          </w:p>
        </w:tc>
      </w:tr>
      <w:tr w:rsidR="003074B3" w:rsidRPr="009461CC" w14:paraId="65281175" w14:textId="77777777" w:rsidTr="009709B4">
        <w:trPr>
          <w:trHeight w:val="728"/>
          <w:jc w:val="center"/>
        </w:trPr>
        <w:tc>
          <w:tcPr>
            <w:tcW w:w="1830" w:type="pct"/>
          </w:tcPr>
          <w:p w14:paraId="7941F5BB"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r"/>
              </w:rPr>
              <w:t>Adresa:</w:t>
            </w:r>
          </w:p>
        </w:tc>
        <w:tc>
          <w:tcPr>
            <w:tcW w:w="3170" w:type="pct"/>
          </w:tcPr>
          <w:p w14:paraId="727CFF1E"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John M. Keynesplein 9</w:t>
            </w:r>
          </w:p>
          <w:p w14:paraId="4054093A"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1066 EP Amsterdam</w:t>
            </w:r>
          </w:p>
          <w:p w14:paraId="72F2BC20" w14:textId="77777777" w:rsidR="003074B3" w:rsidRPr="009461CC" w:rsidRDefault="003074B3" w:rsidP="00B066F7">
            <w:pPr>
              <w:suppressAutoHyphens/>
              <w:spacing w:after="0" w:afterAutospacing="0" w:line="240" w:lineRule="exact"/>
              <w:contextualSpacing/>
              <w:rPr>
                <w:rFonts w:eastAsia="Times New Roman" w:cs="Times New Roman"/>
                <w:bCs/>
                <w:szCs w:val="24"/>
              </w:rPr>
            </w:pPr>
            <w:r>
              <w:rPr>
                <w:rFonts w:eastAsia="Times New Roman" w:cs="Times New Roman"/>
                <w:szCs w:val="24"/>
                <w:lang w:val="hr"/>
              </w:rPr>
              <w:t xml:space="preserve"> Nizozemska</w:t>
            </w:r>
          </w:p>
        </w:tc>
      </w:tr>
      <w:tr w:rsidR="003074B3" w:rsidRPr="009461CC" w14:paraId="7A858549" w14:textId="77777777" w:rsidTr="00272DEA">
        <w:trPr>
          <w:trHeight w:val="351"/>
          <w:jc w:val="center"/>
        </w:trPr>
        <w:tc>
          <w:tcPr>
            <w:tcW w:w="1830" w:type="pct"/>
          </w:tcPr>
          <w:p w14:paraId="4D329CD4" w14:textId="77777777" w:rsidR="003074B3" w:rsidRPr="009461CC" w:rsidRDefault="003074B3" w:rsidP="00B066F7">
            <w:pPr>
              <w:suppressAutoHyphens/>
              <w:spacing w:after="0" w:afterAutospacing="0" w:line="240" w:lineRule="exact"/>
              <w:ind w:left="150"/>
              <w:contextualSpacing/>
              <w:rPr>
                <w:rFonts w:eastAsia="Times New Roman" w:cs="Times New Roman"/>
                <w:bCs/>
                <w:szCs w:val="24"/>
              </w:rPr>
            </w:pPr>
            <w:r>
              <w:rPr>
                <w:rFonts w:eastAsia="Times New Roman" w:cs="Times New Roman"/>
                <w:szCs w:val="24"/>
                <w:lang w:val="hr"/>
              </w:rPr>
              <w:t>Web-mjesto:</w:t>
            </w:r>
          </w:p>
        </w:tc>
        <w:tc>
          <w:tcPr>
            <w:tcW w:w="3170" w:type="pct"/>
          </w:tcPr>
          <w:p w14:paraId="29B75D5D" w14:textId="77777777" w:rsidR="003074B3" w:rsidRPr="009461CC" w:rsidRDefault="003074B3" w:rsidP="00B066F7">
            <w:pPr>
              <w:suppressAutoHyphens/>
              <w:spacing w:after="0" w:afterAutospacing="0" w:line="240" w:lineRule="exact"/>
              <w:contextualSpacing/>
              <w:rPr>
                <w:rFonts w:eastAsia="Times New Roman" w:cs="Times New Roman"/>
                <w:bCs/>
                <w:szCs w:val="24"/>
              </w:rPr>
            </w:pPr>
            <w:hyperlink r:id="rId13" w:history="1">
              <w:r>
                <w:rPr>
                  <w:rFonts w:eastAsia="Times New Roman" w:cs="Times New Roman"/>
                  <w:color w:val="0000FF"/>
                  <w:szCs w:val="24"/>
                  <w:u w:val="single"/>
                  <w:lang w:val="hr"/>
                </w:rPr>
                <w:t>www.bsigroup.com</w:t>
              </w:r>
            </w:hyperlink>
            <w:r>
              <w:rPr>
                <w:rFonts w:eastAsia="Times New Roman" w:cs="Times New Roman"/>
                <w:szCs w:val="24"/>
                <w:lang w:val="hr"/>
              </w:rPr>
              <w:t xml:space="preserve"> </w:t>
            </w:r>
          </w:p>
        </w:tc>
      </w:tr>
      <w:tr w:rsidR="003074B3" w:rsidRPr="009461CC" w14:paraId="242654B6" w14:textId="77777777" w:rsidTr="00272DEA">
        <w:trPr>
          <w:trHeight w:val="355"/>
          <w:jc w:val="center"/>
        </w:trPr>
        <w:tc>
          <w:tcPr>
            <w:tcW w:w="1830" w:type="pct"/>
          </w:tcPr>
          <w:p w14:paraId="6F572CD0"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hr"/>
              </w:rPr>
              <w:t>Telefon:</w:t>
            </w:r>
          </w:p>
        </w:tc>
        <w:tc>
          <w:tcPr>
            <w:tcW w:w="3170" w:type="pct"/>
          </w:tcPr>
          <w:p w14:paraId="7E5F2BF5"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hr"/>
              </w:rPr>
              <w:t>+31 (0)20 346 07 80</w:t>
            </w:r>
          </w:p>
        </w:tc>
      </w:tr>
      <w:tr w:rsidR="003074B3" w:rsidRPr="009461CC" w14:paraId="3445789F" w14:textId="77777777" w:rsidTr="00272DEA">
        <w:trPr>
          <w:trHeight w:val="355"/>
          <w:jc w:val="center"/>
        </w:trPr>
        <w:tc>
          <w:tcPr>
            <w:tcW w:w="1830" w:type="pct"/>
          </w:tcPr>
          <w:p w14:paraId="6D8C8396" w14:textId="77777777" w:rsidR="003074B3" w:rsidRPr="009461CC" w:rsidRDefault="003074B3" w:rsidP="00B066F7">
            <w:pPr>
              <w:suppressAutoHyphens/>
              <w:spacing w:after="0" w:afterAutospacing="0" w:line="240" w:lineRule="exact"/>
              <w:ind w:left="150"/>
              <w:rPr>
                <w:rFonts w:eastAsia="Times New Roman" w:cs="Times New Roman"/>
                <w:bCs/>
                <w:szCs w:val="24"/>
              </w:rPr>
            </w:pPr>
            <w:r>
              <w:rPr>
                <w:rFonts w:eastAsia="Times New Roman" w:cs="Times New Roman"/>
                <w:szCs w:val="24"/>
                <w:lang w:val="hr"/>
              </w:rPr>
              <w:t>Faks:</w:t>
            </w:r>
          </w:p>
        </w:tc>
        <w:tc>
          <w:tcPr>
            <w:tcW w:w="3170" w:type="pct"/>
          </w:tcPr>
          <w:p w14:paraId="42A0F78B" w14:textId="77777777" w:rsidR="003074B3" w:rsidRPr="009461CC" w:rsidRDefault="003074B3" w:rsidP="00B066F7">
            <w:pPr>
              <w:suppressAutoHyphens/>
              <w:spacing w:after="0" w:afterAutospacing="0" w:line="240" w:lineRule="exact"/>
              <w:rPr>
                <w:rFonts w:eastAsia="Times New Roman" w:cs="Times New Roman"/>
                <w:bCs/>
                <w:szCs w:val="24"/>
              </w:rPr>
            </w:pPr>
            <w:r>
              <w:rPr>
                <w:rFonts w:eastAsia="Times New Roman" w:cs="Times New Roman"/>
                <w:szCs w:val="24"/>
                <w:lang w:val="hr"/>
              </w:rPr>
              <w:t>+31 (0)20 346 07 81</w:t>
            </w:r>
          </w:p>
        </w:tc>
      </w:tr>
      <w:tr w:rsidR="003074B3" w:rsidRPr="009461CC" w14:paraId="108563A6" w14:textId="77777777" w:rsidTr="00272DEA">
        <w:trPr>
          <w:trHeight w:val="323"/>
          <w:jc w:val="center"/>
        </w:trPr>
        <w:tc>
          <w:tcPr>
            <w:tcW w:w="1830" w:type="pct"/>
          </w:tcPr>
          <w:p w14:paraId="68313F88" w14:textId="77777777" w:rsidR="003074B3" w:rsidRPr="009461CC" w:rsidRDefault="003074B3" w:rsidP="00B066F7">
            <w:pPr>
              <w:tabs>
                <w:tab w:val="left" w:pos="3150"/>
              </w:tabs>
              <w:suppressAutoHyphens/>
              <w:spacing w:after="0" w:afterAutospacing="0" w:line="240" w:lineRule="exact"/>
              <w:rPr>
                <w:rFonts w:eastAsia="Times New Roman" w:cs="Times New Roman"/>
                <w:bCs/>
                <w:szCs w:val="24"/>
              </w:rPr>
            </w:pPr>
            <w:r>
              <w:rPr>
                <w:rFonts w:eastAsia="Times New Roman" w:cs="Times New Roman"/>
                <w:szCs w:val="24"/>
                <w:lang w:val="hr"/>
              </w:rPr>
              <w:t>Broj prijavljenog tijela:</w:t>
            </w:r>
            <w:r>
              <w:rPr>
                <w:rFonts w:eastAsia="Times New Roman" w:cs="Times New Roman"/>
                <w:szCs w:val="24"/>
                <w:lang w:val="hr"/>
              </w:rPr>
              <w:tab/>
            </w:r>
          </w:p>
        </w:tc>
        <w:tc>
          <w:tcPr>
            <w:tcW w:w="3170" w:type="pct"/>
          </w:tcPr>
          <w:p w14:paraId="445F2118" w14:textId="77777777" w:rsidR="003074B3" w:rsidRPr="009461CC" w:rsidRDefault="003074B3" w:rsidP="00B066F7">
            <w:pPr>
              <w:tabs>
                <w:tab w:val="left" w:pos="3150"/>
              </w:tabs>
              <w:suppressAutoHyphens/>
              <w:spacing w:after="0" w:afterAutospacing="0" w:line="240" w:lineRule="exact"/>
              <w:ind w:left="150"/>
              <w:rPr>
                <w:rFonts w:eastAsia="Times New Roman" w:cs="Times New Roman"/>
                <w:bCs/>
                <w:szCs w:val="24"/>
              </w:rPr>
            </w:pPr>
            <w:r>
              <w:rPr>
                <w:rFonts w:eastAsia="Times New Roman" w:cs="Times New Roman"/>
                <w:szCs w:val="24"/>
                <w:lang w:val="hr"/>
              </w:rPr>
              <w:t>2797</w:t>
            </w:r>
          </w:p>
        </w:tc>
      </w:tr>
    </w:tbl>
    <w:p w14:paraId="49CBA632" w14:textId="77777777" w:rsidR="005C6A90" w:rsidRPr="009461CC" w:rsidRDefault="005C6A90" w:rsidP="00042B91">
      <w:pPr>
        <w:spacing w:after="0" w:afterAutospacing="0" w:line="240" w:lineRule="auto"/>
        <w:rPr>
          <w:rFonts w:cs="Times New Roman"/>
        </w:rPr>
      </w:pPr>
    </w:p>
    <w:p w14:paraId="708F564C" w14:textId="58CA8111" w:rsidR="00AA2E04" w:rsidRPr="009461CC" w:rsidRDefault="00AA2E04" w:rsidP="00F67A0E">
      <w:pPr>
        <w:pStyle w:val="Heading1"/>
        <w:numPr>
          <w:ilvl w:val="0"/>
          <w:numId w:val="2"/>
        </w:numPr>
        <w:rPr>
          <w:rFonts w:cs="Times New Roman"/>
        </w:rPr>
      </w:pPr>
      <w:bookmarkStart w:id="7" w:name="_Toc222741431"/>
      <w:r>
        <w:rPr>
          <w:rFonts w:cs="Times New Roman"/>
          <w:bCs/>
          <w:lang w:val="hr"/>
        </w:rPr>
        <w:t>Namjena/svrha proizvoda</w:t>
      </w:r>
      <w:bookmarkEnd w:id="7"/>
      <w:r>
        <w:rPr>
          <w:rFonts w:cs="Times New Roman"/>
          <w:bCs/>
          <w:lang w:val="hr"/>
        </w:rPr>
        <w:t xml:space="preserve"> </w:t>
      </w:r>
    </w:p>
    <w:p w14:paraId="48603D86" w14:textId="3BAB4A94" w:rsidR="00D104AC" w:rsidRPr="009461CC" w:rsidRDefault="00D104AC" w:rsidP="00FB0A38">
      <w:pPr>
        <w:spacing w:after="0" w:afterAutospacing="0"/>
        <w:ind w:left="360"/>
        <w:rPr>
          <w:rFonts w:cs="Times New Roman"/>
        </w:rPr>
      </w:pPr>
      <w:r>
        <w:rPr>
          <w:rFonts w:cs="Times New Roman"/>
          <w:lang w:val="hr"/>
        </w:rPr>
        <w:t>Reference:</w:t>
      </w:r>
    </w:p>
    <w:p w14:paraId="5CC3EE9B" w14:textId="1CB02280" w:rsidR="00042B91" w:rsidRPr="005B6722" w:rsidRDefault="00FE5B73" w:rsidP="00042B91">
      <w:pPr>
        <w:spacing w:after="0" w:afterAutospacing="0" w:line="240" w:lineRule="auto"/>
        <w:rPr>
          <w:rFonts w:cs="Times New Roman"/>
          <w:lang w:val="pt-BR"/>
        </w:rPr>
      </w:pPr>
      <w:r>
        <w:rPr>
          <w:rFonts w:cs="Times New Roman"/>
          <w:lang w:val="hr"/>
        </w:rPr>
        <w:t xml:space="preserve">Referentni brojevi: X9585730-0321-EU </w:t>
      </w:r>
      <w:r w:rsidR="006658D9">
        <w:rPr>
          <w:rFonts w:cs="Times New Roman"/>
          <w:lang w:val="hr"/>
        </w:rPr>
        <w:t>R</w:t>
      </w:r>
      <w:r>
        <w:rPr>
          <w:rFonts w:cs="Times New Roman"/>
          <w:lang w:val="hr"/>
        </w:rPr>
        <w:t>ev A</w:t>
      </w:r>
    </w:p>
    <w:p w14:paraId="1254EE9F" w14:textId="77777777" w:rsidR="00FE5B73" w:rsidRPr="005B6722" w:rsidRDefault="00FE5B73" w:rsidP="00042B91">
      <w:pPr>
        <w:spacing w:after="0" w:afterAutospacing="0" w:line="240" w:lineRule="auto"/>
        <w:rPr>
          <w:rFonts w:cs="Times New Roman"/>
          <w:lang w:val="pt-BR"/>
        </w:rPr>
      </w:pPr>
    </w:p>
    <w:p w14:paraId="39A6DB15" w14:textId="58ED6DAB" w:rsidR="006F0810" w:rsidRPr="009461CC" w:rsidRDefault="00B7112F" w:rsidP="00042B91">
      <w:pPr>
        <w:pStyle w:val="Heading1"/>
        <w:rPr>
          <w:rFonts w:cs="Times New Roman"/>
        </w:rPr>
      </w:pPr>
      <w:r>
        <w:rPr>
          <w:rFonts w:cs="Times New Roman"/>
          <w:bCs/>
          <w:lang w:val="hr"/>
        </w:rPr>
        <w:t xml:space="preserve"> </w:t>
      </w:r>
      <w:bookmarkStart w:id="8" w:name="_Toc222741432"/>
      <w:r>
        <w:rPr>
          <w:rFonts w:cs="Times New Roman"/>
          <w:bCs/>
          <w:lang w:val="hr"/>
        </w:rPr>
        <w:t>Predviđena svrha/namjena</w:t>
      </w:r>
      <w:bookmarkEnd w:id="8"/>
    </w:p>
    <w:p w14:paraId="5F55F24F" w14:textId="20556298" w:rsidR="009B569A" w:rsidRPr="00722580" w:rsidRDefault="00B82FB3" w:rsidP="00B82FB3">
      <w:pPr>
        <w:rPr>
          <w:rFonts w:cs="Times New Roman"/>
          <w:shd w:val="clear" w:color="auto" w:fill="FFFFFF"/>
          <w:lang w:val="pl-PL"/>
        </w:rPr>
      </w:pPr>
      <w:r>
        <w:rPr>
          <w:rFonts w:cs="Times New Roman"/>
          <w:shd w:val="clear" w:color="auto" w:fill="FFFFFF"/>
          <w:lang w:val="hr"/>
        </w:rPr>
        <w:t>Proizvod je namijenjen za upotrebu u kardiovaskularnom sustavu ili šupljem organu za dohvat i rukovanje stranim predmetima.</w:t>
      </w:r>
    </w:p>
    <w:p w14:paraId="0540FB4C" w14:textId="6BE36C7A" w:rsidR="006F0810" w:rsidRPr="009461CC" w:rsidRDefault="006F0810" w:rsidP="00042B91">
      <w:pPr>
        <w:pStyle w:val="Heading1"/>
        <w:rPr>
          <w:rFonts w:cs="Times New Roman"/>
        </w:rPr>
      </w:pPr>
      <w:bookmarkStart w:id="9" w:name="_Toc222741433"/>
      <w:r>
        <w:rPr>
          <w:rFonts w:cs="Times New Roman"/>
          <w:bCs/>
          <w:lang w:val="hr"/>
        </w:rPr>
        <w:t>Indikacije za upotrebu</w:t>
      </w:r>
      <w:bookmarkEnd w:id="9"/>
    </w:p>
    <w:p w14:paraId="24ADD508" w14:textId="77777777" w:rsidR="00235AAE" w:rsidRPr="00E105B6" w:rsidRDefault="00235AAE" w:rsidP="00235AAE">
      <w:pPr>
        <w:widowControl w:val="0"/>
        <w:rPr>
          <w:rFonts w:cs="Times New Roman"/>
          <w:lang w:val="hr"/>
        </w:rPr>
      </w:pPr>
      <w:r>
        <w:rPr>
          <w:rFonts w:cs="Times New Roman"/>
          <w:lang w:val="hr"/>
        </w:rPr>
        <w:lastRenderedPageBreak/>
        <w:t>Proizvod je namijenjen za upotrebu u kardiovaskularnom sustavu ili šupljem organu za dohvat i rukovanje stranim predmetima. Postupci rukovanja uključuju premještanje trajnog venskog katetera, skidanje fibrinske ovojnice trajnog venskog katetera i pomoć u postupku punkcije vene za centralni venski pristup.</w:t>
      </w:r>
    </w:p>
    <w:p w14:paraId="498EAE44" w14:textId="77777777" w:rsidR="00D20FA4" w:rsidRPr="009461CC" w:rsidRDefault="00D20FA4" w:rsidP="00042B91">
      <w:pPr>
        <w:pStyle w:val="Heading1"/>
        <w:rPr>
          <w:rFonts w:cs="Times New Roman"/>
        </w:rPr>
      </w:pPr>
      <w:bookmarkStart w:id="10" w:name="_Toc222741434"/>
      <w:r>
        <w:rPr>
          <w:rFonts w:cs="Times New Roman"/>
          <w:bCs/>
          <w:lang w:val="hr"/>
        </w:rPr>
        <w:t>Ciljna populacija</w:t>
      </w:r>
      <w:bookmarkEnd w:id="10"/>
    </w:p>
    <w:p w14:paraId="099A3585" w14:textId="77777777" w:rsidR="003B70D7" w:rsidRPr="009461CC" w:rsidRDefault="003B70D7" w:rsidP="005A1E4B">
      <w:pPr>
        <w:pStyle w:val="pf0"/>
        <w:widowControl w:val="0"/>
        <w:spacing w:before="0" w:beforeAutospacing="0" w:after="0" w:afterAutospacing="0"/>
      </w:pPr>
      <w:r>
        <w:rPr>
          <w:lang w:val="hr"/>
        </w:rPr>
        <w:t>Odrasli pacijenti uključuju starije odrasle osobe bilo kojeg spola, rase ili etničke pripadnosti.</w:t>
      </w:r>
    </w:p>
    <w:p w14:paraId="3621B4F1" w14:textId="77777777" w:rsidR="003B70D7" w:rsidRPr="009461CC" w:rsidRDefault="003B70D7" w:rsidP="003B70D7">
      <w:pPr>
        <w:pStyle w:val="pf0"/>
        <w:widowControl w:val="0"/>
        <w:spacing w:before="0" w:beforeAutospacing="0" w:after="0" w:afterAutospacing="0"/>
      </w:pPr>
    </w:p>
    <w:p w14:paraId="28F544BD" w14:textId="4F93A450" w:rsidR="006F0810" w:rsidRPr="009461CC" w:rsidRDefault="006F0810" w:rsidP="00042B91">
      <w:pPr>
        <w:pStyle w:val="Heading1"/>
        <w:rPr>
          <w:rFonts w:cs="Times New Roman"/>
        </w:rPr>
      </w:pPr>
      <w:bookmarkStart w:id="11" w:name="_Toc222741435"/>
      <w:r>
        <w:rPr>
          <w:rFonts w:cs="Times New Roman"/>
          <w:bCs/>
          <w:lang w:val="hr"/>
        </w:rPr>
        <w:t>Kontraindikacije</w:t>
      </w:r>
      <w:bookmarkEnd w:id="11"/>
    </w:p>
    <w:p w14:paraId="169E24EB" w14:textId="77777777" w:rsidR="00AA3502" w:rsidRPr="00722580" w:rsidRDefault="00AA3502" w:rsidP="004A2596">
      <w:pPr>
        <w:pStyle w:val="ListParagraph"/>
        <w:numPr>
          <w:ilvl w:val="0"/>
          <w:numId w:val="31"/>
        </w:numPr>
        <w:spacing w:after="0" w:afterAutospacing="0" w:line="240" w:lineRule="auto"/>
        <w:jc w:val="both"/>
        <w:rPr>
          <w:rFonts w:eastAsia="Times New Roman" w:cs="Times New Roman"/>
          <w:lang w:val="pl-PL"/>
        </w:rPr>
      </w:pPr>
      <w:r>
        <w:rPr>
          <w:rFonts w:cs="Times New Roman"/>
          <w:color w:val="000000"/>
          <w:lang w:val="hr"/>
        </w:rPr>
        <w:t>Ovaj proizvod nije namijenjen za uklanjanje stranih predmeta zahvaćenih rastom tkiva</w:t>
      </w:r>
      <w:r>
        <w:rPr>
          <w:rFonts w:cs="Times New Roman"/>
          <w:color w:val="4472C4" w:themeColor="accent1"/>
          <w:lang w:val="hr"/>
        </w:rPr>
        <w:t>.</w:t>
      </w:r>
    </w:p>
    <w:p w14:paraId="4BFB00B8" w14:textId="77777777" w:rsidR="00AA3502" w:rsidRPr="00722580" w:rsidRDefault="00AA3502" w:rsidP="004A2596">
      <w:pPr>
        <w:pStyle w:val="ListParagraph"/>
        <w:numPr>
          <w:ilvl w:val="0"/>
          <w:numId w:val="31"/>
        </w:numPr>
        <w:spacing w:after="0" w:afterAutospacing="0" w:line="240" w:lineRule="auto"/>
        <w:jc w:val="both"/>
        <w:rPr>
          <w:rFonts w:eastAsia="Times New Roman" w:cs="Times New Roman"/>
          <w:lang w:val="pl-PL"/>
        </w:rPr>
      </w:pPr>
      <w:r>
        <w:rPr>
          <w:rFonts w:eastAsia="Times New Roman" w:cs="Times New Roman"/>
          <w:lang w:val="hr"/>
        </w:rPr>
        <w:t>Proizvod se ne smije upotrebljavati za skidanje fibrinske ovojnice u prisutnosti septalnih defekata otvorenog foramena ovale.</w:t>
      </w:r>
    </w:p>
    <w:p w14:paraId="77577945" w14:textId="77777777" w:rsidR="00AA3502" w:rsidRPr="00722580" w:rsidRDefault="00AA3502" w:rsidP="004A2596">
      <w:pPr>
        <w:pStyle w:val="ListParagraph"/>
        <w:numPr>
          <w:ilvl w:val="0"/>
          <w:numId w:val="31"/>
        </w:numPr>
        <w:spacing w:after="0" w:afterAutospacing="0" w:line="240" w:lineRule="auto"/>
        <w:jc w:val="both"/>
        <w:rPr>
          <w:rFonts w:eastAsia="Times New Roman" w:cs="Times New Roman"/>
          <w:lang w:val="pl-PL"/>
        </w:rPr>
      </w:pPr>
      <w:r>
        <w:rPr>
          <w:rFonts w:eastAsia="Times New Roman" w:cs="Times New Roman"/>
          <w:lang w:val="hr"/>
        </w:rPr>
        <w:t>Ovaj proizvod nije namijenjen za uklanjanje implantiranih elektroda za stimulaciju srca.</w:t>
      </w:r>
    </w:p>
    <w:p w14:paraId="764D1032" w14:textId="77777777" w:rsidR="00761873" w:rsidRPr="00722580" w:rsidRDefault="00761873" w:rsidP="00761873">
      <w:pPr>
        <w:pStyle w:val="ListParagraph"/>
        <w:spacing w:after="0" w:afterAutospacing="0"/>
        <w:ind w:left="1440"/>
        <w:rPr>
          <w:rFonts w:cs="Times New Roman"/>
          <w:lang w:val="pl-PL"/>
        </w:rPr>
      </w:pPr>
    </w:p>
    <w:p w14:paraId="0A9D601E" w14:textId="53FB771D" w:rsidR="00760400" w:rsidRPr="009461CC" w:rsidRDefault="00D20FA4" w:rsidP="00F67A0E">
      <w:pPr>
        <w:pStyle w:val="Heading1"/>
        <w:numPr>
          <w:ilvl w:val="0"/>
          <w:numId w:val="2"/>
        </w:numPr>
        <w:rPr>
          <w:rFonts w:cs="Times New Roman"/>
        </w:rPr>
      </w:pPr>
      <w:bookmarkStart w:id="12" w:name="_Toc222741436"/>
      <w:r>
        <w:rPr>
          <w:rFonts w:cs="Times New Roman"/>
          <w:bCs/>
          <w:lang w:val="hr"/>
        </w:rPr>
        <w:t>Opis proizvoda</w:t>
      </w:r>
      <w:bookmarkEnd w:id="12"/>
    </w:p>
    <w:p w14:paraId="7115673A" w14:textId="77777777" w:rsidR="00042B91" w:rsidRPr="009461CC" w:rsidRDefault="00042B91" w:rsidP="00042B91">
      <w:pPr>
        <w:spacing w:after="0" w:afterAutospacing="0" w:line="240" w:lineRule="auto"/>
        <w:rPr>
          <w:rFonts w:cs="Times New Roman"/>
        </w:rPr>
      </w:pPr>
    </w:p>
    <w:p w14:paraId="33649869" w14:textId="52085753" w:rsidR="00D20FA4" w:rsidRPr="009461CC" w:rsidRDefault="00D20FA4" w:rsidP="00042B91">
      <w:pPr>
        <w:pStyle w:val="Heading1"/>
        <w:rPr>
          <w:rFonts w:cs="Times New Roman"/>
        </w:rPr>
      </w:pPr>
      <w:bookmarkStart w:id="13" w:name="_Toc222741437"/>
      <w:r>
        <w:rPr>
          <w:rFonts w:cs="Times New Roman"/>
          <w:bCs/>
          <w:lang w:val="hr"/>
        </w:rPr>
        <w:t>Opis proizvoda</w:t>
      </w:r>
      <w:bookmarkEnd w:id="13"/>
      <w:r>
        <w:rPr>
          <w:rFonts w:cs="Times New Roman"/>
          <w:bCs/>
          <w:lang w:val="hr"/>
        </w:rPr>
        <w:t xml:space="preserve"> </w:t>
      </w:r>
    </w:p>
    <w:p w14:paraId="3DAFEC6E" w14:textId="501F3453" w:rsidR="00994DB9" w:rsidRPr="00E105B6" w:rsidRDefault="00994DB9" w:rsidP="00994DB9">
      <w:pPr>
        <w:rPr>
          <w:rFonts w:cs="Times New Roman"/>
          <w:lang w:val="hr"/>
        </w:rPr>
      </w:pPr>
      <w:bookmarkStart w:id="14" w:name="_Hlk169187630"/>
      <w:r>
        <w:rPr>
          <w:rFonts w:cs="Times New Roman"/>
          <w:lang w:val="hr"/>
        </w:rPr>
        <w:t>Komplet vaskularne omče Atrieve™</w:t>
      </w:r>
      <w:r w:rsidR="00AE1FBE" w:rsidRPr="00AE1FBE">
        <w:t xml:space="preserve"> </w:t>
      </w:r>
      <w:r w:rsidR="00AE1FBE" w:rsidRPr="00AE1FBE">
        <w:rPr>
          <w:rFonts w:cs="Times New Roman"/>
          <w:lang w:val="hr"/>
        </w:rPr>
        <w:t>Snare</w:t>
      </w:r>
      <w:r>
        <w:rPr>
          <w:rFonts w:cs="Times New Roman"/>
          <w:lang w:val="hr"/>
        </w:rPr>
        <w:t xml:space="preserve"> sastoji se od omče s tri prethodno oblikovane petlje izrađene od superelastičnog nitinola i platine. Petlje nisu isprepletene i mogu kliziti jedna u odnosu na drugu. Petlje omče mogu se uvesti u uvodni kateter bez rizika od trajne deformacije proizvoda. Komplet vaskularne omče Atrieve</w:t>
      </w:r>
      <w:r w:rsidR="00AE1FBE" w:rsidRPr="00722580">
        <w:rPr>
          <w:lang w:val="hr"/>
        </w:rPr>
        <w:t xml:space="preserve"> </w:t>
      </w:r>
      <w:r w:rsidR="00AE1FBE" w:rsidRPr="00AE1FBE">
        <w:rPr>
          <w:rFonts w:cs="Times New Roman"/>
          <w:lang w:val="hr"/>
        </w:rPr>
        <w:t>Snare</w:t>
      </w:r>
      <w:r>
        <w:rPr>
          <w:rFonts w:cs="Times New Roman"/>
          <w:lang w:val="hr"/>
        </w:rPr>
        <w:t xml:space="preserve"> također uključuje uvodni kateter, zakretnu ručku i instrument za uvođenje. Uvodni kateter ima radiopaknu traku markera na distalnom vrhu. Proizvod se isporučuje zapakiran u zaštitnom držaču u obliku obruča. Proizvod je namijenjen za jednokratnu upotrebu i isporučuje se sterilan (steriliziran etilen oksidom) i spreman za upotrebu.</w:t>
      </w:r>
    </w:p>
    <w:p w14:paraId="210E0750" w14:textId="58273436" w:rsidR="00994DB9" w:rsidRPr="00E105B6" w:rsidRDefault="00994DB9" w:rsidP="00994DB9">
      <w:pPr>
        <w:rPr>
          <w:rFonts w:cs="Times New Roman"/>
          <w:lang w:val="hr"/>
        </w:rPr>
      </w:pPr>
      <w:r>
        <w:rPr>
          <w:rFonts w:cs="Times New Roman"/>
          <w:lang w:val="hr"/>
        </w:rPr>
        <w:t>Komplet vaskularne omče Atrieve™</w:t>
      </w:r>
      <w:r w:rsidR="00AE1FBE" w:rsidRPr="00722580">
        <w:rPr>
          <w:lang w:val="hr"/>
        </w:rPr>
        <w:t xml:space="preserve"> </w:t>
      </w:r>
      <w:r w:rsidR="00AE1FBE" w:rsidRPr="00AE1FBE">
        <w:rPr>
          <w:rFonts w:cs="Times New Roman"/>
          <w:lang w:val="hr"/>
        </w:rPr>
        <w:t>Snare</w:t>
      </w:r>
      <w:r>
        <w:rPr>
          <w:rFonts w:cs="Times New Roman"/>
          <w:lang w:val="hr"/>
        </w:rPr>
        <w:t xml:space="preserve"> dostupan je u sljedećim veličinama:</w:t>
      </w:r>
    </w:p>
    <w:tbl>
      <w:tblPr>
        <w:tblStyle w:val="TableGrid"/>
        <w:tblW w:w="5000" w:type="pct"/>
        <w:tblLook w:val="04A0" w:firstRow="1" w:lastRow="0" w:firstColumn="1" w:lastColumn="0" w:noHBand="0" w:noVBand="1"/>
      </w:tblPr>
      <w:tblGrid>
        <w:gridCol w:w="2824"/>
        <w:gridCol w:w="2658"/>
        <w:gridCol w:w="2343"/>
        <w:gridCol w:w="2605"/>
      </w:tblGrid>
      <w:tr w:rsidR="00994DB9" w:rsidRPr="009461CC" w14:paraId="5ADE64F6" w14:textId="77777777" w:rsidTr="0022766F">
        <w:tc>
          <w:tcPr>
            <w:tcW w:w="1354" w:type="pct"/>
          </w:tcPr>
          <w:p w14:paraId="323B4940" w14:textId="77777777" w:rsidR="00994DB9" w:rsidRPr="009461CC" w:rsidRDefault="00994DB9" w:rsidP="0022766F">
            <w:pPr>
              <w:widowControl w:val="0"/>
              <w:rPr>
                <w:rFonts w:cs="Times New Roman"/>
              </w:rPr>
            </w:pPr>
            <w:r>
              <w:rPr>
                <w:rFonts w:cs="Times New Roman"/>
                <w:lang w:val="hr"/>
              </w:rPr>
              <w:t>Raspon promjera omče</w:t>
            </w:r>
          </w:p>
        </w:tc>
        <w:tc>
          <w:tcPr>
            <w:tcW w:w="1274" w:type="pct"/>
          </w:tcPr>
          <w:p w14:paraId="2775F724" w14:textId="77777777" w:rsidR="00994DB9" w:rsidRPr="009461CC" w:rsidRDefault="00994DB9" w:rsidP="0022766F">
            <w:pPr>
              <w:widowControl w:val="0"/>
              <w:rPr>
                <w:rFonts w:cs="Times New Roman"/>
              </w:rPr>
            </w:pPr>
            <w:r>
              <w:rPr>
                <w:rFonts w:cs="Times New Roman"/>
                <w:lang w:val="hr"/>
              </w:rPr>
              <w:t>Duljina omče</w:t>
            </w:r>
          </w:p>
        </w:tc>
        <w:tc>
          <w:tcPr>
            <w:tcW w:w="1123" w:type="pct"/>
          </w:tcPr>
          <w:p w14:paraId="7396E037" w14:textId="77777777" w:rsidR="00994DB9" w:rsidRPr="009461CC" w:rsidRDefault="00994DB9" w:rsidP="0022766F">
            <w:pPr>
              <w:widowControl w:val="0"/>
              <w:rPr>
                <w:rFonts w:cs="Times New Roman"/>
              </w:rPr>
            </w:pPr>
            <w:r>
              <w:rPr>
                <w:rFonts w:cs="Times New Roman"/>
                <w:lang w:val="hr"/>
              </w:rPr>
              <w:t>Veličina isporučenog proizvoda</w:t>
            </w:r>
          </w:p>
        </w:tc>
        <w:tc>
          <w:tcPr>
            <w:tcW w:w="1250" w:type="pct"/>
          </w:tcPr>
          <w:p w14:paraId="7E248A66" w14:textId="77777777" w:rsidR="00994DB9" w:rsidRPr="009461CC" w:rsidRDefault="00994DB9" w:rsidP="0022766F">
            <w:pPr>
              <w:widowControl w:val="0"/>
              <w:rPr>
                <w:rFonts w:cs="Times New Roman"/>
              </w:rPr>
            </w:pPr>
            <w:r>
              <w:rPr>
                <w:rFonts w:cs="Times New Roman"/>
                <w:lang w:val="hr"/>
              </w:rPr>
              <w:t>Duljina katetera</w:t>
            </w:r>
          </w:p>
        </w:tc>
      </w:tr>
      <w:tr w:rsidR="00994DB9" w:rsidRPr="009461CC" w14:paraId="41F89C56" w14:textId="77777777" w:rsidTr="0022766F">
        <w:tc>
          <w:tcPr>
            <w:tcW w:w="1354" w:type="pct"/>
          </w:tcPr>
          <w:p w14:paraId="20D41F97" w14:textId="77777777" w:rsidR="00994DB9" w:rsidRPr="009461CC" w:rsidRDefault="00994DB9" w:rsidP="0022766F">
            <w:pPr>
              <w:widowControl w:val="0"/>
              <w:rPr>
                <w:rFonts w:cs="Times New Roman"/>
              </w:rPr>
            </w:pPr>
            <w:r>
              <w:rPr>
                <w:rFonts w:cs="Times New Roman"/>
                <w:lang w:val="hr"/>
              </w:rPr>
              <w:t>2 – 4 mm</w:t>
            </w:r>
          </w:p>
        </w:tc>
        <w:tc>
          <w:tcPr>
            <w:tcW w:w="1274" w:type="pct"/>
          </w:tcPr>
          <w:p w14:paraId="04CC9EC1" w14:textId="77777777" w:rsidR="00994DB9" w:rsidRPr="009461CC" w:rsidRDefault="00994DB9" w:rsidP="0022766F">
            <w:pPr>
              <w:widowControl w:val="0"/>
              <w:rPr>
                <w:rFonts w:cs="Times New Roman"/>
              </w:rPr>
            </w:pPr>
            <w:r>
              <w:rPr>
                <w:rFonts w:cs="Times New Roman"/>
                <w:lang w:val="hr"/>
              </w:rPr>
              <w:t>175 cm</w:t>
            </w:r>
          </w:p>
        </w:tc>
        <w:tc>
          <w:tcPr>
            <w:tcW w:w="1123" w:type="pct"/>
          </w:tcPr>
          <w:p w14:paraId="38F2FCC0" w14:textId="77777777" w:rsidR="00994DB9" w:rsidRPr="009461CC" w:rsidRDefault="00994DB9" w:rsidP="0022766F">
            <w:pPr>
              <w:widowControl w:val="0"/>
              <w:rPr>
                <w:rFonts w:cs="Times New Roman"/>
              </w:rPr>
            </w:pPr>
            <w:r>
              <w:rPr>
                <w:rFonts w:cs="Times New Roman"/>
                <w:lang w:val="hr"/>
              </w:rPr>
              <w:t>3,2 F</w:t>
            </w:r>
          </w:p>
        </w:tc>
        <w:tc>
          <w:tcPr>
            <w:tcW w:w="1250" w:type="pct"/>
          </w:tcPr>
          <w:p w14:paraId="5CD712C9" w14:textId="77777777" w:rsidR="00994DB9" w:rsidRPr="009461CC" w:rsidRDefault="00994DB9" w:rsidP="0022766F">
            <w:pPr>
              <w:widowControl w:val="0"/>
              <w:rPr>
                <w:rFonts w:cs="Times New Roman"/>
              </w:rPr>
            </w:pPr>
            <w:r>
              <w:rPr>
                <w:rFonts w:cs="Times New Roman"/>
                <w:lang w:val="hr"/>
              </w:rPr>
              <w:t>150 cm</w:t>
            </w:r>
          </w:p>
        </w:tc>
      </w:tr>
      <w:tr w:rsidR="00994DB9" w:rsidRPr="009461CC" w14:paraId="5428D0A0" w14:textId="77777777" w:rsidTr="0022766F">
        <w:tc>
          <w:tcPr>
            <w:tcW w:w="1354" w:type="pct"/>
          </w:tcPr>
          <w:p w14:paraId="7992579F" w14:textId="77777777" w:rsidR="00994DB9" w:rsidRPr="009461CC" w:rsidRDefault="00994DB9" w:rsidP="0022766F">
            <w:pPr>
              <w:widowControl w:val="0"/>
              <w:rPr>
                <w:rFonts w:cs="Times New Roman"/>
              </w:rPr>
            </w:pPr>
            <w:r>
              <w:rPr>
                <w:rFonts w:cs="Times New Roman"/>
                <w:lang w:val="hr"/>
              </w:rPr>
              <w:t>4 – 8 mm</w:t>
            </w:r>
          </w:p>
        </w:tc>
        <w:tc>
          <w:tcPr>
            <w:tcW w:w="1274" w:type="pct"/>
          </w:tcPr>
          <w:p w14:paraId="7E385A6E" w14:textId="77777777" w:rsidR="00994DB9" w:rsidRPr="009461CC" w:rsidRDefault="00994DB9" w:rsidP="0022766F">
            <w:pPr>
              <w:widowControl w:val="0"/>
              <w:rPr>
                <w:rFonts w:cs="Times New Roman"/>
              </w:rPr>
            </w:pPr>
            <w:r>
              <w:rPr>
                <w:rFonts w:cs="Times New Roman"/>
                <w:lang w:val="hr"/>
              </w:rPr>
              <w:t>175 cm</w:t>
            </w:r>
          </w:p>
        </w:tc>
        <w:tc>
          <w:tcPr>
            <w:tcW w:w="1123" w:type="pct"/>
          </w:tcPr>
          <w:p w14:paraId="52F22EE9" w14:textId="77777777" w:rsidR="00994DB9" w:rsidRPr="009461CC" w:rsidRDefault="00994DB9" w:rsidP="0022766F">
            <w:pPr>
              <w:widowControl w:val="0"/>
              <w:rPr>
                <w:rFonts w:cs="Times New Roman"/>
              </w:rPr>
            </w:pPr>
            <w:r>
              <w:rPr>
                <w:rFonts w:cs="Times New Roman"/>
                <w:lang w:val="hr"/>
              </w:rPr>
              <w:t>3,2 F</w:t>
            </w:r>
          </w:p>
        </w:tc>
        <w:tc>
          <w:tcPr>
            <w:tcW w:w="1250" w:type="pct"/>
          </w:tcPr>
          <w:p w14:paraId="2FFE91B6" w14:textId="77777777" w:rsidR="00994DB9" w:rsidRPr="009461CC" w:rsidRDefault="00994DB9" w:rsidP="0022766F">
            <w:pPr>
              <w:widowControl w:val="0"/>
              <w:rPr>
                <w:rFonts w:cs="Times New Roman"/>
              </w:rPr>
            </w:pPr>
            <w:r>
              <w:rPr>
                <w:rFonts w:cs="Times New Roman"/>
                <w:lang w:val="hr"/>
              </w:rPr>
              <w:t>150 cm</w:t>
            </w:r>
          </w:p>
        </w:tc>
      </w:tr>
      <w:tr w:rsidR="00994DB9" w:rsidRPr="009461CC" w14:paraId="1CBE6E3D" w14:textId="77777777" w:rsidTr="0022766F">
        <w:tc>
          <w:tcPr>
            <w:tcW w:w="1354" w:type="pct"/>
          </w:tcPr>
          <w:p w14:paraId="3CD87E57" w14:textId="77777777" w:rsidR="00994DB9" w:rsidRPr="009461CC" w:rsidRDefault="00994DB9" w:rsidP="0022766F">
            <w:pPr>
              <w:widowControl w:val="0"/>
              <w:rPr>
                <w:rFonts w:cs="Times New Roman"/>
              </w:rPr>
            </w:pPr>
            <w:r>
              <w:rPr>
                <w:rFonts w:cs="Times New Roman"/>
                <w:lang w:val="hr"/>
              </w:rPr>
              <w:t>6 – 10 mm</w:t>
            </w:r>
          </w:p>
        </w:tc>
        <w:tc>
          <w:tcPr>
            <w:tcW w:w="1274" w:type="pct"/>
          </w:tcPr>
          <w:p w14:paraId="58739EE1" w14:textId="77777777" w:rsidR="00994DB9" w:rsidRPr="009461CC" w:rsidRDefault="00994DB9" w:rsidP="0022766F">
            <w:pPr>
              <w:widowControl w:val="0"/>
              <w:rPr>
                <w:rFonts w:cs="Times New Roman"/>
              </w:rPr>
            </w:pPr>
            <w:r>
              <w:rPr>
                <w:rFonts w:cs="Times New Roman"/>
                <w:lang w:val="hr"/>
              </w:rPr>
              <w:t>120 cm</w:t>
            </w:r>
          </w:p>
        </w:tc>
        <w:tc>
          <w:tcPr>
            <w:tcW w:w="1123" w:type="pct"/>
          </w:tcPr>
          <w:p w14:paraId="66A2FE52" w14:textId="77777777" w:rsidR="00994DB9" w:rsidRPr="009461CC" w:rsidRDefault="00994DB9" w:rsidP="0022766F">
            <w:pPr>
              <w:widowControl w:val="0"/>
              <w:rPr>
                <w:rFonts w:cs="Times New Roman"/>
              </w:rPr>
            </w:pPr>
            <w:r>
              <w:rPr>
                <w:rFonts w:cs="Times New Roman"/>
                <w:lang w:val="hr"/>
              </w:rPr>
              <w:t>6 F</w:t>
            </w:r>
          </w:p>
        </w:tc>
        <w:tc>
          <w:tcPr>
            <w:tcW w:w="1250" w:type="pct"/>
          </w:tcPr>
          <w:p w14:paraId="16036ECD" w14:textId="77777777" w:rsidR="00994DB9" w:rsidRPr="009461CC" w:rsidRDefault="00994DB9" w:rsidP="0022766F">
            <w:pPr>
              <w:widowControl w:val="0"/>
              <w:rPr>
                <w:rFonts w:cs="Times New Roman"/>
              </w:rPr>
            </w:pPr>
            <w:r>
              <w:rPr>
                <w:rFonts w:cs="Times New Roman"/>
                <w:lang w:val="hr"/>
              </w:rPr>
              <w:t>100 cm</w:t>
            </w:r>
          </w:p>
        </w:tc>
      </w:tr>
      <w:tr w:rsidR="00994DB9" w:rsidRPr="009461CC" w14:paraId="7137F3A0" w14:textId="77777777" w:rsidTr="0022766F">
        <w:tc>
          <w:tcPr>
            <w:tcW w:w="1354" w:type="pct"/>
          </w:tcPr>
          <w:p w14:paraId="5097E3BD" w14:textId="77777777" w:rsidR="00994DB9" w:rsidRPr="009461CC" w:rsidRDefault="00994DB9" w:rsidP="0022766F">
            <w:pPr>
              <w:widowControl w:val="0"/>
              <w:rPr>
                <w:rFonts w:cs="Times New Roman"/>
              </w:rPr>
            </w:pPr>
            <w:r>
              <w:rPr>
                <w:rFonts w:cs="Times New Roman"/>
                <w:lang w:val="hr"/>
              </w:rPr>
              <w:t>9 – 15 mm</w:t>
            </w:r>
          </w:p>
        </w:tc>
        <w:tc>
          <w:tcPr>
            <w:tcW w:w="1274" w:type="pct"/>
          </w:tcPr>
          <w:p w14:paraId="6E08B1BC" w14:textId="77777777" w:rsidR="00994DB9" w:rsidRPr="009461CC" w:rsidRDefault="00994DB9" w:rsidP="0022766F">
            <w:pPr>
              <w:widowControl w:val="0"/>
              <w:rPr>
                <w:rFonts w:cs="Times New Roman"/>
              </w:rPr>
            </w:pPr>
            <w:r>
              <w:rPr>
                <w:rFonts w:cs="Times New Roman"/>
                <w:lang w:val="hr"/>
              </w:rPr>
              <w:t>120 cm</w:t>
            </w:r>
          </w:p>
        </w:tc>
        <w:tc>
          <w:tcPr>
            <w:tcW w:w="1123" w:type="pct"/>
          </w:tcPr>
          <w:p w14:paraId="5E975E99" w14:textId="77777777" w:rsidR="00994DB9" w:rsidRPr="009461CC" w:rsidRDefault="00994DB9" w:rsidP="0022766F">
            <w:pPr>
              <w:widowControl w:val="0"/>
              <w:rPr>
                <w:rFonts w:cs="Times New Roman"/>
              </w:rPr>
            </w:pPr>
            <w:r>
              <w:rPr>
                <w:rFonts w:cs="Times New Roman"/>
                <w:lang w:val="hr"/>
              </w:rPr>
              <w:t>6 F</w:t>
            </w:r>
          </w:p>
        </w:tc>
        <w:tc>
          <w:tcPr>
            <w:tcW w:w="1250" w:type="pct"/>
          </w:tcPr>
          <w:p w14:paraId="70150399" w14:textId="77777777" w:rsidR="00994DB9" w:rsidRPr="009461CC" w:rsidRDefault="00994DB9" w:rsidP="0022766F">
            <w:pPr>
              <w:widowControl w:val="0"/>
              <w:rPr>
                <w:rFonts w:cs="Times New Roman"/>
              </w:rPr>
            </w:pPr>
            <w:r>
              <w:rPr>
                <w:rFonts w:cs="Times New Roman"/>
                <w:lang w:val="hr"/>
              </w:rPr>
              <w:t>100 cm</w:t>
            </w:r>
          </w:p>
        </w:tc>
      </w:tr>
      <w:tr w:rsidR="00994DB9" w:rsidRPr="009461CC" w14:paraId="6873E431" w14:textId="77777777" w:rsidTr="0022766F">
        <w:tc>
          <w:tcPr>
            <w:tcW w:w="1354" w:type="pct"/>
          </w:tcPr>
          <w:p w14:paraId="0A8A2276" w14:textId="77777777" w:rsidR="00994DB9" w:rsidRPr="009461CC" w:rsidRDefault="00994DB9" w:rsidP="0022766F">
            <w:pPr>
              <w:widowControl w:val="0"/>
              <w:rPr>
                <w:rFonts w:cs="Times New Roman"/>
              </w:rPr>
            </w:pPr>
            <w:r>
              <w:rPr>
                <w:rFonts w:cs="Times New Roman"/>
                <w:lang w:val="hr"/>
              </w:rPr>
              <w:t>12 – 20 mm</w:t>
            </w:r>
          </w:p>
        </w:tc>
        <w:tc>
          <w:tcPr>
            <w:tcW w:w="1274" w:type="pct"/>
          </w:tcPr>
          <w:p w14:paraId="7058BA8B" w14:textId="77777777" w:rsidR="00994DB9" w:rsidRPr="009461CC" w:rsidRDefault="00994DB9" w:rsidP="0022766F">
            <w:pPr>
              <w:widowControl w:val="0"/>
              <w:rPr>
                <w:rFonts w:cs="Times New Roman"/>
              </w:rPr>
            </w:pPr>
            <w:r>
              <w:rPr>
                <w:rFonts w:cs="Times New Roman"/>
                <w:lang w:val="hr"/>
              </w:rPr>
              <w:t>120 cm</w:t>
            </w:r>
          </w:p>
        </w:tc>
        <w:tc>
          <w:tcPr>
            <w:tcW w:w="1123" w:type="pct"/>
          </w:tcPr>
          <w:p w14:paraId="16F950BF" w14:textId="77777777" w:rsidR="00994DB9" w:rsidRPr="009461CC" w:rsidRDefault="00994DB9" w:rsidP="0022766F">
            <w:pPr>
              <w:widowControl w:val="0"/>
              <w:rPr>
                <w:rFonts w:cs="Times New Roman"/>
              </w:rPr>
            </w:pPr>
            <w:r>
              <w:rPr>
                <w:rFonts w:cs="Times New Roman"/>
                <w:lang w:val="hr"/>
              </w:rPr>
              <w:t>6 F</w:t>
            </w:r>
          </w:p>
        </w:tc>
        <w:tc>
          <w:tcPr>
            <w:tcW w:w="1250" w:type="pct"/>
          </w:tcPr>
          <w:p w14:paraId="759B78BD" w14:textId="77777777" w:rsidR="00994DB9" w:rsidRPr="009461CC" w:rsidRDefault="00994DB9" w:rsidP="0022766F">
            <w:pPr>
              <w:widowControl w:val="0"/>
              <w:rPr>
                <w:rFonts w:cs="Times New Roman"/>
              </w:rPr>
            </w:pPr>
            <w:r>
              <w:rPr>
                <w:rFonts w:cs="Times New Roman"/>
                <w:lang w:val="hr"/>
              </w:rPr>
              <w:t>100 cm</w:t>
            </w:r>
          </w:p>
        </w:tc>
      </w:tr>
      <w:tr w:rsidR="00994DB9" w:rsidRPr="009461CC" w14:paraId="52111BAB" w14:textId="77777777" w:rsidTr="0022766F">
        <w:tc>
          <w:tcPr>
            <w:tcW w:w="1354" w:type="pct"/>
          </w:tcPr>
          <w:p w14:paraId="41061D9E" w14:textId="77777777" w:rsidR="00994DB9" w:rsidRPr="009461CC" w:rsidRDefault="00994DB9" w:rsidP="0022766F">
            <w:pPr>
              <w:widowControl w:val="0"/>
              <w:rPr>
                <w:rFonts w:cs="Times New Roman"/>
              </w:rPr>
            </w:pPr>
            <w:r>
              <w:rPr>
                <w:rFonts w:cs="Times New Roman"/>
                <w:lang w:val="hr"/>
              </w:rPr>
              <w:t>18 – 30 mm</w:t>
            </w:r>
          </w:p>
        </w:tc>
        <w:tc>
          <w:tcPr>
            <w:tcW w:w="1274" w:type="pct"/>
          </w:tcPr>
          <w:p w14:paraId="22AB0CDE" w14:textId="77777777" w:rsidR="00994DB9" w:rsidRPr="009461CC" w:rsidRDefault="00994DB9" w:rsidP="0022766F">
            <w:pPr>
              <w:widowControl w:val="0"/>
              <w:rPr>
                <w:rFonts w:cs="Times New Roman"/>
              </w:rPr>
            </w:pPr>
            <w:r>
              <w:rPr>
                <w:rFonts w:cs="Times New Roman"/>
                <w:lang w:val="hr"/>
              </w:rPr>
              <w:t>120 cm</w:t>
            </w:r>
          </w:p>
        </w:tc>
        <w:tc>
          <w:tcPr>
            <w:tcW w:w="1123" w:type="pct"/>
          </w:tcPr>
          <w:p w14:paraId="17196BA8" w14:textId="77777777" w:rsidR="00994DB9" w:rsidRPr="009461CC" w:rsidRDefault="00994DB9" w:rsidP="0022766F">
            <w:pPr>
              <w:widowControl w:val="0"/>
              <w:rPr>
                <w:rFonts w:cs="Times New Roman"/>
              </w:rPr>
            </w:pPr>
            <w:r>
              <w:rPr>
                <w:rFonts w:cs="Times New Roman"/>
                <w:lang w:val="hr"/>
              </w:rPr>
              <w:t>7 F</w:t>
            </w:r>
          </w:p>
        </w:tc>
        <w:tc>
          <w:tcPr>
            <w:tcW w:w="1250" w:type="pct"/>
          </w:tcPr>
          <w:p w14:paraId="4543B8B0" w14:textId="77777777" w:rsidR="00994DB9" w:rsidRPr="009461CC" w:rsidRDefault="00994DB9" w:rsidP="0022766F">
            <w:pPr>
              <w:widowControl w:val="0"/>
              <w:rPr>
                <w:rFonts w:cs="Times New Roman"/>
              </w:rPr>
            </w:pPr>
            <w:r>
              <w:rPr>
                <w:rFonts w:cs="Times New Roman"/>
                <w:lang w:val="hr"/>
              </w:rPr>
              <w:t>100 cm</w:t>
            </w:r>
          </w:p>
        </w:tc>
      </w:tr>
      <w:tr w:rsidR="00994DB9" w:rsidRPr="009461CC" w14:paraId="3F7A77C7" w14:textId="77777777" w:rsidTr="0022766F">
        <w:tc>
          <w:tcPr>
            <w:tcW w:w="1354" w:type="pct"/>
          </w:tcPr>
          <w:p w14:paraId="755F3FE4" w14:textId="77777777" w:rsidR="00994DB9" w:rsidRPr="009461CC" w:rsidRDefault="00994DB9" w:rsidP="0022766F">
            <w:pPr>
              <w:widowControl w:val="0"/>
              <w:rPr>
                <w:rFonts w:cs="Times New Roman"/>
              </w:rPr>
            </w:pPr>
            <w:r>
              <w:rPr>
                <w:rFonts w:cs="Times New Roman"/>
                <w:lang w:val="hr"/>
              </w:rPr>
              <w:t>27 – 45 mm</w:t>
            </w:r>
          </w:p>
        </w:tc>
        <w:tc>
          <w:tcPr>
            <w:tcW w:w="1274" w:type="pct"/>
          </w:tcPr>
          <w:p w14:paraId="622306B0" w14:textId="77777777" w:rsidR="00994DB9" w:rsidRPr="009461CC" w:rsidRDefault="00994DB9" w:rsidP="0022766F">
            <w:pPr>
              <w:widowControl w:val="0"/>
              <w:rPr>
                <w:rFonts w:cs="Times New Roman"/>
              </w:rPr>
            </w:pPr>
            <w:r>
              <w:rPr>
                <w:rFonts w:cs="Times New Roman"/>
                <w:lang w:val="hr"/>
              </w:rPr>
              <w:t>120 cm</w:t>
            </w:r>
          </w:p>
        </w:tc>
        <w:tc>
          <w:tcPr>
            <w:tcW w:w="1123" w:type="pct"/>
          </w:tcPr>
          <w:p w14:paraId="74C46753" w14:textId="77777777" w:rsidR="00994DB9" w:rsidRPr="009461CC" w:rsidRDefault="00994DB9" w:rsidP="0022766F">
            <w:pPr>
              <w:widowControl w:val="0"/>
              <w:rPr>
                <w:rFonts w:cs="Times New Roman"/>
              </w:rPr>
            </w:pPr>
            <w:r>
              <w:rPr>
                <w:rFonts w:cs="Times New Roman"/>
                <w:lang w:val="hr"/>
              </w:rPr>
              <w:t>7 F</w:t>
            </w:r>
          </w:p>
        </w:tc>
        <w:tc>
          <w:tcPr>
            <w:tcW w:w="1250" w:type="pct"/>
          </w:tcPr>
          <w:p w14:paraId="2DBCCFBE" w14:textId="77777777" w:rsidR="00994DB9" w:rsidRPr="009461CC" w:rsidRDefault="00994DB9" w:rsidP="0022766F">
            <w:pPr>
              <w:widowControl w:val="0"/>
              <w:rPr>
                <w:rFonts w:cs="Times New Roman"/>
              </w:rPr>
            </w:pPr>
            <w:r>
              <w:rPr>
                <w:rFonts w:cs="Times New Roman"/>
                <w:lang w:val="hr"/>
              </w:rPr>
              <w:t>100 cm</w:t>
            </w:r>
          </w:p>
        </w:tc>
      </w:tr>
    </w:tbl>
    <w:p w14:paraId="5D27461E" w14:textId="77777777" w:rsidR="000F4DF1" w:rsidRPr="009461CC" w:rsidRDefault="000F4DF1" w:rsidP="00722580">
      <w:pPr>
        <w:spacing w:after="0" w:afterAutospacing="0"/>
        <w:rPr>
          <w:rFonts w:cs="Times New Roman"/>
        </w:rPr>
      </w:pPr>
    </w:p>
    <w:p w14:paraId="4C7769AE" w14:textId="77777777" w:rsidR="00D20FA4" w:rsidRPr="009461CC" w:rsidRDefault="00D20FA4" w:rsidP="00042B91">
      <w:pPr>
        <w:pStyle w:val="Heading1"/>
        <w:rPr>
          <w:rFonts w:cs="Times New Roman"/>
        </w:rPr>
      </w:pPr>
      <w:bookmarkStart w:id="15" w:name="_Toc222741438"/>
      <w:bookmarkEnd w:id="14"/>
      <w:r>
        <w:rPr>
          <w:rFonts w:cs="Times New Roman"/>
          <w:bCs/>
          <w:lang w:val="hr"/>
        </w:rPr>
        <w:t>Prethodne varijante i razlike među njima</w:t>
      </w:r>
      <w:bookmarkEnd w:id="15"/>
    </w:p>
    <w:p w14:paraId="060329F5" w14:textId="3AA8BB73" w:rsidR="00042B91" w:rsidRPr="009461CC" w:rsidRDefault="009D7E33" w:rsidP="007B0F04">
      <w:pPr>
        <w:ind w:left="792"/>
        <w:rPr>
          <w:rFonts w:cs="Times New Roman"/>
        </w:rPr>
      </w:pPr>
      <w:r>
        <w:rPr>
          <w:rFonts w:cs="Times New Roman"/>
          <w:lang w:val="hr"/>
        </w:rPr>
        <w:t>Ovaj odjeljak nije primjenjiv (N/P).</w:t>
      </w:r>
    </w:p>
    <w:p w14:paraId="26363C05" w14:textId="77777777" w:rsidR="00760400" w:rsidRPr="00722580" w:rsidRDefault="00760400" w:rsidP="00042B91">
      <w:pPr>
        <w:pStyle w:val="Heading1"/>
        <w:rPr>
          <w:rFonts w:cs="Times New Roman"/>
          <w:lang w:val="pl-PL"/>
        </w:rPr>
      </w:pPr>
      <w:bookmarkStart w:id="16" w:name="_Toc222741439"/>
      <w:r>
        <w:rPr>
          <w:rFonts w:cs="Times New Roman"/>
          <w:bCs/>
          <w:lang w:val="hr"/>
        </w:rPr>
        <w:t>Dodaci, kompatibilni proizvodi i ostali proizvodi koji se mogu kombinirati</w:t>
      </w:r>
      <w:bookmarkEnd w:id="16"/>
    </w:p>
    <w:p w14:paraId="21F32064" w14:textId="4EA5E41D" w:rsidR="00C02BC0" w:rsidRPr="00722580" w:rsidRDefault="00C02BC0" w:rsidP="007B0F04">
      <w:pPr>
        <w:spacing w:after="0" w:afterAutospacing="0"/>
        <w:ind w:left="792"/>
        <w:rPr>
          <w:rFonts w:cs="Times New Roman"/>
          <w:lang w:val="pl-PL"/>
        </w:rPr>
      </w:pPr>
      <w:r>
        <w:rPr>
          <w:rFonts w:cs="Times New Roman"/>
          <w:lang w:val="hr"/>
        </w:rPr>
        <w:t>Dodaci kompleta vaskularne omče Atrieve</w:t>
      </w:r>
      <w:r w:rsidR="00AE1FBE" w:rsidRPr="00722580">
        <w:rPr>
          <w:lang w:val="pl-PL"/>
        </w:rPr>
        <w:t xml:space="preserve"> </w:t>
      </w:r>
      <w:r w:rsidR="00AE1FBE" w:rsidRPr="00AE1FBE">
        <w:rPr>
          <w:rFonts w:cs="Times New Roman"/>
          <w:lang w:val="hr"/>
        </w:rPr>
        <w:t>Snare</w:t>
      </w:r>
      <w:r>
        <w:rPr>
          <w:rFonts w:cs="Times New Roman"/>
          <w:lang w:val="hr"/>
        </w:rPr>
        <w:t xml:space="preserve"> uključuju uvodni kateter, instrument za uvođenje i zakretnu ručku (hvataljku).</w:t>
      </w:r>
    </w:p>
    <w:p w14:paraId="45C0A245" w14:textId="61A622A4" w:rsidR="008745ED" w:rsidRPr="009461CC" w:rsidRDefault="008745ED" w:rsidP="00F67A0E">
      <w:pPr>
        <w:pStyle w:val="Heading1"/>
        <w:numPr>
          <w:ilvl w:val="0"/>
          <w:numId w:val="2"/>
        </w:numPr>
        <w:rPr>
          <w:rFonts w:cs="Times New Roman"/>
        </w:rPr>
      </w:pPr>
      <w:bookmarkStart w:id="17" w:name="_Toc222741440"/>
      <w:r>
        <w:rPr>
          <w:rFonts w:cs="Times New Roman"/>
          <w:bCs/>
          <w:lang w:val="hr"/>
        </w:rPr>
        <w:lastRenderedPageBreak/>
        <w:t>Rizici i upozorenja</w:t>
      </w:r>
      <w:bookmarkEnd w:id="17"/>
    </w:p>
    <w:p w14:paraId="3D8BE6E3" w14:textId="77777777" w:rsidR="00042B91" w:rsidRPr="00722580" w:rsidRDefault="00042B91" w:rsidP="00042B91">
      <w:pPr>
        <w:spacing w:after="0" w:afterAutospacing="0" w:line="240" w:lineRule="auto"/>
        <w:rPr>
          <w:rFonts w:cs="Times New Roman"/>
          <w:sz w:val="16"/>
          <w:szCs w:val="14"/>
        </w:rPr>
      </w:pPr>
    </w:p>
    <w:p w14:paraId="04F70349" w14:textId="6FD2DA8D" w:rsidR="008745ED" w:rsidRPr="009461CC" w:rsidRDefault="008745ED" w:rsidP="00042B91">
      <w:pPr>
        <w:pStyle w:val="Heading1"/>
        <w:rPr>
          <w:rFonts w:cs="Times New Roman"/>
        </w:rPr>
      </w:pPr>
      <w:bookmarkStart w:id="18" w:name="_Toc222741441"/>
      <w:r>
        <w:rPr>
          <w:rFonts w:cs="Times New Roman"/>
          <w:bCs/>
          <w:lang w:val="hr"/>
        </w:rPr>
        <w:t>Preostali rizici i neželjene nuspojave</w:t>
      </w:r>
      <w:bookmarkEnd w:id="18"/>
    </w:p>
    <w:p w14:paraId="2F64097C" w14:textId="7CF45EDE" w:rsidR="00D15BBE" w:rsidRPr="00722580" w:rsidRDefault="00C64987" w:rsidP="008D7F1C">
      <w:pPr>
        <w:ind w:left="792"/>
        <w:rPr>
          <w:rFonts w:cs="Times New Roman"/>
          <w:lang w:val="pl-PL"/>
        </w:rPr>
      </w:pPr>
      <w:r>
        <w:rPr>
          <w:rFonts w:cs="Times New Roman"/>
          <w:lang w:val="hr"/>
        </w:rPr>
        <w:t xml:space="preserve">U dokumentu RMR-0011 </w:t>
      </w:r>
      <w:r w:rsidR="001B41A5">
        <w:rPr>
          <w:rFonts w:cs="Times New Roman"/>
          <w:lang w:val="hr"/>
        </w:rPr>
        <w:t>R</w:t>
      </w:r>
      <w:r>
        <w:rPr>
          <w:rFonts w:cs="Times New Roman"/>
          <w:lang w:val="hr"/>
        </w:rPr>
        <w:t xml:space="preserve">ev H naveden je sljedeći profil rizika i koristi za proizvod: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1708"/>
        <w:gridCol w:w="1980"/>
        <w:gridCol w:w="4226"/>
      </w:tblGrid>
      <w:tr w:rsidR="009D54AB" w:rsidRPr="009461CC" w14:paraId="15FC12E9" w14:textId="77777777" w:rsidTr="00722580">
        <w:trPr>
          <w:trHeight w:val="620"/>
        </w:trPr>
        <w:tc>
          <w:tcPr>
            <w:tcW w:w="1206" w:type="pct"/>
            <w:shd w:val="clear" w:color="auto" w:fill="BFBFBF"/>
            <w:vAlign w:val="center"/>
          </w:tcPr>
          <w:p w14:paraId="024816D8"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hr"/>
              </w:rPr>
              <w:t>Ishod</w:t>
            </w:r>
            <w:bookmarkStart w:id="19" w:name="_Toc86391902"/>
            <w:bookmarkEnd w:id="19"/>
          </w:p>
        </w:tc>
        <w:tc>
          <w:tcPr>
            <w:tcW w:w="819" w:type="pct"/>
            <w:shd w:val="clear" w:color="auto" w:fill="BFBFBF"/>
          </w:tcPr>
          <w:p w14:paraId="22A108A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hr"/>
              </w:rPr>
              <w:t>SOA</w:t>
            </w:r>
            <w:r>
              <w:rPr>
                <w:rFonts w:ascii="Times New Roman" w:hAnsi="Times New Roman" w:cs="Times New Roman"/>
                <w:lang w:val="hr"/>
              </w:rPr>
              <w:br/>
              <w:t>Ukupni raspon</w:t>
            </w:r>
          </w:p>
        </w:tc>
        <w:tc>
          <w:tcPr>
            <w:tcW w:w="949" w:type="pct"/>
            <w:shd w:val="clear" w:color="auto" w:fill="BFBFBF"/>
            <w:vAlign w:val="center"/>
          </w:tcPr>
          <w:p w14:paraId="16D6B523"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hr"/>
              </w:rPr>
              <w:t>Konkurentski proizvod</w:t>
            </w:r>
          </w:p>
          <w:p w14:paraId="45EFB37E"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hr"/>
              </w:rPr>
              <w:t>Ukupni raspon</w:t>
            </w:r>
            <w:bookmarkStart w:id="20" w:name="_Toc86391905"/>
            <w:bookmarkEnd w:id="20"/>
          </w:p>
        </w:tc>
        <w:tc>
          <w:tcPr>
            <w:tcW w:w="2026" w:type="pct"/>
            <w:shd w:val="clear" w:color="auto" w:fill="BFBFBF"/>
            <w:vAlign w:val="center"/>
          </w:tcPr>
          <w:p w14:paraId="17C5AFF5" w14:textId="77777777" w:rsidR="00453251" w:rsidRPr="009461CC" w:rsidRDefault="00453251" w:rsidP="00AC7398">
            <w:pPr>
              <w:pStyle w:val="TableHeading-Font10"/>
              <w:rPr>
                <w:rFonts w:ascii="Times New Roman" w:hAnsi="Times New Roman" w:cs="Times New Roman"/>
              </w:rPr>
            </w:pPr>
            <w:r>
              <w:rPr>
                <w:rFonts w:ascii="Times New Roman" w:hAnsi="Times New Roman" w:cs="Times New Roman"/>
                <w:lang w:val="hr"/>
              </w:rPr>
              <w:t>Kriteriji prihvatljivosti</w:t>
            </w:r>
            <w:bookmarkStart w:id="21" w:name="_Toc86391906"/>
            <w:bookmarkEnd w:id="21"/>
          </w:p>
        </w:tc>
        <w:bookmarkStart w:id="22" w:name="_Toc86391907"/>
        <w:bookmarkEnd w:id="22"/>
      </w:tr>
      <w:tr w:rsidR="00453251" w:rsidRPr="009461CC" w14:paraId="5B41AE2D" w14:textId="77777777" w:rsidTr="00453251">
        <w:tc>
          <w:tcPr>
            <w:tcW w:w="5000" w:type="pct"/>
            <w:gridSpan w:val="4"/>
            <w:shd w:val="clear" w:color="auto" w:fill="D9D9D9"/>
          </w:tcPr>
          <w:p w14:paraId="026E445F" w14:textId="77777777" w:rsidR="00453251" w:rsidRPr="009461CC" w:rsidRDefault="00453251" w:rsidP="00AC7398">
            <w:pPr>
              <w:pStyle w:val="TableTextLeft"/>
              <w:rPr>
                <w:rFonts w:ascii="Times New Roman" w:hAnsi="Times New Roman" w:cs="Times New Roman"/>
                <w:b/>
                <w:bCs/>
              </w:rPr>
            </w:pPr>
            <w:r>
              <w:rPr>
                <w:rFonts w:ascii="Times New Roman" w:hAnsi="Times New Roman" w:cs="Times New Roman"/>
                <w:b/>
                <w:bCs/>
                <w:iCs w:val="0"/>
                <w:lang w:val="hr"/>
              </w:rPr>
              <w:t>Sigurnost</w:t>
            </w:r>
          </w:p>
        </w:tc>
      </w:tr>
      <w:tr w:rsidR="009D54AB" w:rsidRPr="009461CC" w14:paraId="2ECEC40D" w14:textId="77777777" w:rsidTr="00722580">
        <w:tc>
          <w:tcPr>
            <w:tcW w:w="1206" w:type="pct"/>
          </w:tcPr>
          <w:p w14:paraId="01C3E100" w14:textId="43746AE9" w:rsidR="00453251" w:rsidRPr="009461CC" w:rsidRDefault="001B41A5" w:rsidP="00AC7398">
            <w:pPr>
              <w:pStyle w:val="TableTextLeft"/>
              <w:rPr>
                <w:rFonts w:ascii="Times New Roman" w:hAnsi="Times New Roman" w:cs="Times New Roman"/>
              </w:rPr>
            </w:pPr>
            <w:r>
              <w:rPr>
                <w:rFonts w:ascii="Times New Roman" w:hAnsi="Times New Roman" w:cs="Times New Roman"/>
                <w:iCs w:val="0"/>
                <w:lang w:val="hr"/>
              </w:rPr>
              <w:t>Krvarenje</w:t>
            </w:r>
            <w:bookmarkStart w:id="23" w:name="_Toc86391910"/>
            <w:bookmarkEnd w:id="23"/>
          </w:p>
        </w:tc>
        <w:tc>
          <w:tcPr>
            <w:tcW w:w="819" w:type="pct"/>
            <w:vAlign w:val="center"/>
          </w:tcPr>
          <w:p w14:paraId="529B6FA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 3 %</w:t>
            </w:r>
          </w:p>
        </w:tc>
        <w:tc>
          <w:tcPr>
            <w:tcW w:w="949" w:type="pct"/>
            <w:vAlign w:val="center"/>
          </w:tcPr>
          <w:p w14:paraId="30172B6B" w14:textId="77777777" w:rsidR="00453251" w:rsidRPr="009461CC" w:rsidRDefault="00453251" w:rsidP="00AC7398">
            <w:pPr>
              <w:pStyle w:val="TableTextLeft"/>
              <w:jc w:val="center"/>
              <w:rPr>
                <w:rFonts w:ascii="Times New Roman" w:hAnsi="Times New Roman" w:cs="Times New Roman"/>
                <w:iCs w:val="0"/>
              </w:rPr>
            </w:pPr>
            <w:bookmarkStart w:id="24" w:name="_Toc86391913"/>
            <w:bookmarkStart w:id="25" w:name="_Toc86391911"/>
            <w:bookmarkEnd w:id="24"/>
            <w:bookmarkEnd w:id="25"/>
            <w:r>
              <w:rPr>
                <w:rFonts w:ascii="Times New Roman" w:hAnsi="Times New Roman" w:cs="Times New Roman"/>
                <w:iCs w:val="0"/>
                <w:lang w:val="hr"/>
              </w:rPr>
              <w:t>0 – 0,6 %</w:t>
            </w:r>
          </w:p>
        </w:tc>
        <w:tc>
          <w:tcPr>
            <w:tcW w:w="2026" w:type="pct"/>
            <w:vAlign w:val="center"/>
          </w:tcPr>
          <w:p w14:paraId="03E978DF" w14:textId="77777777" w:rsidR="00453251" w:rsidRPr="009461CC" w:rsidRDefault="00453251" w:rsidP="00AC7398">
            <w:pPr>
              <w:pStyle w:val="TableTextLeft"/>
              <w:rPr>
                <w:rFonts w:ascii="Times New Roman" w:hAnsi="Times New Roman" w:cs="Times New Roman"/>
              </w:rPr>
            </w:pPr>
            <w:bookmarkStart w:id="26" w:name="_Toc86391914"/>
            <w:bookmarkEnd w:id="26"/>
            <w:r>
              <w:rPr>
                <w:rFonts w:ascii="Times New Roman" w:hAnsi="Times New Roman" w:cs="Times New Roman"/>
                <w:iCs w:val="0"/>
                <w:lang w:val="hr"/>
              </w:rPr>
              <w:t xml:space="preserve">Stope krvarenja </w:t>
            </w:r>
            <w:r>
              <w:rPr>
                <w:rFonts w:ascii="Times New Roman" w:hAnsi="Times New Roman" w:cs="Times New Roman"/>
                <w:b/>
                <w:bCs/>
                <w:iCs w:val="0"/>
                <w:lang w:val="hr"/>
              </w:rPr>
              <w:t>manje od 3 %</w:t>
            </w:r>
          </w:p>
        </w:tc>
        <w:bookmarkStart w:id="27" w:name="_Toc86391915"/>
        <w:bookmarkEnd w:id="27"/>
      </w:tr>
      <w:tr w:rsidR="009D54AB" w:rsidRPr="00973C91" w14:paraId="770200CA" w14:textId="77777777" w:rsidTr="00722580">
        <w:tc>
          <w:tcPr>
            <w:tcW w:w="1206" w:type="pct"/>
          </w:tcPr>
          <w:p w14:paraId="4D43F3AC"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hr"/>
              </w:rPr>
              <w:t>Perforacija / oštećenje tkiva</w:t>
            </w:r>
            <w:bookmarkStart w:id="28" w:name="_Toc86391916"/>
            <w:bookmarkEnd w:id="28"/>
          </w:p>
        </w:tc>
        <w:tc>
          <w:tcPr>
            <w:tcW w:w="819" w:type="pct"/>
            <w:vAlign w:val="center"/>
          </w:tcPr>
          <w:p w14:paraId="42E7FC3B"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 1,7 %</w:t>
            </w:r>
          </w:p>
        </w:tc>
        <w:tc>
          <w:tcPr>
            <w:tcW w:w="949" w:type="pct"/>
            <w:vAlign w:val="center"/>
          </w:tcPr>
          <w:p w14:paraId="58C428BE" w14:textId="77777777" w:rsidR="00453251" w:rsidRPr="009461CC" w:rsidRDefault="00453251" w:rsidP="00AC7398">
            <w:pPr>
              <w:pStyle w:val="TableTextLeft"/>
              <w:jc w:val="center"/>
              <w:rPr>
                <w:rFonts w:ascii="Times New Roman" w:hAnsi="Times New Roman" w:cs="Times New Roman"/>
                <w:iCs w:val="0"/>
              </w:rPr>
            </w:pPr>
            <w:bookmarkStart w:id="29" w:name="_Toc86391919"/>
            <w:bookmarkStart w:id="30" w:name="_Toc86391917"/>
            <w:bookmarkEnd w:id="29"/>
            <w:bookmarkEnd w:id="30"/>
            <w:r>
              <w:rPr>
                <w:rFonts w:ascii="Times New Roman" w:hAnsi="Times New Roman" w:cs="Times New Roman"/>
                <w:iCs w:val="0"/>
                <w:lang w:val="hr"/>
              </w:rPr>
              <w:t>0 – 4,0 %</w:t>
            </w:r>
          </w:p>
        </w:tc>
        <w:tc>
          <w:tcPr>
            <w:tcW w:w="2026" w:type="pct"/>
            <w:vAlign w:val="center"/>
          </w:tcPr>
          <w:p w14:paraId="785BDB89" w14:textId="77777777" w:rsidR="00453251" w:rsidRPr="00722580" w:rsidRDefault="00453251" w:rsidP="00AC7398">
            <w:pPr>
              <w:pStyle w:val="TableTextLeft"/>
              <w:rPr>
                <w:rFonts w:ascii="Times New Roman" w:hAnsi="Times New Roman" w:cs="Times New Roman"/>
                <w:b/>
                <w:bCs/>
                <w:lang w:val="pl-PL"/>
              </w:rPr>
            </w:pPr>
            <w:bookmarkStart w:id="31" w:name="_Toc86391920"/>
            <w:bookmarkEnd w:id="31"/>
            <w:r>
              <w:rPr>
                <w:rFonts w:ascii="Times New Roman" w:hAnsi="Times New Roman" w:cs="Times New Roman"/>
                <w:iCs w:val="0"/>
                <w:lang w:val="hr"/>
              </w:rPr>
              <w:t xml:space="preserve">Stope perforacije / oštećenja tkiva </w:t>
            </w:r>
            <w:r>
              <w:rPr>
                <w:rFonts w:ascii="Times New Roman" w:hAnsi="Times New Roman" w:cs="Times New Roman"/>
                <w:b/>
                <w:bCs/>
                <w:iCs w:val="0"/>
                <w:lang w:val="hr"/>
              </w:rPr>
              <w:t>manje od 4 %</w:t>
            </w:r>
          </w:p>
        </w:tc>
        <w:bookmarkStart w:id="32" w:name="_Toc86391921"/>
        <w:bookmarkEnd w:id="32"/>
      </w:tr>
      <w:tr w:rsidR="009D54AB" w:rsidRPr="009461CC" w14:paraId="3D17E0CA" w14:textId="77777777" w:rsidTr="00722580">
        <w:tc>
          <w:tcPr>
            <w:tcW w:w="1206" w:type="pct"/>
          </w:tcPr>
          <w:p w14:paraId="22E5467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hr"/>
              </w:rPr>
              <w:t>Zračna embolija</w:t>
            </w:r>
            <w:bookmarkStart w:id="33" w:name="_Toc86391922"/>
            <w:bookmarkEnd w:id="33"/>
          </w:p>
        </w:tc>
        <w:tc>
          <w:tcPr>
            <w:tcW w:w="819" w:type="pct"/>
            <w:vAlign w:val="center"/>
          </w:tcPr>
          <w:p w14:paraId="50CDDBB0"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 2,1 %</w:t>
            </w:r>
          </w:p>
        </w:tc>
        <w:tc>
          <w:tcPr>
            <w:tcW w:w="949" w:type="pct"/>
            <w:vAlign w:val="center"/>
          </w:tcPr>
          <w:p w14:paraId="0471C436" w14:textId="77777777" w:rsidR="00453251" w:rsidRPr="009461CC" w:rsidRDefault="00453251" w:rsidP="00AC7398">
            <w:pPr>
              <w:pStyle w:val="TableTextLeft"/>
              <w:jc w:val="center"/>
              <w:rPr>
                <w:rFonts w:ascii="Times New Roman" w:hAnsi="Times New Roman" w:cs="Times New Roman"/>
                <w:iCs w:val="0"/>
              </w:rPr>
            </w:pPr>
            <w:bookmarkStart w:id="34" w:name="_Toc86391925"/>
            <w:bookmarkStart w:id="35" w:name="_Toc86391923"/>
            <w:bookmarkEnd w:id="34"/>
            <w:bookmarkEnd w:id="35"/>
            <w:r>
              <w:rPr>
                <w:rFonts w:ascii="Times New Roman" w:hAnsi="Times New Roman" w:cs="Times New Roman"/>
                <w:iCs w:val="0"/>
                <w:lang w:val="hr"/>
              </w:rPr>
              <w:t>0 – 0,6 %</w:t>
            </w:r>
          </w:p>
        </w:tc>
        <w:tc>
          <w:tcPr>
            <w:tcW w:w="2026" w:type="pct"/>
            <w:vAlign w:val="center"/>
          </w:tcPr>
          <w:p w14:paraId="1B80F3DB" w14:textId="77777777" w:rsidR="00453251" w:rsidRPr="009461CC" w:rsidRDefault="00453251" w:rsidP="00AC7398">
            <w:pPr>
              <w:pStyle w:val="TableTextLeft"/>
              <w:rPr>
                <w:rFonts w:ascii="Times New Roman" w:hAnsi="Times New Roman" w:cs="Times New Roman"/>
                <w:b/>
                <w:bCs/>
              </w:rPr>
            </w:pPr>
            <w:bookmarkStart w:id="36" w:name="_Toc86391926"/>
            <w:bookmarkEnd w:id="36"/>
            <w:r>
              <w:rPr>
                <w:rFonts w:ascii="Times New Roman" w:hAnsi="Times New Roman" w:cs="Times New Roman"/>
                <w:iCs w:val="0"/>
                <w:lang w:val="hr"/>
              </w:rPr>
              <w:t xml:space="preserve">Embolija </w:t>
            </w:r>
            <w:r>
              <w:rPr>
                <w:rFonts w:ascii="Times New Roman" w:hAnsi="Times New Roman" w:cs="Times New Roman"/>
                <w:b/>
                <w:bCs/>
                <w:iCs w:val="0"/>
                <w:lang w:val="hr"/>
              </w:rPr>
              <w:t>manje od 2,1 %</w:t>
            </w:r>
          </w:p>
        </w:tc>
        <w:bookmarkStart w:id="37" w:name="_Toc86391927"/>
        <w:bookmarkEnd w:id="37"/>
      </w:tr>
      <w:tr w:rsidR="009D54AB" w:rsidRPr="009461CC" w14:paraId="33FEDA6C" w14:textId="77777777" w:rsidTr="00722580">
        <w:tc>
          <w:tcPr>
            <w:tcW w:w="1206" w:type="pct"/>
          </w:tcPr>
          <w:p w14:paraId="5817831E"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hr"/>
              </w:rPr>
              <w:t>Infekcija</w:t>
            </w:r>
            <w:bookmarkStart w:id="38" w:name="_Toc86391928"/>
            <w:bookmarkEnd w:id="38"/>
          </w:p>
        </w:tc>
        <w:tc>
          <w:tcPr>
            <w:tcW w:w="819" w:type="pct"/>
            <w:vAlign w:val="center"/>
          </w:tcPr>
          <w:p w14:paraId="190DF8A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w:t>
            </w:r>
          </w:p>
        </w:tc>
        <w:tc>
          <w:tcPr>
            <w:tcW w:w="949" w:type="pct"/>
            <w:vAlign w:val="center"/>
          </w:tcPr>
          <w:p w14:paraId="480907F1" w14:textId="77777777" w:rsidR="00453251" w:rsidRPr="009461CC" w:rsidRDefault="00453251" w:rsidP="00AC7398">
            <w:pPr>
              <w:pStyle w:val="TableTextLeft"/>
              <w:jc w:val="center"/>
              <w:rPr>
                <w:rFonts w:ascii="Times New Roman" w:hAnsi="Times New Roman" w:cs="Times New Roman"/>
                <w:iCs w:val="0"/>
              </w:rPr>
            </w:pPr>
            <w:bookmarkStart w:id="39" w:name="_Toc86391931"/>
            <w:bookmarkStart w:id="40" w:name="_Toc86391929"/>
            <w:bookmarkEnd w:id="39"/>
            <w:bookmarkEnd w:id="40"/>
            <w:r>
              <w:rPr>
                <w:rFonts w:ascii="Times New Roman" w:hAnsi="Times New Roman" w:cs="Times New Roman"/>
                <w:iCs w:val="0"/>
                <w:lang w:val="hr"/>
              </w:rPr>
              <w:t>0 %</w:t>
            </w:r>
          </w:p>
        </w:tc>
        <w:tc>
          <w:tcPr>
            <w:tcW w:w="2026" w:type="pct"/>
            <w:vAlign w:val="center"/>
          </w:tcPr>
          <w:p w14:paraId="1D828A42" w14:textId="77777777" w:rsidR="00453251" w:rsidRPr="009461CC" w:rsidRDefault="00453251" w:rsidP="00AC7398">
            <w:pPr>
              <w:pStyle w:val="TableTextLeft"/>
              <w:rPr>
                <w:rFonts w:ascii="Times New Roman" w:hAnsi="Times New Roman" w:cs="Times New Roman"/>
                <w:b/>
                <w:bCs/>
              </w:rPr>
            </w:pPr>
            <w:bookmarkStart w:id="41" w:name="_Toc86391932"/>
            <w:bookmarkEnd w:id="41"/>
            <w:r>
              <w:rPr>
                <w:rFonts w:ascii="Times New Roman" w:hAnsi="Times New Roman" w:cs="Times New Roman"/>
                <w:iCs w:val="0"/>
                <w:lang w:val="hr"/>
              </w:rPr>
              <w:t xml:space="preserve">Infekcija </w:t>
            </w:r>
            <w:r>
              <w:rPr>
                <w:rFonts w:ascii="Times New Roman" w:hAnsi="Times New Roman" w:cs="Times New Roman"/>
                <w:b/>
                <w:bCs/>
                <w:iCs w:val="0"/>
                <w:lang w:val="hr"/>
              </w:rPr>
              <w:t>manje od 0 %</w:t>
            </w:r>
          </w:p>
        </w:tc>
        <w:bookmarkStart w:id="42" w:name="_Toc86391933"/>
        <w:bookmarkEnd w:id="42"/>
      </w:tr>
      <w:tr w:rsidR="009D54AB" w:rsidRPr="009461CC" w14:paraId="00F9D43C" w14:textId="77777777" w:rsidTr="00722580">
        <w:tc>
          <w:tcPr>
            <w:tcW w:w="1206" w:type="pct"/>
          </w:tcPr>
          <w:p w14:paraId="530E2FE9" w14:textId="249C1618" w:rsidR="00453251" w:rsidRPr="009461CC" w:rsidRDefault="001B41A5" w:rsidP="00AC7398">
            <w:pPr>
              <w:pStyle w:val="TableTextLeft"/>
              <w:rPr>
                <w:rFonts w:ascii="Times New Roman" w:hAnsi="Times New Roman" w:cs="Times New Roman"/>
              </w:rPr>
            </w:pPr>
            <w:r>
              <w:rPr>
                <w:rFonts w:ascii="Times New Roman" w:hAnsi="Times New Roman" w:cs="Times New Roman"/>
                <w:iCs w:val="0"/>
                <w:lang w:val="hr"/>
              </w:rPr>
              <w:t xml:space="preserve">Alergijska </w:t>
            </w:r>
            <w:r w:rsidR="00453251">
              <w:rPr>
                <w:rFonts w:ascii="Times New Roman" w:hAnsi="Times New Roman" w:cs="Times New Roman"/>
                <w:iCs w:val="0"/>
                <w:lang w:val="hr"/>
              </w:rPr>
              <w:t>reakcija</w:t>
            </w:r>
            <w:bookmarkStart w:id="43" w:name="_Toc86391934"/>
            <w:bookmarkEnd w:id="43"/>
          </w:p>
        </w:tc>
        <w:tc>
          <w:tcPr>
            <w:tcW w:w="819" w:type="pct"/>
            <w:vAlign w:val="center"/>
          </w:tcPr>
          <w:p w14:paraId="6250CCD8"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w:t>
            </w:r>
          </w:p>
        </w:tc>
        <w:tc>
          <w:tcPr>
            <w:tcW w:w="949" w:type="pct"/>
            <w:vAlign w:val="center"/>
          </w:tcPr>
          <w:p w14:paraId="50CF5415" w14:textId="77777777" w:rsidR="00453251" w:rsidRPr="009461CC" w:rsidRDefault="00453251" w:rsidP="00AC7398">
            <w:pPr>
              <w:pStyle w:val="TableTextLeft"/>
              <w:jc w:val="center"/>
              <w:rPr>
                <w:rFonts w:ascii="Times New Roman" w:hAnsi="Times New Roman" w:cs="Times New Roman"/>
                <w:iCs w:val="0"/>
              </w:rPr>
            </w:pPr>
            <w:bookmarkStart w:id="44" w:name="_Toc86391937"/>
            <w:bookmarkStart w:id="45" w:name="_Toc86391935"/>
            <w:bookmarkEnd w:id="44"/>
            <w:bookmarkEnd w:id="45"/>
            <w:r>
              <w:rPr>
                <w:rFonts w:ascii="Times New Roman" w:hAnsi="Times New Roman" w:cs="Times New Roman"/>
                <w:iCs w:val="0"/>
                <w:lang w:val="hr"/>
              </w:rPr>
              <w:t>0 %</w:t>
            </w:r>
          </w:p>
        </w:tc>
        <w:tc>
          <w:tcPr>
            <w:tcW w:w="2026" w:type="pct"/>
            <w:vAlign w:val="center"/>
          </w:tcPr>
          <w:p w14:paraId="3CD98CC2" w14:textId="77777777" w:rsidR="00453251" w:rsidRPr="009461CC" w:rsidRDefault="00453251" w:rsidP="00AC7398">
            <w:pPr>
              <w:pStyle w:val="TableTextLeft"/>
              <w:rPr>
                <w:rFonts w:ascii="Times New Roman" w:hAnsi="Times New Roman" w:cs="Times New Roman"/>
                <w:b/>
                <w:bCs/>
              </w:rPr>
            </w:pPr>
            <w:bookmarkStart w:id="46" w:name="_Toc86391938"/>
            <w:bookmarkEnd w:id="46"/>
            <w:r>
              <w:rPr>
                <w:rFonts w:ascii="Times New Roman" w:hAnsi="Times New Roman" w:cs="Times New Roman"/>
                <w:iCs w:val="0"/>
                <w:lang w:val="hr"/>
              </w:rPr>
              <w:t xml:space="preserve">Alergijska reakcija </w:t>
            </w:r>
            <w:r>
              <w:rPr>
                <w:rFonts w:ascii="Times New Roman" w:hAnsi="Times New Roman" w:cs="Times New Roman"/>
                <w:b/>
                <w:bCs/>
                <w:iCs w:val="0"/>
                <w:lang w:val="hr"/>
              </w:rPr>
              <w:t>manje od 0 %</w:t>
            </w:r>
          </w:p>
        </w:tc>
        <w:bookmarkStart w:id="47" w:name="_Toc86391939"/>
        <w:bookmarkEnd w:id="47"/>
      </w:tr>
      <w:tr w:rsidR="009D54AB" w:rsidRPr="009461CC" w14:paraId="027FF060" w14:textId="77777777" w:rsidTr="00722580">
        <w:trPr>
          <w:trHeight w:val="197"/>
        </w:trPr>
        <w:tc>
          <w:tcPr>
            <w:tcW w:w="1206" w:type="pct"/>
          </w:tcPr>
          <w:p w14:paraId="0B4FA88A"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hr"/>
              </w:rPr>
              <w:t>Bol</w:t>
            </w:r>
            <w:bookmarkStart w:id="48" w:name="_Toc86391940"/>
            <w:bookmarkEnd w:id="48"/>
          </w:p>
        </w:tc>
        <w:tc>
          <w:tcPr>
            <w:tcW w:w="819" w:type="pct"/>
            <w:vAlign w:val="center"/>
          </w:tcPr>
          <w:p w14:paraId="0A016617"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w:t>
            </w:r>
          </w:p>
        </w:tc>
        <w:tc>
          <w:tcPr>
            <w:tcW w:w="949" w:type="pct"/>
            <w:vAlign w:val="center"/>
          </w:tcPr>
          <w:p w14:paraId="72B648EC" w14:textId="77777777" w:rsidR="00453251" w:rsidRPr="009461CC" w:rsidRDefault="00453251" w:rsidP="00AC7398">
            <w:pPr>
              <w:pStyle w:val="TableTextLeft"/>
              <w:jc w:val="center"/>
              <w:rPr>
                <w:rFonts w:ascii="Times New Roman" w:hAnsi="Times New Roman" w:cs="Times New Roman"/>
                <w:iCs w:val="0"/>
              </w:rPr>
            </w:pPr>
            <w:bookmarkStart w:id="49" w:name="_Toc86391943"/>
            <w:bookmarkStart w:id="50" w:name="_Toc86391941"/>
            <w:bookmarkEnd w:id="49"/>
            <w:bookmarkEnd w:id="50"/>
            <w:r>
              <w:rPr>
                <w:rFonts w:ascii="Times New Roman" w:hAnsi="Times New Roman" w:cs="Times New Roman"/>
                <w:iCs w:val="0"/>
                <w:lang w:val="hr"/>
              </w:rPr>
              <w:t>0 %</w:t>
            </w:r>
          </w:p>
        </w:tc>
        <w:tc>
          <w:tcPr>
            <w:tcW w:w="2026" w:type="pct"/>
            <w:vAlign w:val="center"/>
          </w:tcPr>
          <w:p w14:paraId="56186FA5" w14:textId="77777777" w:rsidR="00453251" w:rsidRPr="009461CC" w:rsidRDefault="00453251" w:rsidP="00AC7398">
            <w:pPr>
              <w:pStyle w:val="TableTextLeft"/>
              <w:rPr>
                <w:rFonts w:ascii="Times New Roman" w:hAnsi="Times New Roman" w:cs="Times New Roman"/>
                <w:b/>
                <w:bCs/>
              </w:rPr>
            </w:pPr>
            <w:bookmarkStart w:id="51" w:name="_Toc86391944"/>
            <w:bookmarkEnd w:id="51"/>
            <w:r>
              <w:rPr>
                <w:rFonts w:ascii="Times New Roman" w:hAnsi="Times New Roman" w:cs="Times New Roman"/>
                <w:iCs w:val="0"/>
                <w:lang w:val="hr"/>
              </w:rPr>
              <w:t xml:space="preserve">Bol </w:t>
            </w:r>
            <w:r>
              <w:rPr>
                <w:rFonts w:ascii="Times New Roman" w:hAnsi="Times New Roman" w:cs="Times New Roman"/>
                <w:b/>
                <w:bCs/>
                <w:iCs w:val="0"/>
                <w:lang w:val="hr"/>
              </w:rPr>
              <w:t>manje od 0 %</w:t>
            </w:r>
          </w:p>
        </w:tc>
        <w:bookmarkStart w:id="52" w:name="_Toc86391945"/>
        <w:bookmarkEnd w:id="52"/>
      </w:tr>
      <w:tr w:rsidR="009D54AB" w:rsidRPr="009461CC" w14:paraId="28252FD0" w14:textId="77777777" w:rsidTr="00722580">
        <w:tc>
          <w:tcPr>
            <w:tcW w:w="1206" w:type="pct"/>
          </w:tcPr>
          <w:p w14:paraId="013547C7"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hr"/>
              </w:rPr>
              <w:t>Ukupne komplikacije</w:t>
            </w:r>
            <w:bookmarkStart w:id="53" w:name="_Toc86391946"/>
            <w:bookmarkEnd w:id="53"/>
          </w:p>
        </w:tc>
        <w:tc>
          <w:tcPr>
            <w:tcW w:w="819" w:type="pct"/>
            <w:vAlign w:val="center"/>
          </w:tcPr>
          <w:p w14:paraId="740F59E9"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0 – 5,2 %</w:t>
            </w:r>
          </w:p>
        </w:tc>
        <w:tc>
          <w:tcPr>
            <w:tcW w:w="949" w:type="pct"/>
            <w:vAlign w:val="center"/>
          </w:tcPr>
          <w:p w14:paraId="0BF92E76" w14:textId="77777777" w:rsidR="00453251" w:rsidRPr="009461CC" w:rsidRDefault="00453251" w:rsidP="00AC7398">
            <w:pPr>
              <w:pStyle w:val="TableTextLeft"/>
              <w:jc w:val="center"/>
              <w:rPr>
                <w:rFonts w:ascii="Times New Roman" w:hAnsi="Times New Roman" w:cs="Times New Roman"/>
                <w:iCs w:val="0"/>
              </w:rPr>
            </w:pPr>
            <w:bookmarkStart w:id="54" w:name="_Toc86391949"/>
            <w:bookmarkStart w:id="55" w:name="_Toc86391947"/>
            <w:bookmarkEnd w:id="54"/>
            <w:bookmarkEnd w:id="55"/>
            <w:r>
              <w:rPr>
                <w:rFonts w:ascii="Times New Roman" w:hAnsi="Times New Roman" w:cs="Times New Roman"/>
                <w:iCs w:val="0"/>
                <w:lang w:val="hr"/>
              </w:rPr>
              <w:t>0 – 4 %</w:t>
            </w:r>
          </w:p>
        </w:tc>
        <w:tc>
          <w:tcPr>
            <w:tcW w:w="2026" w:type="pct"/>
            <w:vAlign w:val="center"/>
          </w:tcPr>
          <w:p w14:paraId="71781E09" w14:textId="77777777" w:rsidR="00453251" w:rsidRPr="009461CC" w:rsidRDefault="00453251" w:rsidP="00AC7398">
            <w:pPr>
              <w:pStyle w:val="TableTextLeft"/>
              <w:rPr>
                <w:rFonts w:ascii="Times New Roman" w:hAnsi="Times New Roman" w:cs="Times New Roman"/>
              </w:rPr>
            </w:pPr>
            <w:bookmarkStart w:id="56" w:name="_Toc86391950"/>
            <w:bookmarkEnd w:id="56"/>
            <w:r>
              <w:rPr>
                <w:rFonts w:ascii="Times New Roman" w:hAnsi="Times New Roman" w:cs="Times New Roman"/>
                <w:iCs w:val="0"/>
                <w:lang w:val="hr"/>
              </w:rPr>
              <w:t xml:space="preserve">Ukupne komplikacije </w:t>
            </w:r>
            <w:r>
              <w:rPr>
                <w:rFonts w:ascii="Times New Roman" w:hAnsi="Times New Roman" w:cs="Times New Roman"/>
                <w:b/>
                <w:bCs/>
                <w:iCs w:val="0"/>
                <w:lang w:val="hr"/>
              </w:rPr>
              <w:t>manje od 5,2 %</w:t>
            </w:r>
          </w:p>
        </w:tc>
        <w:bookmarkStart w:id="57" w:name="_Toc86391951"/>
        <w:bookmarkEnd w:id="57"/>
      </w:tr>
      <w:tr w:rsidR="00453251" w:rsidRPr="009461CC" w14:paraId="0BC00479" w14:textId="77777777" w:rsidTr="00453251">
        <w:tc>
          <w:tcPr>
            <w:tcW w:w="5000" w:type="pct"/>
            <w:gridSpan w:val="4"/>
            <w:shd w:val="clear" w:color="auto" w:fill="D9D9D9"/>
            <w:vAlign w:val="center"/>
          </w:tcPr>
          <w:p w14:paraId="35A811CF"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b/>
                <w:bCs/>
                <w:iCs w:val="0"/>
                <w:lang w:val="hr"/>
              </w:rPr>
              <w:t>Učinkovitost</w:t>
            </w:r>
          </w:p>
        </w:tc>
      </w:tr>
      <w:tr w:rsidR="009D54AB" w:rsidRPr="009461CC" w14:paraId="6F720CB6" w14:textId="77777777" w:rsidTr="00722580">
        <w:tc>
          <w:tcPr>
            <w:tcW w:w="1206" w:type="pct"/>
            <w:vAlign w:val="center"/>
          </w:tcPr>
          <w:p w14:paraId="60785A5D" w14:textId="77777777" w:rsidR="00453251" w:rsidRPr="009461CC" w:rsidRDefault="00453251" w:rsidP="00AC7398">
            <w:pPr>
              <w:pStyle w:val="TableTextLeft"/>
              <w:rPr>
                <w:rFonts w:ascii="Times New Roman" w:hAnsi="Times New Roman" w:cs="Times New Roman"/>
              </w:rPr>
            </w:pPr>
            <w:r>
              <w:rPr>
                <w:rFonts w:ascii="Times New Roman" w:hAnsi="Times New Roman" w:cs="Times New Roman"/>
                <w:iCs w:val="0"/>
                <w:lang w:val="hr"/>
              </w:rPr>
              <w:t xml:space="preserve">Tehnički uspjeh </w:t>
            </w:r>
            <w:bookmarkStart w:id="58" w:name="_Toc86391954"/>
            <w:bookmarkEnd w:id="58"/>
          </w:p>
        </w:tc>
        <w:tc>
          <w:tcPr>
            <w:tcW w:w="819" w:type="pct"/>
            <w:vAlign w:val="center"/>
          </w:tcPr>
          <w:p w14:paraId="042F9BC6" w14:textId="77777777" w:rsidR="00453251" w:rsidRPr="009461CC" w:rsidDel="002D4462"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82,8 – 100 %</w:t>
            </w:r>
          </w:p>
        </w:tc>
        <w:tc>
          <w:tcPr>
            <w:tcW w:w="949" w:type="pct"/>
            <w:vAlign w:val="center"/>
          </w:tcPr>
          <w:p w14:paraId="3177A351" w14:textId="77777777" w:rsidR="00453251" w:rsidRPr="009461CC" w:rsidRDefault="00453251" w:rsidP="00AC7398">
            <w:pPr>
              <w:pStyle w:val="TableTextLeft"/>
              <w:jc w:val="center"/>
              <w:rPr>
                <w:rFonts w:ascii="Times New Roman" w:hAnsi="Times New Roman" w:cs="Times New Roman"/>
                <w:iCs w:val="0"/>
              </w:rPr>
            </w:pPr>
            <w:bookmarkStart w:id="59" w:name="_Toc86391957"/>
            <w:bookmarkStart w:id="60" w:name="_Toc86391955"/>
            <w:bookmarkEnd w:id="59"/>
            <w:bookmarkEnd w:id="60"/>
            <w:r>
              <w:rPr>
                <w:rFonts w:ascii="Times New Roman" w:hAnsi="Times New Roman" w:cs="Times New Roman"/>
                <w:iCs w:val="0"/>
                <w:lang w:val="hr"/>
              </w:rPr>
              <w:t>82,0 – 100 %</w:t>
            </w:r>
          </w:p>
        </w:tc>
        <w:tc>
          <w:tcPr>
            <w:tcW w:w="2026" w:type="pct"/>
            <w:vAlign w:val="center"/>
          </w:tcPr>
          <w:p w14:paraId="55C13098" w14:textId="77777777" w:rsidR="00453251" w:rsidRPr="009461CC" w:rsidRDefault="00453251" w:rsidP="00AC7398">
            <w:pPr>
              <w:pStyle w:val="TableTextLeft"/>
              <w:rPr>
                <w:rFonts w:ascii="Times New Roman" w:hAnsi="Times New Roman" w:cs="Times New Roman"/>
              </w:rPr>
            </w:pPr>
            <w:bookmarkStart w:id="61" w:name="_Toc86391958"/>
            <w:bookmarkEnd w:id="61"/>
            <w:r>
              <w:rPr>
                <w:rFonts w:ascii="Times New Roman" w:hAnsi="Times New Roman" w:cs="Times New Roman"/>
                <w:iCs w:val="0"/>
                <w:lang w:val="hr"/>
              </w:rPr>
              <w:t xml:space="preserve">Tehnički uspjeh </w:t>
            </w:r>
            <w:r>
              <w:rPr>
                <w:rFonts w:ascii="Times New Roman" w:hAnsi="Times New Roman" w:cs="Times New Roman"/>
                <w:b/>
                <w:bCs/>
                <w:iCs w:val="0"/>
                <w:lang w:val="hr"/>
              </w:rPr>
              <w:t>veći od 82,0 %</w:t>
            </w:r>
          </w:p>
        </w:tc>
        <w:bookmarkStart w:id="62" w:name="_Toc86391959"/>
        <w:bookmarkEnd w:id="62"/>
      </w:tr>
      <w:tr w:rsidR="009D54AB" w:rsidRPr="009461CC" w14:paraId="4E839B51" w14:textId="77777777" w:rsidTr="00722580">
        <w:tc>
          <w:tcPr>
            <w:tcW w:w="1206" w:type="pct"/>
            <w:vAlign w:val="center"/>
          </w:tcPr>
          <w:p w14:paraId="055E85A0" w14:textId="77777777" w:rsidR="00453251" w:rsidRPr="009461CC" w:rsidRDefault="00453251" w:rsidP="00AC7398">
            <w:pPr>
              <w:pStyle w:val="TableTextLeft"/>
              <w:rPr>
                <w:rFonts w:ascii="Times New Roman" w:eastAsia="MS Mincho" w:hAnsi="Times New Roman" w:cs="Times New Roman"/>
              </w:rPr>
            </w:pPr>
            <w:r>
              <w:rPr>
                <w:rFonts w:ascii="Times New Roman" w:hAnsi="Times New Roman" w:cs="Times New Roman"/>
                <w:iCs w:val="0"/>
                <w:lang w:val="hr"/>
              </w:rPr>
              <w:t xml:space="preserve">Klinička uspješnost </w:t>
            </w:r>
            <w:bookmarkStart w:id="63" w:name="_Toc86391960"/>
            <w:bookmarkEnd w:id="63"/>
          </w:p>
        </w:tc>
        <w:tc>
          <w:tcPr>
            <w:tcW w:w="819" w:type="pct"/>
            <w:vAlign w:val="center"/>
          </w:tcPr>
          <w:p w14:paraId="163906FF" w14:textId="77777777" w:rsidR="00453251" w:rsidRPr="009461CC" w:rsidRDefault="00453251" w:rsidP="00AC7398">
            <w:pPr>
              <w:pStyle w:val="TableTextLeft"/>
              <w:jc w:val="center"/>
              <w:rPr>
                <w:rFonts w:ascii="Times New Roman" w:hAnsi="Times New Roman" w:cs="Times New Roman"/>
                <w:iCs w:val="0"/>
              </w:rPr>
            </w:pPr>
            <w:r>
              <w:rPr>
                <w:rFonts w:ascii="Times New Roman" w:hAnsi="Times New Roman" w:cs="Times New Roman"/>
                <w:iCs w:val="0"/>
                <w:lang w:val="hr"/>
              </w:rPr>
              <w:t>95,2 – 100 %</w:t>
            </w:r>
          </w:p>
        </w:tc>
        <w:tc>
          <w:tcPr>
            <w:tcW w:w="949" w:type="pct"/>
            <w:vAlign w:val="center"/>
          </w:tcPr>
          <w:p w14:paraId="24CE1D22" w14:textId="77777777" w:rsidR="00453251" w:rsidRPr="009461CC" w:rsidRDefault="00453251" w:rsidP="00AC7398">
            <w:pPr>
              <w:pStyle w:val="TableTextLeft"/>
              <w:jc w:val="center"/>
              <w:rPr>
                <w:rFonts w:ascii="Times New Roman" w:hAnsi="Times New Roman" w:cs="Times New Roman"/>
                <w:iCs w:val="0"/>
              </w:rPr>
            </w:pPr>
            <w:bookmarkStart w:id="64" w:name="_Toc86391963"/>
            <w:bookmarkStart w:id="65" w:name="_Toc86391961"/>
            <w:bookmarkEnd w:id="64"/>
            <w:bookmarkEnd w:id="65"/>
            <w:r>
              <w:rPr>
                <w:rFonts w:ascii="Times New Roman" w:hAnsi="Times New Roman" w:cs="Times New Roman"/>
                <w:iCs w:val="0"/>
                <w:lang w:val="hr"/>
              </w:rPr>
              <w:t>92,3 – 100 %</w:t>
            </w:r>
          </w:p>
        </w:tc>
        <w:tc>
          <w:tcPr>
            <w:tcW w:w="2026" w:type="pct"/>
            <w:vAlign w:val="center"/>
          </w:tcPr>
          <w:p w14:paraId="1240798C" w14:textId="77777777" w:rsidR="00453251" w:rsidRPr="009461CC" w:rsidRDefault="00453251" w:rsidP="00AC7398">
            <w:pPr>
              <w:pStyle w:val="TableTextLeft"/>
              <w:rPr>
                <w:rFonts w:ascii="Times New Roman" w:hAnsi="Times New Roman" w:cs="Times New Roman"/>
              </w:rPr>
            </w:pPr>
            <w:bookmarkStart w:id="66" w:name="_Toc86391964"/>
            <w:bookmarkEnd w:id="66"/>
            <w:r>
              <w:rPr>
                <w:rFonts w:ascii="Times New Roman" w:hAnsi="Times New Roman" w:cs="Times New Roman"/>
                <w:iCs w:val="0"/>
                <w:lang w:val="hr"/>
              </w:rPr>
              <w:t xml:space="preserve">Klinička uspješnost </w:t>
            </w:r>
            <w:r>
              <w:rPr>
                <w:rFonts w:ascii="Times New Roman" w:hAnsi="Times New Roman" w:cs="Times New Roman"/>
                <w:b/>
                <w:bCs/>
                <w:iCs w:val="0"/>
                <w:lang w:val="hr"/>
              </w:rPr>
              <w:t>veća od 92,3 %</w:t>
            </w:r>
          </w:p>
        </w:tc>
        <w:bookmarkStart w:id="67" w:name="_Toc86391965"/>
        <w:bookmarkEnd w:id="67"/>
      </w:tr>
    </w:tbl>
    <w:p w14:paraId="47F3BE56" w14:textId="45E87497" w:rsidR="00941D63" w:rsidRPr="005B6722" w:rsidRDefault="00941D63" w:rsidP="00941D63">
      <w:pPr>
        <w:spacing w:before="100" w:beforeAutospacing="1" w:line="240" w:lineRule="auto"/>
        <w:rPr>
          <w:rFonts w:eastAsia="Times New Roman" w:cs="Times New Roman"/>
          <w:szCs w:val="24"/>
          <w:lang w:val="hr"/>
        </w:rPr>
      </w:pPr>
      <w:r>
        <w:rPr>
          <w:rFonts w:eastAsia="Times New Roman" w:cs="Times New Roman"/>
          <w:szCs w:val="24"/>
          <w:lang w:val="hr"/>
        </w:rPr>
        <w:t>Komplet vaskularne omče Atrieve</w:t>
      </w:r>
      <w:r w:rsidR="00AE1FBE" w:rsidRPr="00AE1FBE">
        <w:t xml:space="preserve"> </w:t>
      </w:r>
      <w:r w:rsidR="00AE1FBE" w:rsidRPr="00AE1FBE">
        <w:rPr>
          <w:rFonts w:eastAsia="Times New Roman" w:cs="Times New Roman"/>
          <w:szCs w:val="24"/>
          <w:lang w:val="hr"/>
        </w:rPr>
        <w:t>Snare</w:t>
      </w:r>
      <w:r>
        <w:rPr>
          <w:rFonts w:eastAsia="Times New Roman" w:cs="Times New Roman"/>
          <w:szCs w:val="24"/>
          <w:lang w:val="hr"/>
        </w:rPr>
        <w:t xml:space="preserve"> ima prihvatljiv profil rizika bez preostalih rizika koji su klasificirani kao neprihvatljivi. Moguće štetne posljedice za pacijente, kao što su krvarenja, embolije, infekcije i oštećenja tkiva, rijetke su i spadaju u prihvatljive industrijske stope. Uobičajeni kvarovi, kao što je odvajanje komponente ili otpor proizvoda, rijetki su i dobro kontrolirani.</w:t>
      </w:r>
    </w:p>
    <w:p w14:paraId="6CD9B2F8" w14:textId="27B9DB44" w:rsidR="00941D63" w:rsidRPr="009461CC" w:rsidRDefault="00941D63" w:rsidP="00941D63">
      <w:pPr>
        <w:spacing w:before="100" w:beforeAutospacing="1" w:line="240" w:lineRule="auto"/>
        <w:rPr>
          <w:rFonts w:eastAsia="Times New Roman" w:cs="Times New Roman"/>
          <w:szCs w:val="24"/>
        </w:rPr>
      </w:pPr>
      <w:r>
        <w:rPr>
          <w:rFonts w:eastAsia="Times New Roman" w:cs="Times New Roman"/>
          <w:szCs w:val="24"/>
          <w:lang w:val="hr"/>
        </w:rPr>
        <w:t>Svi utvrđeni rizici navedeni su na oznakama, upozorenjima i u uputama za upotrebu. Ukupan rizik usporediv je s alternativnim načinima liječenja, a koristi sigurnog i minimalno invazivnog vađenja stranog tijela s pomoću proizvoda veće su od rizika. Tijekom posttržišnog praćenja nisu utvrđeni novi rizici.</w:t>
      </w:r>
    </w:p>
    <w:p w14:paraId="503092B6" w14:textId="15AAF628" w:rsidR="000F0AC2" w:rsidRPr="009461CC" w:rsidRDefault="008745ED" w:rsidP="001035F0">
      <w:pPr>
        <w:pStyle w:val="Heading1"/>
        <w:rPr>
          <w:rFonts w:cs="Times New Roman"/>
        </w:rPr>
      </w:pPr>
      <w:bookmarkStart w:id="68" w:name="_Toc222741442"/>
      <w:r>
        <w:rPr>
          <w:rFonts w:cs="Times New Roman"/>
          <w:bCs/>
          <w:lang w:val="hr"/>
        </w:rPr>
        <w:t>Upozorenja i mjere opreza</w:t>
      </w:r>
      <w:bookmarkEnd w:id="68"/>
    </w:p>
    <w:p w14:paraId="3AFFFB2C" w14:textId="4A9E09B2" w:rsidR="00A030DC" w:rsidRPr="00722580" w:rsidRDefault="00C64987" w:rsidP="006F12B6">
      <w:pPr>
        <w:spacing w:after="0" w:afterAutospacing="0" w:line="240" w:lineRule="auto"/>
        <w:ind w:left="792"/>
        <w:rPr>
          <w:rFonts w:cs="Times New Roman"/>
          <w:iCs/>
          <w:lang w:val="pt-BR"/>
        </w:rPr>
      </w:pPr>
      <w:r>
        <w:rPr>
          <w:rFonts w:cs="Times New Roman"/>
          <w:lang w:val="hr"/>
        </w:rPr>
        <w:t xml:space="preserve">Referenca IFU X9585730-0321-EU </w:t>
      </w:r>
      <w:r w:rsidR="006455E9">
        <w:rPr>
          <w:rFonts w:cs="Times New Roman"/>
          <w:lang w:val="hr"/>
        </w:rPr>
        <w:t>R</w:t>
      </w:r>
      <w:r>
        <w:rPr>
          <w:rFonts w:cs="Times New Roman"/>
          <w:lang w:val="hr"/>
        </w:rPr>
        <w:t>ev A</w:t>
      </w:r>
    </w:p>
    <w:p w14:paraId="581EAB6F" w14:textId="38AC09C7" w:rsidR="0084795E" w:rsidRPr="009461CC" w:rsidRDefault="0084795E" w:rsidP="006F12B6">
      <w:pPr>
        <w:spacing w:after="0" w:afterAutospacing="0" w:line="240" w:lineRule="auto"/>
        <w:ind w:left="792"/>
        <w:rPr>
          <w:rFonts w:cs="Times New Roman"/>
          <w:b/>
          <w:bCs/>
          <w:iCs/>
        </w:rPr>
      </w:pPr>
      <w:r>
        <w:rPr>
          <w:rFonts w:cs="Times New Roman"/>
          <w:b/>
          <w:bCs/>
          <w:lang w:val="hr"/>
        </w:rPr>
        <w:t>Upozorenja:</w:t>
      </w:r>
    </w:p>
    <w:p w14:paraId="6D12BCC6" w14:textId="77777777" w:rsidR="00C13612" w:rsidRPr="005B6722" w:rsidRDefault="00C13612" w:rsidP="00C13612">
      <w:pPr>
        <w:numPr>
          <w:ilvl w:val="0"/>
          <w:numId w:val="22"/>
        </w:numPr>
        <w:spacing w:after="0" w:afterAutospacing="0" w:line="240" w:lineRule="auto"/>
        <w:ind w:left="360"/>
        <w:contextualSpacing/>
        <w:jc w:val="both"/>
        <w:rPr>
          <w:rFonts w:eastAsia="Times New Roman" w:cs="Times New Roman"/>
          <w:szCs w:val="24"/>
          <w:lang w:val="hr"/>
        </w:rPr>
      </w:pPr>
      <w:r>
        <w:rPr>
          <w:rFonts w:eastAsia="Times New Roman" w:cs="Times New Roman"/>
          <w:szCs w:val="24"/>
          <w:lang w:val="hr"/>
        </w:rPr>
        <w:t>Proizvod je projektiran, ispitan i proizveden samo za upotrebu na jednom pacijentu. Ponovna upotreba ili ponovna obrada ovog proizvoda može dovesti do njegovog kvara i naknadne ozljede pacijenta. Ponovna obrada i/ili ponovna sterilizacija ovog proizvoda može dovesti do rizika od kontaminacije i infekcije pacijenta. Nemojte ponovno upotrebljavati, ponovno obrađivati niti ponovno sterilizirati ovaj proizvod.</w:t>
      </w:r>
    </w:p>
    <w:p w14:paraId="02E0F1FE" w14:textId="77777777" w:rsidR="00C13612" w:rsidRPr="009461CC" w:rsidRDefault="00C13612" w:rsidP="00C13612">
      <w:pPr>
        <w:numPr>
          <w:ilvl w:val="0"/>
          <w:numId w:val="22"/>
        </w:numPr>
        <w:spacing w:after="0" w:afterAutospacing="0" w:line="240" w:lineRule="auto"/>
        <w:ind w:left="360"/>
        <w:contextualSpacing/>
        <w:jc w:val="both"/>
        <w:rPr>
          <w:rFonts w:eastAsia="Times New Roman" w:cs="Times New Roman"/>
          <w:szCs w:val="24"/>
        </w:rPr>
      </w:pPr>
      <w:r>
        <w:rPr>
          <w:rFonts w:eastAsia="Times New Roman" w:cs="Times New Roman"/>
          <w:szCs w:val="24"/>
          <w:lang w:val="hr"/>
        </w:rPr>
        <w:t>Prije upotrebe provjerite integritet ambalaže.</w:t>
      </w:r>
    </w:p>
    <w:p w14:paraId="0AB04CB5" w14:textId="77777777" w:rsidR="00C13612" w:rsidRPr="00722580" w:rsidRDefault="00C13612" w:rsidP="00C13612">
      <w:pPr>
        <w:numPr>
          <w:ilvl w:val="0"/>
          <w:numId w:val="22"/>
        </w:numPr>
        <w:spacing w:after="0" w:afterAutospacing="0" w:line="240" w:lineRule="auto"/>
        <w:ind w:left="360"/>
        <w:contextualSpacing/>
        <w:jc w:val="both"/>
        <w:rPr>
          <w:rFonts w:eastAsia="Times New Roman" w:cs="Times New Roman"/>
          <w:szCs w:val="24"/>
          <w:lang w:val="pl-PL"/>
        </w:rPr>
      </w:pPr>
      <w:r>
        <w:rPr>
          <w:rFonts w:eastAsia="Times New Roman" w:cs="Times New Roman"/>
          <w:szCs w:val="24"/>
          <w:lang w:val="hr"/>
        </w:rPr>
        <w:t>Nemojte upotrebljavati uređaj ako je ambalaža otvorena ili oštećena ili nakon isteka roka trajanja.</w:t>
      </w:r>
    </w:p>
    <w:p w14:paraId="287B6E69" w14:textId="77777777" w:rsidR="00C13612" w:rsidRPr="00722580" w:rsidRDefault="00C13612" w:rsidP="00C13612">
      <w:pPr>
        <w:numPr>
          <w:ilvl w:val="0"/>
          <w:numId w:val="22"/>
        </w:numPr>
        <w:spacing w:after="0" w:afterAutospacing="0" w:line="240" w:lineRule="auto"/>
        <w:ind w:left="360"/>
        <w:contextualSpacing/>
        <w:jc w:val="both"/>
        <w:rPr>
          <w:rFonts w:eastAsia="Times New Roman" w:cs="Times New Roman"/>
          <w:szCs w:val="24"/>
          <w:lang w:val="pl-PL"/>
        </w:rPr>
      </w:pPr>
      <w:r>
        <w:rPr>
          <w:rFonts w:eastAsia="Times New Roman" w:cs="Times New Roman"/>
          <w:szCs w:val="24"/>
          <w:lang w:val="hr"/>
        </w:rPr>
        <w:t>Prekinite upotrebu proizvoda ako se neki njegov dio ošteti tijekom postupka.</w:t>
      </w:r>
    </w:p>
    <w:p w14:paraId="22477486" w14:textId="77777777" w:rsidR="00C13612" w:rsidRPr="005B6722" w:rsidRDefault="00C13612" w:rsidP="00C13612">
      <w:pPr>
        <w:numPr>
          <w:ilvl w:val="0"/>
          <w:numId w:val="22"/>
        </w:numPr>
        <w:spacing w:after="0" w:afterAutospacing="0" w:line="240" w:lineRule="auto"/>
        <w:ind w:left="360"/>
        <w:contextualSpacing/>
        <w:jc w:val="both"/>
        <w:rPr>
          <w:rFonts w:eastAsia="Times New Roman" w:cs="Times New Roman"/>
          <w:szCs w:val="24"/>
          <w:lang w:val="pt-BR"/>
        </w:rPr>
      </w:pPr>
      <w:r>
        <w:rPr>
          <w:rFonts w:eastAsia="Times New Roman" w:cs="Times New Roman"/>
          <w:szCs w:val="24"/>
          <w:lang w:val="hr"/>
        </w:rPr>
        <w:t>Nitinol je legura nikla i titana. U pacijenata koji su osjetljivi na nikal može doći do pojave reakcija.</w:t>
      </w:r>
    </w:p>
    <w:p w14:paraId="2A4E00BA" w14:textId="77777777" w:rsidR="00C13612" w:rsidRPr="005B6722" w:rsidRDefault="00C13612" w:rsidP="00C13612">
      <w:pPr>
        <w:numPr>
          <w:ilvl w:val="0"/>
          <w:numId w:val="22"/>
        </w:numPr>
        <w:spacing w:after="0" w:afterAutospacing="0" w:line="240" w:lineRule="auto"/>
        <w:ind w:left="360"/>
        <w:contextualSpacing/>
        <w:jc w:val="both"/>
        <w:rPr>
          <w:rFonts w:eastAsia="Times New Roman" w:cs="Times New Roman"/>
          <w:szCs w:val="24"/>
          <w:lang w:val="pt-BR"/>
        </w:rPr>
      </w:pPr>
      <w:r>
        <w:rPr>
          <w:rFonts w:eastAsia="Times New Roman" w:cs="Times New Roman"/>
          <w:szCs w:val="24"/>
          <w:lang w:val="hr"/>
        </w:rPr>
        <w:t>U pacijenata koji su osjetljivi na platinu može doći do pojave reakcija.</w:t>
      </w:r>
    </w:p>
    <w:p w14:paraId="0D7E98B5" w14:textId="77777777" w:rsidR="00C13612" w:rsidRPr="005B6722"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pt-BR"/>
        </w:rPr>
      </w:pPr>
      <w:r>
        <w:rPr>
          <w:rFonts w:eastAsia="Times New Roman" w:cs="Times New Roman"/>
          <w:szCs w:val="24"/>
          <w:lang w:val="hr"/>
        </w:rPr>
        <w:lastRenderedPageBreak/>
        <w:t>Kad se ovaj proizvod upotrebljava, potrebno je oprezno ukloniti veliku fibrinsku ovojnicu kako bi se smanjio rizik od plućne embolije.</w:t>
      </w:r>
    </w:p>
    <w:p w14:paraId="4CB50B44" w14:textId="77777777" w:rsidR="00C13612" w:rsidRPr="005B6722" w:rsidRDefault="00C13612" w:rsidP="00C13612">
      <w:pPr>
        <w:keepLines/>
        <w:numPr>
          <w:ilvl w:val="0"/>
          <w:numId w:val="22"/>
        </w:numPr>
        <w:autoSpaceDE w:val="0"/>
        <w:autoSpaceDN w:val="0"/>
        <w:adjustRightInd w:val="0"/>
        <w:spacing w:after="0" w:afterAutospacing="0" w:line="240" w:lineRule="auto"/>
        <w:ind w:left="360"/>
        <w:jc w:val="both"/>
        <w:rPr>
          <w:rFonts w:eastAsia="Times New Roman" w:cs="Times New Roman"/>
          <w:szCs w:val="24"/>
          <w:lang w:val="hr"/>
        </w:rPr>
      </w:pPr>
      <w:r>
        <w:rPr>
          <w:rFonts w:eastAsia="Times New Roman" w:cs="Times New Roman"/>
          <w:szCs w:val="24"/>
          <w:lang w:val="hr"/>
        </w:rPr>
        <w:t>Tijekom nekih postupaka može doći do krvarenja kroz spoj uvodnog katetera. Hemostatski ventil (nije uključen) može se pričvrstiti na uvodni kateter kako bi se po potrebi ili prema liječničkoj procjeni smanjilo krvarenje.</w:t>
      </w:r>
    </w:p>
    <w:p w14:paraId="7C5DC59D" w14:textId="77777777" w:rsidR="0084795E" w:rsidRPr="00722580" w:rsidRDefault="0084795E" w:rsidP="00FE6595">
      <w:pPr>
        <w:spacing w:after="0" w:afterAutospacing="0" w:line="240" w:lineRule="auto"/>
        <w:ind w:left="792"/>
        <w:rPr>
          <w:rFonts w:cs="Times New Roman"/>
          <w:iCs/>
          <w:sz w:val="14"/>
          <w:szCs w:val="12"/>
          <w:lang w:val="hr"/>
        </w:rPr>
      </w:pPr>
    </w:p>
    <w:p w14:paraId="34731DB5" w14:textId="77777777" w:rsidR="0084795E" w:rsidRPr="009461CC" w:rsidRDefault="0084795E" w:rsidP="00FE6595">
      <w:pPr>
        <w:spacing w:after="0" w:afterAutospacing="0" w:line="240" w:lineRule="auto"/>
        <w:ind w:left="792"/>
        <w:rPr>
          <w:rFonts w:cs="Times New Roman"/>
          <w:b/>
          <w:bCs/>
          <w:iCs/>
        </w:rPr>
      </w:pPr>
      <w:r>
        <w:rPr>
          <w:rFonts w:cs="Times New Roman"/>
          <w:b/>
          <w:bCs/>
          <w:lang w:val="hr"/>
        </w:rPr>
        <w:t>Predostrožnosti:</w:t>
      </w:r>
    </w:p>
    <w:p w14:paraId="043EE8E1" w14:textId="77777777" w:rsidR="00533C0A" w:rsidRPr="005B6722" w:rsidRDefault="00533C0A" w:rsidP="00533C0A">
      <w:pPr>
        <w:numPr>
          <w:ilvl w:val="0"/>
          <w:numId w:val="23"/>
        </w:numPr>
        <w:spacing w:after="0" w:afterAutospacing="0" w:line="240" w:lineRule="auto"/>
        <w:contextualSpacing/>
        <w:jc w:val="both"/>
        <w:rPr>
          <w:rFonts w:eastAsia="Times New Roman" w:cs="Times New Roman"/>
          <w:szCs w:val="24"/>
          <w:lang w:val="hr"/>
        </w:rPr>
      </w:pPr>
      <w:r>
        <w:rPr>
          <w:rFonts w:eastAsia="Times New Roman" w:cs="Times New Roman"/>
          <w:szCs w:val="24"/>
          <w:lang w:val="hr"/>
        </w:rPr>
        <w:t>Sile vučenja koje djeluju na katetere tijekom skidanja fibrinske ovojnice mogu oštetiti, rastegnuti ili slomiti trajne katetere promjera 6 ili manjeg u Frenchima. Nemojte primjenjivati prekomjernu silu vučenja tijekom pokušaja skidanja fibrinske ovojnice s katetera promjera 6 ili manjeg u Frenchima.</w:t>
      </w:r>
    </w:p>
    <w:p w14:paraId="7C78A400" w14:textId="77777777" w:rsidR="00533C0A" w:rsidRPr="005B6722" w:rsidRDefault="00533C0A" w:rsidP="00533C0A">
      <w:pPr>
        <w:numPr>
          <w:ilvl w:val="0"/>
          <w:numId w:val="23"/>
        </w:numPr>
        <w:spacing w:after="0" w:afterAutospacing="0" w:line="240" w:lineRule="auto"/>
        <w:contextualSpacing/>
        <w:jc w:val="both"/>
        <w:rPr>
          <w:rFonts w:eastAsia="Times New Roman" w:cs="Times New Roman"/>
          <w:szCs w:val="24"/>
          <w:lang w:val="hr"/>
        </w:rPr>
      </w:pPr>
      <w:r>
        <w:rPr>
          <w:rFonts w:eastAsia="Times New Roman" w:cs="Times New Roman"/>
          <w:szCs w:val="24"/>
          <w:lang w:val="hr"/>
        </w:rPr>
        <w:t>Nemojte primjenjivati prekomjernu silu tijekom pomicanja katetera kroz instrument za uvođenje.</w:t>
      </w:r>
    </w:p>
    <w:p w14:paraId="68E7CD6A" w14:textId="77777777" w:rsidR="009E4BE1" w:rsidRPr="00722580" w:rsidRDefault="009E4BE1" w:rsidP="00DB582A">
      <w:pPr>
        <w:spacing w:after="0" w:afterAutospacing="0" w:line="240" w:lineRule="auto"/>
        <w:rPr>
          <w:rFonts w:cs="Times New Roman"/>
          <w:b/>
          <w:bCs/>
          <w:iCs/>
          <w:sz w:val="14"/>
          <w:szCs w:val="12"/>
          <w:lang w:val="hr"/>
        </w:rPr>
      </w:pPr>
    </w:p>
    <w:p w14:paraId="1F2A8F23" w14:textId="7550D298" w:rsidR="00481A9E" w:rsidRPr="005B6722" w:rsidRDefault="00481A9E" w:rsidP="00481A9E">
      <w:pPr>
        <w:spacing w:after="120" w:afterAutospacing="0" w:line="240" w:lineRule="auto"/>
        <w:ind w:firstLine="720"/>
        <w:jc w:val="both"/>
        <w:rPr>
          <w:rFonts w:eastAsia="Times New Roman" w:cs="Times New Roman"/>
          <w:b/>
          <w:szCs w:val="24"/>
          <w:lang w:val="hr"/>
        </w:rPr>
      </w:pPr>
      <w:r>
        <w:rPr>
          <w:rFonts w:eastAsia="Times New Roman" w:cs="Times New Roman"/>
          <w:b/>
          <w:bCs/>
          <w:szCs w:val="24"/>
          <w:lang w:val="hr"/>
        </w:rPr>
        <w:t xml:space="preserve">Rizici i nuspojave </w:t>
      </w:r>
    </w:p>
    <w:p w14:paraId="3EC1F3BA" w14:textId="77777777" w:rsidR="00481A9E" w:rsidRPr="005B6722" w:rsidRDefault="00481A9E" w:rsidP="00481A9E">
      <w:pPr>
        <w:spacing w:after="120" w:afterAutospacing="0" w:line="240" w:lineRule="auto"/>
        <w:jc w:val="both"/>
        <w:rPr>
          <w:rFonts w:eastAsia="Times New Roman" w:cs="Times New Roman"/>
          <w:szCs w:val="24"/>
          <w:lang w:val="hr"/>
        </w:rPr>
      </w:pPr>
      <w:r>
        <w:rPr>
          <w:rFonts w:eastAsia="Times New Roman" w:cs="Times New Roman"/>
          <w:szCs w:val="24"/>
          <w:lang w:val="hr"/>
        </w:rPr>
        <w:t>Moguće komplikacije mogu između ostalog uključivati:</w:t>
      </w:r>
    </w:p>
    <w:p w14:paraId="31B00162"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Embolizacija</w:t>
      </w:r>
    </w:p>
    <w:p w14:paraId="4831EC23"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Moždani udar</w:t>
      </w:r>
    </w:p>
    <w:p w14:paraId="3E3CC4E5" w14:textId="77777777" w:rsidR="00481A9E" w:rsidRPr="005B6722" w:rsidRDefault="00481A9E" w:rsidP="00481A9E">
      <w:pPr>
        <w:widowControl w:val="0"/>
        <w:numPr>
          <w:ilvl w:val="0"/>
          <w:numId w:val="24"/>
        </w:numPr>
        <w:spacing w:after="0" w:afterAutospacing="0" w:line="240" w:lineRule="auto"/>
        <w:contextualSpacing/>
        <w:jc w:val="both"/>
        <w:rPr>
          <w:rFonts w:eastAsia="Times New Roman" w:cs="Times New Roman"/>
          <w:szCs w:val="24"/>
          <w:lang w:val="pt-BR"/>
        </w:rPr>
      </w:pPr>
      <w:r>
        <w:rPr>
          <w:rFonts w:eastAsia="Times New Roman" w:cs="Times New Roman"/>
          <w:szCs w:val="24"/>
          <w:lang w:val="hr"/>
        </w:rPr>
        <w:t>Infarkt miokarda (ovisno o položaju)</w:t>
      </w:r>
    </w:p>
    <w:p w14:paraId="3C5A584A"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Plućna embolija</w:t>
      </w:r>
    </w:p>
    <w:p w14:paraId="70F9D337"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Perforacija žila</w:t>
      </w:r>
    </w:p>
    <w:p w14:paraId="3B28D7FF" w14:textId="77777777" w:rsidR="00481A9E" w:rsidRPr="009461CC" w:rsidRDefault="00481A9E" w:rsidP="00481A9E">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Zahvaćanje proizvoda</w:t>
      </w:r>
    </w:p>
    <w:p w14:paraId="33ABECFB" w14:textId="77777777" w:rsidR="00D558E5" w:rsidRPr="009461CC" w:rsidRDefault="00481A9E" w:rsidP="00D558E5">
      <w:pPr>
        <w:widowControl w:val="0"/>
        <w:numPr>
          <w:ilvl w:val="0"/>
          <w:numId w:val="24"/>
        </w:numPr>
        <w:spacing w:after="0" w:afterAutospacing="0" w:line="240" w:lineRule="auto"/>
        <w:contextualSpacing/>
        <w:jc w:val="both"/>
        <w:rPr>
          <w:rFonts w:eastAsia="Times New Roman" w:cs="Times New Roman"/>
          <w:szCs w:val="24"/>
        </w:rPr>
      </w:pPr>
      <w:r>
        <w:rPr>
          <w:rFonts w:eastAsia="Times New Roman" w:cs="Times New Roman"/>
          <w:szCs w:val="24"/>
          <w:lang w:val="hr"/>
        </w:rPr>
        <w:t>Krvarenje / izljev krvi</w:t>
      </w:r>
    </w:p>
    <w:p w14:paraId="0A9BFD81" w14:textId="77777777" w:rsidR="00D558E5" w:rsidRPr="00722580" w:rsidRDefault="00D558E5" w:rsidP="00D558E5">
      <w:pPr>
        <w:widowControl w:val="0"/>
        <w:spacing w:after="0" w:afterAutospacing="0" w:line="240" w:lineRule="auto"/>
        <w:contextualSpacing/>
        <w:jc w:val="both"/>
        <w:rPr>
          <w:rFonts w:eastAsia="Times New Roman" w:cs="Times New Roman"/>
          <w:sz w:val="14"/>
          <w:szCs w:val="14"/>
        </w:rPr>
      </w:pPr>
    </w:p>
    <w:p w14:paraId="6EEBEC55" w14:textId="65AF2143" w:rsidR="00A80721" w:rsidRPr="009461CC" w:rsidRDefault="00A80721" w:rsidP="00D558E5">
      <w:pPr>
        <w:widowControl w:val="0"/>
        <w:spacing w:after="0" w:afterAutospacing="0" w:line="240" w:lineRule="auto"/>
        <w:contextualSpacing/>
        <w:jc w:val="both"/>
        <w:rPr>
          <w:rFonts w:eastAsia="Times New Roman" w:cs="Times New Roman"/>
          <w:szCs w:val="24"/>
        </w:rPr>
      </w:pPr>
      <w:r>
        <w:rPr>
          <w:rFonts w:eastAsia="Times New Roman" w:cs="Times New Roman"/>
          <w:szCs w:val="24"/>
          <w:lang w:val="hr"/>
        </w:rPr>
        <w:t>Kliničke koristi</w:t>
      </w:r>
    </w:p>
    <w:p w14:paraId="12CF44E5" w14:textId="2BE6C61D" w:rsidR="00481A9E" w:rsidRPr="009461CC" w:rsidRDefault="00A80721" w:rsidP="00A80721">
      <w:pPr>
        <w:spacing w:after="120" w:afterAutospacing="0" w:line="240" w:lineRule="auto"/>
        <w:jc w:val="both"/>
        <w:rPr>
          <w:rFonts w:eastAsia="Times New Roman" w:cs="Times New Roman"/>
          <w:szCs w:val="24"/>
        </w:rPr>
      </w:pPr>
      <w:r>
        <w:rPr>
          <w:rFonts w:eastAsia="Times New Roman" w:cs="Times New Roman"/>
          <w:szCs w:val="24"/>
          <w:lang w:val="hr"/>
        </w:rPr>
        <w:t>Vaskularna omča Atrieve</w:t>
      </w:r>
      <w:r w:rsidR="00AE1FBE" w:rsidRPr="00AE1FBE">
        <w:t xml:space="preserve"> </w:t>
      </w:r>
      <w:r w:rsidR="00AE1FBE" w:rsidRPr="00AE1FBE">
        <w:rPr>
          <w:rFonts w:eastAsia="Times New Roman" w:cs="Times New Roman"/>
          <w:szCs w:val="24"/>
          <w:lang w:val="hr"/>
        </w:rPr>
        <w:t>Snare</w:t>
      </w:r>
      <w:r>
        <w:rPr>
          <w:rFonts w:eastAsia="Times New Roman" w:cs="Times New Roman"/>
          <w:szCs w:val="24"/>
          <w:lang w:val="hr"/>
        </w:rPr>
        <w:t xml:space="preserve"> osigurava izravnu korist pacijentu perkutanim vađenjem i rukovanjem stranim tijelima s manje komplikacija i rizika u usporedbi s kirurškom intervencijom.</w:t>
      </w:r>
    </w:p>
    <w:p w14:paraId="5240AF40" w14:textId="3E5A2DE2" w:rsidR="00042B91" w:rsidRPr="005B6722" w:rsidRDefault="00BB36B1" w:rsidP="00A4616A">
      <w:pPr>
        <w:spacing w:after="0" w:afterAutospacing="0" w:line="240" w:lineRule="auto"/>
        <w:rPr>
          <w:rFonts w:cs="Times New Roman"/>
          <w:iCs/>
          <w:lang w:val="pt-BR"/>
        </w:rPr>
      </w:pPr>
      <w:r>
        <w:rPr>
          <w:rFonts w:cs="Times New Roman"/>
          <w:lang w:val="hr"/>
        </w:rPr>
        <w:t>Trajanje / vijek trajanja: privremena upotreba, kraća od 60 minuta.</w:t>
      </w:r>
    </w:p>
    <w:p w14:paraId="393C5ED9" w14:textId="77777777" w:rsidR="00E14C97" w:rsidRPr="005B6722" w:rsidRDefault="00E14C97" w:rsidP="00042B91">
      <w:pPr>
        <w:spacing w:after="0" w:afterAutospacing="0" w:line="240" w:lineRule="auto"/>
        <w:rPr>
          <w:rFonts w:cs="Times New Roman"/>
          <w:i/>
          <w:color w:val="FF0000"/>
          <w:lang w:val="pt-BR"/>
        </w:rPr>
      </w:pPr>
    </w:p>
    <w:p w14:paraId="09A94B0F" w14:textId="4E664EE0" w:rsidR="00760400" w:rsidRPr="005B6722" w:rsidRDefault="008745ED" w:rsidP="00042B91">
      <w:pPr>
        <w:pStyle w:val="Heading1"/>
        <w:rPr>
          <w:rFonts w:cs="Times New Roman"/>
          <w:lang w:val="pt-BR"/>
        </w:rPr>
      </w:pPr>
      <w:bookmarkStart w:id="69" w:name="_Toc222741443"/>
      <w:r>
        <w:rPr>
          <w:rFonts w:cs="Times New Roman"/>
          <w:bCs/>
          <w:lang w:val="hr"/>
        </w:rPr>
        <w:t>Ostali relevantni aspekti sigurnosti, uključujući sažetak svih sigurnosnih korektivnih mjera (FSCA, uključujući FSN), ako je primjenjivo</w:t>
      </w:r>
      <w:bookmarkEnd w:id="69"/>
    </w:p>
    <w:p w14:paraId="65E21D1D" w14:textId="58A43005" w:rsidR="004F5057" w:rsidRPr="005B6722" w:rsidRDefault="00FC52C8" w:rsidP="001F48BA">
      <w:pPr>
        <w:rPr>
          <w:rFonts w:cs="Times New Roman"/>
          <w:lang w:val="pt-BR"/>
        </w:rPr>
      </w:pPr>
      <w:r>
        <w:rPr>
          <w:rFonts w:cs="Times New Roman"/>
          <w:lang w:val="hr"/>
        </w:rPr>
        <w:t>Tijekom razdoblja izvještavanja nije bilo sigurnosnih korektivnih mjera (FSCA) niti opoziva proizvoda.</w:t>
      </w:r>
    </w:p>
    <w:p w14:paraId="21FC0F42" w14:textId="6F4CDE71" w:rsidR="008745ED" w:rsidRPr="005B6722" w:rsidRDefault="008745ED" w:rsidP="00F67A0E">
      <w:pPr>
        <w:pStyle w:val="Heading1"/>
        <w:numPr>
          <w:ilvl w:val="0"/>
          <w:numId w:val="2"/>
        </w:numPr>
        <w:rPr>
          <w:rFonts w:cs="Times New Roman"/>
          <w:lang w:val="pt-BR"/>
        </w:rPr>
      </w:pPr>
      <w:bookmarkStart w:id="70" w:name="_Toc222741444"/>
      <w:r>
        <w:rPr>
          <w:rFonts w:cs="Times New Roman"/>
          <w:bCs/>
          <w:lang w:val="hr"/>
        </w:rPr>
        <w:t>Sažetak kliničke procjene i posttržišnog kliničkog praćenja (PMCF)</w:t>
      </w:r>
      <w:bookmarkEnd w:id="70"/>
    </w:p>
    <w:p w14:paraId="7CA310DE" w14:textId="18F96AF5" w:rsidR="00DA4404" w:rsidRPr="005B6722" w:rsidRDefault="00DA4404" w:rsidP="00DA4404">
      <w:pPr>
        <w:rPr>
          <w:rFonts w:cs="Times New Roman"/>
          <w:lang w:val="hr"/>
        </w:rPr>
      </w:pPr>
      <w:r>
        <w:rPr>
          <w:rFonts w:cs="Times New Roman"/>
          <w:lang w:val="hr"/>
        </w:rPr>
        <w:t xml:space="preserve">Izvješće o kliničkoj procjeni (CER-029 </w:t>
      </w:r>
      <w:r w:rsidR="00D57320">
        <w:rPr>
          <w:rFonts w:cs="Times New Roman"/>
          <w:lang w:val="hr"/>
        </w:rPr>
        <w:t>R</w:t>
      </w:r>
      <w:r>
        <w:rPr>
          <w:rFonts w:cs="Times New Roman"/>
          <w:lang w:val="hr"/>
        </w:rPr>
        <w:t>ev B) potvrđuje da je komplet vaskularne omče Atrieve</w:t>
      </w:r>
      <w:r w:rsidR="00AE1FBE" w:rsidRPr="00722580">
        <w:rPr>
          <w:lang w:val="pt-BR"/>
        </w:rPr>
        <w:t xml:space="preserve"> </w:t>
      </w:r>
      <w:r w:rsidR="00AE1FBE" w:rsidRPr="00AE1FBE">
        <w:rPr>
          <w:rFonts w:cs="Times New Roman"/>
          <w:lang w:val="hr"/>
        </w:rPr>
        <w:t>Snare</w:t>
      </w:r>
      <w:r>
        <w:rPr>
          <w:rFonts w:cs="Times New Roman"/>
          <w:lang w:val="hr"/>
        </w:rPr>
        <w:t xml:space="preserve"> klinički siguran i učinkovit za vađenje i rukovanje stranim predmetima u kardiovaskularnom sustavu. Upotrebljavaju ga prvenstveno obučeni zdravstveni radnici za izvođenje minimalno invazivnih postupaka.</w:t>
      </w:r>
    </w:p>
    <w:p w14:paraId="065C32D9" w14:textId="36044E92" w:rsidR="00DA4404" w:rsidRPr="005B6722" w:rsidRDefault="00DA4404" w:rsidP="00DA4404">
      <w:pPr>
        <w:rPr>
          <w:rFonts w:cs="Times New Roman"/>
          <w:lang w:val="hr"/>
        </w:rPr>
      </w:pPr>
      <w:r>
        <w:rPr>
          <w:rFonts w:cs="Times New Roman"/>
          <w:lang w:val="hr"/>
        </w:rPr>
        <w:t>Procjena temeljena na pregledu literature, kliničkom iskustvu i podacima posttržišnog praćenja pokazuje visoke stope tehničke i kliničke uspješnosti. Komplikacije kao što je krvarenje, embolija, infekcija ili alergijska reakcija su rijetke i unutar prihvatljivih kliničkih granica.</w:t>
      </w:r>
    </w:p>
    <w:p w14:paraId="0DAD67AD" w14:textId="4FF5EA89" w:rsidR="00DA4404" w:rsidRPr="005B6722" w:rsidRDefault="00DA4404" w:rsidP="00DA4404">
      <w:pPr>
        <w:rPr>
          <w:rFonts w:cs="Times New Roman"/>
          <w:lang w:val="hr"/>
        </w:rPr>
      </w:pPr>
      <w:r>
        <w:rPr>
          <w:rFonts w:cs="Times New Roman"/>
          <w:lang w:val="hr"/>
        </w:rPr>
        <w:t>Nisu utvrđeni novi sigurnosni problemi ili neočekivani rizici. Proizvod djeluje usporedivo sa sličnim proizvodima na tržištu i zadržava dosljedan profil rizika i koristi.</w:t>
      </w:r>
    </w:p>
    <w:p w14:paraId="745B2F11" w14:textId="7B6A8999" w:rsidR="00257EE2" w:rsidRPr="005B6722" w:rsidRDefault="00DA4404" w:rsidP="00DA4404">
      <w:pPr>
        <w:rPr>
          <w:rFonts w:cs="Times New Roman"/>
          <w:highlight w:val="yellow"/>
          <w:lang w:val="hr"/>
        </w:rPr>
      </w:pPr>
      <w:r>
        <w:rPr>
          <w:rFonts w:cs="Times New Roman"/>
          <w:lang w:val="hr"/>
        </w:rPr>
        <w:lastRenderedPageBreak/>
        <w:t>Zaključno, omča Atrieve</w:t>
      </w:r>
      <w:r w:rsidR="00AE1FBE">
        <w:rPr>
          <w:rFonts w:cs="Times New Roman"/>
          <w:lang w:val="hr"/>
        </w:rPr>
        <w:t xml:space="preserve"> Snare</w:t>
      </w:r>
      <w:r>
        <w:rPr>
          <w:rFonts w:cs="Times New Roman"/>
          <w:lang w:val="hr"/>
        </w:rPr>
        <w:t xml:space="preserve"> ima pouzdan učinak i snažan sigurnosni profil koji podržavaju njegovu kontinuiranu upotrebu u kliničkim uvjetima.</w:t>
      </w:r>
    </w:p>
    <w:p w14:paraId="491E112E" w14:textId="7E371C44" w:rsidR="005A5584" w:rsidRPr="005B6722" w:rsidRDefault="005A5584" w:rsidP="00300E25">
      <w:pPr>
        <w:rPr>
          <w:rFonts w:cs="Times New Roman"/>
          <w:lang w:val="hr"/>
        </w:rPr>
      </w:pPr>
      <w:r>
        <w:rPr>
          <w:rFonts w:cs="Times New Roman"/>
          <w:lang w:val="hr"/>
        </w:rPr>
        <w:t>Plan upravljanja posttržišnim kliničkim praćenjem (PMCFP) za omču Atrieve</w:t>
      </w:r>
      <w:r w:rsidR="00AE1FBE">
        <w:rPr>
          <w:rFonts w:cs="Times New Roman"/>
          <w:lang w:val="hr"/>
        </w:rPr>
        <w:t xml:space="preserve"> Snare</w:t>
      </w:r>
      <w:r>
        <w:rPr>
          <w:rFonts w:cs="Times New Roman"/>
          <w:lang w:val="hr"/>
        </w:rPr>
        <w:t xml:space="preserve"> opisuje strukturirani pristup praćenju sigurnosti i učinkovitosti proizvoda nakon stavljanja na tržište. Ovi proizvodi klase III upotrebljavaju se za vađenje ili rukovanje stranim predmetima u kardiovaskularnom sustavu i namijenjeni su za privremenu upotrebu.</w:t>
      </w:r>
    </w:p>
    <w:p w14:paraId="72FE8271" w14:textId="5FE4B52E" w:rsidR="00042B91" w:rsidRPr="005B6722" w:rsidRDefault="005A5584" w:rsidP="00A8663C">
      <w:pPr>
        <w:rPr>
          <w:rFonts w:cs="Times New Roman"/>
          <w:lang w:val="hr"/>
        </w:rPr>
      </w:pPr>
      <w:r>
        <w:rPr>
          <w:rFonts w:cs="Times New Roman"/>
          <w:lang w:val="hr"/>
        </w:rPr>
        <w:t>Aktivnosti PMCF-a oslanjaju se na opće postupke, uključujući godišnje preglede literature, praćenje baze podataka o neželjenim događajima (npr. MAUDE) i analizu izvješća o posttržišnom praćenju. Cilj je potvrditi kontinuiranu sigurnost i učinkovitost, prepoznati nove rizike i otkriti upotrebu izvan odobrenih indikacija. Također se pregledavaju klinički podaci sličnih proizvoda radi usporedbe rezultata.</w:t>
      </w:r>
    </w:p>
    <w:p w14:paraId="33785C59" w14:textId="7AB0634B" w:rsidR="008745ED" w:rsidRPr="005B6722" w:rsidRDefault="008745ED" w:rsidP="00042B91">
      <w:pPr>
        <w:pStyle w:val="Heading1"/>
        <w:rPr>
          <w:rFonts w:cs="Times New Roman"/>
          <w:lang w:val="hr"/>
        </w:rPr>
      </w:pPr>
      <w:bookmarkStart w:id="71" w:name="_Toc222741445"/>
      <w:r>
        <w:rPr>
          <w:rFonts w:cs="Times New Roman"/>
          <w:bCs/>
          <w:lang w:val="hr"/>
        </w:rPr>
        <w:t>Sažetak kliničkih podataka u vezi s ekvivalentnim proizvodom, ako je primjenjivo</w:t>
      </w:r>
      <w:bookmarkEnd w:id="71"/>
      <w:r>
        <w:rPr>
          <w:rFonts w:cs="Times New Roman"/>
          <w:bCs/>
          <w:lang w:val="hr"/>
        </w:rPr>
        <w:t xml:space="preserve"> </w:t>
      </w:r>
    </w:p>
    <w:p w14:paraId="62C65035" w14:textId="2ED3F324" w:rsidR="00B763A0" w:rsidRPr="005B6722" w:rsidRDefault="00F24AE3" w:rsidP="00511B41">
      <w:pPr>
        <w:ind w:firstLine="360"/>
        <w:rPr>
          <w:rFonts w:cs="Times New Roman"/>
          <w:lang w:val="hr"/>
        </w:rPr>
      </w:pPr>
      <w:r>
        <w:rPr>
          <w:rFonts w:cs="Times New Roman"/>
          <w:lang w:val="hr"/>
        </w:rPr>
        <w:t>Ovaj odjeljak nije primjenjiv (N/P).</w:t>
      </w:r>
    </w:p>
    <w:p w14:paraId="46CE7D79" w14:textId="2B10E133" w:rsidR="008745ED" w:rsidRPr="005B6722" w:rsidRDefault="008745ED" w:rsidP="00042B91">
      <w:pPr>
        <w:pStyle w:val="Heading1"/>
        <w:rPr>
          <w:rFonts w:cs="Times New Roman"/>
          <w:lang w:val="hr"/>
        </w:rPr>
      </w:pPr>
      <w:bookmarkStart w:id="72" w:name="_Toc222741446"/>
      <w:r>
        <w:rPr>
          <w:rFonts w:cs="Times New Roman"/>
          <w:bCs/>
          <w:lang w:val="hr"/>
        </w:rPr>
        <w:t>Sažetak kliničkih podataka provedenih ispitivanja proizvoda prije oznake CE, ako je primjenjivo</w:t>
      </w:r>
      <w:bookmarkEnd w:id="72"/>
      <w:r>
        <w:rPr>
          <w:rFonts w:cs="Times New Roman"/>
          <w:bCs/>
          <w:lang w:val="hr"/>
        </w:rPr>
        <w:t xml:space="preserve"> </w:t>
      </w:r>
    </w:p>
    <w:p w14:paraId="27B7D18D" w14:textId="3346219F" w:rsidR="004846A6" w:rsidRPr="005B6722" w:rsidRDefault="00F604C9" w:rsidP="00F24AE3">
      <w:pPr>
        <w:ind w:left="360"/>
        <w:rPr>
          <w:rFonts w:cs="Times New Roman"/>
          <w:lang w:val="hr"/>
        </w:rPr>
      </w:pPr>
      <w:bookmarkStart w:id="73" w:name="_Hlk196514030"/>
      <w:r>
        <w:rPr>
          <w:rFonts w:cs="Times New Roman"/>
          <w:lang w:val="hr"/>
        </w:rPr>
        <w:t>Ovaj odjeljak nije primjenjiv (N/P).</w:t>
      </w:r>
    </w:p>
    <w:p w14:paraId="7A896071" w14:textId="00061818" w:rsidR="008745ED" w:rsidRPr="005B6722" w:rsidRDefault="008745ED" w:rsidP="00042B91">
      <w:pPr>
        <w:pStyle w:val="Heading1"/>
        <w:rPr>
          <w:rFonts w:cs="Times New Roman"/>
          <w:lang w:val="hr"/>
        </w:rPr>
      </w:pPr>
      <w:bookmarkStart w:id="74" w:name="_Toc222741447"/>
      <w:bookmarkEnd w:id="73"/>
      <w:r>
        <w:rPr>
          <w:rFonts w:cs="Times New Roman"/>
          <w:bCs/>
          <w:lang w:val="hr"/>
        </w:rPr>
        <w:t>Sažetak kliničkih podataka iz drugih izvora, ako je primjenjivo</w:t>
      </w:r>
      <w:bookmarkEnd w:id="74"/>
      <w:r>
        <w:rPr>
          <w:rFonts w:cs="Times New Roman"/>
          <w:bCs/>
          <w:lang w:val="hr"/>
        </w:rPr>
        <w:t xml:space="preserve"> </w:t>
      </w:r>
    </w:p>
    <w:p w14:paraId="58ABE560" w14:textId="77777777" w:rsidR="009D54AB" w:rsidRPr="00722580" w:rsidRDefault="009D54AB" w:rsidP="009D54AB">
      <w:pPr>
        <w:spacing w:after="0" w:afterAutospacing="0" w:line="240" w:lineRule="auto"/>
        <w:rPr>
          <w:rFonts w:eastAsia="Times New Roman" w:cs="Times New Roman"/>
          <w:sz w:val="16"/>
          <w:szCs w:val="16"/>
          <w:lang w:val="hr"/>
        </w:rPr>
      </w:pPr>
    </w:p>
    <w:p w14:paraId="3F1ED76E" w14:textId="28468C73" w:rsidR="006C2B68" w:rsidRDefault="0037599D" w:rsidP="00722580">
      <w:pPr>
        <w:spacing w:after="0" w:afterAutospacing="0" w:line="240" w:lineRule="auto"/>
        <w:rPr>
          <w:rFonts w:eastAsia="Times New Roman" w:cs="Times New Roman"/>
          <w:szCs w:val="24"/>
          <w:lang w:val="hr"/>
        </w:rPr>
      </w:pPr>
      <w:r>
        <w:rPr>
          <w:rFonts w:eastAsia="Times New Roman" w:cs="Times New Roman"/>
          <w:szCs w:val="24"/>
          <w:lang w:val="hr"/>
        </w:rPr>
        <w:t xml:space="preserve">CER-029 </w:t>
      </w:r>
      <w:r w:rsidR="005D3A1B">
        <w:rPr>
          <w:rFonts w:eastAsia="Times New Roman" w:cs="Times New Roman"/>
          <w:szCs w:val="24"/>
          <w:lang w:val="hr"/>
        </w:rPr>
        <w:t>R</w:t>
      </w:r>
      <w:r>
        <w:rPr>
          <w:rFonts w:eastAsia="Times New Roman" w:cs="Times New Roman"/>
          <w:szCs w:val="24"/>
          <w:lang w:val="hr"/>
        </w:rPr>
        <w:t>ev B temelji se na sveobuhvatnom pregledu vanjskih kliničkih podataka, uključujući:</w:t>
      </w:r>
    </w:p>
    <w:p w14:paraId="32F6198E" w14:textId="77777777" w:rsidR="009D54AB" w:rsidRPr="00722580" w:rsidRDefault="009D54AB" w:rsidP="00722580">
      <w:pPr>
        <w:spacing w:after="0" w:afterAutospacing="0" w:line="240" w:lineRule="auto"/>
        <w:rPr>
          <w:rFonts w:eastAsia="Times New Roman" w:cs="Times New Roman"/>
          <w:sz w:val="16"/>
          <w:szCs w:val="16"/>
          <w:lang w:val="hr"/>
        </w:rPr>
      </w:pPr>
    </w:p>
    <w:p w14:paraId="421058D0" w14:textId="26D1A572" w:rsidR="00FB1FDD" w:rsidRDefault="00FC5667" w:rsidP="00722580">
      <w:pPr>
        <w:spacing w:after="0" w:afterAutospacing="0" w:line="240" w:lineRule="auto"/>
        <w:rPr>
          <w:rFonts w:cs="Times New Roman"/>
          <w:lang w:val="hr"/>
        </w:rPr>
      </w:pPr>
      <w:r>
        <w:rPr>
          <w:rFonts w:cs="Times New Roman"/>
          <w:szCs w:val="24"/>
          <w:lang w:val="hr"/>
        </w:rPr>
        <w:t>Literaturu o najsuvremenijem stanju tehnike (SOA): sustavnim pregledom 579 članaka utvrđeno je postojanje 16 relevantnih ispitivanja u vezi sa sličnim proizvodima i postupcima. Navedena ispitivanja pokazala su visoke stope tehničkog uspjeha (≥ 91,2 %) i niske stope komplikacija (≤ 1,1 %) te time uspostavila mjerila u pogledu sigurnosti i učinkovitosti.</w:t>
      </w:r>
      <w:r>
        <w:rPr>
          <w:rFonts w:cs="Times New Roman"/>
          <w:lang w:val="hr"/>
        </w:rPr>
        <w:t xml:space="preserve"> </w:t>
      </w:r>
    </w:p>
    <w:p w14:paraId="6043274B" w14:textId="77777777" w:rsidR="009D54AB" w:rsidRPr="00722580" w:rsidRDefault="009D54AB" w:rsidP="00722580">
      <w:pPr>
        <w:spacing w:after="0" w:afterAutospacing="0" w:line="240" w:lineRule="auto"/>
        <w:rPr>
          <w:rFonts w:cs="Times New Roman"/>
          <w:sz w:val="16"/>
          <w:szCs w:val="14"/>
          <w:lang w:val="hr"/>
        </w:rPr>
      </w:pPr>
    </w:p>
    <w:p w14:paraId="7C6B59FC" w14:textId="77777777" w:rsidR="00FB1FDD" w:rsidRDefault="00D23267" w:rsidP="00722580">
      <w:pPr>
        <w:spacing w:after="0" w:afterAutospacing="0" w:line="240" w:lineRule="auto"/>
        <w:rPr>
          <w:rFonts w:cs="Times New Roman"/>
          <w:lang w:val="hr"/>
        </w:rPr>
      </w:pPr>
      <w:r>
        <w:rPr>
          <w:rFonts w:cs="Times New Roman"/>
          <w:szCs w:val="24"/>
          <w:lang w:val="hr"/>
        </w:rPr>
        <w:t>Literaturu o konkurentskim proizvodima: osam ispitivanja u vezi s usporedivim proizvodima (npr. EN Snare, GooseNeck, CloverSnare) potvrdilo je slične profile sigurnosti i učinkovitosti te status standarda medicinske skrbi za vaskularne omče.</w:t>
      </w:r>
      <w:r>
        <w:rPr>
          <w:rFonts w:cs="Times New Roman"/>
          <w:lang w:val="hr"/>
        </w:rPr>
        <w:t xml:space="preserve"> </w:t>
      </w:r>
    </w:p>
    <w:p w14:paraId="26606F0C" w14:textId="77777777" w:rsidR="009D54AB" w:rsidRPr="00722580" w:rsidRDefault="009D54AB" w:rsidP="00722580">
      <w:pPr>
        <w:spacing w:after="0" w:afterAutospacing="0" w:line="240" w:lineRule="auto"/>
        <w:rPr>
          <w:rFonts w:cs="Times New Roman"/>
          <w:sz w:val="16"/>
          <w:szCs w:val="14"/>
          <w:lang w:val="hr"/>
        </w:rPr>
      </w:pPr>
    </w:p>
    <w:p w14:paraId="2910073B" w14:textId="4049ACE7" w:rsidR="004846A6" w:rsidRDefault="009B4453" w:rsidP="00722580">
      <w:pPr>
        <w:spacing w:after="0" w:afterAutospacing="0" w:line="240" w:lineRule="auto"/>
        <w:rPr>
          <w:rFonts w:eastAsia="Times New Roman" w:cs="Times New Roman"/>
          <w:szCs w:val="24"/>
          <w:lang w:val="hr"/>
        </w:rPr>
      </w:pPr>
      <w:r>
        <w:rPr>
          <w:rFonts w:eastAsia="Times New Roman" w:cs="Times New Roman"/>
          <w:szCs w:val="24"/>
          <w:lang w:val="hr"/>
        </w:rPr>
        <w:t>Kliničke smjernice: preporuke strukovnih udruženja (npr. SIR, ESC, KDOQI) podržavaju upotrebu perkutanih postupaka vađenja, uključujući omče, kao primarni način uklanjanja stranih tijela iz kardiovaskularnog sustava.</w:t>
      </w:r>
    </w:p>
    <w:p w14:paraId="2E232AB9" w14:textId="77777777" w:rsidR="009D54AB" w:rsidRPr="00722580" w:rsidRDefault="009D54AB" w:rsidP="00722580">
      <w:pPr>
        <w:spacing w:after="0" w:afterAutospacing="0" w:line="240" w:lineRule="auto"/>
        <w:rPr>
          <w:rFonts w:eastAsia="Times New Roman" w:cs="Times New Roman"/>
          <w:sz w:val="16"/>
          <w:szCs w:val="16"/>
          <w:lang w:val="hr"/>
        </w:rPr>
      </w:pPr>
    </w:p>
    <w:p w14:paraId="661EF380" w14:textId="4FE3A325" w:rsidR="00516D79" w:rsidRDefault="00516D79" w:rsidP="00722580">
      <w:pPr>
        <w:spacing w:after="0" w:afterAutospacing="0" w:line="240" w:lineRule="auto"/>
        <w:rPr>
          <w:rFonts w:eastAsia="Times New Roman" w:cs="Times New Roman"/>
          <w:szCs w:val="24"/>
          <w:lang w:val="hr"/>
        </w:rPr>
      </w:pPr>
      <w:r>
        <w:rPr>
          <w:rFonts w:eastAsia="Times New Roman" w:cs="Times New Roman"/>
          <w:szCs w:val="24"/>
          <w:lang w:val="hr"/>
        </w:rPr>
        <w:t>Literaturu o predmetnom proizvodu: trinaest publikacija (uključujući izvješća o pojedinim slučajevima i retrospektivne studije) o omči Atrieve</w:t>
      </w:r>
      <w:r w:rsidR="00AE1FBE">
        <w:rPr>
          <w:rFonts w:eastAsia="Times New Roman" w:cs="Times New Roman"/>
          <w:szCs w:val="24"/>
          <w:lang w:val="hr"/>
        </w:rPr>
        <w:t xml:space="preserve"> Snare</w:t>
      </w:r>
      <w:r>
        <w:rPr>
          <w:rFonts w:eastAsia="Times New Roman" w:cs="Times New Roman"/>
          <w:szCs w:val="24"/>
          <w:lang w:val="hr"/>
        </w:rPr>
        <w:t xml:space="preserve"> pokazalo je 100-postotni tehnički uspjeh i 94,5-postotni klinički uspjeh, uz minimalne nepoželjne događaje. Neke metrike učinkovitosti bile su neznatno lošije u usporedbi s mjerilima SOA-e, ali bile su unutar prihvatljivih kliničkih raspona.</w:t>
      </w:r>
    </w:p>
    <w:p w14:paraId="315F3CB0" w14:textId="77777777" w:rsidR="009D54AB" w:rsidRPr="00722580" w:rsidRDefault="009D54AB" w:rsidP="00722580">
      <w:pPr>
        <w:spacing w:after="0" w:afterAutospacing="0" w:line="240" w:lineRule="auto"/>
        <w:rPr>
          <w:rFonts w:eastAsia="Times New Roman" w:cs="Times New Roman"/>
          <w:sz w:val="16"/>
          <w:szCs w:val="16"/>
          <w:lang w:val="hr"/>
        </w:rPr>
      </w:pPr>
    </w:p>
    <w:p w14:paraId="66F22352" w14:textId="28F3CCF3" w:rsidR="004846A6" w:rsidRDefault="004846A6" w:rsidP="00722580">
      <w:pPr>
        <w:spacing w:after="0" w:afterAutospacing="0" w:line="240" w:lineRule="auto"/>
        <w:rPr>
          <w:rFonts w:eastAsia="Times New Roman" w:cs="Times New Roman"/>
          <w:szCs w:val="24"/>
          <w:lang w:val="hr"/>
        </w:rPr>
      </w:pPr>
      <w:r>
        <w:rPr>
          <w:rFonts w:eastAsia="Times New Roman" w:cs="Times New Roman"/>
          <w:szCs w:val="24"/>
          <w:lang w:val="hr"/>
        </w:rPr>
        <w:t xml:space="preserve">Osim toga, izvješće integrira podatke postmarketinškog praćenja (PMS) prikupljene putem strukturiranih planova upravljanja praćenjem za proizvod Atrieve. Navedeno uključuje praćenje pritužbi i neželjenih događaja tijekom razdoblja od pet godina, kao i korektivne mjere. Unatoč značajnoj globalnoj prodaji, </w:t>
      </w:r>
      <w:r>
        <w:rPr>
          <w:rFonts w:eastAsia="Times New Roman" w:cs="Times New Roman"/>
          <w:szCs w:val="24"/>
          <w:lang w:val="hr"/>
        </w:rPr>
        <w:lastRenderedPageBreak/>
        <w:t>podaci PMS-a nisu otkrili nove sigurnosne trendove ni nepredviđene rizike, što dodatno potvrđuje sigurnosne profile proizvoda u stvarnim uvjetima.</w:t>
      </w:r>
    </w:p>
    <w:p w14:paraId="5D76C4C3" w14:textId="77777777" w:rsidR="009D54AB" w:rsidRPr="00722580" w:rsidRDefault="009D54AB" w:rsidP="00722580">
      <w:pPr>
        <w:spacing w:after="0" w:afterAutospacing="0" w:line="240" w:lineRule="auto"/>
        <w:rPr>
          <w:rFonts w:eastAsia="Times New Roman" w:cs="Times New Roman"/>
          <w:sz w:val="16"/>
          <w:szCs w:val="16"/>
          <w:lang w:val="hr"/>
        </w:rPr>
      </w:pPr>
    </w:p>
    <w:p w14:paraId="6527D03E" w14:textId="73944EC6" w:rsidR="004846A6" w:rsidRDefault="004846A6" w:rsidP="009D54AB">
      <w:pPr>
        <w:spacing w:after="0" w:afterAutospacing="0" w:line="240" w:lineRule="auto"/>
        <w:rPr>
          <w:rFonts w:eastAsia="Times New Roman" w:cs="Times New Roman"/>
          <w:szCs w:val="24"/>
          <w:lang w:val="hr"/>
        </w:rPr>
      </w:pPr>
      <w:r>
        <w:rPr>
          <w:rFonts w:eastAsia="Times New Roman" w:cs="Times New Roman"/>
          <w:szCs w:val="24"/>
          <w:lang w:val="hr"/>
        </w:rPr>
        <w:t>Konačno, neklinički podaci, uključujući ispitivanja u laboratorijskim uvjetima i procjene biološke kompatibilnosti, pokazuju da proizvodi zadovoljavaju sve norme koje se odnose na projektiranje proizvoda i regulatorne norme. Iako za ove proizvode nisu provedena klinička ispitivanja, to je opravdano sveobuhvatnim podacima dobivenim iz literature, posttržišnih izvora i upotrebe starijih proizvoda slične namjene. Sveukupno, različiti izvori podataka zajedno podržavaju sigurnost i učinkovitost proizvoda u skladu sa zahtjevima EU MDR-a.</w:t>
      </w:r>
    </w:p>
    <w:p w14:paraId="215DE548" w14:textId="77777777" w:rsidR="009D54AB" w:rsidRPr="005B6722" w:rsidRDefault="009D54AB" w:rsidP="00722580">
      <w:pPr>
        <w:spacing w:after="0" w:afterAutospacing="0" w:line="240" w:lineRule="auto"/>
        <w:rPr>
          <w:rFonts w:eastAsia="Times New Roman" w:cs="Times New Roman"/>
          <w:szCs w:val="24"/>
          <w:lang w:val="hr"/>
        </w:rPr>
      </w:pPr>
    </w:p>
    <w:p w14:paraId="0F01E5AD" w14:textId="2BD461FF" w:rsidR="008745ED" w:rsidRPr="005B6722" w:rsidRDefault="008745ED" w:rsidP="00042B91">
      <w:pPr>
        <w:pStyle w:val="Heading1"/>
        <w:rPr>
          <w:rFonts w:cs="Times New Roman"/>
          <w:lang w:val="hr"/>
        </w:rPr>
      </w:pPr>
      <w:bookmarkStart w:id="75" w:name="_Toc222741448"/>
      <w:r>
        <w:rPr>
          <w:rFonts w:cs="Times New Roman"/>
          <w:bCs/>
          <w:lang w:val="hr"/>
        </w:rPr>
        <w:t>Ukupni sažetak kliničke učinkovitosti i sigurnosti</w:t>
      </w:r>
      <w:bookmarkEnd w:id="75"/>
      <w:r>
        <w:rPr>
          <w:rFonts w:cs="Times New Roman"/>
          <w:bCs/>
          <w:lang w:val="hr"/>
        </w:rPr>
        <w:t xml:space="preserve"> </w:t>
      </w:r>
    </w:p>
    <w:p w14:paraId="7C1B956B" w14:textId="77777777" w:rsidR="009977D7" w:rsidRPr="00722580" w:rsidRDefault="009977D7" w:rsidP="00D52DF8">
      <w:pPr>
        <w:spacing w:after="0" w:afterAutospacing="0" w:line="240" w:lineRule="auto"/>
        <w:rPr>
          <w:rFonts w:eastAsia="Times New Roman" w:cs="Times New Roman"/>
          <w:iCs/>
          <w:sz w:val="16"/>
          <w:szCs w:val="16"/>
          <w:lang w:val="hr"/>
        </w:rPr>
      </w:pPr>
    </w:p>
    <w:p w14:paraId="068544DB" w14:textId="3AB53A4E" w:rsidR="00D52DF8" w:rsidRPr="005B6722" w:rsidRDefault="00D52DF8" w:rsidP="00D52DF8">
      <w:pPr>
        <w:spacing w:after="0" w:afterAutospacing="0" w:line="240" w:lineRule="auto"/>
        <w:rPr>
          <w:rFonts w:eastAsia="Times New Roman" w:cs="Times New Roman"/>
          <w:iCs/>
          <w:szCs w:val="24"/>
          <w:lang w:val="hr"/>
        </w:rPr>
      </w:pPr>
      <w:r>
        <w:rPr>
          <w:rFonts w:eastAsia="Times New Roman" w:cs="Times New Roman"/>
          <w:szCs w:val="24"/>
          <w:lang w:val="hr"/>
        </w:rPr>
        <w:t xml:space="preserve">Na temelju dokumenata X9585730-0321-EU </w:t>
      </w:r>
      <w:r w:rsidR="0019124F">
        <w:rPr>
          <w:rFonts w:eastAsia="Times New Roman" w:cs="Times New Roman"/>
          <w:szCs w:val="24"/>
          <w:lang w:val="hr"/>
        </w:rPr>
        <w:t>R</w:t>
      </w:r>
      <w:r>
        <w:rPr>
          <w:rFonts w:eastAsia="Times New Roman" w:cs="Times New Roman"/>
          <w:szCs w:val="24"/>
          <w:lang w:val="hr"/>
        </w:rPr>
        <w:t xml:space="preserve">ev A i CER-029 </w:t>
      </w:r>
      <w:r w:rsidR="0019124F">
        <w:rPr>
          <w:rFonts w:eastAsia="Times New Roman" w:cs="Times New Roman"/>
          <w:szCs w:val="24"/>
          <w:lang w:val="hr"/>
        </w:rPr>
        <w:t>R</w:t>
      </w:r>
      <w:r>
        <w:rPr>
          <w:rFonts w:eastAsia="Times New Roman" w:cs="Times New Roman"/>
          <w:szCs w:val="24"/>
          <w:lang w:val="hr"/>
        </w:rPr>
        <w:t>ev B za komplet vaskularne omče Atrieve</w:t>
      </w:r>
      <w:r w:rsidR="00AE1FBE" w:rsidRPr="00722580">
        <w:rPr>
          <w:lang w:val="hr"/>
        </w:rPr>
        <w:t xml:space="preserve"> </w:t>
      </w:r>
      <w:r w:rsidR="00AE1FBE" w:rsidRPr="00AE1FBE">
        <w:rPr>
          <w:rFonts w:eastAsia="Times New Roman" w:cs="Times New Roman"/>
          <w:szCs w:val="24"/>
          <w:lang w:val="hr"/>
        </w:rPr>
        <w:t>Snare</w:t>
      </w:r>
      <w:r>
        <w:rPr>
          <w:rFonts w:eastAsia="Times New Roman" w:cs="Times New Roman"/>
          <w:szCs w:val="24"/>
          <w:lang w:val="hr"/>
        </w:rPr>
        <w:t>, ukupna klinička učinkovitost i sigurnosni profil proizvoda smatraju se povoljnim i u skladu s očekivanjima za njegovu namjenu.</w:t>
      </w:r>
    </w:p>
    <w:p w14:paraId="3508FD3D" w14:textId="77777777" w:rsidR="002E59B4" w:rsidRPr="005B6722" w:rsidRDefault="002E59B4" w:rsidP="00D52DF8">
      <w:pPr>
        <w:spacing w:after="0" w:afterAutospacing="0" w:line="240" w:lineRule="auto"/>
        <w:rPr>
          <w:rFonts w:eastAsia="Times New Roman" w:cs="Times New Roman"/>
          <w:iCs/>
          <w:szCs w:val="24"/>
          <w:lang w:val="hr"/>
        </w:rPr>
      </w:pPr>
    </w:p>
    <w:p w14:paraId="0A303358" w14:textId="24357A0A" w:rsidR="00C361CA" w:rsidRPr="005B6722" w:rsidRDefault="005C642C" w:rsidP="00C97841">
      <w:pPr>
        <w:spacing w:after="0" w:afterAutospacing="0" w:line="240" w:lineRule="auto"/>
        <w:rPr>
          <w:rFonts w:cs="Times New Roman"/>
          <w:lang w:val="hr"/>
        </w:rPr>
      </w:pPr>
      <w:r>
        <w:rPr>
          <w:rFonts w:cs="Times New Roman"/>
          <w:lang w:val="hr"/>
        </w:rPr>
        <w:t xml:space="preserve">Proizvod je projektiran za </w:t>
      </w:r>
      <w:r>
        <w:rPr>
          <w:rStyle w:val="Strong"/>
          <w:rFonts w:cs="Times New Roman"/>
          <w:lang w:val="hr"/>
        </w:rPr>
        <w:t>perkutano vađenje i rukovanje stranim tijelima</w:t>
      </w:r>
      <w:r>
        <w:rPr>
          <w:rFonts w:cs="Times New Roman"/>
          <w:lang w:val="hr"/>
        </w:rPr>
        <w:t xml:space="preserve"> u kardiovaskularnom sustavu ili šupljem organu. Ključne kliničke koristi uključuju minimalno invazivno vađenje, manji rizik za pacijenta i niže stope komplikacija u usporedbi s kirurškim alternativama.</w:t>
      </w:r>
    </w:p>
    <w:p w14:paraId="0DE0B963" w14:textId="77777777" w:rsidR="005C642C" w:rsidRPr="005B6722" w:rsidRDefault="005C642C" w:rsidP="00C97841">
      <w:pPr>
        <w:spacing w:after="0" w:afterAutospacing="0" w:line="240" w:lineRule="auto"/>
        <w:rPr>
          <w:rFonts w:eastAsia="Times New Roman" w:cs="Times New Roman"/>
          <w:iCs/>
          <w:szCs w:val="24"/>
          <w:lang w:val="hr"/>
        </w:rPr>
      </w:pPr>
    </w:p>
    <w:p w14:paraId="2DA4A118" w14:textId="58FE2B84" w:rsidR="00C97841" w:rsidRPr="005B6722" w:rsidRDefault="00B26297" w:rsidP="00C97841">
      <w:pPr>
        <w:spacing w:after="0" w:afterAutospacing="0" w:line="240" w:lineRule="auto"/>
        <w:rPr>
          <w:rFonts w:eastAsia="Times New Roman" w:cs="Times New Roman"/>
          <w:iCs/>
          <w:szCs w:val="24"/>
          <w:lang w:val="hr"/>
        </w:rPr>
      </w:pPr>
      <w:r>
        <w:rPr>
          <w:rFonts w:eastAsia="Times New Roman" w:cs="Times New Roman"/>
          <w:szCs w:val="24"/>
          <w:lang w:val="hr"/>
        </w:rPr>
        <w:t>Klinička procjena definira sljedeće mjere rezultata:</w:t>
      </w:r>
    </w:p>
    <w:tbl>
      <w:tblPr>
        <w:tblW w:w="5000"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6"/>
        <w:gridCol w:w="7384"/>
      </w:tblGrid>
      <w:tr w:rsidR="00942C1E" w:rsidRPr="009461CC" w14:paraId="0839D18E" w14:textId="77777777" w:rsidTr="00607046">
        <w:trPr>
          <w:tblHeader/>
          <w:tblCellSpacing w:w="15" w:type="dxa"/>
          <w:jc w:val="center"/>
        </w:trPr>
        <w:tc>
          <w:tcPr>
            <w:tcW w:w="4971" w:type="pct"/>
            <w:gridSpan w:val="2"/>
            <w:shd w:val="clear" w:color="auto" w:fill="F5F5F5"/>
            <w:tcMar>
              <w:top w:w="120" w:type="dxa"/>
              <w:left w:w="180" w:type="dxa"/>
              <w:bottom w:w="105" w:type="dxa"/>
              <w:right w:w="120" w:type="dxa"/>
            </w:tcMar>
          </w:tcPr>
          <w:p w14:paraId="35368930" w14:textId="77777777" w:rsidR="00942C1E" w:rsidRPr="009461CC" w:rsidRDefault="00942C1E" w:rsidP="00722580">
            <w:pPr>
              <w:spacing w:after="0" w:afterAutospacing="0" w:line="216" w:lineRule="auto"/>
              <w:jc w:val="center"/>
              <w:rPr>
                <w:rFonts w:eastAsia="Times New Roman" w:cs="Times New Roman"/>
                <w:b/>
                <w:bCs/>
              </w:rPr>
            </w:pPr>
            <w:r>
              <w:rPr>
                <w:rFonts w:eastAsia="Times New Roman" w:cs="Times New Roman"/>
                <w:b/>
                <w:bCs/>
                <w:lang w:val="hr"/>
              </w:rPr>
              <w:t>Mjere učinkovitosti</w:t>
            </w:r>
          </w:p>
        </w:tc>
      </w:tr>
      <w:tr w:rsidR="00607046" w:rsidRPr="009461CC" w14:paraId="609C186F" w14:textId="77777777" w:rsidTr="00607046">
        <w:trPr>
          <w:tblHeader/>
          <w:tblCellSpacing w:w="15" w:type="dxa"/>
          <w:jc w:val="center"/>
        </w:trPr>
        <w:tc>
          <w:tcPr>
            <w:tcW w:w="1443" w:type="pct"/>
            <w:shd w:val="clear" w:color="auto" w:fill="F5F5F5"/>
            <w:tcMar>
              <w:top w:w="120" w:type="dxa"/>
              <w:left w:w="180" w:type="dxa"/>
              <w:bottom w:w="105" w:type="dxa"/>
              <w:right w:w="120" w:type="dxa"/>
            </w:tcMar>
            <w:hideMark/>
          </w:tcPr>
          <w:p w14:paraId="2D28E345" w14:textId="77777777" w:rsidR="00942C1E" w:rsidRPr="009461CC" w:rsidRDefault="00942C1E" w:rsidP="00722580">
            <w:pPr>
              <w:spacing w:after="0" w:afterAutospacing="0" w:line="216" w:lineRule="auto"/>
              <w:jc w:val="center"/>
              <w:rPr>
                <w:rFonts w:eastAsia="Times New Roman" w:cs="Times New Roman"/>
                <w:b/>
                <w:bCs/>
              </w:rPr>
            </w:pPr>
            <w:r>
              <w:rPr>
                <w:rFonts w:eastAsia="Times New Roman" w:cs="Times New Roman"/>
                <w:b/>
                <w:bCs/>
                <w:lang w:val="hr"/>
              </w:rPr>
              <w:t>Mjera</w:t>
            </w:r>
          </w:p>
        </w:tc>
        <w:tc>
          <w:tcPr>
            <w:tcW w:w="3514" w:type="pct"/>
            <w:shd w:val="clear" w:color="auto" w:fill="F5F5F5"/>
            <w:tcMar>
              <w:top w:w="120" w:type="dxa"/>
              <w:left w:w="180" w:type="dxa"/>
              <w:bottom w:w="105" w:type="dxa"/>
              <w:right w:w="120" w:type="dxa"/>
            </w:tcMar>
            <w:hideMark/>
          </w:tcPr>
          <w:p w14:paraId="14A387C4" w14:textId="77777777" w:rsidR="00942C1E" w:rsidRPr="009461CC" w:rsidRDefault="00942C1E" w:rsidP="00722580">
            <w:pPr>
              <w:spacing w:after="0" w:afterAutospacing="0" w:line="216" w:lineRule="auto"/>
              <w:jc w:val="center"/>
              <w:rPr>
                <w:rFonts w:eastAsia="Times New Roman" w:cs="Times New Roman"/>
                <w:b/>
                <w:bCs/>
              </w:rPr>
            </w:pPr>
            <w:r>
              <w:rPr>
                <w:rFonts w:eastAsia="Times New Roman" w:cs="Times New Roman"/>
                <w:b/>
                <w:bCs/>
                <w:lang w:val="hr"/>
              </w:rPr>
              <w:t>Definicija</w:t>
            </w:r>
          </w:p>
        </w:tc>
      </w:tr>
      <w:tr w:rsidR="00942C1E" w:rsidRPr="009D54AB" w14:paraId="67F5D1CE" w14:textId="77777777" w:rsidTr="00607046">
        <w:trPr>
          <w:tblCellSpacing w:w="15" w:type="dxa"/>
          <w:jc w:val="center"/>
        </w:trPr>
        <w:tc>
          <w:tcPr>
            <w:tcW w:w="1443" w:type="pct"/>
            <w:tcMar>
              <w:top w:w="120" w:type="dxa"/>
              <w:left w:w="180" w:type="dxa"/>
              <w:bottom w:w="105" w:type="dxa"/>
              <w:right w:w="120" w:type="dxa"/>
            </w:tcMar>
            <w:hideMark/>
          </w:tcPr>
          <w:p w14:paraId="5F6236EF" w14:textId="77777777" w:rsidR="00942C1E" w:rsidRPr="009461CC" w:rsidRDefault="00942C1E" w:rsidP="00722580">
            <w:pPr>
              <w:spacing w:after="0" w:afterAutospacing="0" w:line="216" w:lineRule="auto"/>
              <w:jc w:val="center"/>
              <w:rPr>
                <w:rFonts w:eastAsia="Times New Roman" w:cs="Times New Roman"/>
              </w:rPr>
            </w:pPr>
            <w:r>
              <w:rPr>
                <w:rFonts w:eastAsia="Times New Roman" w:cs="Times New Roman"/>
                <w:b/>
                <w:bCs/>
                <w:lang w:val="hr"/>
              </w:rPr>
              <w:t>Tehnički uspjeh</w:t>
            </w:r>
          </w:p>
        </w:tc>
        <w:tc>
          <w:tcPr>
            <w:tcW w:w="3514" w:type="pct"/>
            <w:tcMar>
              <w:top w:w="120" w:type="dxa"/>
              <w:left w:w="180" w:type="dxa"/>
              <w:bottom w:w="105" w:type="dxa"/>
              <w:right w:w="120" w:type="dxa"/>
            </w:tcMar>
            <w:hideMark/>
          </w:tcPr>
          <w:p w14:paraId="55E25C25" w14:textId="77777777" w:rsidR="00942C1E" w:rsidRPr="005B6722" w:rsidRDefault="00942C1E" w:rsidP="00722580">
            <w:pPr>
              <w:spacing w:after="0" w:afterAutospacing="0" w:line="216" w:lineRule="auto"/>
              <w:jc w:val="center"/>
              <w:rPr>
                <w:rFonts w:eastAsia="Times New Roman" w:cs="Times New Roman"/>
                <w:lang w:val="pt-BR"/>
              </w:rPr>
            </w:pPr>
            <w:r>
              <w:rPr>
                <w:rFonts w:eastAsia="Times New Roman" w:cs="Times New Roman"/>
                <w:lang w:val="hr"/>
              </w:rPr>
              <w:t>Uspješno vađenje/rukovanje stranim tijelima</w:t>
            </w:r>
          </w:p>
        </w:tc>
      </w:tr>
      <w:tr w:rsidR="00942C1E" w:rsidRPr="00973C91" w14:paraId="5EE8C36D" w14:textId="77777777" w:rsidTr="00607046">
        <w:trPr>
          <w:tblCellSpacing w:w="15" w:type="dxa"/>
          <w:jc w:val="center"/>
        </w:trPr>
        <w:tc>
          <w:tcPr>
            <w:tcW w:w="1443" w:type="pct"/>
            <w:tcMar>
              <w:top w:w="120" w:type="dxa"/>
              <w:left w:w="180" w:type="dxa"/>
              <w:bottom w:w="90" w:type="dxa"/>
              <w:right w:w="120" w:type="dxa"/>
            </w:tcMar>
            <w:hideMark/>
          </w:tcPr>
          <w:p w14:paraId="5C7EA7EC" w14:textId="77777777" w:rsidR="00942C1E" w:rsidRPr="009461CC" w:rsidRDefault="00942C1E" w:rsidP="00722580">
            <w:pPr>
              <w:spacing w:after="0" w:afterAutospacing="0" w:line="216" w:lineRule="auto"/>
              <w:jc w:val="center"/>
              <w:rPr>
                <w:rFonts w:eastAsia="Times New Roman" w:cs="Times New Roman"/>
              </w:rPr>
            </w:pPr>
            <w:r>
              <w:rPr>
                <w:rFonts w:eastAsia="Times New Roman" w:cs="Times New Roman"/>
                <w:b/>
                <w:bCs/>
                <w:lang w:val="hr"/>
              </w:rPr>
              <w:t>Klinička uspješnost</w:t>
            </w:r>
          </w:p>
        </w:tc>
        <w:tc>
          <w:tcPr>
            <w:tcW w:w="3514" w:type="pct"/>
            <w:tcMar>
              <w:top w:w="120" w:type="dxa"/>
              <w:left w:w="180" w:type="dxa"/>
              <w:bottom w:w="90" w:type="dxa"/>
              <w:right w:w="120" w:type="dxa"/>
            </w:tcMar>
            <w:hideMark/>
          </w:tcPr>
          <w:p w14:paraId="01FCEBA5" w14:textId="77777777" w:rsidR="00942C1E" w:rsidRPr="00722580" w:rsidRDefault="00942C1E" w:rsidP="00722580">
            <w:pPr>
              <w:spacing w:after="0" w:afterAutospacing="0" w:line="216" w:lineRule="auto"/>
              <w:jc w:val="center"/>
              <w:rPr>
                <w:rFonts w:eastAsia="Times New Roman" w:cs="Times New Roman"/>
                <w:lang w:val="pl-PL"/>
              </w:rPr>
            </w:pPr>
            <w:r>
              <w:rPr>
                <w:rFonts w:eastAsia="Times New Roman" w:cs="Times New Roman"/>
                <w:lang w:val="hr"/>
              </w:rPr>
              <w:t>Uspješno vađenje/rukovanje bez komplikacija tijekom postupka</w:t>
            </w:r>
          </w:p>
        </w:tc>
      </w:tr>
    </w:tbl>
    <w:p w14:paraId="6CABCDF2" w14:textId="77777777" w:rsidR="004F7F77" w:rsidRPr="00722580" w:rsidRDefault="004F7F77" w:rsidP="00722580">
      <w:pPr>
        <w:spacing w:after="0" w:afterAutospacing="0" w:line="216" w:lineRule="auto"/>
        <w:rPr>
          <w:rFonts w:eastAsia="Times New Roman" w:cs="Times New Roman"/>
          <w:iCs/>
          <w:szCs w:val="24"/>
          <w:lang w:val="pl-PL"/>
        </w:rPr>
      </w:pP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96"/>
        <w:gridCol w:w="7034"/>
      </w:tblGrid>
      <w:tr w:rsidR="00607046" w:rsidRPr="009461CC" w14:paraId="62F22A34" w14:textId="77777777" w:rsidTr="004241EF">
        <w:trPr>
          <w:tblHeader/>
          <w:tblCellSpacing w:w="15" w:type="dxa"/>
          <w:jc w:val="center"/>
        </w:trPr>
        <w:tc>
          <w:tcPr>
            <w:tcW w:w="0" w:type="auto"/>
            <w:gridSpan w:val="2"/>
            <w:shd w:val="clear" w:color="auto" w:fill="F5F5F5"/>
            <w:tcMar>
              <w:top w:w="120" w:type="dxa"/>
              <w:left w:w="180" w:type="dxa"/>
              <w:bottom w:w="105" w:type="dxa"/>
              <w:right w:w="120" w:type="dxa"/>
            </w:tcMar>
          </w:tcPr>
          <w:p w14:paraId="142B79F3" w14:textId="77777777" w:rsidR="00607046" w:rsidRPr="009461CC" w:rsidRDefault="00607046" w:rsidP="00722580">
            <w:pPr>
              <w:spacing w:after="0" w:afterAutospacing="0" w:line="216" w:lineRule="auto"/>
              <w:jc w:val="center"/>
              <w:rPr>
                <w:rFonts w:eastAsia="Times New Roman" w:cs="Times New Roman"/>
                <w:b/>
                <w:bCs/>
              </w:rPr>
            </w:pPr>
            <w:r>
              <w:rPr>
                <w:rFonts w:eastAsia="Times New Roman" w:cs="Times New Roman"/>
                <w:b/>
                <w:bCs/>
                <w:lang w:val="hr"/>
              </w:rPr>
              <w:t>Sigurnosne mjere</w:t>
            </w:r>
          </w:p>
        </w:tc>
      </w:tr>
      <w:tr w:rsidR="00607046" w:rsidRPr="009461CC" w14:paraId="6CEF70FC" w14:textId="77777777" w:rsidTr="004241EF">
        <w:trPr>
          <w:tblHeader/>
          <w:tblCellSpacing w:w="15" w:type="dxa"/>
          <w:jc w:val="center"/>
        </w:trPr>
        <w:tc>
          <w:tcPr>
            <w:tcW w:w="0" w:type="auto"/>
            <w:shd w:val="clear" w:color="auto" w:fill="F5F5F5"/>
            <w:tcMar>
              <w:top w:w="120" w:type="dxa"/>
              <w:left w:w="180" w:type="dxa"/>
              <w:bottom w:w="105" w:type="dxa"/>
              <w:right w:w="120" w:type="dxa"/>
            </w:tcMar>
            <w:hideMark/>
          </w:tcPr>
          <w:p w14:paraId="7F49FF4D" w14:textId="77777777" w:rsidR="00607046" w:rsidRPr="009461CC" w:rsidRDefault="00607046" w:rsidP="00722580">
            <w:pPr>
              <w:spacing w:after="0" w:afterAutospacing="0" w:line="216" w:lineRule="auto"/>
              <w:jc w:val="center"/>
              <w:rPr>
                <w:rFonts w:eastAsia="Times New Roman" w:cs="Times New Roman"/>
                <w:b/>
                <w:bCs/>
              </w:rPr>
            </w:pPr>
            <w:r>
              <w:rPr>
                <w:rFonts w:eastAsia="Times New Roman" w:cs="Times New Roman"/>
                <w:b/>
                <w:bCs/>
                <w:lang w:val="hr"/>
              </w:rPr>
              <w:t>Mjera</w:t>
            </w:r>
          </w:p>
        </w:tc>
        <w:tc>
          <w:tcPr>
            <w:tcW w:w="0" w:type="auto"/>
            <w:shd w:val="clear" w:color="auto" w:fill="F5F5F5"/>
            <w:tcMar>
              <w:top w:w="120" w:type="dxa"/>
              <w:left w:w="180" w:type="dxa"/>
              <w:bottom w:w="105" w:type="dxa"/>
              <w:right w:w="120" w:type="dxa"/>
            </w:tcMar>
            <w:hideMark/>
          </w:tcPr>
          <w:p w14:paraId="54D43B30" w14:textId="77777777" w:rsidR="00607046" w:rsidRPr="009461CC" w:rsidRDefault="00607046" w:rsidP="00722580">
            <w:pPr>
              <w:spacing w:after="0" w:afterAutospacing="0" w:line="216" w:lineRule="auto"/>
              <w:jc w:val="center"/>
              <w:rPr>
                <w:rFonts w:eastAsia="Times New Roman" w:cs="Times New Roman"/>
                <w:b/>
                <w:bCs/>
              </w:rPr>
            </w:pPr>
            <w:r>
              <w:rPr>
                <w:rFonts w:eastAsia="Times New Roman" w:cs="Times New Roman"/>
                <w:b/>
                <w:bCs/>
                <w:lang w:val="hr"/>
              </w:rPr>
              <w:t>Definicija</w:t>
            </w:r>
          </w:p>
        </w:tc>
      </w:tr>
      <w:tr w:rsidR="00607046" w:rsidRPr="009461CC" w14:paraId="11F5FD97" w14:textId="77777777" w:rsidTr="004241EF">
        <w:trPr>
          <w:tblCellSpacing w:w="15" w:type="dxa"/>
          <w:jc w:val="center"/>
        </w:trPr>
        <w:tc>
          <w:tcPr>
            <w:tcW w:w="0" w:type="auto"/>
            <w:tcMar>
              <w:top w:w="120" w:type="dxa"/>
              <w:left w:w="180" w:type="dxa"/>
              <w:bottom w:w="105" w:type="dxa"/>
              <w:right w:w="120" w:type="dxa"/>
            </w:tcMar>
            <w:hideMark/>
          </w:tcPr>
          <w:p w14:paraId="38CE5781" w14:textId="77777777" w:rsidR="00607046" w:rsidRPr="009461CC" w:rsidRDefault="00607046" w:rsidP="00722580">
            <w:pPr>
              <w:spacing w:after="0" w:afterAutospacing="0" w:line="216" w:lineRule="auto"/>
              <w:jc w:val="center"/>
              <w:rPr>
                <w:rFonts w:eastAsia="Times New Roman" w:cs="Times New Roman"/>
              </w:rPr>
            </w:pPr>
            <w:r>
              <w:rPr>
                <w:rFonts w:eastAsia="Times New Roman" w:cs="Times New Roman"/>
                <w:b/>
                <w:bCs/>
                <w:lang w:val="hr"/>
              </w:rPr>
              <w:t>Komplikacije tijekom postupka</w:t>
            </w:r>
          </w:p>
        </w:tc>
        <w:tc>
          <w:tcPr>
            <w:tcW w:w="0" w:type="auto"/>
            <w:tcMar>
              <w:top w:w="120" w:type="dxa"/>
              <w:left w:w="180" w:type="dxa"/>
              <w:bottom w:w="105" w:type="dxa"/>
              <w:right w:w="120" w:type="dxa"/>
            </w:tcMar>
            <w:hideMark/>
          </w:tcPr>
          <w:p w14:paraId="5EFFAF53" w14:textId="77777777" w:rsidR="00607046" w:rsidRPr="009461CC" w:rsidRDefault="00607046" w:rsidP="00722580">
            <w:pPr>
              <w:spacing w:after="0" w:afterAutospacing="0" w:line="216" w:lineRule="auto"/>
              <w:jc w:val="center"/>
              <w:rPr>
                <w:rFonts w:eastAsia="Times New Roman" w:cs="Times New Roman"/>
              </w:rPr>
            </w:pPr>
            <w:r>
              <w:rPr>
                <w:rFonts w:eastAsia="Times New Roman" w:cs="Times New Roman"/>
                <w:lang w:val="hr"/>
              </w:rPr>
              <w:t>Uključuje krvarenje, perforaciju, emboliju, infekciju, alergijsku reakciju, bol</w:t>
            </w:r>
          </w:p>
        </w:tc>
      </w:tr>
      <w:tr w:rsidR="00607046" w:rsidRPr="00973C91" w14:paraId="6CA744C3" w14:textId="77777777" w:rsidTr="004241EF">
        <w:trPr>
          <w:tblCellSpacing w:w="15" w:type="dxa"/>
          <w:jc w:val="center"/>
        </w:trPr>
        <w:tc>
          <w:tcPr>
            <w:tcW w:w="0" w:type="auto"/>
            <w:tcMar>
              <w:top w:w="120" w:type="dxa"/>
              <w:left w:w="180" w:type="dxa"/>
              <w:bottom w:w="90" w:type="dxa"/>
              <w:right w:w="120" w:type="dxa"/>
            </w:tcMar>
            <w:hideMark/>
          </w:tcPr>
          <w:p w14:paraId="250E35B1" w14:textId="77777777" w:rsidR="00607046" w:rsidRPr="009461CC" w:rsidRDefault="00607046" w:rsidP="00722580">
            <w:pPr>
              <w:spacing w:after="0" w:afterAutospacing="0" w:line="216" w:lineRule="auto"/>
              <w:jc w:val="center"/>
              <w:rPr>
                <w:rFonts w:eastAsia="Times New Roman" w:cs="Times New Roman"/>
              </w:rPr>
            </w:pPr>
            <w:r>
              <w:rPr>
                <w:rFonts w:eastAsia="Times New Roman" w:cs="Times New Roman"/>
                <w:b/>
                <w:bCs/>
                <w:lang w:val="hr"/>
              </w:rPr>
              <w:t>Ukupna stopa komplikacija</w:t>
            </w:r>
          </w:p>
        </w:tc>
        <w:tc>
          <w:tcPr>
            <w:tcW w:w="0" w:type="auto"/>
            <w:tcMar>
              <w:top w:w="120" w:type="dxa"/>
              <w:left w:w="180" w:type="dxa"/>
              <w:bottom w:w="90" w:type="dxa"/>
              <w:right w:w="120" w:type="dxa"/>
            </w:tcMar>
            <w:hideMark/>
          </w:tcPr>
          <w:p w14:paraId="2D2E84BE" w14:textId="77777777" w:rsidR="00607046" w:rsidRPr="00722580" w:rsidRDefault="00607046" w:rsidP="00722580">
            <w:pPr>
              <w:spacing w:after="0" w:afterAutospacing="0" w:line="216" w:lineRule="auto"/>
              <w:jc w:val="center"/>
              <w:rPr>
                <w:rFonts w:eastAsia="Times New Roman" w:cs="Times New Roman"/>
                <w:lang w:val="pl-PL"/>
              </w:rPr>
            </w:pPr>
            <w:r>
              <w:rPr>
                <w:rFonts w:eastAsia="Times New Roman" w:cs="Times New Roman"/>
                <w:lang w:val="hr"/>
              </w:rPr>
              <w:t>Kombinirana stopa svih neželjenih događaja tijekom ili nakon postupka</w:t>
            </w:r>
          </w:p>
        </w:tc>
      </w:tr>
    </w:tbl>
    <w:p w14:paraId="4A64B2C8" w14:textId="77777777" w:rsidR="00607046" w:rsidRPr="00722580" w:rsidRDefault="00607046" w:rsidP="00C97841">
      <w:pPr>
        <w:spacing w:after="0" w:afterAutospacing="0" w:line="240" w:lineRule="auto"/>
        <w:rPr>
          <w:rFonts w:eastAsia="Times New Roman" w:cs="Times New Roman"/>
          <w:iCs/>
          <w:szCs w:val="24"/>
          <w:lang w:val="pl-PL"/>
        </w:rPr>
      </w:pPr>
    </w:p>
    <w:p w14:paraId="5B675D80" w14:textId="4073E915" w:rsidR="00EE18FA" w:rsidRPr="00722580" w:rsidRDefault="00050F24" w:rsidP="00050F24">
      <w:pPr>
        <w:spacing w:after="0" w:afterAutospacing="0" w:line="240" w:lineRule="auto"/>
        <w:rPr>
          <w:rFonts w:eastAsia="Times New Roman" w:cs="Times New Roman"/>
          <w:iCs/>
          <w:szCs w:val="24"/>
          <w:lang w:val="pl-PL"/>
        </w:rPr>
      </w:pPr>
      <w:r>
        <w:rPr>
          <w:rFonts w:eastAsia="Times New Roman" w:cs="Times New Roman"/>
          <w:szCs w:val="24"/>
          <w:lang w:val="hr"/>
        </w:rPr>
        <w:t>Sažetak stopa uspješnosti za mjere rezultata vaskularne omče Atrieve</w:t>
      </w:r>
      <w:r w:rsidR="00AE1FBE" w:rsidRPr="00722580">
        <w:rPr>
          <w:lang w:val="pl-PL"/>
        </w:rPr>
        <w:t xml:space="preserve"> </w:t>
      </w:r>
      <w:r w:rsidR="00AE1FBE" w:rsidRPr="00AE1FBE">
        <w:rPr>
          <w:rFonts w:eastAsia="Times New Roman" w:cs="Times New Roman"/>
          <w:szCs w:val="24"/>
          <w:lang w:val="hr"/>
        </w:rPr>
        <w:t>Snare</w:t>
      </w:r>
      <w:r>
        <w:rPr>
          <w:rFonts w:eastAsia="Times New Roman" w:cs="Times New Roman"/>
          <w:szCs w:val="24"/>
          <w:lang w:val="hr"/>
        </w:rPr>
        <w:t>:</w:t>
      </w:r>
    </w:p>
    <w:p w14:paraId="6387EAAA" w14:textId="6A98A9F8" w:rsidR="00050F24" w:rsidRPr="00722580" w:rsidRDefault="00050F24" w:rsidP="00050F24">
      <w:pPr>
        <w:pStyle w:val="ListParagraph"/>
        <w:numPr>
          <w:ilvl w:val="0"/>
          <w:numId w:val="27"/>
        </w:numPr>
        <w:spacing w:after="0" w:afterAutospacing="0" w:line="240" w:lineRule="auto"/>
        <w:rPr>
          <w:rFonts w:eastAsia="Times New Roman" w:cs="Times New Roman"/>
          <w:iCs/>
          <w:szCs w:val="24"/>
          <w:lang w:val="pl-PL"/>
        </w:rPr>
      </w:pPr>
      <w:r>
        <w:rPr>
          <w:rFonts w:eastAsia="Times New Roman" w:cs="Times New Roman"/>
          <w:szCs w:val="24"/>
          <w:lang w:val="hr"/>
        </w:rPr>
        <w:t>Tehnički uspjeh je izvrstan i iznosi 100 %.</w:t>
      </w:r>
    </w:p>
    <w:p w14:paraId="70426807" w14:textId="6A68FCB6" w:rsidR="00050F24" w:rsidRPr="00722580" w:rsidRDefault="00050F24" w:rsidP="00050F24">
      <w:pPr>
        <w:pStyle w:val="ListParagraph"/>
        <w:numPr>
          <w:ilvl w:val="0"/>
          <w:numId w:val="27"/>
        </w:numPr>
        <w:spacing w:after="0" w:afterAutospacing="0" w:line="240" w:lineRule="auto"/>
        <w:rPr>
          <w:rFonts w:eastAsia="Times New Roman" w:cs="Times New Roman"/>
          <w:iCs/>
          <w:szCs w:val="24"/>
          <w:lang w:val="pl-PL"/>
        </w:rPr>
      </w:pPr>
      <w:r>
        <w:rPr>
          <w:rFonts w:eastAsia="Times New Roman" w:cs="Times New Roman"/>
          <w:szCs w:val="24"/>
          <w:lang w:val="hr"/>
        </w:rPr>
        <w:t>Klinički uspjeh iznosio je 94,5 %, što je malo ispod praga od 97,4 %.</w:t>
      </w:r>
    </w:p>
    <w:p w14:paraId="3E9DC071" w14:textId="055EE80D" w:rsidR="00050F24" w:rsidRPr="00722580" w:rsidRDefault="00050F24" w:rsidP="00050F24">
      <w:pPr>
        <w:pStyle w:val="ListParagraph"/>
        <w:numPr>
          <w:ilvl w:val="0"/>
          <w:numId w:val="27"/>
        </w:numPr>
        <w:spacing w:after="0" w:afterAutospacing="0" w:line="240" w:lineRule="auto"/>
        <w:rPr>
          <w:rFonts w:eastAsia="Times New Roman" w:cs="Times New Roman"/>
          <w:iCs/>
          <w:szCs w:val="24"/>
          <w:lang w:val="pl-PL"/>
        </w:rPr>
      </w:pPr>
      <w:r>
        <w:rPr>
          <w:rFonts w:eastAsia="Times New Roman" w:cs="Times New Roman"/>
          <w:szCs w:val="24"/>
          <w:lang w:val="hr"/>
        </w:rPr>
        <w:lastRenderedPageBreak/>
        <w:t>Ukupna stopa komplikacija, perforacija/oštećenja tkiva i klinički uspjeh nisu zadovoljili kriterije prihvatljivosti.</w:t>
      </w:r>
    </w:p>
    <w:p w14:paraId="44EC781B" w14:textId="7DA02325" w:rsidR="00050F24" w:rsidRPr="005B6722" w:rsidRDefault="00050F24" w:rsidP="00050F24">
      <w:pPr>
        <w:pStyle w:val="ListParagraph"/>
        <w:numPr>
          <w:ilvl w:val="0"/>
          <w:numId w:val="27"/>
        </w:numPr>
        <w:spacing w:after="0" w:afterAutospacing="0" w:line="240" w:lineRule="auto"/>
        <w:rPr>
          <w:rFonts w:eastAsia="Times New Roman" w:cs="Times New Roman"/>
          <w:iCs/>
          <w:szCs w:val="24"/>
          <w:lang w:val="pt-BR"/>
        </w:rPr>
      </w:pPr>
      <w:r>
        <w:rPr>
          <w:rFonts w:eastAsia="Times New Roman" w:cs="Times New Roman"/>
          <w:szCs w:val="24"/>
          <w:lang w:val="hr"/>
        </w:rPr>
        <w:t>Stope embolije, boli i smrtnosti iznosile su 0 % i zadovoljile kriterije.</w:t>
      </w:r>
    </w:p>
    <w:p w14:paraId="05E37DDA" w14:textId="77777777" w:rsidR="00EE18FA" w:rsidRPr="00722580" w:rsidRDefault="00EE18FA" w:rsidP="00EE18FA">
      <w:pPr>
        <w:pStyle w:val="ListParagraph"/>
        <w:spacing w:after="0" w:afterAutospacing="0" w:line="240" w:lineRule="auto"/>
        <w:rPr>
          <w:rFonts w:eastAsia="Times New Roman" w:cs="Times New Roman"/>
          <w:iCs/>
          <w:sz w:val="14"/>
          <w:szCs w:val="14"/>
          <w:lang w:val="pt-BR"/>
        </w:rPr>
      </w:pPr>
    </w:p>
    <w:p w14:paraId="3F2FC7C2" w14:textId="2808A8DE" w:rsidR="00050F24" w:rsidRPr="005B6722" w:rsidRDefault="00050F24" w:rsidP="00EE18FA">
      <w:pPr>
        <w:spacing w:after="0" w:afterAutospacing="0" w:line="240" w:lineRule="auto"/>
        <w:rPr>
          <w:rFonts w:eastAsia="Times New Roman" w:cs="Times New Roman"/>
          <w:iCs/>
          <w:szCs w:val="24"/>
          <w:lang w:val="pt-BR"/>
        </w:rPr>
      </w:pPr>
      <w:r>
        <w:rPr>
          <w:rFonts w:eastAsia="Times New Roman" w:cs="Times New Roman"/>
          <w:szCs w:val="24"/>
          <w:lang w:val="hr"/>
        </w:rPr>
        <w:t>Unatoč tome što su neke sigurnosne mjere premašile pragove, profil koristi i rizika ostao je povoljan zbog visokog tehničkog uspjeha i manje ozbiljnih komplikacija.</w:t>
      </w:r>
    </w:p>
    <w:p w14:paraId="2F8EAFF0" w14:textId="77777777" w:rsidR="00AA7F1D" w:rsidRPr="00722580" w:rsidRDefault="00AA7F1D" w:rsidP="00D47200">
      <w:pPr>
        <w:spacing w:after="0" w:afterAutospacing="0" w:line="240" w:lineRule="auto"/>
        <w:rPr>
          <w:rFonts w:eastAsia="Times New Roman" w:cs="Times New Roman"/>
          <w:iCs/>
          <w:sz w:val="16"/>
          <w:szCs w:val="16"/>
          <w:lang w:val="pt-BR"/>
        </w:rPr>
      </w:pPr>
    </w:p>
    <w:p w14:paraId="7A0B3597" w14:textId="73586DC8" w:rsidR="00D47200" w:rsidRPr="005B6722" w:rsidRDefault="00AA7F1D" w:rsidP="00D47200">
      <w:pPr>
        <w:spacing w:after="0" w:afterAutospacing="0" w:line="240" w:lineRule="auto"/>
        <w:rPr>
          <w:rFonts w:eastAsia="Times New Roman" w:cs="Times New Roman"/>
          <w:iCs/>
          <w:szCs w:val="24"/>
          <w:lang w:val="pt-BR"/>
        </w:rPr>
      </w:pPr>
      <w:r>
        <w:rPr>
          <w:rFonts w:eastAsia="Times New Roman" w:cs="Times New Roman"/>
          <w:szCs w:val="24"/>
          <w:lang w:val="hr"/>
        </w:rPr>
        <w:t>Kliničke tvrdnje u uputama za upotrebu</w:t>
      </w:r>
      <w:r w:rsidR="00827FED">
        <w:rPr>
          <w:rFonts w:eastAsia="Times New Roman" w:cs="Times New Roman"/>
          <w:szCs w:val="24"/>
          <w:lang w:val="hr"/>
        </w:rPr>
        <w:t xml:space="preserve"> (IFU)</w:t>
      </w:r>
      <w:r>
        <w:rPr>
          <w:rFonts w:eastAsia="Times New Roman" w:cs="Times New Roman"/>
          <w:szCs w:val="24"/>
          <w:lang w:val="hr"/>
        </w:rPr>
        <w:t xml:space="preserve"> i marketinškim materijalima</w:t>
      </w:r>
    </w:p>
    <w:p w14:paraId="7DADA029" w14:textId="6C6ECAD3" w:rsidR="001F48BA" w:rsidRPr="005B6722" w:rsidRDefault="00C01A53" w:rsidP="00D52DF8">
      <w:pPr>
        <w:spacing w:after="0" w:afterAutospacing="0" w:line="240" w:lineRule="auto"/>
        <w:rPr>
          <w:rFonts w:cs="Times New Roman"/>
          <w:iCs/>
          <w:szCs w:val="24"/>
          <w:lang w:val="pt-BR"/>
        </w:rPr>
      </w:pPr>
      <w:r>
        <w:rPr>
          <w:rFonts w:cs="Times New Roman"/>
          <w:szCs w:val="24"/>
          <w:lang w:val="hr"/>
        </w:rPr>
        <w:t>Sljedeće su tvrdnje potkrijepljene kliničkom procjenom:</w:t>
      </w:r>
    </w:p>
    <w:p w14:paraId="19E8DAE4" w14:textId="77777777" w:rsidR="00EE18FA" w:rsidRPr="00722580" w:rsidRDefault="00EE18FA" w:rsidP="00D52DF8">
      <w:pPr>
        <w:spacing w:after="0" w:afterAutospacing="0" w:line="240" w:lineRule="auto"/>
        <w:rPr>
          <w:rFonts w:cs="Times New Roman"/>
          <w:iCs/>
          <w:sz w:val="16"/>
          <w:szCs w:val="16"/>
          <w:lang w:val="pt-BR"/>
        </w:rPr>
      </w:pPr>
    </w:p>
    <w:p w14:paraId="7925D059" w14:textId="1A5A89DA" w:rsidR="003859AF" w:rsidRPr="005B6722" w:rsidRDefault="003859AF" w:rsidP="003859AF">
      <w:pPr>
        <w:pStyle w:val="ListParagraph"/>
        <w:numPr>
          <w:ilvl w:val="0"/>
          <w:numId w:val="28"/>
        </w:numPr>
        <w:spacing w:after="0" w:afterAutospacing="0" w:line="240" w:lineRule="auto"/>
        <w:rPr>
          <w:rFonts w:cs="Times New Roman"/>
          <w:iCs/>
          <w:szCs w:val="24"/>
          <w:lang w:val="pt-BR"/>
        </w:rPr>
      </w:pPr>
      <w:r>
        <w:rPr>
          <w:rFonts w:cs="Times New Roman"/>
          <w:szCs w:val="24"/>
          <w:lang w:val="hr"/>
        </w:rPr>
        <w:t>Perkutano vađenje/rukovanje stranim tijelima – potkrijepljeno 100-postotnim tehničkim uspjehom u literaturi.</w:t>
      </w:r>
    </w:p>
    <w:p w14:paraId="3AB6E45D" w14:textId="783809AA" w:rsidR="003859AF" w:rsidRPr="005B6722" w:rsidRDefault="003859AF" w:rsidP="003859AF">
      <w:pPr>
        <w:pStyle w:val="ListParagraph"/>
        <w:numPr>
          <w:ilvl w:val="0"/>
          <w:numId w:val="28"/>
        </w:numPr>
        <w:spacing w:after="0" w:afterAutospacing="0" w:line="240" w:lineRule="auto"/>
        <w:rPr>
          <w:rFonts w:cs="Times New Roman"/>
          <w:iCs/>
          <w:szCs w:val="24"/>
          <w:lang w:val="pt-BR"/>
        </w:rPr>
      </w:pPr>
      <w:r>
        <w:rPr>
          <w:rFonts w:cs="Times New Roman"/>
          <w:szCs w:val="24"/>
          <w:lang w:val="hr"/>
        </w:rPr>
        <w:t>Niže stope komplikacija od kirurških intervencija – potkrijepljeno komparativnom literaturom i analizama najsuvremenijeg stanja tehnike.</w:t>
      </w:r>
    </w:p>
    <w:p w14:paraId="15638B58" w14:textId="335CFE86" w:rsidR="003859AF" w:rsidRPr="005B6722" w:rsidRDefault="003859AF" w:rsidP="003859AF">
      <w:pPr>
        <w:pStyle w:val="ListParagraph"/>
        <w:numPr>
          <w:ilvl w:val="0"/>
          <w:numId w:val="28"/>
        </w:numPr>
        <w:spacing w:after="0" w:afterAutospacing="0" w:line="240" w:lineRule="auto"/>
        <w:rPr>
          <w:rFonts w:cs="Times New Roman"/>
          <w:iCs/>
          <w:szCs w:val="24"/>
          <w:lang w:val="pt-BR"/>
        </w:rPr>
      </w:pPr>
      <w:r>
        <w:rPr>
          <w:rFonts w:cs="Times New Roman"/>
          <w:szCs w:val="24"/>
          <w:lang w:val="hr"/>
        </w:rPr>
        <w:t>Upotreba u pomoćnim postupcima (npr. skidanje fibrinske ovojnice, promjena položaja katetera) – potkrijepljeno kliničkim izvješćima o pojedinim slučajevima i smjernicama za izvođenje postupaka.</w:t>
      </w:r>
    </w:p>
    <w:p w14:paraId="351D383E" w14:textId="7EB46C62" w:rsidR="00C01A53" w:rsidRPr="005B6722" w:rsidRDefault="003859AF" w:rsidP="003859AF">
      <w:pPr>
        <w:pStyle w:val="ListParagraph"/>
        <w:numPr>
          <w:ilvl w:val="0"/>
          <w:numId w:val="28"/>
        </w:numPr>
        <w:spacing w:after="0" w:afterAutospacing="0" w:line="240" w:lineRule="auto"/>
        <w:rPr>
          <w:rFonts w:cs="Times New Roman"/>
          <w:iCs/>
          <w:szCs w:val="24"/>
          <w:lang w:val="pt-BR"/>
        </w:rPr>
      </w:pPr>
      <w:r>
        <w:rPr>
          <w:rFonts w:cs="Times New Roman"/>
          <w:szCs w:val="24"/>
          <w:lang w:val="hr"/>
        </w:rPr>
        <w:t>Sigurno za upotrebu u odrasloj populaciji – potkrijepljeno posttržišnim praćenjem i podacima iz literature.</w:t>
      </w:r>
    </w:p>
    <w:p w14:paraId="68D32F33" w14:textId="77777777" w:rsidR="005D424F" w:rsidRPr="00722580" w:rsidRDefault="005D424F" w:rsidP="005D424F">
      <w:pPr>
        <w:spacing w:after="0" w:afterAutospacing="0" w:line="240" w:lineRule="auto"/>
        <w:rPr>
          <w:rFonts w:cs="Times New Roman"/>
          <w:iCs/>
          <w:sz w:val="16"/>
          <w:szCs w:val="16"/>
          <w:lang w:val="pt-BR"/>
        </w:rPr>
      </w:pPr>
    </w:p>
    <w:p w14:paraId="76063689" w14:textId="39C19E40" w:rsidR="005D424F" w:rsidRPr="005B6722" w:rsidRDefault="005D424F" w:rsidP="005D424F">
      <w:pPr>
        <w:spacing w:after="0" w:afterAutospacing="0" w:line="240" w:lineRule="auto"/>
        <w:rPr>
          <w:rFonts w:cs="Times New Roman"/>
          <w:iCs/>
          <w:szCs w:val="24"/>
          <w:lang w:val="pt-BR"/>
        </w:rPr>
      </w:pPr>
      <w:r>
        <w:rPr>
          <w:rFonts w:cs="Times New Roman"/>
          <w:szCs w:val="24"/>
          <w:lang w:val="hr"/>
        </w:rPr>
        <w:t>Vaskularne omče Atrieve</w:t>
      </w:r>
      <w:r w:rsidR="00AE1FBE" w:rsidRPr="00722580">
        <w:rPr>
          <w:lang w:val="pt-BR"/>
        </w:rPr>
        <w:t xml:space="preserve"> </w:t>
      </w:r>
      <w:r w:rsidR="00AE1FBE" w:rsidRPr="00AE1FBE">
        <w:rPr>
          <w:rFonts w:cs="Times New Roman"/>
          <w:szCs w:val="24"/>
          <w:lang w:val="hr"/>
        </w:rPr>
        <w:t>Snare</w:t>
      </w:r>
      <w:r>
        <w:rPr>
          <w:rFonts w:cs="Times New Roman"/>
          <w:szCs w:val="24"/>
          <w:lang w:val="hr"/>
        </w:rPr>
        <w:t xml:space="preserve"> pokazuju povoljan profil koristi i rizika s jakom kliničkom učinkovitošću i sigurnošću koje su potkrijepljene literaturom, ispitivanjima i podacima posttržišnog praćenja. U skladu su s regulatornim normama i primjerene za daljnju kliničku upotrebu.</w:t>
      </w:r>
    </w:p>
    <w:p w14:paraId="653883C0" w14:textId="77777777" w:rsidR="003859AF" w:rsidRPr="005B6722" w:rsidRDefault="003859AF" w:rsidP="003859AF">
      <w:pPr>
        <w:spacing w:after="0" w:afterAutospacing="0" w:line="240" w:lineRule="auto"/>
        <w:rPr>
          <w:rFonts w:cs="Times New Roman"/>
          <w:iCs/>
          <w:szCs w:val="24"/>
          <w:lang w:val="pt-BR"/>
        </w:rPr>
      </w:pPr>
    </w:p>
    <w:p w14:paraId="6DCFA27A" w14:textId="12CF0A2D" w:rsidR="00C91927" w:rsidRPr="005B6722" w:rsidRDefault="008745ED" w:rsidP="00C91927">
      <w:pPr>
        <w:pStyle w:val="Heading1"/>
        <w:rPr>
          <w:rFonts w:cs="Times New Roman"/>
          <w:color w:val="auto"/>
          <w:lang w:val="pt-BR"/>
        </w:rPr>
      </w:pPr>
      <w:bookmarkStart w:id="76" w:name="_Toc222741449"/>
      <w:r>
        <w:rPr>
          <w:rFonts w:cs="Times New Roman"/>
          <w:bCs/>
          <w:color w:val="auto"/>
          <w:lang w:val="hr"/>
        </w:rPr>
        <w:t>Tekuće ili planirano posttržišno kliničko praćenje</w:t>
      </w:r>
      <w:bookmarkEnd w:id="76"/>
    </w:p>
    <w:p w14:paraId="494CEDC3" w14:textId="5C9D311D" w:rsidR="0094476E" w:rsidRPr="005B6722" w:rsidRDefault="003B4C77" w:rsidP="00C91927">
      <w:pPr>
        <w:spacing w:line="240" w:lineRule="auto"/>
        <w:rPr>
          <w:rFonts w:cs="Times New Roman"/>
          <w:highlight w:val="yellow"/>
          <w:lang w:val="hr"/>
        </w:rPr>
      </w:pPr>
      <w:r>
        <w:rPr>
          <w:rFonts w:cs="Times New Roman"/>
          <w:lang w:val="hr"/>
        </w:rPr>
        <w:t>Posttržišno kliničko praćenje vaskularne omče Atrieve</w:t>
      </w:r>
      <w:r w:rsidR="00AE1FBE" w:rsidRPr="00722580">
        <w:rPr>
          <w:lang w:val="pt-BR"/>
        </w:rPr>
        <w:t xml:space="preserve"> </w:t>
      </w:r>
      <w:r w:rsidR="00AE1FBE" w:rsidRPr="00AE1FBE">
        <w:rPr>
          <w:rFonts w:cs="Times New Roman"/>
          <w:lang w:val="hr"/>
        </w:rPr>
        <w:t>Snare</w:t>
      </w:r>
      <w:r>
        <w:rPr>
          <w:rFonts w:cs="Times New Roman"/>
          <w:lang w:val="hr"/>
        </w:rPr>
        <w:t xml:space="preserve"> provodi se u skladu s dokumentom PMCFP-029 </w:t>
      </w:r>
      <w:r w:rsidR="00357CA4">
        <w:rPr>
          <w:rFonts w:cs="Times New Roman"/>
          <w:lang w:val="hr"/>
        </w:rPr>
        <w:t>R</w:t>
      </w:r>
      <w:r>
        <w:rPr>
          <w:rFonts w:cs="Times New Roman"/>
          <w:lang w:val="hr"/>
        </w:rPr>
        <w:t>ev C i zahtjevima Priloga XIV, Dijela B MDR-a. Aktivnosti PMCF-a osmišljene su kako bi se proaktivno potvrdila sigurnost i učinkovitost proizvoda u rutinskoj kliničkoj praksi, prepoznali svi novi rizici i provjerila kontinuirana prihvatljivost profila koristi i rizika.</w:t>
      </w:r>
    </w:p>
    <w:p w14:paraId="58642C16" w14:textId="276C8BA1" w:rsidR="00E541DE" w:rsidRPr="005B6722" w:rsidRDefault="00E541DE" w:rsidP="00722580">
      <w:pPr>
        <w:pStyle w:val="NormalWeb"/>
        <w:spacing w:after="0" w:afterAutospacing="0"/>
        <w:rPr>
          <w:lang w:val="hr"/>
        </w:rPr>
      </w:pPr>
      <w:r>
        <w:rPr>
          <w:rStyle w:val="Strong"/>
          <w:lang w:val="hr"/>
        </w:rPr>
        <w:t>Tekuće aktivnosti PMCF-a</w:t>
      </w:r>
      <w:r>
        <w:rPr>
          <w:lang w:val="hr"/>
        </w:rPr>
        <w:br/>
        <w:t>Sljedeće tekuće aktivnosti planirane su za provođenje tijekom cijelog ciklusa upotrebe proizvoda:</w:t>
      </w:r>
    </w:p>
    <w:p w14:paraId="15FC3A69" w14:textId="31C9D895" w:rsidR="00E541DE" w:rsidRPr="005B6722" w:rsidRDefault="00DE3CC0" w:rsidP="00722580">
      <w:pPr>
        <w:pStyle w:val="NormalWeb"/>
        <w:numPr>
          <w:ilvl w:val="0"/>
          <w:numId w:val="29"/>
        </w:numPr>
        <w:spacing w:before="0" w:beforeAutospacing="0"/>
        <w:rPr>
          <w:lang w:val="hr"/>
        </w:rPr>
      </w:pPr>
      <w:r>
        <w:rPr>
          <w:rStyle w:val="Strong"/>
          <w:b w:val="0"/>
          <w:bCs w:val="0"/>
          <w:lang w:val="hr"/>
        </w:rPr>
        <w:t>Godišnji sustavni pregled literature:</w:t>
      </w:r>
      <w:r>
        <w:rPr>
          <w:lang w:val="hr"/>
        </w:rPr>
        <w:t xml:space="preserve"> provodi se strukturirani pregled objavljenih kliničkih dokaza u vezi s vaskularnim omčama i usporedivim proizvodima kako bi se utvrdile nove informacije o sigurnosti, učinkovitosti, kliničkim tehnikama ili novonastalim rizicima.</w:t>
      </w:r>
    </w:p>
    <w:p w14:paraId="08598FA3" w14:textId="6BDEE605" w:rsidR="00E541DE" w:rsidRPr="005B6722" w:rsidRDefault="00DE3CC0" w:rsidP="00E541DE">
      <w:pPr>
        <w:pStyle w:val="NormalWeb"/>
        <w:numPr>
          <w:ilvl w:val="0"/>
          <w:numId w:val="29"/>
        </w:numPr>
        <w:rPr>
          <w:lang w:val="hr"/>
        </w:rPr>
      </w:pPr>
      <w:r>
        <w:rPr>
          <w:rStyle w:val="Strong"/>
          <w:b w:val="0"/>
          <w:bCs w:val="0"/>
          <w:lang w:val="hr"/>
        </w:rPr>
        <w:t>Godišnji pregled najsuvremenijeg stanja tehnike (SOA):</w:t>
      </w:r>
      <w:r>
        <w:rPr>
          <w:lang w:val="hr"/>
        </w:rPr>
        <w:t xml:space="preserve"> provodi se procjena smjernica kliničke prakse, međunarodnih normi i konkurentnih tehnologija kako bi se osigurala kontinuirana usklađenost s mjerodavnom kliničkom i tehničkom praksom.</w:t>
      </w:r>
    </w:p>
    <w:p w14:paraId="6EE80A3F" w14:textId="77777777" w:rsidR="00E541DE" w:rsidRPr="005B6722" w:rsidRDefault="00E541DE" w:rsidP="00E541DE">
      <w:pPr>
        <w:pStyle w:val="NormalWeb"/>
        <w:numPr>
          <w:ilvl w:val="0"/>
          <w:numId w:val="29"/>
        </w:numPr>
        <w:rPr>
          <w:lang w:val="hr"/>
        </w:rPr>
      </w:pPr>
      <w:r>
        <w:rPr>
          <w:rStyle w:val="Strong"/>
          <w:b w:val="0"/>
          <w:bCs w:val="0"/>
          <w:lang w:val="hr"/>
        </w:rPr>
        <w:t>Kontinuirani pregled podataka o pritužbama i neželjenim događajima:</w:t>
      </w:r>
      <w:r>
        <w:rPr>
          <w:lang w:val="hr"/>
        </w:rPr>
        <w:t xml:space="preserve"> iako je ovo aktivnost PMS-a, a ne PMCF-a, ključni nalazi procjenjuju se u skladu s PMCF-om kako bi se utvrdilo je li potrebno dodatno kliničko praćenje.</w:t>
      </w:r>
    </w:p>
    <w:p w14:paraId="39597E9A" w14:textId="1572091E" w:rsidR="009E1EBB" w:rsidRPr="005B6722" w:rsidRDefault="009E1EBB" w:rsidP="009E1EBB">
      <w:pPr>
        <w:pStyle w:val="NormalWeb"/>
        <w:rPr>
          <w:lang w:val="hr"/>
        </w:rPr>
      </w:pPr>
      <w:r>
        <w:rPr>
          <w:rStyle w:val="Strong"/>
          <w:lang w:val="hr"/>
        </w:rPr>
        <w:t>Planirane aktivnosti PMCF-a</w:t>
      </w:r>
      <w:r>
        <w:rPr>
          <w:lang w:val="hr"/>
        </w:rPr>
        <w:br/>
        <w:t>Za prikupljanje ciljnih dokaza u vezi sa stvarnom upotrebom kompleta vaskularne omče Atrieve</w:t>
      </w:r>
      <w:r w:rsidR="00AE1FBE" w:rsidRPr="00722580">
        <w:rPr>
          <w:lang w:val="hr"/>
        </w:rPr>
        <w:t xml:space="preserve"> </w:t>
      </w:r>
      <w:r w:rsidR="00AE1FBE" w:rsidRPr="00AE1FBE">
        <w:rPr>
          <w:lang w:val="hr"/>
        </w:rPr>
        <w:t>Snare</w:t>
      </w:r>
      <w:r>
        <w:rPr>
          <w:lang w:val="hr"/>
        </w:rPr>
        <w:t xml:space="preserve"> planirana je sljedeća aktivnost:</w:t>
      </w:r>
    </w:p>
    <w:p w14:paraId="395AA027" w14:textId="77777777" w:rsidR="009E1EBB" w:rsidRPr="005B6722" w:rsidRDefault="009E1EBB" w:rsidP="009E1EBB">
      <w:pPr>
        <w:pStyle w:val="NormalWeb"/>
        <w:numPr>
          <w:ilvl w:val="0"/>
          <w:numId w:val="32"/>
        </w:numPr>
        <w:rPr>
          <w:lang w:val="hr"/>
        </w:rPr>
      </w:pPr>
      <w:r>
        <w:rPr>
          <w:rStyle w:val="Strong"/>
          <w:lang w:val="hr"/>
        </w:rPr>
        <w:lastRenderedPageBreak/>
        <w:t>Anketa za liječnike u okviru PMCF-a:</w:t>
      </w:r>
      <w:r>
        <w:rPr>
          <w:lang w:val="hr"/>
        </w:rPr>
        <w:br/>
        <w:t>među kliničkim korisnicima provest će se strukturirana anketa kako bi se zabilježilo njihovo iskustvo upotrebe proizvoda, procijenila njegova učinkovitost u rutinskoj praksi i utvrdile sve uočene komplikacije ili neočekivani događaji. Rezultati ankete bit će analizirani i uključeni u izvješće o procjeni PMCF-a. Nalazi će usmjeravati odluke o potrebi za provođenjem dodatnih aktivnosti PMCF-a ili ažuriranjima izvješća o kliničkoj procjeni (CER) i izvješća o upravljanju rizicima (RMR).</w:t>
      </w:r>
    </w:p>
    <w:p w14:paraId="1DED8B40" w14:textId="52D486BC" w:rsidR="00DE0007" w:rsidRPr="005B6722" w:rsidRDefault="00DE0007" w:rsidP="00DE0007">
      <w:pPr>
        <w:pStyle w:val="NormalWeb"/>
        <w:rPr>
          <w:lang w:val="hr"/>
        </w:rPr>
      </w:pPr>
      <w:r>
        <w:rPr>
          <w:rStyle w:val="Strong"/>
          <w:lang w:val="hr"/>
        </w:rPr>
        <w:t>Obrazloženje za pristup PMCF-a</w:t>
      </w:r>
      <w:r>
        <w:rPr>
          <w:lang w:val="hr"/>
        </w:rPr>
        <w:br/>
        <w:t>Na temelju trenutne kliničke procjene, dokaza iz literature i posttržišnog iskustva upotrebe, nisu utvrđeni novi ili mogući budući rizici koji bi zahtijevali kliničko ispitivanje specifično za proizvod. Postojeće aktivnosti PMCF-a, godišnja literatura i pregledi SOA-e podržani ciljnim povratnim informacijama liječnika smatraju se dovoljnima za potvrdu kontinuirane sigurnosti i učinkovitosti ovog poznatog proizvoda klase III, kompleta vaskularne omče Atrieve</w:t>
      </w:r>
      <w:r w:rsidR="00AE1FBE" w:rsidRPr="00722580">
        <w:rPr>
          <w:lang w:val="hr"/>
        </w:rPr>
        <w:t xml:space="preserve"> </w:t>
      </w:r>
      <w:r w:rsidR="00AE1FBE" w:rsidRPr="00AE1FBE">
        <w:rPr>
          <w:lang w:val="hr"/>
        </w:rPr>
        <w:t>Snare</w:t>
      </w:r>
      <w:r>
        <w:rPr>
          <w:lang w:val="hr"/>
        </w:rPr>
        <w:t>.</w:t>
      </w:r>
    </w:p>
    <w:p w14:paraId="3DA3C9CA" w14:textId="77777777" w:rsidR="005B4422" w:rsidRPr="005B6722" w:rsidRDefault="005B4422" w:rsidP="005B4422">
      <w:pPr>
        <w:pStyle w:val="NormalWeb"/>
        <w:spacing w:before="0" w:beforeAutospacing="0" w:after="0" w:afterAutospacing="0"/>
        <w:rPr>
          <w:lang w:val="hr"/>
        </w:rPr>
      </w:pPr>
      <w:r>
        <w:rPr>
          <w:rStyle w:val="Strong"/>
          <w:lang w:val="hr"/>
        </w:rPr>
        <w:t>Izvješćivanje o posttržišnom kliničkom praćenju</w:t>
      </w:r>
    </w:p>
    <w:p w14:paraId="5C389055" w14:textId="14E4D114" w:rsidR="0094476E" w:rsidRPr="005B6722" w:rsidRDefault="00B04139" w:rsidP="007002E4">
      <w:pPr>
        <w:pStyle w:val="NormalWeb"/>
        <w:spacing w:before="0" w:beforeAutospacing="0" w:after="0" w:afterAutospacing="0"/>
        <w:rPr>
          <w:lang w:val="hr"/>
        </w:rPr>
      </w:pPr>
      <w:r>
        <w:rPr>
          <w:lang w:val="hr"/>
        </w:rPr>
        <w:t>Izvješće PMCF-a stvara se u definiranim intervalima i kad god postanu dostupne nove informacije koje mogu utjecati na profil koristi i rizika. Svi rezultati PMCF-a uključuju se u izvješće o kliničkoj procjeni (CER), izvješće o upravljanju rizicima (RMR) i druge posttržišne postupke prema potrebi.</w:t>
      </w:r>
    </w:p>
    <w:p w14:paraId="09D946B7" w14:textId="77777777" w:rsidR="007002E4" w:rsidRPr="005B6722" w:rsidRDefault="007002E4" w:rsidP="007002E4">
      <w:pPr>
        <w:pStyle w:val="NormalWeb"/>
        <w:spacing w:before="0" w:beforeAutospacing="0" w:after="0" w:afterAutospacing="0"/>
        <w:rPr>
          <w:lang w:val="hr"/>
        </w:rPr>
      </w:pPr>
    </w:p>
    <w:p w14:paraId="748C3FE5" w14:textId="1D19292C" w:rsidR="00760400" w:rsidRPr="009461CC" w:rsidRDefault="00760400" w:rsidP="00F67A0E">
      <w:pPr>
        <w:pStyle w:val="Heading1"/>
        <w:numPr>
          <w:ilvl w:val="0"/>
          <w:numId w:val="2"/>
        </w:numPr>
        <w:rPr>
          <w:rFonts w:cs="Times New Roman"/>
        </w:rPr>
      </w:pPr>
      <w:bookmarkStart w:id="77" w:name="_Toc222741450"/>
      <w:r>
        <w:rPr>
          <w:rFonts w:cs="Times New Roman"/>
          <w:bCs/>
          <w:lang w:val="hr"/>
        </w:rPr>
        <w:t>Moguće dijagnostičke ili terapijske alternative</w:t>
      </w:r>
      <w:bookmarkEnd w:id="77"/>
      <w:r>
        <w:rPr>
          <w:rFonts w:cs="Times New Roman"/>
          <w:bCs/>
          <w:lang w:val="hr"/>
        </w:rPr>
        <w:t xml:space="preserve"> </w:t>
      </w:r>
    </w:p>
    <w:p w14:paraId="60C316BA" w14:textId="79D2CA0A" w:rsidR="00042B91" w:rsidRPr="005B6722" w:rsidRDefault="008373C6" w:rsidP="00AB04FB">
      <w:pPr>
        <w:rPr>
          <w:rFonts w:cs="Times New Roman"/>
          <w:lang w:val="hr"/>
        </w:rPr>
      </w:pPr>
      <w:r>
        <w:rPr>
          <w:rFonts w:cs="Times New Roman"/>
          <w:lang w:val="hr"/>
        </w:rPr>
        <w:t xml:space="preserve">Sukladno dokumentu CER-029 </w:t>
      </w:r>
      <w:r w:rsidR="001865AC">
        <w:rPr>
          <w:rFonts w:cs="Times New Roman"/>
          <w:lang w:val="hr"/>
        </w:rPr>
        <w:t>R</w:t>
      </w:r>
      <w:r>
        <w:rPr>
          <w:rFonts w:cs="Times New Roman"/>
          <w:lang w:val="hr"/>
        </w:rPr>
        <w:t>ev B utvrđene su tri glavne alternative za vađenje stranog tijela (</w:t>
      </w:r>
      <w:r w:rsidR="001865AC">
        <w:rPr>
          <w:rFonts w:cs="Times New Roman"/>
          <w:lang w:val="hr"/>
        </w:rPr>
        <w:t>FB</w:t>
      </w:r>
      <w:r>
        <w:rPr>
          <w:rFonts w:cs="Times New Roman"/>
          <w:lang w:val="hr"/>
        </w:rPr>
        <w:t>) iz kardiovaskularnog sustava. Konzervativno liječenje preporučuje se asimptomatskim ili visokorizičnim kirurškim pacijentima, oslanjajući se na pažljivo praćenje i slikovnu dijagnostiku u slučajevima kada intervencija može predstavljati veći rizik. Preporučuje se primjena minimalno invazivnih tehnika koje uključuju omče s petljama, posebice omče sa zakrivljenim vratom, koje se široko upotrebljavaju za standardna i složena vađenja. Hvataljka omogućuje precizno hvatanje i primjerena je za zahtjevne slučajeve kao što su slomljeni ili ugrađeni proizvodi. Kirurško vađenje, kao što je torakotomija ili sternotomija, treba se primjenjivati samo ako su iscrpljene druge mogućnosti zbog svoje invazivne prirode i većeg rizika za pacijenta. Endovaskularno vađenje i dalje je standardni postupak jer je prilagođen stanju pacijenta i svojstvima stranog tijela.</w:t>
      </w:r>
    </w:p>
    <w:p w14:paraId="2CDE6FBF" w14:textId="77777777" w:rsidR="00042B91" w:rsidRPr="009461CC" w:rsidRDefault="00042B91" w:rsidP="00F67A0E">
      <w:pPr>
        <w:pStyle w:val="Heading1"/>
        <w:numPr>
          <w:ilvl w:val="0"/>
          <w:numId w:val="2"/>
        </w:numPr>
        <w:rPr>
          <w:rFonts w:cs="Times New Roman"/>
        </w:rPr>
      </w:pPr>
      <w:bookmarkStart w:id="78" w:name="_Toc222741451"/>
      <w:r>
        <w:rPr>
          <w:rFonts w:cs="Times New Roman"/>
          <w:bCs/>
          <w:lang w:val="hr"/>
        </w:rPr>
        <w:t>Predloženi profil i obuka korisnika</w:t>
      </w:r>
      <w:bookmarkEnd w:id="78"/>
    </w:p>
    <w:p w14:paraId="35173865" w14:textId="0C72FD3E" w:rsidR="00042B91" w:rsidRPr="00722580" w:rsidRDefault="00A5239F" w:rsidP="00042B91">
      <w:pPr>
        <w:spacing w:after="0" w:afterAutospacing="0" w:line="240" w:lineRule="auto"/>
        <w:rPr>
          <w:rFonts w:eastAsia="Calibri" w:cs="Times New Roman"/>
          <w:szCs w:val="24"/>
          <w:lang w:val="pl-PL"/>
        </w:rPr>
      </w:pPr>
      <w:r>
        <w:rPr>
          <w:rFonts w:eastAsia="Calibri" w:cs="Times New Roman"/>
          <w:szCs w:val="24"/>
          <w:lang w:val="hr"/>
        </w:rPr>
        <w:t>Proizvod je namijenjen zdravstvenim radnicima i smije ga upotrebljavati samo kvalificirano osoblje koje je upoznato s načinom postupanja.</w:t>
      </w:r>
    </w:p>
    <w:p w14:paraId="21A7D581" w14:textId="77777777" w:rsidR="00A5239F" w:rsidRPr="00722580" w:rsidRDefault="00A5239F" w:rsidP="00042B91">
      <w:pPr>
        <w:spacing w:after="0" w:afterAutospacing="0" w:line="240" w:lineRule="auto"/>
        <w:rPr>
          <w:rFonts w:cs="Times New Roman"/>
          <w:i/>
          <w:color w:val="FF0000"/>
          <w:highlight w:val="yellow"/>
          <w:lang w:val="pl-PL"/>
        </w:rPr>
      </w:pPr>
    </w:p>
    <w:p w14:paraId="7848B753" w14:textId="692785D6" w:rsidR="0037316E" w:rsidRPr="009461CC" w:rsidRDefault="00760400" w:rsidP="00F67A0E">
      <w:pPr>
        <w:pStyle w:val="Heading1"/>
        <w:numPr>
          <w:ilvl w:val="0"/>
          <w:numId w:val="2"/>
        </w:numPr>
        <w:rPr>
          <w:rFonts w:cs="Times New Roman"/>
        </w:rPr>
      </w:pPr>
      <w:bookmarkStart w:id="79" w:name="_Toc222741452"/>
      <w:r>
        <w:rPr>
          <w:rFonts w:cs="Times New Roman"/>
          <w:bCs/>
          <w:lang w:val="hr"/>
        </w:rPr>
        <w:t>Usklađene norme / zajedničke značajke</w:t>
      </w:r>
      <w:bookmarkEnd w:id="79"/>
    </w:p>
    <w:tbl>
      <w:tblPr>
        <w:tblStyle w:val="TableGrid"/>
        <w:tblW w:w="4959" w:type="pct"/>
        <w:tblLook w:val="04A0" w:firstRow="1" w:lastRow="0" w:firstColumn="1" w:lastColumn="0" w:noHBand="0" w:noVBand="1"/>
      </w:tblPr>
      <w:tblGrid>
        <w:gridCol w:w="2336"/>
        <w:gridCol w:w="8008"/>
      </w:tblGrid>
      <w:tr w:rsidR="0094168A" w:rsidRPr="009461CC" w14:paraId="04F3E487" w14:textId="77777777" w:rsidTr="00293453">
        <w:trPr>
          <w:tblHeader/>
        </w:trPr>
        <w:tc>
          <w:tcPr>
            <w:tcW w:w="1129" w:type="pct"/>
          </w:tcPr>
          <w:p w14:paraId="5EEB168D"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Argon datum suglasnosti/verzije</w:t>
            </w:r>
          </w:p>
        </w:tc>
        <w:tc>
          <w:tcPr>
            <w:tcW w:w="3871" w:type="pct"/>
          </w:tcPr>
          <w:p w14:paraId="7BCD1036"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Naziv standarda</w:t>
            </w:r>
          </w:p>
        </w:tc>
      </w:tr>
      <w:tr w:rsidR="0094168A" w:rsidRPr="009461CC" w14:paraId="67124770" w14:textId="77777777" w:rsidTr="00293453">
        <w:tc>
          <w:tcPr>
            <w:tcW w:w="5000" w:type="pct"/>
            <w:gridSpan w:val="2"/>
            <w:shd w:val="clear" w:color="auto" w:fill="E7E6E6" w:themeFill="background2"/>
          </w:tcPr>
          <w:p w14:paraId="1B92BABB"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Označavanje</w:t>
            </w:r>
          </w:p>
        </w:tc>
      </w:tr>
      <w:tr w:rsidR="0094168A" w:rsidRPr="009D54AB" w14:paraId="25DF072C" w14:textId="77777777" w:rsidTr="00293453">
        <w:tc>
          <w:tcPr>
            <w:tcW w:w="1129" w:type="pct"/>
          </w:tcPr>
          <w:p w14:paraId="434B73AC" w14:textId="77777777" w:rsidR="0094168A" w:rsidRPr="009461CC" w:rsidRDefault="0094168A" w:rsidP="00722580">
            <w:pPr>
              <w:spacing w:after="0" w:afterAutospacing="0" w:line="228" w:lineRule="auto"/>
              <w:rPr>
                <w:rFonts w:cs="Times New Roman"/>
                <w:sz w:val="22"/>
              </w:rPr>
            </w:pPr>
            <w:r>
              <w:rPr>
                <w:rFonts w:eastAsia="Times New Roman" w:cs="Times New Roman"/>
                <w:sz w:val="22"/>
                <w:lang w:val="hr"/>
              </w:rPr>
              <w:t>EN ISO 15223-1:2021</w:t>
            </w:r>
          </w:p>
        </w:tc>
        <w:tc>
          <w:tcPr>
            <w:tcW w:w="3871" w:type="pct"/>
          </w:tcPr>
          <w:p w14:paraId="40A15B1C" w14:textId="77777777" w:rsidR="0094168A" w:rsidRPr="005B6722" w:rsidRDefault="0094168A" w:rsidP="00722580">
            <w:pPr>
              <w:spacing w:after="0" w:afterAutospacing="0" w:line="228" w:lineRule="auto"/>
              <w:rPr>
                <w:rFonts w:cs="Times New Roman"/>
                <w:sz w:val="22"/>
                <w:lang w:val="pt-BR"/>
              </w:rPr>
            </w:pPr>
            <w:r>
              <w:rPr>
                <w:rFonts w:cs="Times New Roman"/>
                <w:sz w:val="22"/>
                <w:lang w:val="hr"/>
              </w:rPr>
              <w:t xml:space="preserve">Medicinski proizvodi – Simboli koji se koriste s medicinskim proizvodima. </w:t>
            </w:r>
          </w:p>
          <w:p w14:paraId="093121E8" w14:textId="77777777" w:rsidR="0094168A" w:rsidRPr="005B6722" w:rsidRDefault="0094168A" w:rsidP="00722580">
            <w:pPr>
              <w:spacing w:after="0" w:afterAutospacing="0" w:line="228" w:lineRule="auto"/>
              <w:rPr>
                <w:rFonts w:cs="Times New Roman"/>
                <w:sz w:val="22"/>
                <w:lang w:val="pt-BR"/>
              </w:rPr>
            </w:pPr>
            <w:r>
              <w:rPr>
                <w:rFonts w:cs="Times New Roman"/>
                <w:sz w:val="22"/>
                <w:lang w:val="hr"/>
              </w:rPr>
              <w:t xml:space="preserve">oznake, označavanje i informacije koje treba dostaviti - 1. dio: Opći zahtjevi. </w:t>
            </w:r>
          </w:p>
          <w:p w14:paraId="3CEE87DD" w14:textId="77777777" w:rsidR="0094168A" w:rsidRPr="005B6722" w:rsidRDefault="0094168A" w:rsidP="00722580">
            <w:pPr>
              <w:spacing w:after="0" w:afterAutospacing="0" w:line="228" w:lineRule="auto"/>
              <w:rPr>
                <w:rFonts w:cs="Times New Roman"/>
                <w:sz w:val="22"/>
                <w:lang w:val="pt-BR"/>
              </w:rPr>
            </w:pPr>
          </w:p>
        </w:tc>
      </w:tr>
      <w:tr w:rsidR="0094168A" w:rsidRPr="009D54AB" w14:paraId="13723641" w14:textId="77777777" w:rsidTr="00293453">
        <w:tc>
          <w:tcPr>
            <w:tcW w:w="1129" w:type="pct"/>
          </w:tcPr>
          <w:p w14:paraId="7822ED4F" w14:textId="77777777" w:rsidR="0094168A" w:rsidRPr="009461CC" w:rsidRDefault="0094168A" w:rsidP="00722580">
            <w:pPr>
              <w:spacing w:after="0" w:afterAutospacing="0" w:line="228" w:lineRule="auto"/>
              <w:rPr>
                <w:rFonts w:cs="Times New Roman"/>
                <w:sz w:val="22"/>
              </w:rPr>
            </w:pPr>
            <w:r>
              <w:rPr>
                <w:rFonts w:cs="Times New Roman"/>
                <w:sz w:val="22"/>
                <w:lang w:val="hr"/>
              </w:rPr>
              <w:lastRenderedPageBreak/>
              <w:t>EN ISO 20417:2021</w:t>
            </w:r>
          </w:p>
        </w:tc>
        <w:tc>
          <w:tcPr>
            <w:tcW w:w="3871" w:type="pct"/>
          </w:tcPr>
          <w:p w14:paraId="6EF6F718" w14:textId="77777777" w:rsidR="0094168A" w:rsidRPr="005B6722" w:rsidRDefault="0094168A" w:rsidP="00722580">
            <w:pPr>
              <w:spacing w:after="0" w:afterAutospacing="0" w:line="228" w:lineRule="auto"/>
              <w:rPr>
                <w:rFonts w:cs="Times New Roman"/>
                <w:sz w:val="22"/>
                <w:lang w:val="pt-BR"/>
              </w:rPr>
            </w:pPr>
            <w:r>
              <w:rPr>
                <w:rFonts w:cs="Times New Roman"/>
                <w:sz w:val="22"/>
                <w:lang w:val="hr"/>
              </w:rPr>
              <w:t>Terminologija, simboli i informacije koje se isporučuju s medicinskim proizvodima: Informacije koje proizvođač dostavlja s medicinskim proizvodima</w:t>
            </w:r>
          </w:p>
        </w:tc>
      </w:tr>
      <w:tr w:rsidR="0094168A" w:rsidRPr="009461CC" w14:paraId="26B8C057" w14:textId="77777777" w:rsidTr="00293453">
        <w:tc>
          <w:tcPr>
            <w:tcW w:w="5000" w:type="pct"/>
            <w:gridSpan w:val="2"/>
            <w:shd w:val="clear" w:color="auto" w:fill="E7E6E6" w:themeFill="background2"/>
          </w:tcPr>
          <w:p w14:paraId="1F9809B2"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Opći standardi – Sterilizacija</w:t>
            </w:r>
          </w:p>
        </w:tc>
      </w:tr>
      <w:tr w:rsidR="0094168A" w:rsidRPr="00973C91" w14:paraId="7C28E0D3" w14:textId="77777777" w:rsidTr="00293453">
        <w:tc>
          <w:tcPr>
            <w:tcW w:w="1129" w:type="pct"/>
          </w:tcPr>
          <w:p w14:paraId="0416000A" w14:textId="77777777" w:rsidR="0094168A" w:rsidRPr="009461CC" w:rsidRDefault="0094168A" w:rsidP="00722580">
            <w:pPr>
              <w:spacing w:after="0" w:afterAutospacing="0" w:line="228" w:lineRule="auto"/>
              <w:rPr>
                <w:rFonts w:cs="Times New Roman"/>
                <w:sz w:val="22"/>
              </w:rPr>
            </w:pPr>
            <w:r>
              <w:rPr>
                <w:rFonts w:cs="Times New Roman"/>
                <w:sz w:val="22"/>
                <w:lang w:val="hr"/>
              </w:rPr>
              <w:t>ISO 10555-1:2013</w:t>
            </w:r>
          </w:p>
        </w:tc>
        <w:tc>
          <w:tcPr>
            <w:tcW w:w="3871" w:type="pct"/>
          </w:tcPr>
          <w:p w14:paraId="5B0C265F" w14:textId="77777777" w:rsidR="0094168A" w:rsidRPr="00722580" w:rsidRDefault="0094168A" w:rsidP="00722580">
            <w:pPr>
              <w:spacing w:after="0" w:afterAutospacing="0" w:line="228" w:lineRule="auto"/>
              <w:rPr>
                <w:rFonts w:cs="Times New Roman"/>
                <w:sz w:val="22"/>
                <w:lang w:val="pl-PL"/>
              </w:rPr>
            </w:pPr>
            <w:r>
              <w:rPr>
                <w:rFonts w:cs="Times New Roman"/>
                <w:sz w:val="22"/>
                <w:lang w:val="hr"/>
              </w:rPr>
              <w:t>Intravaskularni kateteri – Sterilni i jednokratni kateteri – 1. dio: Opći zahtjevi</w:t>
            </w:r>
          </w:p>
        </w:tc>
      </w:tr>
      <w:tr w:rsidR="0094168A" w:rsidRPr="009461CC" w14:paraId="088E27B4" w14:textId="77777777" w:rsidTr="00293453">
        <w:tc>
          <w:tcPr>
            <w:tcW w:w="1129" w:type="pct"/>
          </w:tcPr>
          <w:p w14:paraId="47460872" w14:textId="77777777" w:rsidR="0094168A" w:rsidRPr="009461CC" w:rsidRDefault="0094168A" w:rsidP="00722580">
            <w:pPr>
              <w:spacing w:after="0" w:afterAutospacing="0" w:line="228" w:lineRule="auto"/>
              <w:rPr>
                <w:rFonts w:cs="Times New Roman"/>
                <w:sz w:val="22"/>
              </w:rPr>
            </w:pPr>
            <w:r>
              <w:rPr>
                <w:rFonts w:cs="Times New Roman"/>
                <w:sz w:val="22"/>
                <w:lang w:val="hr"/>
              </w:rPr>
              <w:t>EN 556-1:2024</w:t>
            </w:r>
          </w:p>
        </w:tc>
        <w:tc>
          <w:tcPr>
            <w:tcW w:w="3871" w:type="pct"/>
          </w:tcPr>
          <w:p w14:paraId="64BED8C0" w14:textId="77777777" w:rsidR="0094168A" w:rsidRPr="009461CC" w:rsidRDefault="0094168A" w:rsidP="00722580">
            <w:pPr>
              <w:spacing w:after="0" w:afterAutospacing="0" w:line="228" w:lineRule="auto"/>
              <w:rPr>
                <w:rFonts w:cs="Times New Roman"/>
                <w:sz w:val="22"/>
              </w:rPr>
            </w:pPr>
            <w:r>
              <w:rPr>
                <w:rFonts w:cs="Times New Roman"/>
                <w:sz w:val="22"/>
                <w:lang w:val="hr"/>
              </w:rPr>
              <w:t>Sterilizacija medicinskih proizvoda. Zahtjevi za medicinske proizvode koji se označavaju sa „STERILNO”. Zahtjevi za završno sterilizirane medicinske proizvode</w:t>
            </w:r>
          </w:p>
        </w:tc>
      </w:tr>
      <w:tr w:rsidR="0094168A" w:rsidRPr="009461CC" w14:paraId="4DEE0525" w14:textId="77777777" w:rsidTr="00293453">
        <w:tc>
          <w:tcPr>
            <w:tcW w:w="1129" w:type="pct"/>
          </w:tcPr>
          <w:p w14:paraId="5095D1B9" w14:textId="77777777" w:rsidR="0094168A" w:rsidRPr="009461CC" w:rsidRDefault="0094168A" w:rsidP="00722580">
            <w:pPr>
              <w:spacing w:after="0" w:afterAutospacing="0" w:line="228" w:lineRule="auto"/>
              <w:rPr>
                <w:rFonts w:cs="Times New Roman"/>
                <w:sz w:val="22"/>
              </w:rPr>
            </w:pPr>
            <w:r>
              <w:rPr>
                <w:rFonts w:cs="Times New Roman"/>
                <w:sz w:val="22"/>
                <w:lang w:val="hr"/>
              </w:rPr>
              <w:t>EN ISO 11135:2019</w:t>
            </w:r>
          </w:p>
        </w:tc>
        <w:tc>
          <w:tcPr>
            <w:tcW w:w="3871" w:type="pct"/>
          </w:tcPr>
          <w:p w14:paraId="1E9B7BED" w14:textId="77777777" w:rsidR="0094168A" w:rsidRPr="009461CC" w:rsidRDefault="0094168A" w:rsidP="00722580">
            <w:pPr>
              <w:spacing w:after="0" w:afterAutospacing="0" w:line="228" w:lineRule="auto"/>
              <w:rPr>
                <w:rFonts w:cs="Times New Roman"/>
                <w:sz w:val="22"/>
              </w:rPr>
            </w:pPr>
            <w:r>
              <w:rPr>
                <w:rFonts w:cs="Times New Roman"/>
                <w:sz w:val="22"/>
                <w:lang w:val="hr"/>
              </w:rPr>
              <w:t>Sterilizacija medicinskih proizvoda – Etilen oksid - 1. dio: Zahtjevi za razvoj, vrednovanje i kontrolu provedbe sterilizacijskog postupka za medicinske proizvode</w:t>
            </w:r>
          </w:p>
        </w:tc>
      </w:tr>
      <w:tr w:rsidR="0094168A" w:rsidRPr="00973C91" w14:paraId="6B89F042" w14:textId="77777777" w:rsidTr="00293453">
        <w:tc>
          <w:tcPr>
            <w:tcW w:w="1129" w:type="pct"/>
          </w:tcPr>
          <w:p w14:paraId="3F48324F" w14:textId="77777777" w:rsidR="0094168A" w:rsidRPr="009461CC" w:rsidRDefault="0094168A" w:rsidP="00722580">
            <w:pPr>
              <w:spacing w:after="0" w:afterAutospacing="0" w:line="228" w:lineRule="auto"/>
              <w:rPr>
                <w:rFonts w:cs="Times New Roman"/>
                <w:sz w:val="22"/>
              </w:rPr>
            </w:pPr>
            <w:r>
              <w:rPr>
                <w:rFonts w:cs="Times New Roman"/>
                <w:sz w:val="22"/>
                <w:lang w:val="hr"/>
              </w:rPr>
              <w:t>AAMI TIR28:2016</w:t>
            </w:r>
          </w:p>
          <w:p w14:paraId="4FBEE0AF" w14:textId="77777777" w:rsidR="0094168A" w:rsidRPr="009461CC" w:rsidRDefault="0094168A" w:rsidP="00722580">
            <w:pPr>
              <w:spacing w:after="0" w:afterAutospacing="0" w:line="228" w:lineRule="auto"/>
              <w:jc w:val="center"/>
              <w:rPr>
                <w:rFonts w:cs="Times New Roman"/>
                <w:sz w:val="22"/>
              </w:rPr>
            </w:pPr>
          </w:p>
        </w:tc>
        <w:tc>
          <w:tcPr>
            <w:tcW w:w="3871" w:type="pct"/>
          </w:tcPr>
          <w:p w14:paraId="68BE6733" w14:textId="77777777" w:rsidR="0094168A" w:rsidRPr="00722580" w:rsidRDefault="0094168A" w:rsidP="00722580">
            <w:pPr>
              <w:spacing w:after="0" w:afterAutospacing="0" w:line="228" w:lineRule="auto"/>
              <w:rPr>
                <w:rFonts w:cs="Times New Roman"/>
                <w:sz w:val="22"/>
                <w:lang w:val="pl-PL"/>
              </w:rPr>
            </w:pPr>
            <w:r>
              <w:rPr>
                <w:rFonts w:cs="Times New Roman"/>
                <w:sz w:val="22"/>
                <w:lang w:val="hr"/>
              </w:rPr>
              <w:t>Usvajanje proizvoda i ekvivalentnost procesa za sterilizaciju etilen oksidom</w:t>
            </w:r>
          </w:p>
        </w:tc>
      </w:tr>
      <w:tr w:rsidR="0094168A" w:rsidRPr="009461CC" w14:paraId="1E1CCCD6" w14:textId="77777777" w:rsidTr="00293453">
        <w:tc>
          <w:tcPr>
            <w:tcW w:w="1129" w:type="pct"/>
          </w:tcPr>
          <w:p w14:paraId="25D300ED" w14:textId="77777777" w:rsidR="0094168A" w:rsidRPr="009461CC" w:rsidRDefault="0094168A" w:rsidP="00722580">
            <w:pPr>
              <w:spacing w:after="0" w:afterAutospacing="0" w:line="228" w:lineRule="auto"/>
              <w:jc w:val="center"/>
              <w:rPr>
                <w:rFonts w:cs="Times New Roman"/>
                <w:sz w:val="22"/>
              </w:rPr>
            </w:pPr>
            <w:r>
              <w:rPr>
                <w:rFonts w:cs="Times New Roman"/>
                <w:sz w:val="22"/>
                <w:lang w:val="hr"/>
              </w:rPr>
              <w:t>EN ISO 14644-1:2015</w:t>
            </w:r>
          </w:p>
        </w:tc>
        <w:tc>
          <w:tcPr>
            <w:tcW w:w="3871" w:type="pct"/>
          </w:tcPr>
          <w:p w14:paraId="2AD73BC5" w14:textId="77777777" w:rsidR="0094168A" w:rsidRPr="009461CC" w:rsidRDefault="0094168A" w:rsidP="00722580">
            <w:pPr>
              <w:spacing w:after="0" w:afterAutospacing="0" w:line="228" w:lineRule="auto"/>
              <w:rPr>
                <w:rFonts w:cs="Times New Roman"/>
                <w:sz w:val="22"/>
              </w:rPr>
            </w:pPr>
            <w:r>
              <w:rPr>
                <w:rFonts w:cs="Times New Roman"/>
                <w:sz w:val="22"/>
                <w:lang w:val="hr"/>
              </w:rPr>
              <w:t>Klasifikacija čistoće zraka, sterilnih soba i pripadajućih kontroliranih okruženja. Dio 1: Klasifikacija čistoće zraka</w:t>
            </w:r>
          </w:p>
        </w:tc>
      </w:tr>
      <w:tr w:rsidR="0094168A" w:rsidRPr="009461CC" w14:paraId="27E7EE41" w14:textId="77777777" w:rsidTr="00293453">
        <w:trPr>
          <w:trHeight w:val="1097"/>
        </w:trPr>
        <w:tc>
          <w:tcPr>
            <w:tcW w:w="1129" w:type="pct"/>
          </w:tcPr>
          <w:p w14:paraId="51EAE02B" w14:textId="77777777" w:rsidR="0094168A" w:rsidRPr="009461CC" w:rsidRDefault="0094168A" w:rsidP="00722580">
            <w:pPr>
              <w:spacing w:after="0" w:afterAutospacing="0" w:line="228" w:lineRule="auto"/>
              <w:jc w:val="center"/>
              <w:rPr>
                <w:rFonts w:cs="Times New Roman"/>
                <w:sz w:val="22"/>
              </w:rPr>
            </w:pPr>
            <w:r>
              <w:rPr>
                <w:rFonts w:cs="Times New Roman"/>
                <w:sz w:val="22"/>
                <w:lang w:val="hr"/>
              </w:rPr>
              <w:t>EN ISO 14644-2:2015</w:t>
            </w:r>
          </w:p>
        </w:tc>
        <w:tc>
          <w:tcPr>
            <w:tcW w:w="3871" w:type="pct"/>
          </w:tcPr>
          <w:p w14:paraId="3AA6B4D4" w14:textId="77777777" w:rsidR="0094168A" w:rsidRPr="00722580" w:rsidRDefault="0094168A" w:rsidP="00722580">
            <w:pPr>
              <w:spacing w:after="0" w:afterAutospacing="0" w:line="228" w:lineRule="auto"/>
              <w:rPr>
                <w:rFonts w:cs="Times New Roman"/>
                <w:sz w:val="22"/>
                <w:lang w:val="pl-PL"/>
              </w:rPr>
            </w:pPr>
            <w:r>
              <w:rPr>
                <w:rFonts w:cs="Times New Roman"/>
                <w:sz w:val="22"/>
                <w:lang w:val="hr"/>
              </w:rPr>
              <w:t xml:space="preserve">Sterilne sobe i pripadajuća kontrolirana okruženja - Dio 2: Praćenje radi pružanja dokaza o sterilnoj sobi. </w:t>
            </w:r>
          </w:p>
          <w:p w14:paraId="2873EF60" w14:textId="77777777" w:rsidR="0094168A" w:rsidRPr="005B6722" w:rsidRDefault="0094168A" w:rsidP="00722580">
            <w:pPr>
              <w:spacing w:after="0" w:afterAutospacing="0" w:line="228" w:lineRule="auto"/>
              <w:rPr>
                <w:rFonts w:cs="Times New Roman"/>
                <w:sz w:val="22"/>
                <w:lang w:val="pt-BR"/>
              </w:rPr>
            </w:pPr>
            <w:r>
              <w:rPr>
                <w:rFonts w:cs="Times New Roman"/>
                <w:sz w:val="22"/>
                <w:lang w:val="hr"/>
              </w:rPr>
              <w:t xml:space="preserve">učinkovitost povezana s čistoćom zraka po česticama. </w:t>
            </w:r>
          </w:p>
          <w:p w14:paraId="02B2FEDC" w14:textId="77777777" w:rsidR="0094168A" w:rsidRPr="009461CC" w:rsidRDefault="0094168A" w:rsidP="00722580">
            <w:pPr>
              <w:spacing w:after="0" w:afterAutospacing="0" w:line="228" w:lineRule="auto"/>
              <w:rPr>
                <w:rFonts w:cs="Times New Roman"/>
                <w:sz w:val="22"/>
              </w:rPr>
            </w:pPr>
            <w:r>
              <w:rPr>
                <w:rFonts w:cs="Times New Roman"/>
                <w:sz w:val="22"/>
                <w:lang w:val="hr"/>
              </w:rPr>
              <w:t>koncentracija</w:t>
            </w:r>
          </w:p>
        </w:tc>
      </w:tr>
      <w:tr w:rsidR="0094168A" w:rsidRPr="009D54AB" w14:paraId="0A4BF260"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07ABED2A" w14:textId="77777777" w:rsidR="0094168A" w:rsidRPr="009461CC" w:rsidRDefault="0094168A" w:rsidP="00722580">
            <w:pPr>
              <w:spacing w:after="0" w:afterAutospacing="0" w:line="228" w:lineRule="auto"/>
              <w:jc w:val="center"/>
              <w:rPr>
                <w:rFonts w:cs="Times New Roman"/>
                <w:sz w:val="22"/>
              </w:rPr>
            </w:pPr>
            <w:r>
              <w:rPr>
                <w:rFonts w:eastAsia="Times New Roman" w:cs="Times New Roman"/>
                <w:sz w:val="22"/>
                <w:lang w:val="hr"/>
              </w:rPr>
              <w:t>EN ISO 11737-1:2018</w:t>
            </w:r>
          </w:p>
        </w:tc>
        <w:tc>
          <w:tcPr>
            <w:tcW w:w="3871" w:type="pct"/>
            <w:tcBorders>
              <w:top w:val="single" w:sz="4" w:space="0" w:color="auto"/>
              <w:left w:val="single" w:sz="4" w:space="0" w:color="auto"/>
              <w:bottom w:val="single" w:sz="4" w:space="0" w:color="auto"/>
              <w:right w:val="single" w:sz="4" w:space="0" w:color="auto"/>
            </w:tcBorders>
            <w:vAlign w:val="center"/>
          </w:tcPr>
          <w:p w14:paraId="69B61B8D" w14:textId="77777777" w:rsidR="0094168A" w:rsidRPr="005B6722" w:rsidRDefault="0094168A" w:rsidP="00722580">
            <w:pPr>
              <w:spacing w:after="0" w:afterAutospacing="0" w:line="228" w:lineRule="auto"/>
              <w:rPr>
                <w:rFonts w:cs="Times New Roman"/>
                <w:sz w:val="22"/>
                <w:lang w:val="pt-BR"/>
              </w:rPr>
            </w:pPr>
            <w:r>
              <w:rPr>
                <w:rFonts w:eastAsia="Times New Roman" w:cs="Times New Roman"/>
                <w:sz w:val="22"/>
                <w:lang w:val="hr"/>
              </w:rPr>
              <w:t>Sterilizacija medicinskih proizvoda – Mikrobiološke metode – 1. dio: Određivanje vrste i broja mikroorganizama na proizvodima</w:t>
            </w:r>
          </w:p>
        </w:tc>
      </w:tr>
      <w:tr w:rsidR="0094168A" w:rsidRPr="00973C91" w14:paraId="79153AFF"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1E9E13E9" w14:textId="77777777" w:rsidR="0094168A" w:rsidRPr="009461CC" w:rsidRDefault="0094168A" w:rsidP="00722580">
            <w:pPr>
              <w:spacing w:after="0" w:afterAutospacing="0" w:line="228" w:lineRule="auto"/>
              <w:jc w:val="center"/>
              <w:rPr>
                <w:rFonts w:cs="Times New Roman"/>
                <w:sz w:val="22"/>
              </w:rPr>
            </w:pPr>
            <w:r>
              <w:rPr>
                <w:rFonts w:eastAsia="Times New Roman" w:cs="Times New Roman"/>
                <w:sz w:val="22"/>
                <w:lang w:val="hr"/>
              </w:rPr>
              <w:t>EN ISO 10993-7:2022</w:t>
            </w:r>
          </w:p>
        </w:tc>
        <w:tc>
          <w:tcPr>
            <w:tcW w:w="3871" w:type="pct"/>
            <w:tcBorders>
              <w:top w:val="single" w:sz="4" w:space="0" w:color="auto"/>
              <w:left w:val="single" w:sz="4" w:space="0" w:color="auto"/>
              <w:bottom w:val="single" w:sz="4" w:space="0" w:color="auto"/>
              <w:right w:val="single" w:sz="4" w:space="0" w:color="auto"/>
            </w:tcBorders>
            <w:vAlign w:val="center"/>
          </w:tcPr>
          <w:p w14:paraId="316E8C9D" w14:textId="77777777" w:rsidR="0094168A" w:rsidRPr="00722580" w:rsidRDefault="0094168A" w:rsidP="00722580">
            <w:pPr>
              <w:spacing w:after="0" w:afterAutospacing="0" w:line="228" w:lineRule="auto"/>
              <w:rPr>
                <w:rFonts w:cs="Times New Roman"/>
                <w:sz w:val="22"/>
                <w:lang w:val="pl-PL"/>
              </w:rPr>
            </w:pPr>
            <w:r>
              <w:rPr>
                <w:rFonts w:eastAsia="Times New Roman" w:cs="Times New Roman"/>
                <w:sz w:val="22"/>
                <w:lang w:val="hr"/>
              </w:rPr>
              <w:t>Biološka procjena medicinskih proizvoda. Ostaci pri sterilizaciji etilen oksidom</w:t>
            </w:r>
          </w:p>
        </w:tc>
      </w:tr>
      <w:tr w:rsidR="0094168A" w:rsidRPr="009461CC" w14:paraId="255576C7" w14:textId="77777777" w:rsidTr="00293453">
        <w:tc>
          <w:tcPr>
            <w:tcW w:w="1129" w:type="pct"/>
          </w:tcPr>
          <w:p w14:paraId="3E855248" w14:textId="77777777" w:rsidR="0094168A" w:rsidRPr="009461CC" w:rsidRDefault="0094168A" w:rsidP="00722580">
            <w:pPr>
              <w:spacing w:after="0" w:afterAutospacing="0" w:line="228" w:lineRule="auto"/>
              <w:rPr>
                <w:rFonts w:cs="Times New Roman"/>
                <w:sz w:val="22"/>
              </w:rPr>
            </w:pPr>
            <w:r>
              <w:rPr>
                <w:rFonts w:cs="Times New Roman"/>
                <w:sz w:val="22"/>
                <w:lang w:val="hr"/>
              </w:rPr>
              <w:t>NSI/AAMI ST72:2019</w:t>
            </w:r>
          </w:p>
        </w:tc>
        <w:tc>
          <w:tcPr>
            <w:tcW w:w="3871" w:type="pct"/>
          </w:tcPr>
          <w:p w14:paraId="1BB2618F" w14:textId="77777777" w:rsidR="0094168A" w:rsidRPr="009461CC" w:rsidRDefault="0094168A" w:rsidP="00722580">
            <w:pPr>
              <w:spacing w:after="0" w:afterAutospacing="0" w:line="228" w:lineRule="auto"/>
              <w:rPr>
                <w:rFonts w:cs="Times New Roman"/>
                <w:sz w:val="22"/>
              </w:rPr>
            </w:pPr>
            <w:r>
              <w:rPr>
                <w:rFonts w:cs="Times New Roman"/>
                <w:sz w:val="22"/>
                <w:lang w:val="hr"/>
              </w:rPr>
              <w:t>Ispitivanje bakterijskih endotoksina</w:t>
            </w:r>
          </w:p>
        </w:tc>
      </w:tr>
      <w:tr w:rsidR="0094168A" w:rsidRPr="009461CC" w14:paraId="404997EC" w14:textId="77777777" w:rsidTr="00293453">
        <w:tc>
          <w:tcPr>
            <w:tcW w:w="5000" w:type="pct"/>
            <w:gridSpan w:val="2"/>
            <w:shd w:val="clear" w:color="auto" w:fill="E7E6E6" w:themeFill="background2"/>
          </w:tcPr>
          <w:p w14:paraId="5ABA833D"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Opći standardi – Sustavi kvalitete</w:t>
            </w:r>
          </w:p>
        </w:tc>
      </w:tr>
      <w:tr w:rsidR="0094168A" w:rsidRPr="009461CC" w14:paraId="63A55C82" w14:textId="77777777" w:rsidTr="00293453">
        <w:tc>
          <w:tcPr>
            <w:tcW w:w="1129" w:type="pct"/>
            <w:tcBorders>
              <w:top w:val="single" w:sz="4" w:space="0" w:color="auto"/>
              <w:left w:val="single" w:sz="4" w:space="0" w:color="auto"/>
              <w:bottom w:val="single" w:sz="4" w:space="0" w:color="auto"/>
              <w:right w:val="single" w:sz="4" w:space="0" w:color="auto"/>
            </w:tcBorders>
            <w:vAlign w:val="center"/>
          </w:tcPr>
          <w:p w14:paraId="62560DA0" w14:textId="77777777" w:rsidR="0094168A" w:rsidRPr="009461CC" w:rsidRDefault="0094168A" w:rsidP="00722580">
            <w:pPr>
              <w:spacing w:after="0" w:afterAutospacing="0" w:line="228" w:lineRule="auto"/>
              <w:rPr>
                <w:rFonts w:cs="Times New Roman"/>
                <w:sz w:val="22"/>
              </w:rPr>
            </w:pPr>
            <w:r>
              <w:rPr>
                <w:rFonts w:eastAsia="Times New Roman" w:cs="Times New Roman"/>
                <w:sz w:val="22"/>
                <w:lang w:val="hr"/>
              </w:rPr>
              <w:t>EN ISO 13485:2016</w:t>
            </w:r>
          </w:p>
        </w:tc>
        <w:tc>
          <w:tcPr>
            <w:tcW w:w="3871" w:type="pct"/>
            <w:tcBorders>
              <w:top w:val="single" w:sz="4" w:space="0" w:color="auto"/>
              <w:left w:val="single" w:sz="4" w:space="0" w:color="auto"/>
              <w:bottom w:val="single" w:sz="4" w:space="0" w:color="auto"/>
              <w:right w:val="single" w:sz="4" w:space="0" w:color="auto"/>
            </w:tcBorders>
            <w:vAlign w:val="center"/>
          </w:tcPr>
          <w:p w14:paraId="1A55AB9D" w14:textId="77777777" w:rsidR="0094168A" w:rsidRPr="009461CC" w:rsidRDefault="0094168A" w:rsidP="00722580">
            <w:pPr>
              <w:spacing w:after="0" w:afterAutospacing="0" w:line="228" w:lineRule="auto"/>
              <w:rPr>
                <w:rFonts w:cs="Times New Roman"/>
                <w:sz w:val="22"/>
              </w:rPr>
            </w:pPr>
            <w:r>
              <w:rPr>
                <w:rFonts w:eastAsia="Times New Roman" w:cs="Times New Roman"/>
                <w:sz w:val="22"/>
                <w:lang w:val="hr"/>
              </w:rPr>
              <w:t>Medicinski proizvodi. Sustav upravljanja kvalitetom. Zahtjevi za regulatorne svrhe</w:t>
            </w:r>
          </w:p>
        </w:tc>
      </w:tr>
      <w:tr w:rsidR="0094168A" w:rsidRPr="009461CC" w14:paraId="387B175B" w14:textId="77777777" w:rsidTr="00293453">
        <w:tc>
          <w:tcPr>
            <w:tcW w:w="5000" w:type="pct"/>
            <w:gridSpan w:val="2"/>
            <w:shd w:val="clear" w:color="auto" w:fill="E7E6E6" w:themeFill="background2"/>
          </w:tcPr>
          <w:p w14:paraId="59DAC316" w14:textId="77777777" w:rsidR="0094168A" w:rsidRPr="009461CC" w:rsidRDefault="0094168A" w:rsidP="00722580">
            <w:pPr>
              <w:spacing w:after="0" w:afterAutospacing="0" w:line="228" w:lineRule="auto"/>
              <w:jc w:val="center"/>
              <w:rPr>
                <w:rFonts w:cs="Times New Roman"/>
                <w:b/>
                <w:bCs/>
                <w:sz w:val="22"/>
              </w:rPr>
            </w:pPr>
            <w:r>
              <w:rPr>
                <w:rFonts w:cs="Times New Roman"/>
                <w:b/>
                <w:bCs/>
                <w:sz w:val="22"/>
                <w:lang w:val="hr"/>
              </w:rPr>
              <w:t>Upravljanje rizicima</w:t>
            </w:r>
          </w:p>
        </w:tc>
      </w:tr>
      <w:tr w:rsidR="0094168A" w:rsidRPr="009461CC" w14:paraId="75307B89" w14:textId="77777777" w:rsidTr="00293453">
        <w:tc>
          <w:tcPr>
            <w:tcW w:w="1129" w:type="pct"/>
          </w:tcPr>
          <w:p w14:paraId="653BDB44" w14:textId="77777777" w:rsidR="0094168A" w:rsidRPr="009461CC" w:rsidRDefault="0094168A" w:rsidP="00722580">
            <w:pPr>
              <w:spacing w:after="0" w:afterAutospacing="0" w:line="228" w:lineRule="auto"/>
              <w:rPr>
                <w:rFonts w:cs="Times New Roman"/>
                <w:sz w:val="22"/>
              </w:rPr>
            </w:pPr>
            <w:r>
              <w:rPr>
                <w:rFonts w:cs="Times New Roman"/>
                <w:sz w:val="22"/>
                <w:lang w:val="hr"/>
              </w:rPr>
              <w:t>EN ISO 14971:2019</w:t>
            </w:r>
          </w:p>
        </w:tc>
        <w:tc>
          <w:tcPr>
            <w:tcW w:w="3871" w:type="pct"/>
          </w:tcPr>
          <w:p w14:paraId="4457BE68" w14:textId="77777777" w:rsidR="0094168A" w:rsidRPr="009461CC" w:rsidRDefault="0094168A" w:rsidP="00722580">
            <w:pPr>
              <w:spacing w:after="0" w:afterAutospacing="0" w:line="228" w:lineRule="auto"/>
              <w:rPr>
                <w:rFonts w:cs="Times New Roman"/>
                <w:sz w:val="22"/>
              </w:rPr>
            </w:pPr>
            <w:r>
              <w:rPr>
                <w:rFonts w:cs="Times New Roman"/>
                <w:sz w:val="22"/>
                <w:lang w:val="hr"/>
              </w:rPr>
              <w:t>Medicinski proizvodi – Primjena upravljanja rizikom za medicinske proizvode</w:t>
            </w:r>
          </w:p>
        </w:tc>
      </w:tr>
      <w:tr w:rsidR="0094168A" w:rsidRPr="009461CC" w14:paraId="0412F728" w14:textId="77777777" w:rsidTr="00293453">
        <w:tc>
          <w:tcPr>
            <w:tcW w:w="5000" w:type="pct"/>
            <w:gridSpan w:val="2"/>
            <w:shd w:val="clear" w:color="auto" w:fill="E7E6E6" w:themeFill="background2"/>
          </w:tcPr>
          <w:p w14:paraId="60003C37" w14:textId="77777777" w:rsidR="0094168A" w:rsidRPr="009461CC" w:rsidRDefault="0094168A" w:rsidP="00722580">
            <w:pPr>
              <w:spacing w:after="0" w:afterAutospacing="0" w:line="228" w:lineRule="auto"/>
              <w:jc w:val="center"/>
              <w:rPr>
                <w:rFonts w:cs="Times New Roman"/>
                <w:sz w:val="22"/>
              </w:rPr>
            </w:pPr>
            <w:r>
              <w:rPr>
                <w:rFonts w:eastAsia="Arial" w:cs="Times New Roman"/>
                <w:b/>
                <w:bCs/>
                <w:sz w:val="22"/>
                <w:lang w:val="hr"/>
              </w:rPr>
              <w:t>Biološka sigurnost</w:t>
            </w:r>
          </w:p>
        </w:tc>
      </w:tr>
      <w:tr w:rsidR="0094168A" w:rsidRPr="009461CC" w14:paraId="4EC2D85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6A05F98"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10993-1:2020 + LC:2021</w:t>
            </w:r>
          </w:p>
        </w:tc>
        <w:tc>
          <w:tcPr>
            <w:tcW w:w="3871" w:type="pct"/>
            <w:tcBorders>
              <w:top w:val="single" w:sz="4" w:space="0" w:color="000000"/>
              <w:left w:val="single" w:sz="4" w:space="0" w:color="000000"/>
              <w:bottom w:val="single" w:sz="4" w:space="0" w:color="000000"/>
              <w:right w:val="single" w:sz="4" w:space="0" w:color="auto"/>
            </w:tcBorders>
          </w:tcPr>
          <w:p w14:paraId="31802E8D" w14:textId="77777777" w:rsidR="0094168A" w:rsidRPr="005B6722" w:rsidRDefault="0094168A" w:rsidP="00722580">
            <w:pPr>
              <w:spacing w:after="14" w:afterAutospacing="0" w:line="228" w:lineRule="auto"/>
              <w:rPr>
                <w:rFonts w:cs="Times New Roman"/>
                <w:sz w:val="22"/>
                <w:lang w:val="pt-BR"/>
              </w:rPr>
            </w:pPr>
            <w:r>
              <w:rPr>
                <w:rFonts w:eastAsia="Arial" w:cs="Times New Roman"/>
                <w:sz w:val="22"/>
                <w:lang w:val="hr"/>
              </w:rPr>
              <w:t xml:space="preserve">Biološka procjena medicinskih proizvoda – 1. dio: </w:t>
            </w:r>
          </w:p>
          <w:p w14:paraId="1D869305" w14:textId="77777777" w:rsidR="0094168A" w:rsidRPr="009461CC" w:rsidRDefault="0094168A" w:rsidP="00722580">
            <w:pPr>
              <w:tabs>
                <w:tab w:val="left" w:pos="1320"/>
              </w:tabs>
              <w:spacing w:after="0" w:afterAutospacing="0" w:line="228" w:lineRule="auto"/>
              <w:rPr>
                <w:rFonts w:cs="Times New Roman"/>
                <w:sz w:val="22"/>
              </w:rPr>
            </w:pPr>
            <w:r>
              <w:rPr>
                <w:rFonts w:eastAsia="Arial" w:cs="Times New Roman"/>
                <w:sz w:val="22"/>
                <w:lang w:val="hr"/>
              </w:rPr>
              <w:t xml:space="preserve">Procjena i ispitivanje  </w:t>
            </w:r>
          </w:p>
        </w:tc>
      </w:tr>
      <w:tr w:rsidR="0094168A" w:rsidRPr="009461CC" w14:paraId="3496F1C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3F28448"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10993-3:2014</w:t>
            </w:r>
          </w:p>
        </w:tc>
        <w:tc>
          <w:tcPr>
            <w:tcW w:w="3871" w:type="pct"/>
            <w:tcBorders>
              <w:top w:val="single" w:sz="4" w:space="0" w:color="000000"/>
              <w:left w:val="single" w:sz="4" w:space="0" w:color="000000"/>
              <w:bottom w:val="single" w:sz="4" w:space="0" w:color="000000"/>
              <w:right w:val="single" w:sz="4" w:space="0" w:color="000000"/>
            </w:tcBorders>
          </w:tcPr>
          <w:p w14:paraId="29C98F9B" w14:textId="77777777" w:rsidR="0094168A" w:rsidRPr="009461CC" w:rsidRDefault="0094168A" w:rsidP="00722580">
            <w:pPr>
              <w:spacing w:after="0" w:afterAutospacing="0" w:line="228" w:lineRule="auto"/>
              <w:rPr>
                <w:rFonts w:cs="Times New Roman"/>
                <w:sz w:val="22"/>
              </w:rPr>
            </w:pPr>
            <w:r>
              <w:rPr>
                <w:rFonts w:eastAsia="Arial" w:cs="Times New Roman"/>
                <w:sz w:val="22"/>
                <w:lang w:val="hr"/>
              </w:rPr>
              <w:t xml:space="preserve">Biološka procjena medicinskih proizvoda -- 3. dio: Ispitivanja genotoksičnosti, karcinogenosti i reproduktivne toksičnosti </w:t>
            </w:r>
          </w:p>
        </w:tc>
      </w:tr>
      <w:tr w:rsidR="0094168A" w:rsidRPr="009D54AB" w14:paraId="5B12C58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DC6D356"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10993-4:2017</w:t>
            </w:r>
          </w:p>
        </w:tc>
        <w:tc>
          <w:tcPr>
            <w:tcW w:w="3871" w:type="pct"/>
            <w:tcBorders>
              <w:top w:val="single" w:sz="4" w:space="0" w:color="000000"/>
              <w:left w:val="single" w:sz="4" w:space="0" w:color="000000"/>
              <w:bottom w:val="single" w:sz="4" w:space="0" w:color="000000"/>
              <w:right w:val="single" w:sz="4" w:space="0" w:color="000000"/>
            </w:tcBorders>
          </w:tcPr>
          <w:p w14:paraId="6FA654DE" w14:textId="77777777" w:rsidR="0094168A" w:rsidRPr="005B6722" w:rsidRDefault="0094168A" w:rsidP="00722580">
            <w:pPr>
              <w:spacing w:after="0" w:afterAutospacing="0" w:line="228" w:lineRule="auto"/>
              <w:rPr>
                <w:rFonts w:cs="Times New Roman"/>
                <w:sz w:val="22"/>
                <w:lang w:val="pt-BR"/>
              </w:rPr>
            </w:pPr>
            <w:r>
              <w:rPr>
                <w:rFonts w:eastAsia="Arial" w:cs="Times New Roman"/>
                <w:sz w:val="22"/>
                <w:lang w:val="hr"/>
              </w:rPr>
              <w:t xml:space="preserve">Biološka procjena medicinskih proizvoda – 4. dio: Odabir ispitivanja za interakcije s krvlju </w:t>
            </w:r>
          </w:p>
        </w:tc>
      </w:tr>
      <w:tr w:rsidR="0094168A" w:rsidRPr="009461CC" w14:paraId="6B4C18F9"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A31AAA1"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10993-5:2009</w:t>
            </w:r>
          </w:p>
        </w:tc>
        <w:tc>
          <w:tcPr>
            <w:tcW w:w="3871" w:type="pct"/>
            <w:tcBorders>
              <w:top w:val="single" w:sz="4" w:space="0" w:color="000000"/>
              <w:left w:val="single" w:sz="4" w:space="0" w:color="000000"/>
              <w:bottom w:val="single" w:sz="4" w:space="0" w:color="000000"/>
              <w:right w:val="single" w:sz="4" w:space="0" w:color="000000"/>
            </w:tcBorders>
          </w:tcPr>
          <w:p w14:paraId="5E6BDEB8" w14:textId="77777777" w:rsidR="0094168A" w:rsidRPr="009461CC" w:rsidRDefault="0094168A" w:rsidP="00722580">
            <w:pPr>
              <w:spacing w:after="0" w:afterAutospacing="0" w:line="228" w:lineRule="auto"/>
              <w:rPr>
                <w:rFonts w:cs="Times New Roman"/>
                <w:sz w:val="22"/>
              </w:rPr>
            </w:pPr>
            <w:r>
              <w:rPr>
                <w:rFonts w:eastAsia="Arial" w:cs="Times New Roman"/>
                <w:sz w:val="22"/>
                <w:lang w:val="hr"/>
              </w:rPr>
              <w:t xml:space="preserve">Biološka procjena medicinskih proizvoda -- 5. dio: Ispitivanja za citotoksičnost in vitro </w:t>
            </w:r>
          </w:p>
        </w:tc>
      </w:tr>
      <w:tr w:rsidR="0094168A" w:rsidRPr="009D54AB" w14:paraId="0C8F61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61670A62"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10993-10:2013</w:t>
            </w:r>
          </w:p>
        </w:tc>
        <w:tc>
          <w:tcPr>
            <w:tcW w:w="3871" w:type="pct"/>
            <w:tcBorders>
              <w:top w:val="single" w:sz="4" w:space="0" w:color="000000"/>
              <w:left w:val="single" w:sz="4" w:space="0" w:color="000000"/>
              <w:bottom w:val="single" w:sz="4" w:space="0" w:color="000000"/>
              <w:right w:val="single" w:sz="4" w:space="0" w:color="000000"/>
            </w:tcBorders>
          </w:tcPr>
          <w:p w14:paraId="49062A3E" w14:textId="77777777" w:rsidR="0094168A" w:rsidRPr="005B6722" w:rsidRDefault="0094168A" w:rsidP="00722580">
            <w:pPr>
              <w:spacing w:after="0" w:afterAutospacing="0" w:line="228" w:lineRule="auto"/>
              <w:rPr>
                <w:rFonts w:cs="Times New Roman"/>
                <w:sz w:val="22"/>
                <w:lang w:val="pt-BR"/>
              </w:rPr>
            </w:pPr>
            <w:r>
              <w:rPr>
                <w:rFonts w:eastAsia="Arial" w:cs="Times New Roman"/>
                <w:sz w:val="22"/>
                <w:lang w:val="hr"/>
              </w:rPr>
              <w:t xml:space="preserve">Biološka procjena medicinskih proizvoda -- 10. dio: Ispitivanja za iritaciju i senzibilizaciju kože </w:t>
            </w:r>
          </w:p>
        </w:tc>
      </w:tr>
      <w:tr w:rsidR="0094168A" w:rsidRPr="00973C91" w14:paraId="0E6AC70D"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73A77758"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10993-11:2018</w:t>
            </w:r>
          </w:p>
        </w:tc>
        <w:tc>
          <w:tcPr>
            <w:tcW w:w="3871" w:type="pct"/>
            <w:tcBorders>
              <w:top w:val="single" w:sz="4" w:space="0" w:color="000000"/>
              <w:left w:val="single" w:sz="4" w:space="0" w:color="000000"/>
              <w:bottom w:val="single" w:sz="4" w:space="0" w:color="000000"/>
              <w:right w:val="single" w:sz="4" w:space="0" w:color="000000"/>
            </w:tcBorders>
          </w:tcPr>
          <w:p w14:paraId="7A9A598F" w14:textId="77777777" w:rsidR="0094168A" w:rsidRPr="00722580" w:rsidRDefault="0094168A" w:rsidP="00722580">
            <w:pPr>
              <w:spacing w:after="0" w:afterAutospacing="0" w:line="228" w:lineRule="auto"/>
              <w:rPr>
                <w:rFonts w:cs="Times New Roman"/>
                <w:sz w:val="22"/>
                <w:lang w:val="pl-PL"/>
              </w:rPr>
            </w:pPr>
            <w:r>
              <w:rPr>
                <w:rFonts w:eastAsia="Arial" w:cs="Times New Roman"/>
                <w:sz w:val="22"/>
                <w:lang w:val="hr"/>
              </w:rPr>
              <w:t xml:space="preserve">Biološka procjena medicinskih proizvoda -- 11. dio: Ispitivanja za sistemsku toksičnost </w:t>
            </w:r>
          </w:p>
        </w:tc>
      </w:tr>
      <w:tr w:rsidR="0094168A" w:rsidRPr="009D54AB" w14:paraId="4DA537CC"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162FA31" w14:textId="77777777" w:rsidR="0094168A" w:rsidRPr="009461CC" w:rsidRDefault="0094168A" w:rsidP="00722580">
            <w:pPr>
              <w:spacing w:after="0" w:afterAutospacing="0" w:line="228" w:lineRule="auto"/>
              <w:rPr>
                <w:rFonts w:cs="Times New Roman"/>
                <w:bCs/>
                <w:sz w:val="22"/>
              </w:rPr>
            </w:pPr>
            <w:r>
              <w:rPr>
                <w:rFonts w:eastAsia="Arial" w:cs="Times New Roman"/>
                <w:sz w:val="22"/>
                <w:lang w:val="hr"/>
              </w:rPr>
              <w:t>EN ISO 10993-12:2021</w:t>
            </w:r>
          </w:p>
        </w:tc>
        <w:tc>
          <w:tcPr>
            <w:tcW w:w="3871" w:type="pct"/>
            <w:tcBorders>
              <w:top w:val="single" w:sz="4" w:space="0" w:color="000000"/>
              <w:left w:val="single" w:sz="4" w:space="0" w:color="000000"/>
              <w:bottom w:val="single" w:sz="4" w:space="0" w:color="000000"/>
              <w:right w:val="single" w:sz="4" w:space="0" w:color="000000"/>
            </w:tcBorders>
          </w:tcPr>
          <w:p w14:paraId="3D24F3AE" w14:textId="77777777" w:rsidR="0094168A" w:rsidRPr="005B6722" w:rsidRDefault="0094168A" w:rsidP="00722580">
            <w:pPr>
              <w:spacing w:after="0" w:afterAutospacing="0" w:line="228" w:lineRule="auto"/>
              <w:rPr>
                <w:rFonts w:cs="Times New Roman"/>
                <w:sz w:val="22"/>
                <w:lang w:val="pt-BR"/>
              </w:rPr>
            </w:pPr>
            <w:r>
              <w:rPr>
                <w:rFonts w:eastAsia="Arial" w:cs="Times New Roman"/>
                <w:sz w:val="22"/>
                <w:lang w:val="hr"/>
              </w:rPr>
              <w:t xml:space="preserve">Biološka procjena medicinskih proizvoda – 12. dio: Priprema uzoraka i referentni materijali </w:t>
            </w:r>
          </w:p>
        </w:tc>
      </w:tr>
      <w:tr w:rsidR="00586415" w:rsidRPr="009461CC" w14:paraId="5BDB3E6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02AE4CB5" w14:textId="75B11B14" w:rsidR="00586415" w:rsidRPr="009461CC" w:rsidRDefault="00522664" w:rsidP="00722580">
            <w:pPr>
              <w:spacing w:after="0" w:afterAutospacing="0" w:line="228" w:lineRule="auto"/>
              <w:rPr>
                <w:rFonts w:eastAsia="Arial" w:cs="Times New Roman"/>
                <w:bCs/>
                <w:sz w:val="22"/>
              </w:rPr>
            </w:pPr>
            <w:r>
              <w:rPr>
                <w:rFonts w:eastAsia="Arial" w:cs="Times New Roman"/>
                <w:sz w:val="22"/>
                <w:lang w:val="hr"/>
              </w:rPr>
              <w:t>EN ISO 10993-17:2023</w:t>
            </w:r>
          </w:p>
        </w:tc>
        <w:tc>
          <w:tcPr>
            <w:tcW w:w="3871" w:type="pct"/>
            <w:tcBorders>
              <w:top w:val="single" w:sz="4" w:space="0" w:color="000000"/>
              <w:left w:val="single" w:sz="4" w:space="0" w:color="000000"/>
              <w:bottom w:val="single" w:sz="4" w:space="0" w:color="000000"/>
              <w:right w:val="single" w:sz="4" w:space="0" w:color="000000"/>
            </w:tcBorders>
          </w:tcPr>
          <w:p w14:paraId="73C15B5F" w14:textId="1691BD78" w:rsidR="00586415" w:rsidRPr="009461CC" w:rsidRDefault="00586415" w:rsidP="00722580">
            <w:pPr>
              <w:spacing w:after="0" w:afterAutospacing="0" w:line="228" w:lineRule="auto"/>
              <w:rPr>
                <w:rFonts w:eastAsia="Arial" w:cs="Times New Roman"/>
                <w:sz w:val="22"/>
              </w:rPr>
            </w:pPr>
            <w:r>
              <w:rPr>
                <w:rFonts w:eastAsia="Arial" w:cs="Times New Roman"/>
                <w:sz w:val="22"/>
                <w:lang w:val="hr"/>
              </w:rPr>
              <w:t>Procjena toksikološkog rizika sastavnih dijelova medicinskog proizvoda</w:t>
            </w:r>
          </w:p>
        </w:tc>
      </w:tr>
      <w:tr w:rsidR="00586415" w:rsidRPr="009461CC" w14:paraId="14855AA5" w14:textId="77777777" w:rsidTr="00293453">
        <w:tc>
          <w:tcPr>
            <w:tcW w:w="5000" w:type="pct"/>
            <w:gridSpan w:val="2"/>
            <w:shd w:val="clear" w:color="auto" w:fill="E7E6E6" w:themeFill="background2"/>
          </w:tcPr>
          <w:p w14:paraId="781D3BA0" w14:textId="77777777" w:rsidR="00586415" w:rsidRPr="009461CC" w:rsidRDefault="00586415" w:rsidP="00722580">
            <w:pPr>
              <w:spacing w:after="0" w:afterAutospacing="0" w:line="228" w:lineRule="auto"/>
              <w:jc w:val="center"/>
              <w:rPr>
                <w:rFonts w:cs="Times New Roman"/>
                <w:sz w:val="22"/>
              </w:rPr>
            </w:pPr>
            <w:r>
              <w:rPr>
                <w:rFonts w:eastAsia="Arial" w:cs="Times New Roman"/>
                <w:b/>
                <w:bCs/>
                <w:sz w:val="22"/>
                <w:lang w:val="hr"/>
              </w:rPr>
              <w:t>Klinička procjena</w:t>
            </w:r>
          </w:p>
        </w:tc>
      </w:tr>
      <w:tr w:rsidR="00586415" w:rsidRPr="009461CC" w14:paraId="1F26EC64" w14:textId="77777777" w:rsidTr="00293453">
        <w:tc>
          <w:tcPr>
            <w:tcW w:w="1129" w:type="pct"/>
          </w:tcPr>
          <w:p w14:paraId="5AF3269C" w14:textId="77777777" w:rsidR="00586415" w:rsidRPr="009461CC" w:rsidRDefault="00586415" w:rsidP="00722580">
            <w:pPr>
              <w:spacing w:after="0" w:afterAutospacing="0" w:line="228" w:lineRule="auto"/>
              <w:rPr>
                <w:rFonts w:cs="Times New Roman"/>
                <w:bCs/>
                <w:sz w:val="22"/>
              </w:rPr>
            </w:pPr>
            <w:r>
              <w:rPr>
                <w:rFonts w:eastAsia="Arial" w:cs="Times New Roman"/>
                <w:sz w:val="22"/>
                <w:lang w:val="hr"/>
              </w:rPr>
              <w:t>MEDDEV 2.7/1 Rev4</w:t>
            </w:r>
          </w:p>
        </w:tc>
        <w:tc>
          <w:tcPr>
            <w:tcW w:w="3871" w:type="pct"/>
          </w:tcPr>
          <w:p w14:paraId="3D1D1121" w14:textId="77777777" w:rsidR="00586415" w:rsidRPr="009461CC" w:rsidRDefault="00586415" w:rsidP="00722580">
            <w:pPr>
              <w:spacing w:after="0" w:afterAutospacing="0" w:line="228" w:lineRule="auto"/>
              <w:rPr>
                <w:rFonts w:cs="Times New Roman"/>
                <w:sz w:val="22"/>
              </w:rPr>
            </w:pPr>
            <w:r>
              <w:rPr>
                <w:rFonts w:cs="Times New Roman"/>
                <w:sz w:val="22"/>
                <w:lang w:val="hr"/>
              </w:rPr>
              <w:t>Klinička evaluacija: Vodič za proizvođače i prijavljena tijela</w:t>
            </w:r>
          </w:p>
        </w:tc>
      </w:tr>
      <w:tr w:rsidR="00586415" w:rsidRPr="009461CC" w14:paraId="59A5C57A" w14:textId="77777777" w:rsidTr="00293453">
        <w:tc>
          <w:tcPr>
            <w:tcW w:w="5000" w:type="pct"/>
            <w:gridSpan w:val="2"/>
            <w:shd w:val="clear" w:color="auto" w:fill="E7E6E6" w:themeFill="background2"/>
          </w:tcPr>
          <w:p w14:paraId="33478428" w14:textId="77777777" w:rsidR="00586415" w:rsidRPr="009461CC" w:rsidRDefault="00586415" w:rsidP="00722580">
            <w:pPr>
              <w:spacing w:after="0" w:afterAutospacing="0" w:line="228" w:lineRule="auto"/>
              <w:jc w:val="center"/>
              <w:rPr>
                <w:rFonts w:cs="Times New Roman"/>
                <w:sz w:val="22"/>
              </w:rPr>
            </w:pPr>
            <w:r>
              <w:rPr>
                <w:rFonts w:eastAsia="Arial" w:cs="Times New Roman"/>
                <w:b/>
                <w:bCs/>
                <w:sz w:val="22"/>
                <w:lang w:val="hr"/>
              </w:rPr>
              <w:t>Kontrola dizajna</w:t>
            </w:r>
          </w:p>
        </w:tc>
      </w:tr>
      <w:tr w:rsidR="00586415" w:rsidRPr="009461CC" w14:paraId="54F49ECD" w14:textId="77777777" w:rsidTr="00293453">
        <w:tc>
          <w:tcPr>
            <w:tcW w:w="1129" w:type="pct"/>
          </w:tcPr>
          <w:p w14:paraId="4795B615" w14:textId="77777777" w:rsidR="00586415" w:rsidRPr="009461CC" w:rsidRDefault="00586415" w:rsidP="00722580">
            <w:pPr>
              <w:spacing w:after="0" w:afterAutospacing="0" w:line="228" w:lineRule="auto"/>
              <w:rPr>
                <w:rFonts w:cs="Times New Roman"/>
                <w:sz w:val="22"/>
              </w:rPr>
            </w:pPr>
            <w:r>
              <w:rPr>
                <w:rFonts w:cs="Times New Roman"/>
                <w:sz w:val="22"/>
                <w:lang w:val="hr"/>
              </w:rPr>
              <w:t>EN ISO 14971</w:t>
            </w:r>
          </w:p>
        </w:tc>
        <w:tc>
          <w:tcPr>
            <w:tcW w:w="3871" w:type="pct"/>
          </w:tcPr>
          <w:p w14:paraId="55771886" w14:textId="77777777" w:rsidR="00586415" w:rsidRPr="009461CC" w:rsidRDefault="00586415" w:rsidP="00722580">
            <w:pPr>
              <w:spacing w:after="0" w:afterAutospacing="0" w:line="228" w:lineRule="auto"/>
              <w:rPr>
                <w:rFonts w:cs="Times New Roman"/>
                <w:sz w:val="22"/>
              </w:rPr>
            </w:pPr>
            <w:r>
              <w:rPr>
                <w:rFonts w:cs="Times New Roman"/>
                <w:sz w:val="22"/>
                <w:lang w:val="hr"/>
              </w:rPr>
              <w:t>Medicinski proizvodi – Primjena upravljanja rizikom za medicinske proizvode</w:t>
            </w:r>
          </w:p>
        </w:tc>
      </w:tr>
      <w:tr w:rsidR="00586415" w:rsidRPr="009461CC" w14:paraId="48F71F50" w14:textId="77777777" w:rsidTr="00293453">
        <w:tc>
          <w:tcPr>
            <w:tcW w:w="1129" w:type="pct"/>
          </w:tcPr>
          <w:p w14:paraId="477CFB4F" w14:textId="77777777" w:rsidR="00586415" w:rsidRPr="009461CC" w:rsidRDefault="00586415" w:rsidP="00722580">
            <w:pPr>
              <w:spacing w:after="0" w:afterAutospacing="0" w:line="228" w:lineRule="auto"/>
              <w:jc w:val="center"/>
              <w:rPr>
                <w:rFonts w:cs="Times New Roman"/>
                <w:sz w:val="22"/>
              </w:rPr>
            </w:pPr>
          </w:p>
        </w:tc>
        <w:tc>
          <w:tcPr>
            <w:tcW w:w="3871" w:type="pct"/>
          </w:tcPr>
          <w:p w14:paraId="20C1E190" w14:textId="77777777" w:rsidR="00586415" w:rsidRPr="009461CC" w:rsidRDefault="00586415" w:rsidP="00722580">
            <w:pPr>
              <w:spacing w:after="0" w:afterAutospacing="0" w:line="228" w:lineRule="auto"/>
              <w:rPr>
                <w:rFonts w:cs="Times New Roman"/>
                <w:sz w:val="22"/>
              </w:rPr>
            </w:pPr>
          </w:p>
        </w:tc>
      </w:tr>
      <w:tr w:rsidR="00586415" w:rsidRPr="009461CC" w14:paraId="0064DEC6" w14:textId="77777777" w:rsidTr="00293453">
        <w:tc>
          <w:tcPr>
            <w:tcW w:w="5000" w:type="pct"/>
            <w:gridSpan w:val="2"/>
            <w:shd w:val="clear" w:color="auto" w:fill="E7E6E6" w:themeFill="background2"/>
          </w:tcPr>
          <w:p w14:paraId="4B791D46" w14:textId="77777777" w:rsidR="00586415" w:rsidRPr="009461CC" w:rsidRDefault="00586415" w:rsidP="00722580">
            <w:pPr>
              <w:spacing w:after="0" w:afterAutospacing="0" w:line="228" w:lineRule="auto"/>
              <w:jc w:val="center"/>
              <w:rPr>
                <w:rFonts w:cs="Times New Roman"/>
                <w:b/>
                <w:bCs/>
                <w:sz w:val="22"/>
              </w:rPr>
            </w:pPr>
            <w:r>
              <w:rPr>
                <w:rFonts w:cs="Times New Roman"/>
                <w:b/>
                <w:bCs/>
                <w:sz w:val="22"/>
                <w:lang w:val="hr"/>
              </w:rPr>
              <w:t>Uporabljivost</w:t>
            </w:r>
          </w:p>
        </w:tc>
      </w:tr>
      <w:tr w:rsidR="00586415" w:rsidRPr="009461CC" w14:paraId="29A23DD2" w14:textId="77777777" w:rsidTr="00293453">
        <w:tc>
          <w:tcPr>
            <w:tcW w:w="1129" w:type="pct"/>
          </w:tcPr>
          <w:p w14:paraId="38C30B53" w14:textId="77777777" w:rsidR="00586415" w:rsidRPr="009461CC" w:rsidRDefault="00586415" w:rsidP="00722580">
            <w:pPr>
              <w:spacing w:after="0" w:afterAutospacing="0" w:line="228" w:lineRule="auto"/>
              <w:rPr>
                <w:rFonts w:cs="Times New Roman"/>
                <w:sz w:val="22"/>
              </w:rPr>
            </w:pPr>
            <w:r>
              <w:rPr>
                <w:rFonts w:cs="Times New Roman"/>
                <w:sz w:val="22"/>
                <w:lang w:val="hr"/>
              </w:rPr>
              <w:t>IEC 62366-1:2015 i</w:t>
            </w:r>
          </w:p>
          <w:p w14:paraId="2D964E3D" w14:textId="77777777" w:rsidR="00586415" w:rsidRPr="009461CC" w:rsidRDefault="00586415" w:rsidP="00722580">
            <w:pPr>
              <w:spacing w:after="0" w:afterAutospacing="0" w:line="228" w:lineRule="auto"/>
              <w:rPr>
                <w:rFonts w:cs="Times New Roman"/>
                <w:sz w:val="22"/>
              </w:rPr>
            </w:pPr>
            <w:r>
              <w:rPr>
                <w:rFonts w:cs="Times New Roman"/>
                <w:sz w:val="22"/>
                <w:lang w:val="hr"/>
              </w:rPr>
              <w:lastRenderedPageBreak/>
              <w:t>IEC 62366-1:2015/ COR1:2016</w:t>
            </w:r>
          </w:p>
        </w:tc>
        <w:tc>
          <w:tcPr>
            <w:tcW w:w="3871" w:type="pct"/>
          </w:tcPr>
          <w:p w14:paraId="7A444F47" w14:textId="77777777" w:rsidR="00586415" w:rsidRPr="009461CC" w:rsidRDefault="00586415" w:rsidP="00722580">
            <w:pPr>
              <w:spacing w:after="0" w:afterAutospacing="0" w:line="228" w:lineRule="auto"/>
              <w:rPr>
                <w:rFonts w:cs="Times New Roman"/>
                <w:sz w:val="22"/>
              </w:rPr>
            </w:pPr>
            <w:r>
              <w:rPr>
                <w:rFonts w:cs="Times New Roman"/>
                <w:sz w:val="22"/>
                <w:lang w:val="hr"/>
              </w:rPr>
              <w:lastRenderedPageBreak/>
              <w:t>Medicinski proizvodi – Primjena inženjerstva uporabljivosti za medicinske proizvode</w:t>
            </w:r>
          </w:p>
        </w:tc>
      </w:tr>
      <w:tr w:rsidR="00586415" w:rsidRPr="009461CC" w14:paraId="075E02B3" w14:textId="77777777" w:rsidTr="00293453">
        <w:tc>
          <w:tcPr>
            <w:tcW w:w="5000" w:type="pct"/>
            <w:gridSpan w:val="2"/>
            <w:shd w:val="clear" w:color="auto" w:fill="E7E6E6" w:themeFill="background2"/>
          </w:tcPr>
          <w:p w14:paraId="502A71D6" w14:textId="77777777" w:rsidR="00586415" w:rsidRPr="009461CC" w:rsidRDefault="00586415" w:rsidP="00722580">
            <w:pPr>
              <w:spacing w:after="0" w:afterAutospacing="0" w:line="228" w:lineRule="auto"/>
              <w:jc w:val="center"/>
              <w:rPr>
                <w:rFonts w:cs="Times New Roman"/>
                <w:b/>
                <w:bCs/>
                <w:sz w:val="22"/>
              </w:rPr>
            </w:pPr>
            <w:r>
              <w:rPr>
                <w:rFonts w:cs="Times New Roman"/>
                <w:b/>
                <w:bCs/>
                <w:sz w:val="22"/>
                <w:lang w:val="hr"/>
              </w:rPr>
              <w:t>Pakiranje</w:t>
            </w:r>
          </w:p>
        </w:tc>
      </w:tr>
      <w:tr w:rsidR="00586415" w:rsidRPr="00973C91" w14:paraId="0144C9E3"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C9A4C58" w14:textId="77777777" w:rsidR="00586415" w:rsidRPr="009461CC" w:rsidRDefault="00586415" w:rsidP="00722580">
            <w:pPr>
              <w:spacing w:after="0" w:afterAutospacing="0" w:line="228" w:lineRule="auto"/>
              <w:rPr>
                <w:rFonts w:cs="Times New Roman"/>
                <w:bCs/>
                <w:sz w:val="22"/>
              </w:rPr>
            </w:pPr>
            <w:r>
              <w:rPr>
                <w:rFonts w:eastAsia="Arial" w:cs="Times New Roman"/>
                <w:sz w:val="22"/>
                <w:lang w:val="hr"/>
              </w:rPr>
              <w:t>EN ISO 11607-1:2020</w:t>
            </w:r>
          </w:p>
        </w:tc>
        <w:tc>
          <w:tcPr>
            <w:tcW w:w="3871" w:type="pct"/>
            <w:tcBorders>
              <w:top w:val="single" w:sz="4" w:space="0" w:color="000000"/>
              <w:left w:val="single" w:sz="4" w:space="0" w:color="000000"/>
              <w:bottom w:val="single" w:sz="4" w:space="0" w:color="000000"/>
              <w:right w:val="single" w:sz="4" w:space="0" w:color="auto"/>
            </w:tcBorders>
          </w:tcPr>
          <w:p w14:paraId="066F921B" w14:textId="77777777" w:rsidR="00586415" w:rsidRPr="00722580" w:rsidRDefault="00586415" w:rsidP="00722580">
            <w:pPr>
              <w:spacing w:after="0" w:afterAutospacing="0" w:line="228" w:lineRule="auto"/>
              <w:rPr>
                <w:rFonts w:cs="Times New Roman"/>
                <w:sz w:val="22"/>
                <w:lang w:val="pl-PL"/>
              </w:rPr>
            </w:pPr>
            <w:r>
              <w:rPr>
                <w:rFonts w:eastAsia="Arial" w:cs="Times New Roman"/>
                <w:sz w:val="22"/>
                <w:lang w:val="hr"/>
              </w:rPr>
              <w:t xml:space="preserve">Pakiranje za završno sterilizirane medicinske proizvode. 1. dio: Zahtjevi za materijale, sustave sterilne barijere i sustave pakiranja. </w:t>
            </w:r>
          </w:p>
        </w:tc>
      </w:tr>
      <w:tr w:rsidR="00586415" w:rsidRPr="00973C91" w14:paraId="32D78976"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4701C628" w14:textId="77777777" w:rsidR="00586415" w:rsidRPr="009461CC" w:rsidRDefault="00586415" w:rsidP="00722580">
            <w:pPr>
              <w:spacing w:after="16" w:afterAutospacing="0" w:line="228" w:lineRule="auto"/>
              <w:ind w:left="1"/>
              <w:rPr>
                <w:rFonts w:cs="Times New Roman"/>
                <w:bCs/>
                <w:sz w:val="22"/>
              </w:rPr>
            </w:pPr>
            <w:r>
              <w:rPr>
                <w:rFonts w:eastAsia="Arial" w:cs="Times New Roman"/>
                <w:sz w:val="22"/>
                <w:lang w:val="hr"/>
              </w:rPr>
              <w:t>EN ISO 11607-2:2020</w:t>
            </w:r>
          </w:p>
          <w:p w14:paraId="2A1BCB52" w14:textId="77777777" w:rsidR="00586415" w:rsidRPr="009461CC" w:rsidRDefault="00586415" w:rsidP="00722580">
            <w:pPr>
              <w:spacing w:after="0" w:afterAutospacing="0" w:line="228"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0753BF1E" w14:textId="77777777" w:rsidR="00586415" w:rsidRPr="00722580" w:rsidRDefault="00586415" w:rsidP="00722580">
            <w:pPr>
              <w:spacing w:after="0" w:afterAutospacing="0" w:line="228" w:lineRule="auto"/>
              <w:rPr>
                <w:rFonts w:cs="Times New Roman"/>
                <w:sz w:val="22"/>
                <w:lang w:val="pl-PL"/>
              </w:rPr>
            </w:pPr>
            <w:r>
              <w:rPr>
                <w:rFonts w:eastAsia="Arial" w:cs="Times New Roman"/>
                <w:sz w:val="22"/>
                <w:lang w:val="hr"/>
              </w:rPr>
              <w:t xml:space="preserve">Pakiranje za završno sterilizirane medicinske proizvode. 2. dio: Zahtjevi za oblikovanje, lijepljenje i postupke sastavljanja </w:t>
            </w:r>
          </w:p>
        </w:tc>
      </w:tr>
      <w:tr w:rsidR="00586415" w:rsidRPr="009D54AB" w14:paraId="1D891E6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1C14A1D" w14:textId="77777777" w:rsidR="00586415" w:rsidRPr="009461CC" w:rsidRDefault="00586415" w:rsidP="00722580">
            <w:pPr>
              <w:spacing w:after="14" w:afterAutospacing="0" w:line="228" w:lineRule="auto"/>
              <w:ind w:left="1"/>
              <w:rPr>
                <w:rFonts w:cs="Times New Roman"/>
                <w:bCs/>
                <w:sz w:val="22"/>
              </w:rPr>
            </w:pPr>
            <w:r>
              <w:rPr>
                <w:rFonts w:eastAsia="Arial" w:cs="Times New Roman"/>
                <w:sz w:val="22"/>
                <w:lang w:val="hr"/>
              </w:rPr>
              <w:t>EN ISO 2233:2001</w:t>
            </w:r>
          </w:p>
          <w:p w14:paraId="3F44F0A2" w14:textId="77777777" w:rsidR="00586415" w:rsidRPr="009461CC" w:rsidRDefault="00586415" w:rsidP="00722580">
            <w:pPr>
              <w:spacing w:after="0" w:afterAutospacing="0" w:line="228" w:lineRule="auto"/>
              <w:rPr>
                <w:rFonts w:cs="Times New Roman"/>
                <w:bCs/>
                <w:sz w:val="22"/>
              </w:rPr>
            </w:pPr>
          </w:p>
        </w:tc>
        <w:tc>
          <w:tcPr>
            <w:tcW w:w="3871" w:type="pct"/>
            <w:tcBorders>
              <w:top w:val="single" w:sz="4" w:space="0" w:color="000000"/>
              <w:left w:val="single" w:sz="4" w:space="0" w:color="000000"/>
              <w:bottom w:val="single" w:sz="4" w:space="0" w:color="000000"/>
              <w:right w:val="single" w:sz="4" w:space="0" w:color="000000"/>
            </w:tcBorders>
          </w:tcPr>
          <w:p w14:paraId="52D0563C" w14:textId="77777777" w:rsidR="00586415" w:rsidRPr="005B6722" w:rsidRDefault="00586415" w:rsidP="00722580">
            <w:pPr>
              <w:spacing w:after="0" w:afterAutospacing="0" w:line="228" w:lineRule="auto"/>
              <w:rPr>
                <w:rFonts w:cs="Times New Roman"/>
                <w:sz w:val="22"/>
                <w:lang w:val="pt-BR"/>
              </w:rPr>
            </w:pPr>
            <w:r>
              <w:rPr>
                <w:rFonts w:eastAsia="Arial" w:cs="Times New Roman"/>
                <w:sz w:val="22"/>
                <w:lang w:val="hr"/>
              </w:rPr>
              <w:t xml:space="preserve">Pakiranje -- Potpuna, napunjena transportna pakiranja i jedinični tereti -- Kondicioniranje za ispitivanje </w:t>
            </w:r>
          </w:p>
        </w:tc>
      </w:tr>
      <w:tr w:rsidR="00586415" w:rsidRPr="009D54AB" w14:paraId="7DFBA781"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06030C2" w14:textId="77777777" w:rsidR="00586415" w:rsidRPr="009461CC" w:rsidRDefault="00586415" w:rsidP="00722580">
            <w:pPr>
              <w:spacing w:after="0" w:afterAutospacing="0" w:line="228" w:lineRule="auto"/>
              <w:rPr>
                <w:rFonts w:cs="Times New Roman"/>
                <w:bCs/>
                <w:sz w:val="22"/>
              </w:rPr>
            </w:pPr>
            <w:hyperlink r:id="rId14">
              <w:r>
                <w:rPr>
                  <w:rFonts w:eastAsia="Arial" w:cs="Times New Roman"/>
                  <w:sz w:val="22"/>
                  <w:lang w:val="hr"/>
                </w:rPr>
                <w:t xml:space="preserve">ASTM D4169 </w:t>
              </w:r>
            </w:hyperlink>
            <w:r>
              <w:rPr>
                <w:rFonts w:eastAsia="Arial" w:cs="Times New Roman"/>
                <w:sz w:val="22"/>
                <w:lang w:val="hr"/>
              </w:rPr>
              <w:t>:2022</w:t>
            </w:r>
            <w:hyperlink r:id="rId15">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53B460F" w14:textId="77777777" w:rsidR="00586415" w:rsidRPr="005B6722" w:rsidRDefault="00586415" w:rsidP="00722580">
            <w:pPr>
              <w:spacing w:after="0" w:afterAutospacing="0" w:line="228" w:lineRule="auto"/>
              <w:rPr>
                <w:rFonts w:cs="Times New Roman"/>
                <w:sz w:val="22"/>
                <w:lang w:val="pt-BR"/>
              </w:rPr>
            </w:pPr>
            <w:r>
              <w:rPr>
                <w:rFonts w:eastAsia="Arial" w:cs="Times New Roman"/>
                <w:sz w:val="22"/>
                <w:lang w:val="hr"/>
              </w:rPr>
              <w:t xml:space="preserve">Standardna praksa za ispitivanje učinkovitosti prijevoznih spremnika i sustava – </w:t>
            </w:r>
          </w:p>
        </w:tc>
      </w:tr>
      <w:tr w:rsidR="00586415" w:rsidRPr="009461CC" w14:paraId="1A9015DB"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3A55FC05" w14:textId="77777777" w:rsidR="00586415" w:rsidRPr="009461CC" w:rsidRDefault="00586415" w:rsidP="00722580">
            <w:pPr>
              <w:spacing w:after="0" w:afterAutospacing="0" w:line="228" w:lineRule="auto"/>
              <w:rPr>
                <w:rFonts w:cs="Times New Roman"/>
                <w:bCs/>
                <w:sz w:val="22"/>
              </w:rPr>
            </w:pPr>
            <w:hyperlink r:id="rId16">
              <w:r>
                <w:rPr>
                  <w:rFonts w:eastAsia="Arial" w:cs="Times New Roman"/>
                  <w:sz w:val="22"/>
                  <w:lang w:val="hr"/>
                </w:rPr>
                <w:t xml:space="preserve">ASTM F2096 </w:t>
              </w:r>
            </w:hyperlink>
            <w:hyperlink r:id="rId17">
              <w:r>
                <w:rPr>
                  <w:rFonts w:eastAsia="Arial" w:cs="Times New Roman"/>
                  <w:sz w:val="22"/>
                  <w:lang w:val="hr"/>
                </w:rPr>
                <w:t xml:space="preserve">– </w:t>
              </w:r>
            </w:hyperlink>
            <w:r>
              <w:rPr>
                <w:rFonts w:eastAsia="Arial" w:cs="Times New Roman"/>
                <w:sz w:val="22"/>
                <w:lang w:val="hr"/>
              </w:rPr>
              <w:t>20</w:t>
            </w:r>
            <w:hyperlink r:id="rId18">
              <w:r>
                <w:rPr>
                  <w:rFonts w:eastAsia="Arial" w:cs="Times New Roman"/>
                  <w:sz w:val="22"/>
                  <w:lang w:val="hr"/>
                </w:rPr>
                <w:t xml:space="preserve">11 (R2019) </w:t>
              </w:r>
            </w:hyperlink>
            <w:hyperlink r:id="rId19">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0FB224E9" w14:textId="77777777" w:rsidR="00586415" w:rsidRPr="005B6722" w:rsidRDefault="00586415" w:rsidP="00722580">
            <w:pPr>
              <w:spacing w:after="14" w:afterAutospacing="0" w:line="228" w:lineRule="auto"/>
              <w:rPr>
                <w:rFonts w:cs="Times New Roman"/>
                <w:sz w:val="22"/>
                <w:lang w:val="pt-BR"/>
              </w:rPr>
            </w:pPr>
            <w:r>
              <w:rPr>
                <w:rFonts w:eastAsia="Arial" w:cs="Times New Roman"/>
                <w:sz w:val="22"/>
                <w:lang w:val="hr"/>
              </w:rPr>
              <w:t xml:space="preserve">Standardna metoda ispitivanja za otkrivanje velikih curenja u </w:t>
            </w:r>
          </w:p>
          <w:p w14:paraId="403EB0FF" w14:textId="77777777" w:rsidR="00586415" w:rsidRPr="005B6722" w:rsidRDefault="00586415" w:rsidP="00722580">
            <w:pPr>
              <w:spacing w:after="16" w:afterAutospacing="0" w:line="228" w:lineRule="auto"/>
              <w:rPr>
                <w:rFonts w:cs="Times New Roman"/>
                <w:sz w:val="22"/>
                <w:lang w:val="pt-BR"/>
              </w:rPr>
            </w:pPr>
            <w:r>
              <w:rPr>
                <w:rFonts w:eastAsia="Arial" w:cs="Times New Roman"/>
                <w:sz w:val="22"/>
                <w:lang w:val="hr"/>
              </w:rPr>
              <w:t xml:space="preserve">Medicinskom pakiranju unutarnjim tlakom (ispitivanje mjehurića) </w:t>
            </w:r>
          </w:p>
          <w:p w14:paraId="401902E0" w14:textId="77777777" w:rsidR="00586415" w:rsidRPr="009461CC" w:rsidRDefault="00586415" w:rsidP="00722580">
            <w:pPr>
              <w:spacing w:after="0" w:afterAutospacing="0" w:line="228" w:lineRule="auto"/>
              <w:rPr>
                <w:rFonts w:cs="Times New Roman"/>
                <w:sz w:val="22"/>
              </w:rPr>
            </w:pPr>
            <w:r>
              <w:rPr>
                <w:rFonts w:eastAsia="Arial" w:cs="Times New Roman"/>
                <w:sz w:val="22"/>
                <w:lang w:val="hr"/>
              </w:rPr>
              <w:t xml:space="preserve">– ASTM F 2096-11 (2019) </w:t>
            </w:r>
          </w:p>
        </w:tc>
      </w:tr>
      <w:tr w:rsidR="00586415" w:rsidRPr="009D54AB" w14:paraId="6A8F5AF4"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24A33B2B" w14:textId="77777777" w:rsidR="00586415" w:rsidRPr="009461CC" w:rsidRDefault="00586415" w:rsidP="00722580">
            <w:pPr>
              <w:spacing w:after="0" w:afterAutospacing="0" w:line="228" w:lineRule="auto"/>
              <w:rPr>
                <w:rFonts w:cs="Times New Roman"/>
                <w:bCs/>
                <w:sz w:val="22"/>
              </w:rPr>
            </w:pPr>
            <w:hyperlink r:id="rId20">
              <w:r>
                <w:rPr>
                  <w:rFonts w:eastAsia="Arial" w:cs="Times New Roman"/>
                  <w:sz w:val="22"/>
                  <w:lang w:val="hr"/>
                </w:rPr>
                <w:t xml:space="preserve">ASTM F1929 </w:t>
              </w:r>
            </w:hyperlink>
            <w:hyperlink r:id="rId21">
              <w:r>
                <w:rPr>
                  <w:rFonts w:eastAsia="Arial" w:cs="Times New Roman"/>
                  <w:sz w:val="22"/>
                  <w:lang w:val="hr"/>
                </w:rPr>
                <w:t xml:space="preserve">– </w:t>
              </w:r>
            </w:hyperlink>
            <w:hyperlink r:id="rId22">
              <w:r>
                <w:rPr>
                  <w:rFonts w:eastAsia="Arial" w:cs="Times New Roman"/>
                  <w:sz w:val="22"/>
                  <w:lang w:val="hr"/>
                </w:rPr>
                <w:t xml:space="preserve">15 </w:t>
              </w:r>
            </w:hyperlink>
            <w:hyperlink r:id="rId23">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25219479" w14:textId="77777777" w:rsidR="00586415" w:rsidRPr="005B6722" w:rsidRDefault="00586415" w:rsidP="00722580">
            <w:pPr>
              <w:spacing w:after="14" w:afterAutospacing="0" w:line="228" w:lineRule="auto"/>
              <w:rPr>
                <w:rFonts w:cs="Times New Roman"/>
                <w:sz w:val="22"/>
                <w:lang w:val="pt-BR"/>
              </w:rPr>
            </w:pPr>
            <w:r>
              <w:rPr>
                <w:rFonts w:eastAsia="Arial" w:cs="Times New Roman"/>
                <w:sz w:val="22"/>
                <w:lang w:val="hr"/>
              </w:rPr>
              <w:t xml:space="preserve">Standardna metoda ispitivanja za otkrivanje curenja brtvi u poroznom </w:t>
            </w:r>
          </w:p>
          <w:p w14:paraId="1449B41C" w14:textId="77777777" w:rsidR="00586415" w:rsidRPr="005B6722" w:rsidRDefault="00586415" w:rsidP="00722580">
            <w:pPr>
              <w:spacing w:after="0" w:afterAutospacing="0" w:line="228" w:lineRule="auto"/>
              <w:rPr>
                <w:rFonts w:cs="Times New Roman"/>
                <w:sz w:val="22"/>
                <w:lang w:val="pt-BR"/>
              </w:rPr>
            </w:pPr>
            <w:r>
              <w:rPr>
                <w:rFonts w:eastAsia="Arial" w:cs="Times New Roman"/>
                <w:sz w:val="22"/>
                <w:lang w:val="hr"/>
              </w:rPr>
              <w:t xml:space="preserve">Medicinskom pakiranju prodiranjem boje – ASTM F 1929 </w:t>
            </w:r>
          </w:p>
        </w:tc>
      </w:tr>
      <w:tr w:rsidR="00586415" w:rsidRPr="009461CC" w14:paraId="5231BAAE"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18A1391B" w14:textId="77777777" w:rsidR="00586415" w:rsidRPr="009461CC" w:rsidRDefault="00586415" w:rsidP="00722580">
            <w:pPr>
              <w:spacing w:after="0" w:afterAutospacing="0" w:line="228" w:lineRule="auto"/>
              <w:rPr>
                <w:rFonts w:cs="Times New Roman"/>
                <w:bCs/>
                <w:sz w:val="22"/>
              </w:rPr>
            </w:pPr>
            <w:hyperlink r:id="rId24">
              <w:r>
                <w:rPr>
                  <w:rFonts w:eastAsia="Arial" w:cs="Times New Roman"/>
                  <w:sz w:val="22"/>
                  <w:lang w:val="hr"/>
                </w:rPr>
                <w:t xml:space="preserve">ASTM F88 / F88M </w:t>
              </w:r>
            </w:hyperlink>
            <w:hyperlink r:id="rId25">
              <w:r>
                <w:rPr>
                  <w:rFonts w:eastAsia="Arial" w:cs="Times New Roman"/>
                  <w:sz w:val="22"/>
                  <w:lang w:val="hr"/>
                </w:rPr>
                <w:t xml:space="preserve">– </w:t>
              </w:r>
            </w:hyperlink>
            <w:r>
              <w:rPr>
                <w:rFonts w:eastAsia="Arial" w:cs="Times New Roman"/>
                <w:sz w:val="22"/>
                <w:lang w:val="hr"/>
              </w:rPr>
              <w:t>2021</w:t>
            </w:r>
            <w:hyperlink r:id="rId26">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000000"/>
            </w:tcBorders>
          </w:tcPr>
          <w:p w14:paraId="7C187AF3" w14:textId="77777777" w:rsidR="00586415" w:rsidRPr="009461CC" w:rsidRDefault="00586415" w:rsidP="00722580">
            <w:pPr>
              <w:spacing w:after="0" w:afterAutospacing="0" w:line="228" w:lineRule="auto"/>
              <w:rPr>
                <w:rFonts w:cs="Times New Roman"/>
                <w:sz w:val="22"/>
              </w:rPr>
            </w:pPr>
            <w:r>
              <w:rPr>
                <w:rFonts w:eastAsia="Arial" w:cs="Times New Roman"/>
                <w:sz w:val="22"/>
                <w:lang w:val="hr"/>
              </w:rPr>
              <w:t xml:space="preserve">Standardna metoda ispitivanja čvrstoće brtve fleksibilnih barijernih materijala – ASTM F88 </w:t>
            </w:r>
          </w:p>
        </w:tc>
      </w:tr>
      <w:tr w:rsidR="00586415" w:rsidRPr="009461CC" w14:paraId="08E5E708" w14:textId="77777777" w:rsidTr="00293453">
        <w:tc>
          <w:tcPr>
            <w:tcW w:w="1129" w:type="pct"/>
            <w:tcBorders>
              <w:top w:val="single" w:sz="4" w:space="0" w:color="000000"/>
              <w:left w:val="single" w:sz="4" w:space="0" w:color="000000"/>
              <w:bottom w:val="single" w:sz="4" w:space="0" w:color="000000"/>
              <w:right w:val="single" w:sz="4" w:space="0" w:color="000000"/>
            </w:tcBorders>
          </w:tcPr>
          <w:p w14:paraId="58D38F88" w14:textId="77777777" w:rsidR="00586415" w:rsidRPr="009461CC" w:rsidRDefault="00586415" w:rsidP="00722580">
            <w:pPr>
              <w:spacing w:after="0" w:afterAutospacing="0" w:line="228" w:lineRule="auto"/>
              <w:rPr>
                <w:rFonts w:cs="Times New Roman"/>
                <w:bCs/>
                <w:sz w:val="22"/>
              </w:rPr>
            </w:pPr>
            <w:hyperlink r:id="rId27">
              <w:r>
                <w:rPr>
                  <w:rFonts w:eastAsia="Arial" w:cs="Times New Roman"/>
                  <w:sz w:val="22"/>
                  <w:lang w:val="hr"/>
                </w:rPr>
                <w:t xml:space="preserve">ASTM F1980 </w:t>
              </w:r>
            </w:hyperlink>
            <w:hyperlink r:id="rId28">
              <w:r>
                <w:rPr>
                  <w:rFonts w:eastAsia="Arial" w:cs="Times New Roman"/>
                  <w:sz w:val="22"/>
                  <w:lang w:val="hr"/>
                </w:rPr>
                <w:t xml:space="preserve">– </w:t>
              </w:r>
            </w:hyperlink>
            <w:r>
              <w:rPr>
                <w:rFonts w:eastAsia="Arial" w:cs="Times New Roman"/>
                <w:sz w:val="22"/>
                <w:lang w:val="hr"/>
              </w:rPr>
              <w:t>2021</w:t>
            </w:r>
            <w:hyperlink r:id="rId29">
              <w:r>
                <w:rPr>
                  <w:rFonts w:eastAsia="Arial" w:cs="Times New Roman"/>
                  <w:sz w:val="22"/>
                  <w:lang w:val="hr"/>
                </w:rPr>
                <w:t xml:space="preserve"> </w:t>
              </w:r>
            </w:hyperlink>
            <w:hyperlink r:id="rId30">
              <w:r>
                <w:rPr>
                  <w:rFonts w:eastAsia="Arial" w:cs="Times New Roman"/>
                  <w:sz w:val="22"/>
                  <w:lang w:val="hr"/>
                </w:rPr>
                <w:t xml:space="preserve"> </w:t>
              </w:r>
            </w:hyperlink>
          </w:p>
        </w:tc>
        <w:tc>
          <w:tcPr>
            <w:tcW w:w="3871" w:type="pct"/>
            <w:tcBorders>
              <w:top w:val="single" w:sz="4" w:space="0" w:color="000000"/>
              <w:left w:val="single" w:sz="4" w:space="0" w:color="000000"/>
              <w:bottom w:val="single" w:sz="4" w:space="0" w:color="000000"/>
              <w:right w:val="single" w:sz="4" w:space="0" w:color="auto"/>
            </w:tcBorders>
          </w:tcPr>
          <w:p w14:paraId="47364AF1" w14:textId="77777777" w:rsidR="00586415" w:rsidRPr="009461CC" w:rsidRDefault="00586415" w:rsidP="00722580">
            <w:pPr>
              <w:spacing w:after="0" w:afterAutospacing="0" w:line="228" w:lineRule="auto"/>
              <w:rPr>
                <w:rFonts w:cs="Times New Roman"/>
                <w:sz w:val="22"/>
              </w:rPr>
            </w:pPr>
            <w:r>
              <w:rPr>
                <w:rFonts w:eastAsia="Arial" w:cs="Times New Roman"/>
                <w:sz w:val="22"/>
                <w:lang w:val="hr"/>
              </w:rPr>
              <w:t xml:space="preserve">Standardni vodič za ubrzano starenje sterilnih barijernih sustava za medicinske proizvode – ASTM F1980 </w:t>
            </w:r>
          </w:p>
        </w:tc>
      </w:tr>
      <w:tr w:rsidR="00586415" w:rsidRPr="009461CC" w14:paraId="0F76587E" w14:textId="77777777" w:rsidTr="00293453">
        <w:tc>
          <w:tcPr>
            <w:tcW w:w="5000" w:type="pct"/>
            <w:gridSpan w:val="2"/>
            <w:shd w:val="clear" w:color="auto" w:fill="E7E6E6" w:themeFill="background2"/>
          </w:tcPr>
          <w:p w14:paraId="76DCCB76" w14:textId="77777777" w:rsidR="00586415" w:rsidRPr="009461CC" w:rsidRDefault="00586415" w:rsidP="00722580">
            <w:pPr>
              <w:spacing w:after="0" w:afterAutospacing="0" w:line="228" w:lineRule="auto"/>
              <w:jc w:val="center"/>
              <w:rPr>
                <w:rFonts w:cs="Times New Roman"/>
                <w:b/>
                <w:bCs/>
                <w:sz w:val="22"/>
              </w:rPr>
            </w:pPr>
            <w:r>
              <w:rPr>
                <w:rFonts w:cs="Times New Roman"/>
                <w:b/>
                <w:bCs/>
                <w:sz w:val="22"/>
                <w:lang w:val="hr"/>
              </w:rPr>
              <w:t>Posttržišno kliničko praćenje</w:t>
            </w:r>
          </w:p>
        </w:tc>
      </w:tr>
      <w:tr w:rsidR="00586415" w:rsidRPr="009461CC" w14:paraId="72BDA171" w14:textId="77777777" w:rsidTr="00293453">
        <w:tc>
          <w:tcPr>
            <w:tcW w:w="1129" w:type="pct"/>
          </w:tcPr>
          <w:p w14:paraId="4A2D9F88" w14:textId="77777777" w:rsidR="00586415" w:rsidRPr="009461CC" w:rsidRDefault="00586415" w:rsidP="00722580">
            <w:pPr>
              <w:spacing w:after="0" w:afterAutospacing="0" w:line="228" w:lineRule="auto"/>
              <w:jc w:val="center"/>
              <w:rPr>
                <w:rFonts w:cs="Times New Roman"/>
                <w:sz w:val="22"/>
              </w:rPr>
            </w:pPr>
            <w:r>
              <w:rPr>
                <w:rFonts w:cs="Times New Roman"/>
                <w:sz w:val="22"/>
                <w:lang w:val="hr"/>
              </w:rPr>
              <w:t>MEDDEV 2.12/2 Rev2</w:t>
            </w:r>
          </w:p>
        </w:tc>
        <w:tc>
          <w:tcPr>
            <w:tcW w:w="3871" w:type="pct"/>
          </w:tcPr>
          <w:p w14:paraId="534E025E" w14:textId="77777777" w:rsidR="00586415" w:rsidRPr="009461CC" w:rsidRDefault="00586415" w:rsidP="00722580">
            <w:pPr>
              <w:spacing w:after="0" w:afterAutospacing="0" w:line="228" w:lineRule="auto"/>
              <w:rPr>
                <w:rFonts w:cs="Times New Roman"/>
                <w:sz w:val="22"/>
              </w:rPr>
            </w:pPr>
            <w:r>
              <w:rPr>
                <w:rFonts w:cs="Times New Roman"/>
                <w:sz w:val="22"/>
                <w:lang w:val="hr"/>
              </w:rPr>
              <w:t>Istraživanja posttržišnog kliničkog praćenja</w:t>
            </w:r>
          </w:p>
        </w:tc>
      </w:tr>
      <w:tr w:rsidR="00586415" w:rsidRPr="009461CC" w14:paraId="1CA6A5FC" w14:textId="77777777" w:rsidTr="00293453">
        <w:tc>
          <w:tcPr>
            <w:tcW w:w="5000" w:type="pct"/>
            <w:gridSpan w:val="2"/>
            <w:shd w:val="clear" w:color="auto" w:fill="E7E6E6" w:themeFill="background2"/>
          </w:tcPr>
          <w:p w14:paraId="6FE76F53" w14:textId="77777777" w:rsidR="00586415" w:rsidRPr="009461CC" w:rsidRDefault="00586415" w:rsidP="00722580">
            <w:pPr>
              <w:spacing w:after="0" w:afterAutospacing="0" w:line="228" w:lineRule="auto"/>
              <w:jc w:val="center"/>
              <w:rPr>
                <w:rFonts w:cs="Times New Roman"/>
                <w:b/>
                <w:bCs/>
                <w:sz w:val="22"/>
              </w:rPr>
            </w:pPr>
            <w:r>
              <w:rPr>
                <w:rFonts w:cs="Times New Roman"/>
                <w:b/>
                <w:bCs/>
                <w:sz w:val="22"/>
                <w:lang w:val="hr"/>
              </w:rPr>
              <w:t>Vigilancija</w:t>
            </w:r>
          </w:p>
        </w:tc>
      </w:tr>
      <w:tr w:rsidR="00586415" w:rsidRPr="009D54AB" w14:paraId="577ABEC8" w14:textId="77777777" w:rsidTr="00293453">
        <w:tc>
          <w:tcPr>
            <w:tcW w:w="1129" w:type="pct"/>
          </w:tcPr>
          <w:p w14:paraId="403A7E80" w14:textId="77777777" w:rsidR="00586415" w:rsidRPr="009461CC" w:rsidRDefault="00586415" w:rsidP="00722580">
            <w:pPr>
              <w:spacing w:after="0" w:afterAutospacing="0" w:line="228" w:lineRule="auto"/>
              <w:jc w:val="center"/>
              <w:rPr>
                <w:rFonts w:cs="Times New Roman"/>
                <w:sz w:val="22"/>
              </w:rPr>
            </w:pPr>
            <w:r>
              <w:rPr>
                <w:rFonts w:cs="Times New Roman"/>
                <w:sz w:val="22"/>
                <w:lang w:val="hr"/>
              </w:rPr>
              <w:t>MEDDEV 2.12/1 Rev8</w:t>
            </w:r>
          </w:p>
        </w:tc>
        <w:tc>
          <w:tcPr>
            <w:tcW w:w="3871" w:type="pct"/>
          </w:tcPr>
          <w:p w14:paraId="1F13D90E" w14:textId="77777777" w:rsidR="00586415" w:rsidRPr="005B6722" w:rsidRDefault="00586415" w:rsidP="00722580">
            <w:pPr>
              <w:spacing w:after="0" w:afterAutospacing="0" w:line="228" w:lineRule="auto"/>
              <w:rPr>
                <w:rFonts w:cs="Times New Roman"/>
                <w:sz w:val="22"/>
                <w:lang w:val="pt-BR"/>
              </w:rPr>
            </w:pPr>
            <w:r>
              <w:rPr>
                <w:rFonts w:cs="Times New Roman"/>
                <w:sz w:val="22"/>
                <w:lang w:val="hr"/>
              </w:rPr>
              <w:t>Smjernice za sustav vigilancije medicinskih proizvoda</w:t>
            </w:r>
          </w:p>
        </w:tc>
      </w:tr>
    </w:tbl>
    <w:p w14:paraId="06B25AF7" w14:textId="77777777" w:rsidR="00582286" w:rsidRPr="005B6722" w:rsidRDefault="00582286" w:rsidP="00722580">
      <w:pPr>
        <w:spacing w:after="0" w:afterAutospacing="0" w:line="228" w:lineRule="auto"/>
        <w:rPr>
          <w:rFonts w:cs="Times New Roman"/>
          <w:lang w:val="pt-BR"/>
        </w:rPr>
      </w:pPr>
    </w:p>
    <w:p w14:paraId="6F757B16" w14:textId="77777777" w:rsidR="00601F87" w:rsidRPr="005B6722" w:rsidRDefault="00601F87" w:rsidP="00722580">
      <w:pPr>
        <w:spacing w:after="0" w:afterAutospacing="0" w:line="228" w:lineRule="auto"/>
        <w:rPr>
          <w:rFonts w:cs="Times New Roman"/>
          <w:lang w:val="pt-BR"/>
        </w:rPr>
      </w:pPr>
    </w:p>
    <w:p w14:paraId="438059D7" w14:textId="77777777" w:rsidR="00601F87" w:rsidRPr="009461CC" w:rsidRDefault="00601F87" w:rsidP="00722580">
      <w:pPr>
        <w:pStyle w:val="Heading1"/>
        <w:numPr>
          <w:ilvl w:val="0"/>
          <w:numId w:val="2"/>
        </w:numPr>
        <w:spacing w:line="228" w:lineRule="auto"/>
        <w:rPr>
          <w:rFonts w:cs="Times New Roman"/>
        </w:rPr>
      </w:pPr>
      <w:bookmarkStart w:id="80" w:name="_Toc181362715"/>
      <w:bookmarkStart w:id="81" w:name="_Toc222741453"/>
      <w:r>
        <w:rPr>
          <w:rFonts w:cs="Times New Roman"/>
          <w:bCs/>
          <w:lang w:val="hr"/>
        </w:rPr>
        <w:t>Povijest revizija</w:t>
      </w:r>
      <w:bookmarkEnd w:id="80"/>
      <w:bookmarkEnd w:id="81"/>
    </w:p>
    <w:tbl>
      <w:tblPr>
        <w:tblStyle w:val="TableGrid"/>
        <w:tblW w:w="5000" w:type="pct"/>
        <w:tblLook w:val="04A0" w:firstRow="1" w:lastRow="0" w:firstColumn="1" w:lastColumn="0" w:noHBand="0" w:noVBand="1"/>
      </w:tblPr>
      <w:tblGrid>
        <w:gridCol w:w="1199"/>
        <w:gridCol w:w="1506"/>
        <w:gridCol w:w="4819"/>
        <w:gridCol w:w="2906"/>
      </w:tblGrid>
      <w:tr w:rsidR="00601F87" w:rsidRPr="009D54AB" w14:paraId="5B6BFC55" w14:textId="77777777" w:rsidTr="00293453">
        <w:tc>
          <w:tcPr>
            <w:tcW w:w="575" w:type="pct"/>
          </w:tcPr>
          <w:p w14:paraId="2E035377" w14:textId="77777777" w:rsidR="00601F87" w:rsidRPr="009461CC" w:rsidRDefault="00601F87" w:rsidP="00722580">
            <w:pPr>
              <w:spacing w:after="0" w:afterAutospacing="0" w:line="228" w:lineRule="auto"/>
              <w:rPr>
                <w:rFonts w:cs="Times New Roman"/>
                <w:b/>
                <w:sz w:val="22"/>
              </w:rPr>
            </w:pPr>
            <w:r>
              <w:rPr>
                <w:rFonts w:cs="Times New Roman"/>
                <w:b/>
                <w:bCs/>
                <w:sz w:val="22"/>
                <w:lang w:val="hr"/>
              </w:rPr>
              <w:t>Revizija</w:t>
            </w:r>
          </w:p>
        </w:tc>
        <w:tc>
          <w:tcPr>
            <w:tcW w:w="722" w:type="pct"/>
          </w:tcPr>
          <w:p w14:paraId="50A5C536" w14:textId="77777777" w:rsidR="00601F87" w:rsidRPr="009461CC" w:rsidRDefault="00601F87" w:rsidP="00722580">
            <w:pPr>
              <w:spacing w:after="0" w:afterAutospacing="0" w:line="228" w:lineRule="auto"/>
              <w:rPr>
                <w:rFonts w:cs="Times New Roman"/>
                <w:b/>
                <w:sz w:val="22"/>
              </w:rPr>
            </w:pPr>
            <w:r>
              <w:rPr>
                <w:rFonts w:cs="Times New Roman"/>
                <w:b/>
                <w:bCs/>
                <w:sz w:val="22"/>
                <w:lang w:val="hr"/>
              </w:rPr>
              <w:t>Datum izdanja</w:t>
            </w:r>
          </w:p>
        </w:tc>
        <w:tc>
          <w:tcPr>
            <w:tcW w:w="2310" w:type="pct"/>
          </w:tcPr>
          <w:p w14:paraId="028B7F50" w14:textId="77777777" w:rsidR="00601F87" w:rsidRPr="009461CC" w:rsidRDefault="00601F87" w:rsidP="00722580">
            <w:pPr>
              <w:spacing w:after="0" w:afterAutospacing="0" w:line="228" w:lineRule="auto"/>
              <w:rPr>
                <w:rFonts w:cs="Times New Roman"/>
                <w:b/>
                <w:sz w:val="22"/>
              </w:rPr>
            </w:pPr>
            <w:r>
              <w:rPr>
                <w:rFonts w:cs="Times New Roman"/>
                <w:b/>
                <w:bCs/>
                <w:sz w:val="22"/>
                <w:lang w:val="hr"/>
              </w:rPr>
              <w:t>Opis promjene</w:t>
            </w:r>
          </w:p>
        </w:tc>
        <w:tc>
          <w:tcPr>
            <w:tcW w:w="1393" w:type="pct"/>
          </w:tcPr>
          <w:p w14:paraId="3C9FD99C" w14:textId="77777777" w:rsidR="00601F87" w:rsidRPr="005B6722" w:rsidRDefault="00601F87" w:rsidP="00722580">
            <w:pPr>
              <w:spacing w:after="0" w:afterAutospacing="0" w:line="228" w:lineRule="auto"/>
              <w:rPr>
                <w:rFonts w:cs="Times New Roman"/>
                <w:b/>
                <w:sz w:val="22"/>
                <w:lang w:val="pt-BR"/>
              </w:rPr>
            </w:pPr>
            <w:r>
              <w:rPr>
                <w:rFonts w:cs="Times New Roman"/>
                <w:b/>
                <w:bCs/>
                <w:sz w:val="22"/>
                <w:lang w:val="hr"/>
              </w:rPr>
              <w:t>Je li reviziju odobrilo prijavljeno tijelo?</w:t>
            </w:r>
          </w:p>
        </w:tc>
      </w:tr>
      <w:tr w:rsidR="00601F87" w:rsidRPr="009461CC" w14:paraId="16EC10C7" w14:textId="77777777" w:rsidTr="00293453">
        <w:tc>
          <w:tcPr>
            <w:tcW w:w="575" w:type="pct"/>
          </w:tcPr>
          <w:p w14:paraId="58BC1E5F" w14:textId="77777777" w:rsidR="00601F87" w:rsidRPr="009461CC" w:rsidRDefault="00601F87" w:rsidP="00722580">
            <w:pPr>
              <w:spacing w:after="0" w:afterAutospacing="0" w:line="228" w:lineRule="auto"/>
              <w:rPr>
                <w:rFonts w:cs="Times New Roman"/>
                <w:sz w:val="22"/>
              </w:rPr>
            </w:pPr>
            <w:r>
              <w:rPr>
                <w:rFonts w:cs="Times New Roman"/>
                <w:sz w:val="22"/>
                <w:lang w:val="hr"/>
              </w:rPr>
              <w:t>A</w:t>
            </w:r>
          </w:p>
        </w:tc>
        <w:tc>
          <w:tcPr>
            <w:tcW w:w="722" w:type="pct"/>
          </w:tcPr>
          <w:p w14:paraId="6A81A9AF" w14:textId="71A1E241" w:rsidR="00601F87" w:rsidRPr="009461CC" w:rsidRDefault="002069F1" w:rsidP="00722580">
            <w:pPr>
              <w:spacing w:after="0" w:afterAutospacing="0" w:line="228" w:lineRule="auto"/>
              <w:rPr>
                <w:rFonts w:cs="Times New Roman"/>
                <w:iCs/>
                <w:sz w:val="22"/>
              </w:rPr>
            </w:pPr>
            <w:r>
              <w:rPr>
                <w:rFonts w:cs="Times New Roman"/>
                <w:sz w:val="22"/>
                <w:lang w:val="hr"/>
              </w:rPr>
              <w:t>22. svibnja 2022.</w:t>
            </w:r>
          </w:p>
        </w:tc>
        <w:tc>
          <w:tcPr>
            <w:tcW w:w="2310" w:type="pct"/>
          </w:tcPr>
          <w:p w14:paraId="0B577D70" w14:textId="77777777" w:rsidR="00601F87" w:rsidRPr="005B6722" w:rsidRDefault="00601F87" w:rsidP="00722580">
            <w:pPr>
              <w:spacing w:after="0" w:afterAutospacing="0" w:line="228" w:lineRule="auto"/>
              <w:rPr>
                <w:rFonts w:cs="Times New Roman"/>
                <w:sz w:val="22"/>
                <w:lang w:val="pt-BR"/>
              </w:rPr>
            </w:pPr>
            <w:r>
              <w:rPr>
                <w:rFonts w:cs="Times New Roman"/>
                <w:sz w:val="22"/>
                <w:lang w:val="hr"/>
              </w:rPr>
              <w:t>Početno interno izdanje – Nije potvrdio BSI</w:t>
            </w:r>
          </w:p>
        </w:tc>
        <w:tc>
          <w:tcPr>
            <w:tcW w:w="1393" w:type="pct"/>
          </w:tcPr>
          <w:p w14:paraId="3673E384" w14:textId="77777777" w:rsidR="00601F87" w:rsidRPr="009461CC" w:rsidRDefault="00000000" w:rsidP="00722580">
            <w:pPr>
              <w:spacing w:after="0" w:afterAutospacing="0" w:line="228" w:lineRule="auto"/>
              <w:rPr>
                <w:rFonts w:cs="Times New Roman"/>
                <w:sz w:val="22"/>
              </w:rPr>
            </w:pPr>
            <w:sdt>
              <w:sdtPr>
                <w:rPr>
                  <w:rFonts w:ascii="Segoe UI Symbol" w:eastAsia="MS Gothic" w:hAnsi="Segoe UI Symbol" w:cs="Times New Roman"/>
                  <w:sz w:val="22"/>
                </w:rPr>
                <w:id w:val="-216212727"/>
                <w14:checkbox>
                  <w14:checked w14:val="1"/>
                  <w14:checkedState w14:val="2612" w14:font="MS Gothic"/>
                  <w14:uncheckedState w14:val="2610" w14:font="MS Gothic"/>
                </w14:checkbox>
              </w:sdtPr>
              <w:sdtContent>
                <w:r w:rsidR="00671FD2">
                  <w:rPr>
                    <w:rFonts w:ascii="Segoe UI Symbol" w:eastAsia="MS Gothic" w:hAnsi="Segoe UI Symbol" w:cs="Segoe UI Symbol"/>
                    <w:sz w:val="22"/>
                    <w:lang w:val="hr"/>
                  </w:rPr>
                  <w:t>☒</w:t>
                </w:r>
              </w:sdtContent>
            </w:sdt>
            <w:r w:rsidR="00671FD2">
              <w:rPr>
                <w:rFonts w:eastAsia="MS Gothic"/>
                <w:sz w:val="22"/>
                <w:lang w:val="hr"/>
              </w:rPr>
              <w:t xml:space="preserve"> Samo za unutarnju uporabu</w:t>
            </w:r>
          </w:p>
        </w:tc>
      </w:tr>
      <w:tr w:rsidR="00601F87" w:rsidRPr="009D54AB" w14:paraId="253ED939" w14:textId="77777777" w:rsidTr="00293453">
        <w:tc>
          <w:tcPr>
            <w:tcW w:w="575" w:type="pct"/>
          </w:tcPr>
          <w:p w14:paraId="794C6341" w14:textId="77777777" w:rsidR="00601F87" w:rsidRPr="009461CC" w:rsidRDefault="00601F87" w:rsidP="00722580">
            <w:pPr>
              <w:spacing w:after="0" w:afterAutospacing="0" w:line="228" w:lineRule="auto"/>
              <w:rPr>
                <w:rFonts w:cs="Times New Roman"/>
                <w:sz w:val="22"/>
              </w:rPr>
            </w:pPr>
            <w:r>
              <w:rPr>
                <w:rFonts w:cs="Times New Roman"/>
                <w:sz w:val="22"/>
                <w:lang w:val="hr"/>
              </w:rPr>
              <w:t xml:space="preserve">B </w:t>
            </w:r>
          </w:p>
        </w:tc>
        <w:tc>
          <w:tcPr>
            <w:tcW w:w="722" w:type="pct"/>
          </w:tcPr>
          <w:p w14:paraId="4E93CA05" w14:textId="47A5412E" w:rsidR="00601F87" w:rsidRPr="009461CC" w:rsidRDefault="00624761" w:rsidP="00722580">
            <w:pPr>
              <w:spacing w:after="0" w:afterAutospacing="0" w:line="228" w:lineRule="auto"/>
              <w:rPr>
                <w:rFonts w:cs="Times New Roman"/>
                <w:iCs/>
                <w:sz w:val="22"/>
              </w:rPr>
            </w:pPr>
            <w:r>
              <w:rPr>
                <w:rFonts w:cs="Times New Roman"/>
                <w:sz w:val="22"/>
                <w:lang w:val="hr"/>
              </w:rPr>
              <w:t xml:space="preserve">15. prosinca 2025. </w:t>
            </w:r>
          </w:p>
          <w:p w14:paraId="76ECF0BB" w14:textId="21F4F941" w:rsidR="00601F87" w:rsidRPr="009461CC" w:rsidRDefault="00601F87" w:rsidP="00722580">
            <w:pPr>
              <w:spacing w:after="0" w:afterAutospacing="0" w:line="228" w:lineRule="auto"/>
              <w:rPr>
                <w:rFonts w:cs="Times New Roman"/>
                <w:iCs/>
                <w:sz w:val="22"/>
              </w:rPr>
            </w:pPr>
          </w:p>
        </w:tc>
        <w:tc>
          <w:tcPr>
            <w:tcW w:w="2310" w:type="pct"/>
          </w:tcPr>
          <w:p w14:paraId="7ADC2C3E" w14:textId="77777777" w:rsidR="00601F87" w:rsidRPr="00722580" w:rsidRDefault="00601F87" w:rsidP="00722580">
            <w:pPr>
              <w:spacing w:after="0" w:afterAutospacing="0" w:line="228" w:lineRule="auto"/>
              <w:rPr>
                <w:rFonts w:cs="Times New Roman"/>
                <w:sz w:val="22"/>
                <w:lang w:val="pl-PL"/>
              </w:rPr>
            </w:pPr>
            <w:r>
              <w:rPr>
                <w:rFonts w:cs="Times New Roman"/>
                <w:sz w:val="22"/>
                <w:lang w:val="hr"/>
              </w:rPr>
              <w:t>Početno podnošenje BSI-ju, radi pregleda</w:t>
            </w:r>
          </w:p>
          <w:p w14:paraId="17842BBC" w14:textId="53FA9776" w:rsidR="00601F87" w:rsidRPr="00722580" w:rsidRDefault="00601F87" w:rsidP="00722580">
            <w:pPr>
              <w:spacing w:after="0" w:afterAutospacing="0" w:line="228" w:lineRule="auto"/>
              <w:rPr>
                <w:rFonts w:cs="Times New Roman"/>
                <w:sz w:val="22"/>
                <w:lang w:val="pl-PL"/>
              </w:rPr>
            </w:pPr>
            <w:r>
              <w:rPr>
                <w:rFonts w:cs="Times New Roman"/>
                <w:sz w:val="22"/>
                <w:lang w:val="hr"/>
              </w:rPr>
              <w:t xml:space="preserve"> </w:t>
            </w:r>
          </w:p>
        </w:tc>
        <w:tc>
          <w:tcPr>
            <w:tcW w:w="1393" w:type="pct"/>
          </w:tcPr>
          <w:p w14:paraId="0FC9FC92" w14:textId="465431A0" w:rsidR="006D6EA3" w:rsidRPr="00722580" w:rsidRDefault="00000000" w:rsidP="00722580">
            <w:pPr>
              <w:spacing w:after="0" w:afterAutospacing="0" w:line="228" w:lineRule="auto"/>
              <w:rPr>
                <w:rFonts w:cs="Times New Roman"/>
                <w:sz w:val="22"/>
                <w:lang w:val="pl-PL"/>
              </w:rPr>
            </w:pPr>
            <w:sdt>
              <w:sdtPr>
                <w:rPr>
                  <w:rFonts w:ascii="Segoe UI Symbol" w:eastAsia="MS Gothic" w:hAnsi="Segoe UI Symbol" w:cs="Times New Roman"/>
                  <w:sz w:val="22"/>
                </w:rPr>
                <w:id w:val="1250311691"/>
                <w14:checkbox>
                  <w14:checked w14:val="1"/>
                  <w14:checkedState w14:val="2612" w14:font="MS Gothic"/>
                  <w14:uncheckedState w14:val="2610" w14:font="MS Gothic"/>
                </w14:checkbox>
              </w:sdtPr>
              <w:sdtContent>
                <w:r w:rsidR="00671FD2">
                  <w:rPr>
                    <w:rFonts w:ascii="Segoe UI Symbol" w:eastAsia="MS Gothic" w:hAnsi="Segoe UI Symbol" w:cs="Segoe UI Symbol"/>
                    <w:sz w:val="22"/>
                    <w:lang w:val="hr"/>
                  </w:rPr>
                  <w:t>☒</w:t>
                </w:r>
              </w:sdtContent>
            </w:sdt>
            <w:r w:rsidR="00671FD2">
              <w:rPr>
                <w:rFonts w:eastAsia="MS Gothic"/>
                <w:sz w:val="22"/>
                <w:lang w:val="hr"/>
              </w:rPr>
              <w:t xml:space="preserve"> Da </w:t>
            </w:r>
          </w:p>
          <w:p w14:paraId="52EB2E13" w14:textId="77777777" w:rsidR="006D6EA3" w:rsidRPr="00722580" w:rsidRDefault="006D6EA3" w:rsidP="00722580">
            <w:pPr>
              <w:spacing w:after="0" w:afterAutospacing="0" w:line="228" w:lineRule="auto"/>
              <w:rPr>
                <w:rFonts w:cs="Times New Roman"/>
                <w:sz w:val="22"/>
                <w:lang w:val="pl-PL"/>
              </w:rPr>
            </w:pPr>
            <w:r>
              <w:rPr>
                <w:rFonts w:cs="Times New Roman"/>
                <w:sz w:val="22"/>
                <w:lang w:val="hr"/>
              </w:rPr>
              <w:t xml:space="preserve">Jezik odobrenja: </w:t>
            </w:r>
          </w:p>
          <w:p w14:paraId="293F45BE" w14:textId="789551FE" w:rsidR="00CA46B0" w:rsidRPr="00722580" w:rsidRDefault="006D6EA3" w:rsidP="00722580">
            <w:pPr>
              <w:spacing w:after="0" w:afterAutospacing="0" w:line="228" w:lineRule="auto"/>
              <w:rPr>
                <w:rFonts w:cs="Times New Roman"/>
                <w:sz w:val="22"/>
                <w:lang w:val="pl-PL"/>
              </w:rPr>
            </w:pPr>
            <w:r>
              <w:rPr>
                <w:rFonts w:cs="Times New Roman"/>
                <w:sz w:val="22"/>
                <w:lang w:val="hr"/>
              </w:rPr>
              <w:t>engleski</w:t>
            </w:r>
          </w:p>
          <w:p w14:paraId="2C6B2388" w14:textId="16B25528" w:rsidR="00601F87" w:rsidRPr="00722580" w:rsidRDefault="006D6EA3" w:rsidP="00722580">
            <w:pPr>
              <w:spacing w:after="0" w:afterAutospacing="0" w:line="228" w:lineRule="auto"/>
              <w:rPr>
                <w:rFonts w:cs="Times New Roman"/>
                <w:sz w:val="22"/>
                <w:highlight w:val="yellow"/>
                <w:lang w:val="pl-PL"/>
              </w:rPr>
            </w:pPr>
            <w:r>
              <w:rPr>
                <w:rFonts w:ascii="Segoe UI Symbol" w:hAnsi="Segoe UI Symbol"/>
                <w:sz w:val="22"/>
                <w:lang w:val="hr"/>
              </w:rPr>
              <w:t>☐</w:t>
            </w:r>
            <w:r>
              <w:rPr>
                <w:sz w:val="22"/>
                <w:lang w:val="hr"/>
              </w:rPr>
              <w:t xml:space="preserve"> Ne (primjenjivo samo za klasu IIa ili neke uređaje klase IIb za koje prijavljeno tijelo</w:t>
            </w:r>
            <w:r w:rsidR="007F17E7">
              <w:rPr>
                <w:sz w:val="22"/>
                <w:lang w:val="hr"/>
              </w:rPr>
              <w:t xml:space="preserve"> (</w:t>
            </w:r>
            <w:r w:rsidR="00827FED">
              <w:rPr>
                <w:sz w:val="22"/>
                <w:lang w:val="hr"/>
              </w:rPr>
              <w:t>NB</w:t>
            </w:r>
            <w:r w:rsidR="007F17E7">
              <w:rPr>
                <w:sz w:val="22"/>
                <w:lang w:val="hr"/>
              </w:rPr>
              <w:t>)</w:t>
            </w:r>
            <w:r>
              <w:rPr>
                <w:sz w:val="22"/>
                <w:lang w:val="hr"/>
              </w:rPr>
              <w:t xml:space="preserve"> još nije odobrio SSCP)</w:t>
            </w:r>
          </w:p>
        </w:tc>
      </w:tr>
    </w:tbl>
    <w:p w14:paraId="05B94FC3" w14:textId="73ABFCCD" w:rsidR="00601F87" w:rsidRPr="00722580" w:rsidRDefault="00601F87" w:rsidP="00601F87">
      <w:pPr>
        <w:tabs>
          <w:tab w:val="left" w:pos="3633"/>
        </w:tabs>
        <w:rPr>
          <w:rFonts w:cs="Times New Roman"/>
          <w:lang w:val="pl-PL"/>
        </w:rPr>
      </w:pPr>
    </w:p>
    <w:sectPr w:rsidR="00601F87" w:rsidRPr="00722580" w:rsidSect="008018FA">
      <w:headerReference w:type="default" r:id="rId31"/>
      <w:footerReference w:type="default" r:id="rId32"/>
      <w:pgSz w:w="12240" w:h="15840"/>
      <w:pgMar w:top="1800" w:right="720" w:bottom="144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46A1" w14:textId="77777777" w:rsidR="00462CB5" w:rsidRDefault="00462CB5" w:rsidP="009855C3">
      <w:r>
        <w:separator/>
      </w:r>
    </w:p>
  </w:endnote>
  <w:endnote w:type="continuationSeparator" w:id="0">
    <w:p w14:paraId="33775466" w14:textId="77777777" w:rsidR="00462CB5" w:rsidRDefault="00462CB5" w:rsidP="00985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G Times 12pt">
    <w:altName w:val="Cambria"/>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39D42" w14:textId="6BB303DF" w:rsidR="00BE3D15" w:rsidRPr="00F44E82" w:rsidRDefault="003036AD" w:rsidP="009855C3">
    <w:pPr>
      <w:pStyle w:val="Footer"/>
      <w:rPr>
        <w:szCs w:val="24"/>
      </w:rPr>
    </w:pPr>
    <w:r>
      <w:rPr>
        <w:b/>
        <w:bCs/>
        <w:sz w:val="18"/>
        <w:szCs w:val="18"/>
        <w:lang w:val="hr"/>
      </w:rPr>
      <w:t xml:space="preserve">CAQ-QA-025-F1 </w:t>
    </w:r>
    <w:r>
      <w:rPr>
        <w:b/>
        <w:bCs/>
        <w:sz w:val="18"/>
        <w:szCs w:val="18"/>
        <w:lang w:val="hr"/>
      </w:rPr>
      <w:t>Rev G: Sažetak o sigurnosnoj i kliničkoj učinkovitosti (SSCP)</w:t>
    </w:r>
    <w:r>
      <w:rPr>
        <w:lang w:val="hr"/>
      </w:rPr>
      <w:t xml:space="preserve"> </w:t>
    </w:r>
    <w:r>
      <w:rPr>
        <w:lang w:val="hr"/>
      </w:rPr>
      <w:tab/>
      <w:t xml:space="preserve">Stranica </w:t>
    </w:r>
    <w:r>
      <w:rPr>
        <w:lang w:val="hr"/>
      </w:rPr>
      <w:fldChar w:fldCharType="begin"/>
    </w:r>
    <w:r>
      <w:rPr>
        <w:lang w:val="hr"/>
      </w:rPr>
      <w:instrText xml:space="preserve"> PAGE  \* Arabic </w:instrText>
    </w:r>
    <w:r>
      <w:rPr>
        <w:lang w:val="hr"/>
      </w:rPr>
      <w:fldChar w:fldCharType="separate"/>
    </w:r>
    <w:r>
      <w:rPr>
        <w:lang w:val="hr"/>
      </w:rPr>
      <w:t>0</w:t>
    </w:r>
    <w:r>
      <w:rPr>
        <w:lang w:val="hr"/>
      </w:rPr>
      <w:fldChar w:fldCharType="end"/>
    </w:r>
    <w:r>
      <w:rPr>
        <w:lang w:val="hr"/>
      </w:rPr>
      <w:t xml:space="preserve"> od </w:t>
    </w:r>
    <w:r>
      <w:fldChar w:fldCharType="begin"/>
    </w:r>
    <w:r>
      <w:instrText xml:space="preserve"> NUMPAGES  </w:instrText>
    </w:r>
    <w:r>
      <w:fldChar w:fldCharType="separate"/>
    </w:r>
    <w:r>
      <w:rPr>
        <w:lang w:val="hr"/>
      </w:rPr>
      <w:t>12</w:t>
    </w:r>
    <w:r>
      <w:rPr>
        <w:lang w:val="hr"/>
      </w:rPr>
      <w:fldChar w:fldCharType="end"/>
    </w:r>
    <w:r>
      <w:rPr>
        <w:lang w:val="hr"/>
      </w:rPr>
      <w:t xml:space="preserve">  </w:t>
    </w:r>
    <w:r>
      <w:rPr>
        <w:lang w:val="hr"/>
      </w:rPr>
      <w:tab/>
    </w:r>
    <w:r>
      <w:rPr>
        <w:lang w:val="h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0A1AC" w14:textId="77777777" w:rsidR="00462CB5" w:rsidRDefault="00462CB5" w:rsidP="009855C3">
      <w:r>
        <w:separator/>
      </w:r>
    </w:p>
  </w:footnote>
  <w:footnote w:type="continuationSeparator" w:id="0">
    <w:p w14:paraId="23C28A91" w14:textId="77777777" w:rsidR="00462CB5" w:rsidRDefault="00462CB5" w:rsidP="00985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0"/>
      <w:gridCol w:w="7350"/>
    </w:tblGrid>
    <w:tr w:rsidR="00B62140" w:rsidRPr="007F17E7" w14:paraId="7E46E4C7" w14:textId="77777777" w:rsidTr="00B62140">
      <w:tc>
        <w:tcPr>
          <w:tcW w:w="3080" w:type="dxa"/>
        </w:tcPr>
        <w:p w14:paraId="184F2588" w14:textId="6EABB2E0" w:rsidR="00B62140" w:rsidRDefault="00B62140" w:rsidP="00B62140">
          <w:pPr>
            <w:pStyle w:val="Header"/>
            <w:jc w:val="left"/>
          </w:pPr>
          <w:r>
            <w:rPr>
              <w:noProof/>
              <w:lang w:val="hr"/>
            </w:rPr>
            <w:drawing>
              <wp:inline distT="0" distB="0" distL="0" distR="0" wp14:anchorId="4BFA3582" wp14:editId="165F9D90">
                <wp:extent cx="1016000" cy="63500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16000" cy="635000"/>
                        </a:xfrm>
                        <a:prstGeom prst="rect">
                          <a:avLst/>
                        </a:prstGeom>
                      </pic:spPr>
                    </pic:pic>
                  </a:graphicData>
                </a:graphic>
              </wp:inline>
            </w:drawing>
          </w:r>
        </w:p>
      </w:tc>
      <w:tc>
        <w:tcPr>
          <w:tcW w:w="7350" w:type="dxa"/>
        </w:tcPr>
        <w:p w14:paraId="6E8300D8" w14:textId="7A70FCBF" w:rsidR="005450DC" w:rsidRPr="005450DC" w:rsidRDefault="005450DC" w:rsidP="005450DC">
          <w:pPr>
            <w:spacing w:after="0" w:afterAutospacing="0"/>
            <w:rPr>
              <w:rFonts w:ascii="Arial" w:hAnsi="Arial" w:cs="Arial"/>
              <w:b/>
              <w:bCs/>
              <w:sz w:val="28"/>
              <w:szCs w:val="28"/>
            </w:rPr>
          </w:pPr>
          <w:r>
            <w:rPr>
              <w:rFonts w:ascii="Arial" w:hAnsi="Arial" w:cs="Arial"/>
              <w:b/>
              <w:bCs/>
              <w:sz w:val="28"/>
              <w:szCs w:val="28"/>
              <w:lang w:val="hr"/>
            </w:rPr>
            <w:t>Sažetak o sigurnosnoj i kliničkoj učinkovitosti (SSCP)</w:t>
          </w:r>
        </w:p>
        <w:p w14:paraId="3BB3B2B1" w14:textId="5279969A" w:rsidR="009F5769" w:rsidRPr="00722580" w:rsidRDefault="009F5769" w:rsidP="009F5769">
          <w:pPr>
            <w:spacing w:after="0" w:afterAutospacing="0"/>
            <w:rPr>
              <w:rFonts w:ascii="Arial" w:hAnsi="Arial" w:cs="Arial"/>
              <w:sz w:val="18"/>
              <w:szCs w:val="18"/>
            </w:rPr>
          </w:pPr>
          <w:r>
            <w:rPr>
              <w:rFonts w:ascii="Arial" w:hAnsi="Arial" w:cs="Arial"/>
              <w:b/>
              <w:bCs/>
              <w:sz w:val="18"/>
              <w:szCs w:val="18"/>
              <w:lang w:val="hr"/>
            </w:rPr>
            <w:t xml:space="preserve">SSCP-0006: </w:t>
          </w:r>
          <w:bookmarkStart w:id="82" w:name="_Hlk196721157"/>
          <w:r>
            <w:rPr>
              <w:rFonts w:ascii="Arial" w:hAnsi="Arial" w:cs="Arial"/>
              <w:sz w:val="18"/>
              <w:szCs w:val="18"/>
              <w:lang w:val="hr"/>
            </w:rPr>
            <w:t>komplet vaskularne omče Atrieve</w:t>
          </w:r>
          <w:bookmarkEnd w:id="82"/>
          <w:r w:rsidR="00AE1FBE">
            <w:rPr>
              <w:rFonts w:ascii="Arial" w:hAnsi="Arial" w:cs="Arial"/>
              <w:sz w:val="18"/>
              <w:szCs w:val="18"/>
              <w:lang w:val="hr"/>
            </w:rPr>
            <w:t xml:space="preserve"> Snare</w:t>
          </w:r>
        </w:p>
        <w:p w14:paraId="32066318" w14:textId="5996CDC6" w:rsidR="005450DC" w:rsidRPr="00722580" w:rsidRDefault="005450DC" w:rsidP="005450DC">
          <w:pPr>
            <w:spacing w:after="0" w:afterAutospacing="0"/>
            <w:rPr>
              <w:rFonts w:ascii="Arial" w:hAnsi="Arial" w:cs="Arial"/>
              <w:sz w:val="18"/>
              <w:szCs w:val="18"/>
            </w:rPr>
          </w:pPr>
          <w:r>
            <w:rPr>
              <w:rFonts w:ascii="Arial" w:hAnsi="Arial" w:cs="Arial"/>
              <w:sz w:val="18"/>
              <w:szCs w:val="18"/>
              <w:lang w:val="hr"/>
            </w:rPr>
            <w:t>Revizija: B</w:t>
          </w:r>
        </w:p>
        <w:p w14:paraId="2F5F8390" w14:textId="0ABFBBD1" w:rsidR="005450DC" w:rsidRPr="00722580" w:rsidRDefault="005450DC" w:rsidP="005450DC">
          <w:pPr>
            <w:pStyle w:val="Header"/>
            <w:jc w:val="left"/>
            <w:rPr>
              <w:rFonts w:ascii="Arial" w:hAnsi="Arial" w:cs="Arial"/>
              <w:sz w:val="18"/>
              <w:lang w:val="en-US"/>
            </w:rPr>
          </w:pPr>
          <w:r>
            <w:rPr>
              <w:rFonts w:ascii="Calibri" w:eastAsiaTheme="minorHAnsi" w:hAnsi="Calibri" w:cs="Calibri"/>
              <w:sz w:val="18"/>
              <w:szCs w:val="18"/>
              <w:lang w:val="hr"/>
            </w:rPr>
            <w:t>Lokacija društva Argon: Sve lokacije</w:t>
          </w:r>
        </w:p>
      </w:tc>
    </w:tr>
  </w:tbl>
  <w:p w14:paraId="0BD58B4F" w14:textId="7DA38D57" w:rsidR="00B62140" w:rsidRPr="00722580" w:rsidRDefault="00B62140" w:rsidP="00B62140">
    <w:pPr>
      <w:pStyle w:val="Header"/>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96686"/>
    <w:multiLevelType w:val="hybridMultilevel"/>
    <w:tmpl w:val="DA0C7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E77569"/>
    <w:multiLevelType w:val="hybridMultilevel"/>
    <w:tmpl w:val="15B4E1B2"/>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33642F"/>
    <w:multiLevelType w:val="multilevel"/>
    <w:tmpl w:val="475A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D7021"/>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37B14"/>
    <w:multiLevelType w:val="hybridMultilevel"/>
    <w:tmpl w:val="DD1AE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72A27"/>
    <w:multiLevelType w:val="hybridMultilevel"/>
    <w:tmpl w:val="CA6E8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54A05"/>
    <w:multiLevelType w:val="hybridMultilevel"/>
    <w:tmpl w:val="FEAEE55C"/>
    <w:lvl w:ilvl="0" w:tplc="04090001">
      <w:start w:val="1"/>
      <w:numFmt w:val="bullet"/>
      <w:lvlText w:val=""/>
      <w:lvlJc w:val="left"/>
      <w:pPr>
        <w:ind w:left="720" w:hanging="360"/>
      </w:pPr>
      <w:rPr>
        <w:rFonts w:ascii="Symbol" w:hAnsi="Symbol"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32C16D5"/>
    <w:multiLevelType w:val="multilevel"/>
    <w:tmpl w:val="3DB22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7544DA"/>
    <w:multiLevelType w:val="hybridMultilevel"/>
    <w:tmpl w:val="4126C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95329F"/>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895574"/>
    <w:multiLevelType w:val="hybridMultilevel"/>
    <w:tmpl w:val="1DF48DB6"/>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815951"/>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6F32A0"/>
    <w:multiLevelType w:val="hybridMultilevel"/>
    <w:tmpl w:val="DD72E76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3" w15:restartNumberingAfterBreak="0">
    <w:nsid w:val="3ADC3F5B"/>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EC1CC7"/>
    <w:multiLevelType w:val="multilevel"/>
    <w:tmpl w:val="19D2CB68"/>
    <w:lvl w:ilvl="0">
      <w:start w:val="1"/>
      <w:numFmt w:val="decimal"/>
      <w:lvlText w:val="%1."/>
      <w:lvlJc w:val="left"/>
      <w:pPr>
        <w:ind w:left="360" w:hanging="360"/>
      </w:pPr>
      <w:rPr>
        <w:b/>
        <w:bCs w:val="0"/>
      </w:rPr>
    </w:lvl>
    <w:lvl w:ilvl="1">
      <w:start w:val="1"/>
      <w:numFmt w:val="decimal"/>
      <w:pStyle w:val="Heading1"/>
      <w:lvlText w:val="%1.%2."/>
      <w:lvlJc w:val="left"/>
      <w:pPr>
        <w:ind w:left="9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F33BF6"/>
    <w:multiLevelType w:val="hybridMultilevel"/>
    <w:tmpl w:val="5A40E3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64B7D64"/>
    <w:multiLevelType w:val="multilevel"/>
    <w:tmpl w:val="7B2CC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7A37D2"/>
    <w:multiLevelType w:val="multilevel"/>
    <w:tmpl w:val="51F6CE60"/>
    <w:lvl w:ilvl="0">
      <w:numFmt w:val="bullet"/>
      <w:lvlText w:val="•"/>
      <w:lvlJc w:val="left"/>
      <w:pPr>
        <w:tabs>
          <w:tab w:val="num" w:pos="720"/>
        </w:tabs>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ECF27DD"/>
    <w:multiLevelType w:val="multilevel"/>
    <w:tmpl w:val="1CA0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0F5615"/>
    <w:multiLevelType w:val="hybridMultilevel"/>
    <w:tmpl w:val="39B8B5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98342CC"/>
    <w:multiLevelType w:val="hybridMultilevel"/>
    <w:tmpl w:val="D3948B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2B39D6"/>
    <w:multiLevelType w:val="hybridMultilevel"/>
    <w:tmpl w:val="72640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643C02"/>
    <w:multiLevelType w:val="multilevel"/>
    <w:tmpl w:val="75F0F646"/>
    <w:lvl w:ilvl="0">
      <w:start w:val="1"/>
      <w:numFmt w:val="decimal"/>
      <w:pStyle w:val="Heading5"/>
      <w:lvlText w:val="%1"/>
      <w:lvlJc w:val="left"/>
      <w:pPr>
        <w:tabs>
          <w:tab w:val="num" w:pos="720"/>
        </w:tabs>
        <w:ind w:left="720" w:hanging="720"/>
      </w:pPr>
      <w:rPr>
        <w:rFonts w:hint="default"/>
        <w:u w:val="none"/>
      </w:rPr>
    </w:lvl>
    <w:lvl w:ilvl="1">
      <w:start w:val="1"/>
      <w:numFmt w:val="decimal"/>
      <w:pStyle w:val="Heading2"/>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3" w15:restartNumberingAfterBreak="0">
    <w:nsid w:val="62866B7F"/>
    <w:multiLevelType w:val="hybridMultilevel"/>
    <w:tmpl w:val="0D6C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79C0CD0"/>
    <w:multiLevelType w:val="hybridMultilevel"/>
    <w:tmpl w:val="57DCF68C"/>
    <w:lvl w:ilvl="0" w:tplc="FFFFFFFF">
      <w:start w:val="1"/>
      <w:numFmt w:val="bullet"/>
      <w:lvlText w:val=""/>
      <w:lvlJc w:val="left"/>
      <w:pPr>
        <w:ind w:left="720" w:hanging="360"/>
      </w:pPr>
      <w:rPr>
        <w:rFonts w:ascii="Symbol" w:hAnsi="Symbol" w:hint="default"/>
      </w:rPr>
    </w:lvl>
    <w:lvl w:ilvl="1" w:tplc="EA7AE87E">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7EC224B"/>
    <w:multiLevelType w:val="multilevel"/>
    <w:tmpl w:val="8E1C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C4F74"/>
    <w:multiLevelType w:val="hybridMultilevel"/>
    <w:tmpl w:val="C85A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66B5D"/>
    <w:multiLevelType w:val="multilevel"/>
    <w:tmpl w:val="1C2A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F14B8E"/>
    <w:multiLevelType w:val="multilevel"/>
    <w:tmpl w:val="244E4838"/>
    <w:lvl w:ilvl="0">
      <w:numFmt w:val="bullet"/>
      <w:lvlText w:val="•"/>
      <w:lvlJc w:val="left"/>
      <w:pPr>
        <w:tabs>
          <w:tab w:val="num" w:pos="720"/>
        </w:tabs>
        <w:ind w:left="720" w:hanging="360"/>
      </w:pPr>
      <w:rPr>
        <w:rFonts w:ascii="Calibri" w:eastAsiaTheme="minorHAnsi" w:hAnsi="Calibri" w:cs="Calibr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CDF0477"/>
    <w:multiLevelType w:val="hybridMultilevel"/>
    <w:tmpl w:val="E6F8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787167"/>
    <w:multiLevelType w:val="hybridMultilevel"/>
    <w:tmpl w:val="980EE75C"/>
    <w:lvl w:ilvl="0" w:tplc="35E4F30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686F75"/>
    <w:multiLevelType w:val="multilevel"/>
    <w:tmpl w:val="30BC0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40176312">
    <w:abstractNumId w:val="22"/>
  </w:num>
  <w:num w:numId="2" w16cid:durableId="1360936298">
    <w:abstractNumId w:val="14"/>
  </w:num>
  <w:num w:numId="3" w16cid:durableId="300112310">
    <w:abstractNumId w:val="19"/>
  </w:num>
  <w:num w:numId="4" w16cid:durableId="1853834821">
    <w:abstractNumId w:val="6"/>
  </w:num>
  <w:num w:numId="5" w16cid:durableId="1034691173">
    <w:abstractNumId w:val="12"/>
  </w:num>
  <w:num w:numId="6" w16cid:durableId="1593513253">
    <w:abstractNumId w:val="21"/>
  </w:num>
  <w:num w:numId="7" w16cid:durableId="346831415">
    <w:abstractNumId w:val="23"/>
  </w:num>
  <w:num w:numId="8" w16cid:durableId="1853715173">
    <w:abstractNumId w:val="0"/>
  </w:num>
  <w:num w:numId="9" w16cid:durableId="1855343271">
    <w:abstractNumId w:val="15"/>
  </w:num>
  <w:num w:numId="10" w16cid:durableId="916865255">
    <w:abstractNumId w:val="24"/>
  </w:num>
  <w:num w:numId="11" w16cid:durableId="364184473">
    <w:abstractNumId w:val="25"/>
  </w:num>
  <w:num w:numId="12" w16cid:durableId="2108647119">
    <w:abstractNumId w:val="16"/>
  </w:num>
  <w:num w:numId="13" w16cid:durableId="1982877844">
    <w:abstractNumId w:val="3"/>
  </w:num>
  <w:num w:numId="14" w16cid:durableId="1684937638">
    <w:abstractNumId w:val="9"/>
  </w:num>
  <w:num w:numId="15" w16cid:durableId="586424511">
    <w:abstractNumId w:val="17"/>
  </w:num>
  <w:num w:numId="16" w16cid:durableId="1213268901">
    <w:abstractNumId w:val="28"/>
  </w:num>
  <w:num w:numId="17" w16cid:durableId="171838373">
    <w:abstractNumId w:val="13"/>
  </w:num>
  <w:num w:numId="18" w16cid:durableId="799612473">
    <w:abstractNumId w:val="11"/>
  </w:num>
  <w:num w:numId="19" w16cid:durableId="475414826">
    <w:abstractNumId w:val="31"/>
  </w:num>
  <w:num w:numId="20" w16cid:durableId="320740550">
    <w:abstractNumId w:val="27"/>
  </w:num>
  <w:num w:numId="21" w16cid:durableId="166943843">
    <w:abstractNumId w:val="4"/>
  </w:num>
  <w:num w:numId="22" w16cid:durableId="1888569262">
    <w:abstractNumId w:val="8"/>
  </w:num>
  <w:num w:numId="23" w16cid:durableId="1644770191">
    <w:abstractNumId w:val="20"/>
  </w:num>
  <w:num w:numId="24" w16cid:durableId="1439636620">
    <w:abstractNumId w:val="26"/>
  </w:num>
  <w:num w:numId="25" w16cid:durableId="882600577">
    <w:abstractNumId w:val="5"/>
  </w:num>
  <w:num w:numId="26" w16cid:durableId="1718622400">
    <w:abstractNumId w:val="10"/>
  </w:num>
  <w:num w:numId="27" w16cid:durableId="1475558162">
    <w:abstractNumId w:val="30"/>
  </w:num>
  <w:num w:numId="28" w16cid:durableId="1475566087">
    <w:abstractNumId w:val="1"/>
  </w:num>
  <w:num w:numId="29" w16cid:durableId="1286497301">
    <w:abstractNumId w:val="7"/>
  </w:num>
  <w:num w:numId="30" w16cid:durableId="3093058">
    <w:abstractNumId w:val="18"/>
  </w:num>
  <w:num w:numId="31" w16cid:durableId="972251898">
    <w:abstractNumId w:val="29"/>
  </w:num>
  <w:num w:numId="32" w16cid:durableId="70591431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1AA"/>
    <w:rsid w:val="00006459"/>
    <w:rsid w:val="00011045"/>
    <w:rsid w:val="00012E12"/>
    <w:rsid w:val="00015DE2"/>
    <w:rsid w:val="000167B6"/>
    <w:rsid w:val="00017BF4"/>
    <w:rsid w:val="00021D6F"/>
    <w:rsid w:val="00021E83"/>
    <w:rsid w:val="0002755B"/>
    <w:rsid w:val="00034879"/>
    <w:rsid w:val="000379B4"/>
    <w:rsid w:val="00042B91"/>
    <w:rsid w:val="00047250"/>
    <w:rsid w:val="00050F24"/>
    <w:rsid w:val="0005411A"/>
    <w:rsid w:val="00057D5B"/>
    <w:rsid w:val="000628F7"/>
    <w:rsid w:val="00063367"/>
    <w:rsid w:val="00076AE4"/>
    <w:rsid w:val="00076F70"/>
    <w:rsid w:val="000774DD"/>
    <w:rsid w:val="000857E5"/>
    <w:rsid w:val="000920E7"/>
    <w:rsid w:val="000975C6"/>
    <w:rsid w:val="000A1236"/>
    <w:rsid w:val="000A23CB"/>
    <w:rsid w:val="000A25FA"/>
    <w:rsid w:val="000A5EBD"/>
    <w:rsid w:val="000A6CBD"/>
    <w:rsid w:val="000A6E93"/>
    <w:rsid w:val="000B0BC3"/>
    <w:rsid w:val="000B3E80"/>
    <w:rsid w:val="000B6CF0"/>
    <w:rsid w:val="000C41AC"/>
    <w:rsid w:val="000C5F93"/>
    <w:rsid w:val="000C633A"/>
    <w:rsid w:val="000C7AF6"/>
    <w:rsid w:val="000D2F57"/>
    <w:rsid w:val="000D5406"/>
    <w:rsid w:val="000D7B59"/>
    <w:rsid w:val="000E39A6"/>
    <w:rsid w:val="000F0AC2"/>
    <w:rsid w:val="000F0DCC"/>
    <w:rsid w:val="000F4DF1"/>
    <w:rsid w:val="001035F0"/>
    <w:rsid w:val="00103AF7"/>
    <w:rsid w:val="00113A33"/>
    <w:rsid w:val="001209D7"/>
    <w:rsid w:val="00120DD8"/>
    <w:rsid w:val="00122999"/>
    <w:rsid w:val="00125511"/>
    <w:rsid w:val="00125D9F"/>
    <w:rsid w:val="00142B70"/>
    <w:rsid w:val="00142D15"/>
    <w:rsid w:val="001440E1"/>
    <w:rsid w:val="001475A8"/>
    <w:rsid w:val="00151F01"/>
    <w:rsid w:val="001533A4"/>
    <w:rsid w:val="00153ED5"/>
    <w:rsid w:val="00154AAA"/>
    <w:rsid w:val="00155220"/>
    <w:rsid w:val="0015690A"/>
    <w:rsid w:val="00156CF3"/>
    <w:rsid w:val="00162917"/>
    <w:rsid w:val="00162923"/>
    <w:rsid w:val="00165A00"/>
    <w:rsid w:val="001861C6"/>
    <w:rsid w:val="001865AC"/>
    <w:rsid w:val="00187CF5"/>
    <w:rsid w:val="0019124F"/>
    <w:rsid w:val="001919D6"/>
    <w:rsid w:val="00191ED2"/>
    <w:rsid w:val="001A3916"/>
    <w:rsid w:val="001A7EA5"/>
    <w:rsid w:val="001B4005"/>
    <w:rsid w:val="001B41A5"/>
    <w:rsid w:val="001B6D13"/>
    <w:rsid w:val="001C43C6"/>
    <w:rsid w:val="001D1887"/>
    <w:rsid w:val="001E5AFF"/>
    <w:rsid w:val="001E6921"/>
    <w:rsid w:val="001E7A0E"/>
    <w:rsid w:val="001F4798"/>
    <w:rsid w:val="001F48BA"/>
    <w:rsid w:val="001F5B3B"/>
    <w:rsid w:val="00201156"/>
    <w:rsid w:val="002069F1"/>
    <w:rsid w:val="00207A7C"/>
    <w:rsid w:val="00210ACA"/>
    <w:rsid w:val="00210E41"/>
    <w:rsid w:val="00214E2F"/>
    <w:rsid w:val="0021589A"/>
    <w:rsid w:val="0022033C"/>
    <w:rsid w:val="00221CEF"/>
    <w:rsid w:val="00226C45"/>
    <w:rsid w:val="002277B9"/>
    <w:rsid w:val="00230011"/>
    <w:rsid w:val="002351E5"/>
    <w:rsid w:val="00235AAE"/>
    <w:rsid w:val="00237870"/>
    <w:rsid w:val="00242075"/>
    <w:rsid w:val="00243417"/>
    <w:rsid w:val="002538C9"/>
    <w:rsid w:val="00257EE2"/>
    <w:rsid w:val="002669BD"/>
    <w:rsid w:val="00272B97"/>
    <w:rsid w:val="00272DEA"/>
    <w:rsid w:val="00273413"/>
    <w:rsid w:val="00275A67"/>
    <w:rsid w:val="00277426"/>
    <w:rsid w:val="00280A53"/>
    <w:rsid w:val="00290AFE"/>
    <w:rsid w:val="002914F4"/>
    <w:rsid w:val="00291A3E"/>
    <w:rsid w:val="00297A62"/>
    <w:rsid w:val="002A1AF1"/>
    <w:rsid w:val="002A24E8"/>
    <w:rsid w:val="002A75DC"/>
    <w:rsid w:val="002B2F38"/>
    <w:rsid w:val="002D4833"/>
    <w:rsid w:val="002D4C43"/>
    <w:rsid w:val="002D6103"/>
    <w:rsid w:val="002D6725"/>
    <w:rsid w:val="002E59B4"/>
    <w:rsid w:val="002F199B"/>
    <w:rsid w:val="002F2571"/>
    <w:rsid w:val="002F344E"/>
    <w:rsid w:val="002F37BF"/>
    <w:rsid w:val="002F39DB"/>
    <w:rsid w:val="00300E25"/>
    <w:rsid w:val="00300FC0"/>
    <w:rsid w:val="003036AD"/>
    <w:rsid w:val="003074B3"/>
    <w:rsid w:val="00314ACD"/>
    <w:rsid w:val="0032368A"/>
    <w:rsid w:val="003326A4"/>
    <w:rsid w:val="00335020"/>
    <w:rsid w:val="00335181"/>
    <w:rsid w:val="0033663C"/>
    <w:rsid w:val="0034308B"/>
    <w:rsid w:val="003513E0"/>
    <w:rsid w:val="00354365"/>
    <w:rsid w:val="00357CA4"/>
    <w:rsid w:val="003663A1"/>
    <w:rsid w:val="0037316E"/>
    <w:rsid w:val="00375370"/>
    <w:rsid w:val="0037599D"/>
    <w:rsid w:val="00375CFE"/>
    <w:rsid w:val="00376A92"/>
    <w:rsid w:val="00380316"/>
    <w:rsid w:val="00383678"/>
    <w:rsid w:val="00384B21"/>
    <w:rsid w:val="003859AF"/>
    <w:rsid w:val="003859DA"/>
    <w:rsid w:val="00386F47"/>
    <w:rsid w:val="003912E5"/>
    <w:rsid w:val="00391CAA"/>
    <w:rsid w:val="00394151"/>
    <w:rsid w:val="003951DC"/>
    <w:rsid w:val="00395788"/>
    <w:rsid w:val="00395FDB"/>
    <w:rsid w:val="003966BD"/>
    <w:rsid w:val="00397AE0"/>
    <w:rsid w:val="003A26B9"/>
    <w:rsid w:val="003A3A2E"/>
    <w:rsid w:val="003A3DB1"/>
    <w:rsid w:val="003B3629"/>
    <w:rsid w:val="003B4C77"/>
    <w:rsid w:val="003B5B28"/>
    <w:rsid w:val="003B70D7"/>
    <w:rsid w:val="003D4104"/>
    <w:rsid w:val="003D63DA"/>
    <w:rsid w:val="003E5476"/>
    <w:rsid w:val="003F2EB4"/>
    <w:rsid w:val="003F3F3C"/>
    <w:rsid w:val="003F5F86"/>
    <w:rsid w:val="004065D7"/>
    <w:rsid w:val="00422A4E"/>
    <w:rsid w:val="004235A7"/>
    <w:rsid w:val="004263BF"/>
    <w:rsid w:val="0043056A"/>
    <w:rsid w:val="004329F3"/>
    <w:rsid w:val="00433305"/>
    <w:rsid w:val="00441215"/>
    <w:rsid w:val="0044138A"/>
    <w:rsid w:val="00442087"/>
    <w:rsid w:val="004430BE"/>
    <w:rsid w:val="00446152"/>
    <w:rsid w:val="004466ED"/>
    <w:rsid w:val="00453251"/>
    <w:rsid w:val="00453B44"/>
    <w:rsid w:val="00454296"/>
    <w:rsid w:val="004553D9"/>
    <w:rsid w:val="00462CB5"/>
    <w:rsid w:val="00465F4B"/>
    <w:rsid w:val="00466071"/>
    <w:rsid w:val="00466981"/>
    <w:rsid w:val="004673EB"/>
    <w:rsid w:val="004714F7"/>
    <w:rsid w:val="00472F06"/>
    <w:rsid w:val="00474E2A"/>
    <w:rsid w:val="00475E00"/>
    <w:rsid w:val="0047648B"/>
    <w:rsid w:val="00476A48"/>
    <w:rsid w:val="00481A9E"/>
    <w:rsid w:val="0048338B"/>
    <w:rsid w:val="00483CA4"/>
    <w:rsid w:val="004846A6"/>
    <w:rsid w:val="00490703"/>
    <w:rsid w:val="0049079D"/>
    <w:rsid w:val="00490B97"/>
    <w:rsid w:val="0049275B"/>
    <w:rsid w:val="00493B5B"/>
    <w:rsid w:val="00495F6C"/>
    <w:rsid w:val="004A0035"/>
    <w:rsid w:val="004A2596"/>
    <w:rsid w:val="004A4063"/>
    <w:rsid w:val="004A4D87"/>
    <w:rsid w:val="004B30A3"/>
    <w:rsid w:val="004B4929"/>
    <w:rsid w:val="004C0D7F"/>
    <w:rsid w:val="004C12F0"/>
    <w:rsid w:val="004C73EF"/>
    <w:rsid w:val="004D77A4"/>
    <w:rsid w:val="004D7A94"/>
    <w:rsid w:val="004D7F0E"/>
    <w:rsid w:val="004E24F8"/>
    <w:rsid w:val="004E28F8"/>
    <w:rsid w:val="004E397F"/>
    <w:rsid w:val="004E3C57"/>
    <w:rsid w:val="004E6C1C"/>
    <w:rsid w:val="004F01A5"/>
    <w:rsid w:val="004F26D9"/>
    <w:rsid w:val="004F2CB7"/>
    <w:rsid w:val="004F3CA9"/>
    <w:rsid w:val="004F5057"/>
    <w:rsid w:val="004F7F77"/>
    <w:rsid w:val="005010E4"/>
    <w:rsid w:val="005063EA"/>
    <w:rsid w:val="005072B8"/>
    <w:rsid w:val="005104CC"/>
    <w:rsid w:val="0051131D"/>
    <w:rsid w:val="00511B41"/>
    <w:rsid w:val="0051305A"/>
    <w:rsid w:val="00516D79"/>
    <w:rsid w:val="00522664"/>
    <w:rsid w:val="00524D41"/>
    <w:rsid w:val="00525377"/>
    <w:rsid w:val="005257E7"/>
    <w:rsid w:val="0052695A"/>
    <w:rsid w:val="00533C0A"/>
    <w:rsid w:val="00536EDE"/>
    <w:rsid w:val="00540616"/>
    <w:rsid w:val="005439FC"/>
    <w:rsid w:val="005450DC"/>
    <w:rsid w:val="00547018"/>
    <w:rsid w:val="00547353"/>
    <w:rsid w:val="00550F97"/>
    <w:rsid w:val="0055697A"/>
    <w:rsid w:val="00560A40"/>
    <w:rsid w:val="00563107"/>
    <w:rsid w:val="005647F4"/>
    <w:rsid w:val="00567FF4"/>
    <w:rsid w:val="00570454"/>
    <w:rsid w:val="00575EE3"/>
    <w:rsid w:val="00577A16"/>
    <w:rsid w:val="00580274"/>
    <w:rsid w:val="0058041F"/>
    <w:rsid w:val="005805F7"/>
    <w:rsid w:val="005808F2"/>
    <w:rsid w:val="00582286"/>
    <w:rsid w:val="005842F3"/>
    <w:rsid w:val="00586415"/>
    <w:rsid w:val="00595963"/>
    <w:rsid w:val="005A1E4B"/>
    <w:rsid w:val="005A23F3"/>
    <w:rsid w:val="005A310B"/>
    <w:rsid w:val="005A3D4F"/>
    <w:rsid w:val="005A48D7"/>
    <w:rsid w:val="005A5584"/>
    <w:rsid w:val="005A6AE9"/>
    <w:rsid w:val="005B3E76"/>
    <w:rsid w:val="005B4422"/>
    <w:rsid w:val="005B6722"/>
    <w:rsid w:val="005C642C"/>
    <w:rsid w:val="005C6A90"/>
    <w:rsid w:val="005D00E4"/>
    <w:rsid w:val="005D04DF"/>
    <w:rsid w:val="005D3210"/>
    <w:rsid w:val="005D3A1B"/>
    <w:rsid w:val="005D41AF"/>
    <w:rsid w:val="005D424F"/>
    <w:rsid w:val="005D4A52"/>
    <w:rsid w:val="005D7627"/>
    <w:rsid w:val="005D7D43"/>
    <w:rsid w:val="005E76F6"/>
    <w:rsid w:val="005F1F10"/>
    <w:rsid w:val="005F2B16"/>
    <w:rsid w:val="005F5977"/>
    <w:rsid w:val="00601F73"/>
    <w:rsid w:val="00601F87"/>
    <w:rsid w:val="00602115"/>
    <w:rsid w:val="006027B7"/>
    <w:rsid w:val="00607046"/>
    <w:rsid w:val="00612216"/>
    <w:rsid w:val="00612BE6"/>
    <w:rsid w:val="00614E9F"/>
    <w:rsid w:val="00614F88"/>
    <w:rsid w:val="00616ADF"/>
    <w:rsid w:val="00620D8F"/>
    <w:rsid w:val="00622C5B"/>
    <w:rsid w:val="00623CC6"/>
    <w:rsid w:val="00624761"/>
    <w:rsid w:val="006266F5"/>
    <w:rsid w:val="00634E28"/>
    <w:rsid w:val="006455E9"/>
    <w:rsid w:val="00647A09"/>
    <w:rsid w:val="0065086A"/>
    <w:rsid w:val="006517A0"/>
    <w:rsid w:val="006524A2"/>
    <w:rsid w:val="006658D9"/>
    <w:rsid w:val="006707A5"/>
    <w:rsid w:val="00671FD2"/>
    <w:rsid w:val="00674185"/>
    <w:rsid w:val="00683D4A"/>
    <w:rsid w:val="00686A11"/>
    <w:rsid w:val="00686D39"/>
    <w:rsid w:val="00692CDD"/>
    <w:rsid w:val="0069398D"/>
    <w:rsid w:val="00695E86"/>
    <w:rsid w:val="006962F2"/>
    <w:rsid w:val="00696541"/>
    <w:rsid w:val="006A4B34"/>
    <w:rsid w:val="006A5C21"/>
    <w:rsid w:val="006B14EA"/>
    <w:rsid w:val="006B2504"/>
    <w:rsid w:val="006B3C71"/>
    <w:rsid w:val="006C1385"/>
    <w:rsid w:val="006C2B68"/>
    <w:rsid w:val="006C66D0"/>
    <w:rsid w:val="006D00F2"/>
    <w:rsid w:val="006D0CBE"/>
    <w:rsid w:val="006D29A6"/>
    <w:rsid w:val="006D6EA3"/>
    <w:rsid w:val="006D7D1C"/>
    <w:rsid w:val="006E0847"/>
    <w:rsid w:val="006E4BCB"/>
    <w:rsid w:val="006E55CB"/>
    <w:rsid w:val="006F0810"/>
    <w:rsid w:val="006F0D7E"/>
    <w:rsid w:val="006F12B6"/>
    <w:rsid w:val="006F1D9B"/>
    <w:rsid w:val="006F2D64"/>
    <w:rsid w:val="006F76E2"/>
    <w:rsid w:val="006F7FE6"/>
    <w:rsid w:val="007002E4"/>
    <w:rsid w:val="00706757"/>
    <w:rsid w:val="007076C9"/>
    <w:rsid w:val="00710948"/>
    <w:rsid w:val="00710EE4"/>
    <w:rsid w:val="00713233"/>
    <w:rsid w:val="0071436C"/>
    <w:rsid w:val="00716E6B"/>
    <w:rsid w:val="00717248"/>
    <w:rsid w:val="00720869"/>
    <w:rsid w:val="00722580"/>
    <w:rsid w:val="00723AC2"/>
    <w:rsid w:val="00725BB8"/>
    <w:rsid w:val="007263BF"/>
    <w:rsid w:val="0073263C"/>
    <w:rsid w:val="007349B0"/>
    <w:rsid w:val="007354A2"/>
    <w:rsid w:val="00736211"/>
    <w:rsid w:val="0073680D"/>
    <w:rsid w:val="00737E50"/>
    <w:rsid w:val="00740900"/>
    <w:rsid w:val="0074262E"/>
    <w:rsid w:val="00744702"/>
    <w:rsid w:val="0075662C"/>
    <w:rsid w:val="00757131"/>
    <w:rsid w:val="00760400"/>
    <w:rsid w:val="00761873"/>
    <w:rsid w:val="007618AC"/>
    <w:rsid w:val="00762212"/>
    <w:rsid w:val="00763272"/>
    <w:rsid w:val="007646E7"/>
    <w:rsid w:val="00765B21"/>
    <w:rsid w:val="00770C94"/>
    <w:rsid w:val="00771CF6"/>
    <w:rsid w:val="0077387D"/>
    <w:rsid w:val="00773B3B"/>
    <w:rsid w:val="00775E6F"/>
    <w:rsid w:val="00780A59"/>
    <w:rsid w:val="007811AA"/>
    <w:rsid w:val="007867EE"/>
    <w:rsid w:val="00790BF0"/>
    <w:rsid w:val="00790C23"/>
    <w:rsid w:val="007A1221"/>
    <w:rsid w:val="007A2AD5"/>
    <w:rsid w:val="007A47F1"/>
    <w:rsid w:val="007A5226"/>
    <w:rsid w:val="007B0F04"/>
    <w:rsid w:val="007B2D5F"/>
    <w:rsid w:val="007B72EE"/>
    <w:rsid w:val="007C7E15"/>
    <w:rsid w:val="007D5088"/>
    <w:rsid w:val="007D708F"/>
    <w:rsid w:val="007F17E7"/>
    <w:rsid w:val="007F42BD"/>
    <w:rsid w:val="008002AB"/>
    <w:rsid w:val="008018FA"/>
    <w:rsid w:val="0080432B"/>
    <w:rsid w:val="00804949"/>
    <w:rsid w:val="00805DD8"/>
    <w:rsid w:val="008103FA"/>
    <w:rsid w:val="008170F8"/>
    <w:rsid w:val="00827FED"/>
    <w:rsid w:val="0083288A"/>
    <w:rsid w:val="00832C94"/>
    <w:rsid w:val="00832EBC"/>
    <w:rsid w:val="008373C6"/>
    <w:rsid w:val="0084795E"/>
    <w:rsid w:val="00864E1E"/>
    <w:rsid w:val="00873051"/>
    <w:rsid w:val="008735FE"/>
    <w:rsid w:val="0087371C"/>
    <w:rsid w:val="008745ED"/>
    <w:rsid w:val="00874EDF"/>
    <w:rsid w:val="00882C64"/>
    <w:rsid w:val="0088793A"/>
    <w:rsid w:val="00887E5D"/>
    <w:rsid w:val="00894B7F"/>
    <w:rsid w:val="008A15B7"/>
    <w:rsid w:val="008A210D"/>
    <w:rsid w:val="008B0C3D"/>
    <w:rsid w:val="008B13A5"/>
    <w:rsid w:val="008B1BA9"/>
    <w:rsid w:val="008B3CB9"/>
    <w:rsid w:val="008B667F"/>
    <w:rsid w:val="008C238C"/>
    <w:rsid w:val="008C2DA2"/>
    <w:rsid w:val="008C5C2C"/>
    <w:rsid w:val="008C7623"/>
    <w:rsid w:val="008C78ED"/>
    <w:rsid w:val="008D7F1C"/>
    <w:rsid w:val="008E0695"/>
    <w:rsid w:val="008F6E85"/>
    <w:rsid w:val="00900933"/>
    <w:rsid w:val="0090367B"/>
    <w:rsid w:val="00905F56"/>
    <w:rsid w:val="00914027"/>
    <w:rsid w:val="009140CD"/>
    <w:rsid w:val="009214EC"/>
    <w:rsid w:val="009224DD"/>
    <w:rsid w:val="00922F95"/>
    <w:rsid w:val="00923982"/>
    <w:rsid w:val="00923DA5"/>
    <w:rsid w:val="00924CA5"/>
    <w:rsid w:val="00930F2F"/>
    <w:rsid w:val="009337D8"/>
    <w:rsid w:val="00934A5D"/>
    <w:rsid w:val="00941292"/>
    <w:rsid w:val="0094168A"/>
    <w:rsid w:val="00941D63"/>
    <w:rsid w:val="00942C1E"/>
    <w:rsid w:val="0094476E"/>
    <w:rsid w:val="009456AE"/>
    <w:rsid w:val="009461CC"/>
    <w:rsid w:val="00953A7F"/>
    <w:rsid w:val="009645C9"/>
    <w:rsid w:val="00966ED8"/>
    <w:rsid w:val="009709B4"/>
    <w:rsid w:val="00970F10"/>
    <w:rsid w:val="00971960"/>
    <w:rsid w:val="00972802"/>
    <w:rsid w:val="00973C91"/>
    <w:rsid w:val="00976460"/>
    <w:rsid w:val="00976960"/>
    <w:rsid w:val="00981AFC"/>
    <w:rsid w:val="00982459"/>
    <w:rsid w:val="00982823"/>
    <w:rsid w:val="00982903"/>
    <w:rsid w:val="009855C3"/>
    <w:rsid w:val="00987307"/>
    <w:rsid w:val="00994DB9"/>
    <w:rsid w:val="009964D2"/>
    <w:rsid w:val="009977D7"/>
    <w:rsid w:val="009A1AED"/>
    <w:rsid w:val="009A1FF8"/>
    <w:rsid w:val="009A5F24"/>
    <w:rsid w:val="009B4453"/>
    <w:rsid w:val="009B569A"/>
    <w:rsid w:val="009B7C1D"/>
    <w:rsid w:val="009C4FD5"/>
    <w:rsid w:val="009D19D6"/>
    <w:rsid w:val="009D3291"/>
    <w:rsid w:val="009D54AB"/>
    <w:rsid w:val="009D54C6"/>
    <w:rsid w:val="009D6FE2"/>
    <w:rsid w:val="009D7E33"/>
    <w:rsid w:val="009E10C6"/>
    <w:rsid w:val="009E1EBB"/>
    <w:rsid w:val="009E4BE1"/>
    <w:rsid w:val="009F1498"/>
    <w:rsid w:val="009F1998"/>
    <w:rsid w:val="009F1BD0"/>
    <w:rsid w:val="009F282F"/>
    <w:rsid w:val="009F2A57"/>
    <w:rsid w:val="009F319A"/>
    <w:rsid w:val="009F4223"/>
    <w:rsid w:val="009F51B0"/>
    <w:rsid w:val="009F5769"/>
    <w:rsid w:val="009F78EE"/>
    <w:rsid w:val="00A00853"/>
    <w:rsid w:val="00A0129F"/>
    <w:rsid w:val="00A02A54"/>
    <w:rsid w:val="00A030DC"/>
    <w:rsid w:val="00A03A91"/>
    <w:rsid w:val="00A05360"/>
    <w:rsid w:val="00A06EA0"/>
    <w:rsid w:val="00A12C5D"/>
    <w:rsid w:val="00A2055A"/>
    <w:rsid w:val="00A24C7B"/>
    <w:rsid w:val="00A25FCE"/>
    <w:rsid w:val="00A30F54"/>
    <w:rsid w:val="00A36237"/>
    <w:rsid w:val="00A3639B"/>
    <w:rsid w:val="00A44D21"/>
    <w:rsid w:val="00A4616A"/>
    <w:rsid w:val="00A5239F"/>
    <w:rsid w:val="00A538EF"/>
    <w:rsid w:val="00A56D87"/>
    <w:rsid w:val="00A570BF"/>
    <w:rsid w:val="00A57182"/>
    <w:rsid w:val="00A603C9"/>
    <w:rsid w:val="00A62721"/>
    <w:rsid w:val="00A62AA4"/>
    <w:rsid w:val="00A80721"/>
    <w:rsid w:val="00A8284F"/>
    <w:rsid w:val="00A8483B"/>
    <w:rsid w:val="00A8663C"/>
    <w:rsid w:val="00A86CBA"/>
    <w:rsid w:val="00A90A1C"/>
    <w:rsid w:val="00A95910"/>
    <w:rsid w:val="00AA2E04"/>
    <w:rsid w:val="00AA3502"/>
    <w:rsid w:val="00AA3694"/>
    <w:rsid w:val="00AA7F1D"/>
    <w:rsid w:val="00AB04FB"/>
    <w:rsid w:val="00AC1EE8"/>
    <w:rsid w:val="00AC53BA"/>
    <w:rsid w:val="00AC7864"/>
    <w:rsid w:val="00AD0542"/>
    <w:rsid w:val="00AD355F"/>
    <w:rsid w:val="00AD3C62"/>
    <w:rsid w:val="00AD4A16"/>
    <w:rsid w:val="00AE1FBE"/>
    <w:rsid w:val="00AE212B"/>
    <w:rsid w:val="00AE2B73"/>
    <w:rsid w:val="00AE5A46"/>
    <w:rsid w:val="00AF2584"/>
    <w:rsid w:val="00AF263A"/>
    <w:rsid w:val="00B0012D"/>
    <w:rsid w:val="00B01620"/>
    <w:rsid w:val="00B0256A"/>
    <w:rsid w:val="00B04139"/>
    <w:rsid w:val="00B06F88"/>
    <w:rsid w:val="00B07777"/>
    <w:rsid w:val="00B10465"/>
    <w:rsid w:val="00B1087D"/>
    <w:rsid w:val="00B11397"/>
    <w:rsid w:val="00B11A66"/>
    <w:rsid w:val="00B15E55"/>
    <w:rsid w:val="00B16AB3"/>
    <w:rsid w:val="00B17CC3"/>
    <w:rsid w:val="00B26297"/>
    <w:rsid w:val="00B343C2"/>
    <w:rsid w:val="00B37A72"/>
    <w:rsid w:val="00B407B6"/>
    <w:rsid w:val="00B459A4"/>
    <w:rsid w:val="00B62140"/>
    <w:rsid w:val="00B66253"/>
    <w:rsid w:val="00B67432"/>
    <w:rsid w:val="00B7112F"/>
    <w:rsid w:val="00B714A8"/>
    <w:rsid w:val="00B7247B"/>
    <w:rsid w:val="00B73BEA"/>
    <w:rsid w:val="00B763A0"/>
    <w:rsid w:val="00B82FB3"/>
    <w:rsid w:val="00B8570A"/>
    <w:rsid w:val="00B8696D"/>
    <w:rsid w:val="00B9692A"/>
    <w:rsid w:val="00BA7D3E"/>
    <w:rsid w:val="00BB10A1"/>
    <w:rsid w:val="00BB36B1"/>
    <w:rsid w:val="00BB79B1"/>
    <w:rsid w:val="00BC0CE0"/>
    <w:rsid w:val="00BC3DD7"/>
    <w:rsid w:val="00BD1913"/>
    <w:rsid w:val="00BD7F46"/>
    <w:rsid w:val="00BE0727"/>
    <w:rsid w:val="00BE09C5"/>
    <w:rsid w:val="00BE3D15"/>
    <w:rsid w:val="00BE7E3B"/>
    <w:rsid w:val="00BF53FD"/>
    <w:rsid w:val="00BF7DE6"/>
    <w:rsid w:val="00C00243"/>
    <w:rsid w:val="00C01A53"/>
    <w:rsid w:val="00C0200E"/>
    <w:rsid w:val="00C02BC0"/>
    <w:rsid w:val="00C134BC"/>
    <w:rsid w:val="00C13612"/>
    <w:rsid w:val="00C13921"/>
    <w:rsid w:val="00C1549E"/>
    <w:rsid w:val="00C16423"/>
    <w:rsid w:val="00C16D85"/>
    <w:rsid w:val="00C3050A"/>
    <w:rsid w:val="00C361CA"/>
    <w:rsid w:val="00C3745E"/>
    <w:rsid w:val="00C46C3A"/>
    <w:rsid w:val="00C47B0F"/>
    <w:rsid w:val="00C56109"/>
    <w:rsid w:val="00C6261A"/>
    <w:rsid w:val="00C64987"/>
    <w:rsid w:val="00C64AB4"/>
    <w:rsid w:val="00C673A6"/>
    <w:rsid w:val="00C706D6"/>
    <w:rsid w:val="00C70884"/>
    <w:rsid w:val="00C76698"/>
    <w:rsid w:val="00C824D9"/>
    <w:rsid w:val="00C82528"/>
    <w:rsid w:val="00C83032"/>
    <w:rsid w:val="00C91927"/>
    <w:rsid w:val="00C94CB5"/>
    <w:rsid w:val="00C97841"/>
    <w:rsid w:val="00CA2472"/>
    <w:rsid w:val="00CA46B0"/>
    <w:rsid w:val="00CA7832"/>
    <w:rsid w:val="00CB0F1E"/>
    <w:rsid w:val="00CB7CB0"/>
    <w:rsid w:val="00CC0372"/>
    <w:rsid w:val="00CD129C"/>
    <w:rsid w:val="00CD6594"/>
    <w:rsid w:val="00CD6EF2"/>
    <w:rsid w:val="00CD76E0"/>
    <w:rsid w:val="00CE3EA4"/>
    <w:rsid w:val="00CE6144"/>
    <w:rsid w:val="00CE7154"/>
    <w:rsid w:val="00CF0AF4"/>
    <w:rsid w:val="00CF6BEB"/>
    <w:rsid w:val="00CF7C5F"/>
    <w:rsid w:val="00D0560B"/>
    <w:rsid w:val="00D104AC"/>
    <w:rsid w:val="00D14601"/>
    <w:rsid w:val="00D15BBE"/>
    <w:rsid w:val="00D16500"/>
    <w:rsid w:val="00D20FA4"/>
    <w:rsid w:val="00D23267"/>
    <w:rsid w:val="00D23846"/>
    <w:rsid w:val="00D24167"/>
    <w:rsid w:val="00D26121"/>
    <w:rsid w:val="00D26B0D"/>
    <w:rsid w:val="00D35E63"/>
    <w:rsid w:val="00D42481"/>
    <w:rsid w:val="00D4289F"/>
    <w:rsid w:val="00D47200"/>
    <w:rsid w:val="00D479C6"/>
    <w:rsid w:val="00D52DF8"/>
    <w:rsid w:val="00D558E5"/>
    <w:rsid w:val="00D56C82"/>
    <w:rsid w:val="00D57320"/>
    <w:rsid w:val="00D600D7"/>
    <w:rsid w:val="00D62E8E"/>
    <w:rsid w:val="00D63EAA"/>
    <w:rsid w:val="00D64EA5"/>
    <w:rsid w:val="00D75384"/>
    <w:rsid w:val="00D75D87"/>
    <w:rsid w:val="00D760D8"/>
    <w:rsid w:val="00D82ADA"/>
    <w:rsid w:val="00D82C89"/>
    <w:rsid w:val="00D91CDB"/>
    <w:rsid w:val="00D94089"/>
    <w:rsid w:val="00D96F6A"/>
    <w:rsid w:val="00D979CC"/>
    <w:rsid w:val="00DA4404"/>
    <w:rsid w:val="00DA5FD1"/>
    <w:rsid w:val="00DA6381"/>
    <w:rsid w:val="00DB020C"/>
    <w:rsid w:val="00DB582A"/>
    <w:rsid w:val="00DB74A8"/>
    <w:rsid w:val="00DD13F4"/>
    <w:rsid w:val="00DD54B4"/>
    <w:rsid w:val="00DE0007"/>
    <w:rsid w:val="00DE2118"/>
    <w:rsid w:val="00DE3CC0"/>
    <w:rsid w:val="00DE6313"/>
    <w:rsid w:val="00DE6327"/>
    <w:rsid w:val="00DE7FD7"/>
    <w:rsid w:val="00DF0617"/>
    <w:rsid w:val="00DF62DC"/>
    <w:rsid w:val="00E03D31"/>
    <w:rsid w:val="00E105B6"/>
    <w:rsid w:val="00E11D92"/>
    <w:rsid w:val="00E1442F"/>
    <w:rsid w:val="00E14C97"/>
    <w:rsid w:val="00E213E0"/>
    <w:rsid w:val="00E23984"/>
    <w:rsid w:val="00E269CF"/>
    <w:rsid w:val="00E3060B"/>
    <w:rsid w:val="00E3332E"/>
    <w:rsid w:val="00E352B4"/>
    <w:rsid w:val="00E407A5"/>
    <w:rsid w:val="00E409AE"/>
    <w:rsid w:val="00E41C44"/>
    <w:rsid w:val="00E46137"/>
    <w:rsid w:val="00E529DC"/>
    <w:rsid w:val="00E535E2"/>
    <w:rsid w:val="00E541DE"/>
    <w:rsid w:val="00E7114E"/>
    <w:rsid w:val="00E714ED"/>
    <w:rsid w:val="00E818B5"/>
    <w:rsid w:val="00E87974"/>
    <w:rsid w:val="00E91403"/>
    <w:rsid w:val="00E950A1"/>
    <w:rsid w:val="00E9587C"/>
    <w:rsid w:val="00EA0589"/>
    <w:rsid w:val="00EA2539"/>
    <w:rsid w:val="00EA2A12"/>
    <w:rsid w:val="00EA34B1"/>
    <w:rsid w:val="00EA386A"/>
    <w:rsid w:val="00EA3F04"/>
    <w:rsid w:val="00EB3CE1"/>
    <w:rsid w:val="00EB4EEE"/>
    <w:rsid w:val="00EB5323"/>
    <w:rsid w:val="00EB55F4"/>
    <w:rsid w:val="00EC009B"/>
    <w:rsid w:val="00EC0A5C"/>
    <w:rsid w:val="00EC0F3C"/>
    <w:rsid w:val="00ED2006"/>
    <w:rsid w:val="00ED2C52"/>
    <w:rsid w:val="00ED57DD"/>
    <w:rsid w:val="00ED6077"/>
    <w:rsid w:val="00ED60E5"/>
    <w:rsid w:val="00ED7409"/>
    <w:rsid w:val="00EE18FA"/>
    <w:rsid w:val="00EE3541"/>
    <w:rsid w:val="00EF2775"/>
    <w:rsid w:val="00F0588E"/>
    <w:rsid w:val="00F07DD1"/>
    <w:rsid w:val="00F12464"/>
    <w:rsid w:val="00F12AB9"/>
    <w:rsid w:val="00F1562A"/>
    <w:rsid w:val="00F1569C"/>
    <w:rsid w:val="00F20DD6"/>
    <w:rsid w:val="00F24AE3"/>
    <w:rsid w:val="00F32C32"/>
    <w:rsid w:val="00F332F1"/>
    <w:rsid w:val="00F343C3"/>
    <w:rsid w:val="00F347FB"/>
    <w:rsid w:val="00F3731D"/>
    <w:rsid w:val="00F37F87"/>
    <w:rsid w:val="00F44E82"/>
    <w:rsid w:val="00F501B1"/>
    <w:rsid w:val="00F56303"/>
    <w:rsid w:val="00F604C9"/>
    <w:rsid w:val="00F63689"/>
    <w:rsid w:val="00F66077"/>
    <w:rsid w:val="00F66E1F"/>
    <w:rsid w:val="00F67A0E"/>
    <w:rsid w:val="00F67D06"/>
    <w:rsid w:val="00F7558C"/>
    <w:rsid w:val="00F761EC"/>
    <w:rsid w:val="00F86E3F"/>
    <w:rsid w:val="00F9112F"/>
    <w:rsid w:val="00FA1D26"/>
    <w:rsid w:val="00FB05F7"/>
    <w:rsid w:val="00FB0A38"/>
    <w:rsid w:val="00FB14AD"/>
    <w:rsid w:val="00FB1FDD"/>
    <w:rsid w:val="00FB59FD"/>
    <w:rsid w:val="00FC52C8"/>
    <w:rsid w:val="00FC5667"/>
    <w:rsid w:val="00FC6DBB"/>
    <w:rsid w:val="00FD0ECB"/>
    <w:rsid w:val="00FE191E"/>
    <w:rsid w:val="00FE3112"/>
    <w:rsid w:val="00FE4230"/>
    <w:rsid w:val="00FE5B73"/>
    <w:rsid w:val="00FE6595"/>
    <w:rsid w:val="00FE78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14C6"/>
  <w15:chartTrackingRefBased/>
  <w15:docId w15:val="{EC7DA20C-9F38-4A81-966B-D50D5F52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55C3"/>
    <w:pPr>
      <w:spacing w:after="100" w:afterAutospacing="1"/>
    </w:pPr>
    <w:rPr>
      <w:rFonts w:ascii="Times New Roman" w:hAnsi="Times New Roman"/>
      <w:sz w:val="24"/>
      <w:lang w:eastAsia="en-GB"/>
    </w:rPr>
  </w:style>
  <w:style w:type="paragraph" w:styleId="Heading1">
    <w:name w:val="heading 1"/>
    <w:basedOn w:val="Normal"/>
    <w:next w:val="Normal"/>
    <w:link w:val="Heading1Char"/>
    <w:uiPriority w:val="9"/>
    <w:qFormat/>
    <w:rsid w:val="00042B91"/>
    <w:pPr>
      <w:numPr>
        <w:ilvl w:val="1"/>
        <w:numId w:val="2"/>
      </w:numPr>
      <w:spacing w:after="0" w:afterAutospacing="0" w:line="240" w:lineRule="auto"/>
      <w:ind w:left="792"/>
      <w:outlineLvl w:val="0"/>
    </w:pPr>
    <w:rPr>
      <w:b/>
      <w:color w:val="000000" w:themeColor="text1"/>
    </w:rPr>
  </w:style>
  <w:style w:type="paragraph" w:styleId="Heading2">
    <w:name w:val="heading 2"/>
    <w:basedOn w:val="Heading1"/>
    <w:next w:val="Normal"/>
    <w:link w:val="Heading2Char"/>
    <w:uiPriority w:val="9"/>
    <w:unhideWhenUsed/>
    <w:qFormat/>
    <w:rsid w:val="009855C3"/>
    <w:pPr>
      <w:numPr>
        <w:numId w:val="1"/>
      </w:numPr>
      <w:outlineLvl w:val="1"/>
    </w:pPr>
  </w:style>
  <w:style w:type="paragraph" w:styleId="Heading3">
    <w:name w:val="heading 3"/>
    <w:basedOn w:val="Normal"/>
    <w:next w:val="Normal"/>
    <w:link w:val="Heading3Char"/>
    <w:uiPriority w:val="9"/>
    <w:semiHidden/>
    <w:unhideWhenUsed/>
    <w:qFormat/>
    <w:rsid w:val="006F0810"/>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unhideWhenUsed/>
    <w:qFormat/>
    <w:rsid w:val="006F0810"/>
    <w:pPr>
      <w:keepNext/>
      <w:keepLines/>
      <w:numPr>
        <w:numId w:val="1"/>
      </w:numPr>
      <w:spacing w:before="40" w:after="0"/>
      <w:outlineLvl w:val="4"/>
    </w:pPr>
    <w:rPr>
      <w:rFonts w:asciiTheme="majorHAnsi" w:eastAsiaTheme="majorEastAsia" w:hAnsiTheme="majorHAnsi" w:cstheme="majorBidi"/>
      <w:color w:val="2F5496" w:themeColor="accent1" w:themeShade="BF"/>
    </w:rPr>
  </w:style>
  <w:style w:type="paragraph" w:styleId="Heading7">
    <w:name w:val="heading 7"/>
    <w:basedOn w:val="Normal"/>
    <w:next w:val="Normal"/>
    <w:link w:val="Heading7Char"/>
    <w:qFormat/>
    <w:rsid w:val="0005411A"/>
    <w:pPr>
      <w:keepNext/>
      <w:spacing w:after="120" w:line="240" w:lineRule="auto"/>
      <w:jc w:val="center"/>
      <w:outlineLvl w:val="6"/>
    </w:pPr>
    <w:rPr>
      <w:rFonts w:eastAsia="Times New Roman" w:cs="Times New Roman"/>
      <w:b/>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Bullet List Paragraph,Bullet 1,Bullet,Title 1,List Paragraph1,Trust List Numbering"/>
    <w:basedOn w:val="Normal"/>
    <w:link w:val="ListParagraphChar"/>
    <w:uiPriority w:val="34"/>
    <w:qFormat/>
    <w:rsid w:val="007811AA"/>
    <w:pPr>
      <w:ind w:left="720"/>
      <w:contextualSpacing/>
    </w:pPr>
  </w:style>
  <w:style w:type="character" w:customStyle="1" w:styleId="Heading7Char">
    <w:name w:val="Heading 7 Char"/>
    <w:basedOn w:val="DefaultParagraphFont"/>
    <w:link w:val="Heading7"/>
    <w:rsid w:val="0005411A"/>
    <w:rPr>
      <w:rFonts w:ascii="Times New Roman" w:eastAsia="Times New Roman" w:hAnsi="Times New Roman" w:cs="Times New Roman"/>
      <w:b/>
      <w:sz w:val="36"/>
      <w:szCs w:val="24"/>
      <w:lang w:val="en-GB" w:eastAsia="en-GB"/>
    </w:rPr>
  </w:style>
  <w:style w:type="paragraph" w:styleId="Header">
    <w:name w:val="header"/>
    <w:basedOn w:val="Normal"/>
    <w:link w:val="HeaderChar"/>
    <w:rsid w:val="0005411A"/>
    <w:pPr>
      <w:widowControl w:val="0"/>
      <w:tabs>
        <w:tab w:val="center" w:pos="4153"/>
        <w:tab w:val="right" w:pos="8306"/>
      </w:tabs>
      <w:spacing w:after="120" w:line="240" w:lineRule="auto"/>
      <w:jc w:val="both"/>
    </w:pPr>
    <w:rPr>
      <w:rFonts w:ascii="CG Times 12pt" w:eastAsia="Times New Roman" w:hAnsi="CG Times 12pt" w:cs="Times New Roman"/>
      <w:szCs w:val="24"/>
      <w:lang w:val="en-GB"/>
    </w:rPr>
  </w:style>
  <w:style w:type="character" w:customStyle="1" w:styleId="HeaderChar">
    <w:name w:val="Header Char"/>
    <w:basedOn w:val="DefaultParagraphFont"/>
    <w:link w:val="Header"/>
    <w:rsid w:val="0005411A"/>
    <w:rPr>
      <w:rFonts w:ascii="CG Times 12pt" w:eastAsia="Times New Roman" w:hAnsi="CG Times 12pt" w:cs="Times New Roman"/>
      <w:sz w:val="24"/>
      <w:szCs w:val="24"/>
      <w:lang w:val="en-GB" w:eastAsia="en-GB"/>
    </w:rPr>
  </w:style>
  <w:style w:type="paragraph" w:styleId="BodyText3">
    <w:name w:val="Body Text 3"/>
    <w:basedOn w:val="Normal"/>
    <w:link w:val="BodyText3Char"/>
    <w:rsid w:val="0005411A"/>
    <w:pPr>
      <w:spacing w:after="120" w:line="240" w:lineRule="auto"/>
      <w:jc w:val="center"/>
    </w:pPr>
    <w:rPr>
      <w:rFonts w:eastAsia="Times New Roman" w:cs="Times New Roman"/>
      <w:b/>
      <w:sz w:val="28"/>
      <w:szCs w:val="24"/>
      <w:lang w:val="en-GB"/>
    </w:rPr>
  </w:style>
  <w:style w:type="character" w:customStyle="1" w:styleId="BodyText3Char">
    <w:name w:val="Body Text 3 Char"/>
    <w:basedOn w:val="DefaultParagraphFont"/>
    <w:link w:val="BodyText3"/>
    <w:rsid w:val="0005411A"/>
    <w:rPr>
      <w:rFonts w:ascii="Times New Roman" w:eastAsia="Times New Roman" w:hAnsi="Times New Roman" w:cs="Times New Roman"/>
      <w:b/>
      <w:sz w:val="28"/>
      <w:szCs w:val="24"/>
      <w:lang w:val="en-GB" w:eastAsia="en-GB"/>
    </w:rPr>
  </w:style>
  <w:style w:type="character" w:styleId="Hyperlink">
    <w:name w:val="Hyperlink"/>
    <w:uiPriority w:val="99"/>
    <w:rsid w:val="006F0810"/>
    <w:rPr>
      <w:color w:val="0563C1"/>
      <w:u w:val="single"/>
    </w:rPr>
  </w:style>
  <w:style w:type="character" w:customStyle="1" w:styleId="Heading1Char">
    <w:name w:val="Heading 1 Char"/>
    <w:basedOn w:val="DefaultParagraphFont"/>
    <w:link w:val="Heading1"/>
    <w:uiPriority w:val="9"/>
    <w:rsid w:val="00042B91"/>
    <w:rPr>
      <w:rFonts w:ascii="Times New Roman" w:hAnsi="Times New Roman"/>
      <w:b/>
      <w:color w:val="000000" w:themeColor="text1"/>
      <w:sz w:val="24"/>
      <w:lang w:eastAsia="en-GB"/>
    </w:rPr>
  </w:style>
  <w:style w:type="paragraph" w:styleId="TOCHeading">
    <w:name w:val="TOC Heading"/>
    <w:basedOn w:val="Heading1"/>
    <w:next w:val="Normal"/>
    <w:uiPriority w:val="39"/>
    <w:unhideWhenUsed/>
    <w:qFormat/>
    <w:rsid w:val="006F0810"/>
    <w:pPr>
      <w:spacing w:after="120"/>
      <w:outlineLvl w:val="9"/>
    </w:pPr>
    <w:rPr>
      <w:rFonts w:ascii="Calibri Light" w:eastAsia="MS Gothic" w:hAnsi="Calibri Light" w:cs="Times New Roman"/>
      <w:color w:val="2E74B5"/>
    </w:rPr>
  </w:style>
  <w:style w:type="paragraph" w:styleId="TOC3">
    <w:name w:val="toc 3"/>
    <w:basedOn w:val="Normal"/>
    <w:next w:val="Normal"/>
    <w:autoRedefine/>
    <w:uiPriority w:val="39"/>
    <w:rsid w:val="006F0810"/>
    <w:pPr>
      <w:tabs>
        <w:tab w:val="left" w:pos="1080"/>
        <w:tab w:val="right" w:leader="dot" w:pos="9629"/>
      </w:tabs>
      <w:spacing w:line="240" w:lineRule="auto"/>
      <w:ind w:left="400"/>
      <w:jc w:val="both"/>
    </w:pPr>
    <w:rPr>
      <w:rFonts w:eastAsia="Times New Roman" w:cs="Times New Roman"/>
      <w:szCs w:val="24"/>
      <w:lang w:val="en-GB"/>
    </w:rPr>
  </w:style>
  <w:style w:type="paragraph" w:styleId="TOC1">
    <w:name w:val="toc 1"/>
    <w:basedOn w:val="Normal"/>
    <w:next w:val="Normal"/>
    <w:autoRedefine/>
    <w:uiPriority w:val="39"/>
    <w:rsid w:val="00A2055A"/>
    <w:pPr>
      <w:tabs>
        <w:tab w:val="left" w:pos="660"/>
        <w:tab w:val="right" w:leader="dot" w:pos="9350"/>
      </w:tabs>
      <w:spacing w:after="0" w:afterAutospacing="0" w:line="240" w:lineRule="auto"/>
      <w:ind w:left="720" w:right="1710" w:hanging="720"/>
      <w:jc w:val="both"/>
    </w:pPr>
    <w:rPr>
      <w:rFonts w:eastAsia="Times New Roman" w:cs="Times New Roman"/>
      <w:szCs w:val="24"/>
      <w:lang w:val="en-GB"/>
    </w:rPr>
  </w:style>
  <w:style w:type="character" w:customStyle="1" w:styleId="Heading3Char">
    <w:name w:val="Heading 3 Char"/>
    <w:basedOn w:val="DefaultParagraphFont"/>
    <w:link w:val="Heading3"/>
    <w:uiPriority w:val="9"/>
    <w:semiHidden/>
    <w:rsid w:val="006F0810"/>
    <w:rPr>
      <w:rFonts w:asciiTheme="majorHAnsi" w:eastAsiaTheme="majorEastAsia" w:hAnsiTheme="majorHAnsi" w:cstheme="majorBidi"/>
      <w:color w:val="1F3763" w:themeColor="accent1" w:themeShade="7F"/>
      <w:sz w:val="24"/>
      <w:szCs w:val="24"/>
    </w:rPr>
  </w:style>
  <w:style w:type="paragraph" w:styleId="BodyText2">
    <w:name w:val="Body Text 2"/>
    <w:basedOn w:val="Normal"/>
    <w:link w:val="BodyText2Char"/>
    <w:uiPriority w:val="99"/>
    <w:semiHidden/>
    <w:unhideWhenUsed/>
    <w:rsid w:val="006F0810"/>
    <w:pPr>
      <w:spacing w:after="120" w:line="480" w:lineRule="auto"/>
    </w:pPr>
  </w:style>
  <w:style w:type="character" w:customStyle="1" w:styleId="BodyText2Char">
    <w:name w:val="Body Text 2 Char"/>
    <w:basedOn w:val="DefaultParagraphFont"/>
    <w:link w:val="BodyText2"/>
    <w:uiPriority w:val="99"/>
    <w:semiHidden/>
    <w:rsid w:val="006F0810"/>
  </w:style>
  <w:style w:type="table" w:styleId="TableGrid">
    <w:name w:val="Table Grid"/>
    <w:basedOn w:val="TableNormal"/>
    <w:uiPriority w:val="39"/>
    <w:qFormat/>
    <w:rsid w:val="006F08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855C3"/>
    <w:rPr>
      <w:rFonts w:ascii="Times New Roman" w:hAnsi="Times New Roman"/>
      <w:b/>
      <w:color w:val="000000" w:themeColor="text1"/>
      <w:sz w:val="24"/>
      <w:lang w:eastAsia="en-GB"/>
    </w:rPr>
  </w:style>
  <w:style w:type="character" w:customStyle="1" w:styleId="Heading5Char">
    <w:name w:val="Heading 5 Char"/>
    <w:basedOn w:val="DefaultParagraphFont"/>
    <w:link w:val="Heading5"/>
    <w:uiPriority w:val="9"/>
    <w:rsid w:val="006F0810"/>
    <w:rPr>
      <w:rFonts w:asciiTheme="majorHAnsi" w:eastAsiaTheme="majorEastAsia" w:hAnsiTheme="majorHAnsi" w:cstheme="majorBidi"/>
      <w:color w:val="2F5496" w:themeColor="accent1" w:themeShade="BF"/>
      <w:sz w:val="24"/>
      <w:lang w:eastAsia="en-GB"/>
    </w:rPr>
  </w:style>
  <w:style w:type="paragraph" w:styleId="TOC2">
    <w:name w:val="toc 2"/>
    <w:basedOn w:val="Normal"/>
    <w:next w:val="Normal"/>
    <w:autoRedefine/>
    <w:uiPriority w:val="39"/>
    <w:unhideWhenUsed/>
    <w:rsid w:val="00B11A66"/>
    <w:pPr>
      <w:ind w:left="220"/>
    </w:pPr>
  </w:style>
  <w:style w:type="paragraph" w:styleId="Footer">
    <w:name w:val="footer"/>
    <w:basedOn w:val="Normal"/>
    <w:link w:val="FooterChar"/>
    <w:uiPriority w:val="99"/>
    <w:unhideWhenUsed/>
    <w:rsid w:val="003941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4151"/>
  </w:style>
  <w:style w:type="paragraph" w:customStyle="1" w:styleId="paragraph">
    <w:name w:val="paragraph"/>
    <w:basedOn w:val="Normal"/>
    <w:rsid w:val="000D2F57"/>
    <w:pPr>
      <w:spacing w:before="100" w:beforeAutospacing="1" w:line="240" w:lineRule="auto"/>
    </w:pPr>
    <w:rPr>
      <w:rFonts w:eastAsia="Times New Roman" w:cs="Times New Roman"/>
      <w:szCs w:val="24"/>
    </w:rPr>
  </w:style>
  <w:style w:type="character" w:customStyle="1" w:styleId="normaltextrun">
    <w:name w:val="normaltextrun"/>
    <w:basedOn w:val="DefaultParagraphFont"/>
    <w:rsid w:val="000D2F57"/>
  </w:style>
  <w:style w:type="character" w:customStyle="1" w:styleId="eop">
    <w:name w:val="eop"/>
    <w:basedOn w:val="DefaultParagraphFont"/>
    <w:rsid w:val="000D2F57"/>
  </w:style>
  <w:style w:type="character" w:customStyle="1" w:styleId="spellingerror">
    <w:name w:val="spellingerror"/>
    <w:basedOn w:val="DefaultParagraphFont"/>
    <w:rsid w:val="000D2F57"/>
  </w:style>
  <w:style w:type="paragraph" w:styleId="Revision">
    <w:name w:val="Revision"/>
    <w:hidden/>
    <w:uiPriority w:val="99"/>
    <w:semiHidden/>
    <w:rsid w:val="00A2055A"/>
    <w:pPr>
      <w:spacing w:after="0" w:line="240" w:lineRule="auto"/>
    </w:pPr>
    <w:rPr>
      <w:rFonts w:ascii="Times New Roman" w:hAnsi="Times New Roman"/>
      <w:sz w:val="24"/>
      <w:lang w:eastAsia="en-GB"/>
    </w:rPr>
  </w:style>
  <w:style w:type="paragraph" w:customStyle="1" w:styleId="TableHeading-Font10">
    <w:name w:val="Table Heading-Font 10"/>
    <w:next w:val="Normal"/>
    <w:link w:val="TableHeading-Font10Char"/>
    <w:qFormat/>
    <w:rsid w:val="00AC1EE8"/>
    <w:pPr>
      <w:keepNext/>
      <w:keepLines/>
      <w:tabs>
        <w:tab w:val="left" w:pos="1440"/>
      </w:tabs>
      <w:spacing w:before="80" w:after="80" w:line="200" w:lineRule="exact"/>
      <w:jc w:val="center"/>
    </w:pPr>
    <w:rPr>
      <w:rFonts w:ascii="Arial" w:hAnsi="Arial" w:cs="Arial"/>
      <w:b/>
      <w:bCs/>
      <w:kern w:val="32"/>
      <w:sz w:val="20"/>
      <w:szCs w:val="20"/>
    </w:rPr>
  </w:style>
  <w:style w:type="character" w:customStyle="1" w:styleId="TableHeading-Font10Char">
    <w:name w:val="Table Heading-Font 10 Char"/>
    <w:link w:val="TableHeading-Font10"/>
    <w:rsid w:val="00AC1EE8"/>
    <w:rPr>
      <w:rFonts w:ascii="Arial" w:hAnsi="Arial" w:cs="Arial"/>
      <w:b/>
      <w:bCs/>
      <w:kern w:val="32"/>
      <w:sz w:val="20"/>
      <w:szCs w:val="20"/>
    </w:rPr>
  </w:style>
  <w:style w:type="paragraph" w:customStyle="1" w:styleId="TableTextLeft">
    <w:name w:val="Table Text Left"/>
    <w:basedOn w:val="Normal"/>
    <w:link w:val="TableTextLeftChar"/>
    <w:qFormat/>
    <w:rsid w:val="00AC1EE8"/>
    <w:pPr>
      <w:spacing w:before="40" w:after="40" w:afterAutospacing="0" w:line="240" w:lineRule="auto"/>
    </w:pPr>
    <w:rPr>
      <w:rFonts w:ascii="Arial" w:eastAsia="Arial Unicode MS" w:hAnsi="Arial" w:cs="Arial"/>
      <w:iCs/>
      <w:sz w:val="20"/>
      <w:szCs w:val="20"/>
    </w:rPr>
  </w:style>
  <w:style w:type="character" w:customStyle="1" w:styleId="TableTextLeftChar">
    <w:name w:val="Table Text Left Char"/>
    <w:basedOn w:val="DefaultParagraphFont"/>
    <w:link w:val="TableTextLeft"/>
    <w:rsid w:val="00AC1EE8"/>
    <w:rPr>
      <w:rFonts w:ascii="Arial" w:eastAsia="Arial Unicode MS" w:hAnsi="Arial" w:cs="Arial"/>
      <w:iCs/>
      <w:sz w:val="20"/>
      <w:szCs w:val="20"/>
      <w:lang w:eastAsia="en-GB"/>
    </w:rPr>
  </w:style>
  <w:style w:type="paragraph" w:styleId="BodyText">
    <w:name w:val="Body Text"/>
    <w:basedOn w:val="Normal"/>
    <w:link w:val="BodyTextChar"/>
    <w:uiPriority w:val="99"/>
    <w:unhideWhenUsed/>
    <w:rsid w:val="00D75D87"/>
    <w:pPr>
      <w:spacing w:after="120"/>
    </w:pPr>
  </w:style>
  <w:style w:type="character" w:customStyle="1" w:styleId="BodyTextChar">
    <w:name w:val="Body Text Char"/>
    <w:basedOn w:val="DefaultParagraphFont"/>
    <w:link w:val="BodyText"/>
    <w:uiPriority w:val="99"/>
    <w:rsid w:val="00D75D87"/>
    <w:rPr>
      <w:rFonts w:ascii="Times New Roman" w:hAnsi="Times New Roman"/>
      <w:sz w:val="24"/>
      <w:lang w:eastAsia="en-GB"/>
    </w:rPr>
  </w:style>
  <w:style w:type="character" w:styleId="CommentReference">
    <w:name w:val="annotation reference"/>
    <w:basedOn w:val="DefaultParagraphFont"/>
    <w:uiPriority w:val="99"/>
    <w:semiHidden/>
    <w:unhideWhenUsed/>
    <w:rsid w:val="009F4223"/>
    <w:rPr>
      <w:sz w:val="16"/>
      <w:szCs w:val="16"/>
    </w:rPr>
  </w:style>
  <w:style w:type="paragraph" w:styleId="CommentText">
    <w:name w:val="annotation text"/>
    <w:basedOn w:val="Normal"/>
    <w:link w:val="CommentTextChar"/>
    <w:uiPriority w:val="99"/>
    <w:unhideWhenUsed/>
    <w:rsid w:val="009F4223"/>
    <w:pPr>
      <w:widowControl w:val="0"/>
      <w:autoSpaceDE w:val="0"/>
      <w:autoSpaceDN w:val="0"/>
      <w:spacing w:after="0" w:afterAutospacing="0" w:line="240" w:lineRule="auto"/>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9F4223"/>
    <w:rPr>
      <w:rFonts w:ascii="Arial" w:eastAsia="Arial" w:hAnsi="Arial" w:cs="Arial"/>
      <w:sz w:val="20"/>
      <w:szCs w:val="20"/>
    </w:rPr>
  </w:style>
  <w:style w:type="table" w:customStyle="1" w:styleId="TableGrid1">
    <w:name w:val="Table Grid1"/>
    <w:basedOn w:val="TableNormal"/>
    <w:next w:val="TableGrid"/>
    <w:uiPriority w:val="59"/>
    <w:rsid w:val="00493B5B"/>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210D"/>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1B6D13"/>
    <w:pPr>
      <w:spacing w:after="0" w:line="240" w:lineRule="auto"/>
    </w:pPr>
    <w:rPr>
      <w:rFonts w:ascii="Times New Roman" w:eastAsia="Times New Roman" w:hAnsi="Times New Roman" w:cs="Times New Roman"/>
      <w:sz w:val="20"/>
      <w:szCs w:val="20"/>
      <w:lang w:eastAsia="ja-JP"/>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BT1BodyTextI1">
    <w:name w:val="BT1: Body Text I1"/>
    <w:basedOn w:val="BodyText"/>
    <w:link w:val="BT1BodyTextI1Char"/>
    <w:qFormat/>
    <w:rsid w:val="00476A48"/>
    <w:pPr>
      <w:spacing w:before="240" w:after="0" w:afterAutospacing="0" w:line="240" w:lineRule="auto"/>
      <w:jc w:val="both"/>
    </w:pPr>
    <w:rPr>
      <w:rFonts w:ascii="Arial" w:eastAsia="Calibri" w:hAnsi="Arial" w:cs="Arial"/>
      <w:iCs/>
      <w:sz w:val="22"/>
      <w:lang w:eastAsia="en-US"/>
    </w:rPr>
  </w:style>
  <w:style w:type="character" w:customStyle="1" w:styleId="BT1BodyTextI1Char">
    <w:name w:val="BT1: Body Text I1 Char"/>
    <w:basedOn w:val="DefaultParagraphFont"/>
    <w:link w:val="BT1BodyTextI1"/>
    <w:locked/>
    <w:rsid w:val="00476A48"/>
    <w:rPr>
      <w:rFonts w:ascii="Arial" w:eastAsia="Calibri" w:hAnsi="Arial" w:cs="Arial"/>
      <w:iCs/>
    </w:rPr>
  </w:style>
  <w:style w:type="character" w:customStyle="1" w:styleId="ListParagraphChar">
    <w:name w:val="List Paragraph Char"/>
    <w:aliases w:val="Bullet List Char,Bullet List Paragraph Char,Bullet 1 Char,Bullet Char,Title 1 Char,List Paragraph1 Char,Trust List Numbering Char"/>
    <w:link w:val="ListParagraph"/>
    <w:uiPriority w:val="34"/>
    <w:locked/>
    <w:rsid w:val="00EA2539"/>
    <w:rPr>
      <w:rFonts w:ascii="Times New Roman" w:hAnsi="Times New Roman"/>
      <w:sz w:val="24"/>
      <w:lang w:eastAsia="en-GB"/>
    </w:rPr>
  </w:style>
  <w:style w:type="paragraph" w:styleId="Caption">
    <w:name w:val="caption"/>
    <w:aliases w:val="Footnote,Times Roman 10 bold,Char2,Char Char Char Char,Top Caption,1 Tbl Titles,Table Caption,Figure Caption,cerCAPTION,Pg1Title,Char Char Char + Arial,Left,Before:  6 pt,Caption Char1 Char,Fig Tittle,Caption Table, Char Char Char Char,Caption_m"/>
    <w:next w:val="Normal"/>
    <w:link w:val="CaptionChar"/>
    <w:qFormat/>
    <w:rsid w:val="00ED6077"/>
    <w:pPr>
      <w:keepNext/>
      <w:spacing w:before="240" w:after="240" w:line="240" w:lineRule="auto"/>
      <w:ind w:left="1411" w:hanging="1411"/>
    </w:pPr>
    <w:rPr>
      <w:rFonts w:ascii="Arial" w:eastAsia="Times New Roman" w:hAnsi="Arial" w:cs="Arial"/>
      <w:b/>
      <w:bCs/>
      <w:lang w:val="en-AU"/>
    </w:rPr>
  </w:style>
  <w:style w:type="character" w:customStyle="1" w:styleId="CaptionChar">
    <w:name w:val="Caption Char"/>
    <w:aliases w:val="Footnote Char,Times Roman 10 bold Char,Char2 Char,Char Char Char Char Char,Top Caption Char,1 Tbl Titles Char,Table Caption Char,Figure Caption Char,cerCAPTION Char,Pg1Title Char,Char Char Char + Arial Char,Left Char,Before:  6 pt Char"/>
    <w:link w:val="Caption"/>
    <w:qFormat/>
    <w:rsid w:val="00ED6077"/>
    <w:rPr>
      <w:rFonts w:ascii="Arial" w:eastAsia="Times New Roman" w:hAnsi="Arial" w:cs="Arial"/>
      <w:b/>
      <w:bCs/>
      <w:lang w:val="en-AU"/>
    </w:rPr>
  </w:style>
  <w:style w:type="paragraph" w:customStyle="1" w:styleId="Tablefootnotetext">
    <w:name w:val="Table footnote text"/>
    <w:basedOn w:val="Normal"/>
    <w:qFormat/>
    <w:locked/>
    <w:rsid w:val="00ED6077"/>
    <w:pPr>
      <w:spacing w:before="40" w:after="0" w:afterAutospacing="0" w:line="240" w:lineRule="auto"/>
      <w:jc w:val="both"/>
    </w:pPr>
    <w:rPr>
      <w:rFonts w:ascii="Arial" w:eastAsia="Times New Roman" w:hAnsi="Arial" w:cs="Times New Roman"/>
      <w:sz w:val="18"/>
      <w:szCs w:val="16"/>
      <w:lang w:eastAsia="en-US"/>
    </w:rPr>
  </w:style>
  <w:style w:type="paragraph" w:styleId="NormalWeb">
    <w:name w:val="Normal (Web)"/>
    <w:basedOn w:val="Normal"/>
    <w:uiPriority w:val="99"/>
    <w:unhideWhenUsed/>
    <w:rsid w:val="00E11D92"/>
    <w:pPr>
      <w:spacing w:before="100" w:beforeAutospacing="1" w:line="240" w:lineRule="auto"/>
    </w:pPr>
    <w:rPr>
      <w:rFonts w:eastAsia="Times New Roman" w:cs="Times New Roman"/>
      <w:szCs w:val="24"/>
      <w:lang w:eastAsia="en-US"/>
    </w:rPr>
  </w:style>
  <w:style w:type="character" w:styleId="Strong">
    <w:name w:val="Strong"/>
    <w:basedOn w:val="DefaultParagraphFont"/>
    <w:uiPriority w:val="22"/>
    <w:qFormat/>
    <w:rsid w:val="00E11D92"/>
    <w:rPr>
      <w:b/>
      <w:bCs/>
    </w:rPr>
  </w:style>
  <w:style w:type="paragraph" w:customStyle="1" w:styleId="pf0">
    <w:name w:val="pf0"/>
    <w:basedOn w:val="Normal"/>
    <w:rsid w:val="003B70D7"/>
    <w:pPr>
      <w:spacing w:before="100" w:beforeAutospacing="1" w:line="240" w:lineRule="auto"/>
    </w:pPr>
    <w:rPr>
      <w:rFonts w:eastAsia="Times New Roman" w:cs="Times New Roman"/>
      <w:szCs w:val="24"/>
      <w:lang w:val="en-GB"/>
    </w:rPr>
  </w:style>
  <w:style w:type="paragraph" w:styleId="CommentSubject">
    <w:name w:val="annotation subject"/>
    <w:basedOn w:val="CommentText"/>
    <w:next w:val="CommentText"/>
    <w:link w:val="CommentSubjectChar"/>
    <w:uiPriority w:val="99"/>
    <w:semiHidden/>
    <w:unhideWhenUsed/>
    <w:rsid w:val="005B6722"/>
    <w:pPr>
      <w:widowControl/>
      <w:autoSpaceDE/>
      <w:autoSpaceDN/>
      <w:spacing w:after="100" w:afterAutospacing="1"/>
    </w:pPr>
    <w:rPr>
      <w:rFonts w:ascii="Times New Roman" w:eastAsiaTheme="minorHAnsi" w:hAnsi="Times New Roman" w:cstheme="minorBidi"/>
      <w:b/>
      <w:bCs/>
      <w:lang w:eastAsia="en-GB"/>
    </w:rPr>
  </w:style>
  <w:style w:type="character" w:customStyle="1" w:styleId="CommentSubjectChar">
    <w:name w:val="Comment Subject Char"/>
    <w:basedOn w:val="CommentTextChar"/>
    <w:link w:val="CommentSubject"/>
    <w:uiPriority w:val="99"/>
    <w:semiHidden/>
    <w:rsid w:val="005B6722"/>
    <w:rPr>
      <w:rFonts w:ascii="Times New Roman" w:eastAsia="Arial" w:hAnsi="Times New Roman"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69665">
      <w:bodyDiv w:val="1"/>
      <w:marLeft w:val="0"/>
      <w:marRight w:val="0"/>
      <w:marTop w:val="0"/>
      <w:marBottom w:val="0"/>
      <w:divBdr>
        <w:top w:val="none" w:sz="0" w:space="0" w:color="auto"/>
        <w:left w:val="none" w:sz="0" w:space="0" w:color="auto"/>
        <w:bottom w:val="none" w:sz="0" w:space="0" w:color="auto"/>
        <w:right w:val="none" w:sz="0" w:space="0" w:color="auto"/>
      </w:divBdr>
    </w:div>
    <w:div w:id="249705377">
      <w:bodyDiv w:val="1"/>
      <w:marLeft w:val="0"/>
      <w:marRight w:val="0"/>
      <w:marTop w:val="0"/>
      <w:marBottom w:val="0"/>
      <w:divBdr>
        <w:top w:val="none" w:sz="0" w:space="0" w:color="auto"/>
        <w:left w:val="none" w:sz="0" w:space="0" w:color="auto"/>
        <w:bottom w:val="none" w:sz="0" w:space="0" w:color="auto"/>
        <w:right w:val="none" w:sz="0" w:space="0" w:color="auto"/>
      </w:divBdr>
      <w:divsChild>
        <w:div w:id="128595553">
          <w:marLeft w:val="-75"/>
          <w:marRight w:val="0"/>
          <w:marTop w:val="30"/>
          <w:marBottom w:val="30"/>
          <w:divBdr>
            <w:top w:val="none" w:sz="0" w:space="0" w:color="auto"/>
            <w:left w:val="none" w:sz="0" w:space="0" w:color="auto"/>
            <w:bottom w:val="none" w:sz="0" w:space="0" w:color="auto"/>
            <w:right w:val="none" w:sz="0" w:space="0" w:color="auto"/>
          </w:divBdr>
          <w:divsChild>
            <w:div w:id="917984460">
              <w:marLeft w:val="0"/>
              <w:marRight w:val="0"/>
              <w:marTop w:val="0"/>
              <w:marBottom w:val="0"/>
              <w:divBdr>
                <w:top w:val="none" w:sz="0" w:space="0" w:color="auto"/>
                <w:left w:val="none" w:sz="0" w:space="0" w:color="auto"/>
                <w:bottom w:val="none" w:sz="0" w:space="0" w:color="auto"/>
                <w:right w:val="none" w:sz="0" w:space="0" w:color="auto"/>
              </w:divBdr>
              <w:divsChild>
                <w:div w:id="1179350482">
                  <w:marLeft w:val="0"/>
                  <w:marRight w:val="0"/>
                  <w:marTop w:val="0"/>
                  <w:marBottom w:val="0"/>
                  <w:divBdr>
                    <w:top w:val="none" w:sz="0" w:space="0" w:color="auto"/>
                    <w:left w:val="none" w:sz="0" w:space="0" w:color="auto"/>
                    <w:bottom w:val="none" w:sz="0" w:space="0" w:color="auto"/>
                    <w:right w:val="none" w:sz="0" w:space="0" w:color="auto"/>
                  </w:divBdr>
                </w:div>
              </w:divsChild>
            </w:div>
            <w:div w:id="2056469067">
              <w:marLeft w:val="0"/>
              <w:marRight w:val="0"/>
              <w:marTop w:val="0"/>
              <w:marBottom w:val="0"/>
              <w:divBdr>
                <w:top w:val="none" w:sz="0" w:space="0" w:color="auto"/>
                <w:left w:val="none" w:sz="0" w:space="0" w:color="auto"/>
                <w:bottom w:val="none" w:sz="0" w:space="0" w:color="auto"/>
                <w:right w:val="none" w:sz="0" w:space="0" w:color="auto"/>
              </w:divBdr>
              <w:divsChild>
                <w:div w:id="113221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415803">
          <w:marLeft w:val="-75"/>
          <w:marRight w:val="0"/>
          <w:marTop w:val="30"/>
          <w:marBottom w:val="30"/>
          <w:divBdr>
            <w:top w:val="none" w:sz="0" w:space="0" w:color="auto"/>
            <w:left w:val="none" w:sz="0" w:space="0" w:color="auto"/>
            <w:bottom w:val="none" w:sz="0" w:space="0" w:color="auto"/>
            <w:right w:val="none" w:sz="0" w:space="0" w:color="auto"/>
          </w:divBdr>
          <w:divsChild>
            <w:div w:id="2066485939">
              <w:marLeft w:val="0"/>
              <w:marRight w:val="0"/>
              <w:marTop w:val="0"/>
              <w:marBottom w:val="0"/>
              <w:divBdr>
                <w:top w:val="none" w:sz="0" w:space="0" w:color="auto"/>
                <w:left w:val="none" w:sz="0" w:space="0" w:color="auto"/>
                <w:bottom w:val="none" w:sz="0" w:space="0" w:color="auto"/>
                <w:right w:val="none" w:sz="0" w:space="0" w:color="auto"/>
              </w:divBdr>
              <w:divsChild>
                <w:div w:id="834415028">
                  <w:marLeft w:val="0"/>
                  <w:marRight w:val="0"/>
                  <w:marTop w:val="0"/>
                  <w:marBottom w:val="0"/>
                  <w:divBdr>
                    <w:top w:val="none" w:sz="0" w:space="0" w:color="auto"/>
                    <w:left w:val="none" w:sz="0" w:space="0" w:color="auto"/>
                    <w:bottom w:val="none" w:sz="0" w:space="0" w:color="auto"/>
                    <w:right w:val="none" w:sz="0" w:space="0" w:color="auto"/>
                  </w:divBdr>
                </w:div>
              </w:divsChild>
            </w:div>
            <w:div w:id="1539196338">
              <w:marLeft w:val="0"/>
              <w:marRight w:val="0"/>
              <w:marTop w:val="0"/>
              <w:marBottom w:val="0"/>
              <w:divBdr>
                <w:top w:val="none" w:sz="0" w:space="0" w:color="auto"/>
                <w:left w:val="none" w:sz="0" w:space="0" w:color="auto"/>
                <w:bottom w:val="none" w:sz="0" w:space="0" w:color="auto"/>
                <w:right w:val="none" w:sz="0" w:space="0" w:color="auto"/>
              </w:divBdr>
              <w:divsChild>
                <w:div w:id="1488473883">
                  <w:marLeft w:val="0"/>
                  <w:marRight w:val="0"/>
                  <w:marTop w:val="0"/>
                  <w:marBottom w:val="0"/>
                  <w:divBdr>
                    <w:top w:val="none" w:sz="0" w:space="0" w:color="auto"/>
                    <w:left w:val="none" w:sz="0" w:space="0" w:color="auto"/>
                    <w:bottom w:val="none" w:sz="0" w:space="0" w:color="auto"/>
                    <w:right w:val="none" w:sz="0" w:space="0" w:color="auto"/>
                  </w:divBdr>
                </w:div>
              </w:divsChild>
            </w:div>
            <w:div w:id="1404647620">
              <w:marLeft w:val="0"/>
              <w:marRight w:val="0"/>
              <w:marTop w:val="0"/>
              <w:marBottom w:val="0"/>
              <w:divBdr>
                <w:top w:val="none" w:sz="0" w:space="0" w:color="auto"/>
                <w:left w:val="none" w:sz="0" w:space="0" w:color="auto"/>
                <w:bottom w:val="none" w:sz="0" w:space="0" w:color="auto"/>
                <w:right w:val="none" w:sz="0" w:space="0" w:color="auto"/>
              </w:divBdr>
              <w:divsChild>
                <w:div w:id="1408259157">
                  <w:marLeft w:val="0"/>
                  <w:marRight w:val="0"/>
                  <w:marTop w:val="0"/>
                  <w:marBottom w:val="0"/>
                  <w:divBdr>
                    <w:top w:val="none" w:sz="0" w:space="0" w:color="auto"/>
                    <w:left w:val="none" w:sz="0" w:space="0" w:color="auto"/>
                    <w:bottom w:val="none" w:sz="0" w:space="0" w:color="auto"/>
                    <w:right w:val="none" w:sz="0" w:space="0" w:color="auto"/>
                  </w:divBdr>
                </w:div>
              </w:divsChild>
            </w:div>
            <w:div w:id="389231641">
              <w:marLeft w:val="0"/>
              <w:marRight w:val="0"/>
              <w:marTop w:val="0"/>
              <w:marBottom w:val="0"/>
              <w:divBdr>
                <w:top w:val="none" w:sz="0" w:space="0" w:color="auto"/>
                <w:left w:val="none" w:sz="0" w:space="0" w:color="auto"/>
                <w:bottom w:val="none" w:sz="0" w:space="0" w:color="auto"/>
                <w:right w:val="none" w:sz="0" w:space="0" w:color="auto"/>
              </w:divBdr>
              <w:divsChild>
                <w:div w:id="1644890930">
                  <w:marLeft w:val="0"/>
                  <w:marRight w:val="0"/>
                  <w:marTop w:val="0"/>
                  <w:marBottom w:val="0"/>
                  <w:divBdr>
                    <w:top w:val="none" w:sz="0" w:space="0" w:color="auto"/>
                    <w:left w:val="none" w:sz="0" w:space="0" w:color="auto"/>
                    <w:bottom w:val="none" w:sz="0" w:space="0" w:color="auto"/>
                    <w:right w:val="none" w:sz="0" w:space="0" w:color="auto"/>
                  </w:divBdr>
                </w:div>
              </w:divsChild>
            </w:div>
            <w:div w:id="1078329663">
              <w:marLeft w:val="0"/>
              <w:marRight w:val="0"/>
              <w:marTop w:val="0"/>
              <w:marBottom w:val="0"/>
              <w:divBdr>
                <w:top w:val="none" w:sz="0" w:space="0" w:color="auto"/>
                <w:left w:val="none" w:sz="0" w:space="0" w:color="auto"/>
                <w:bottom w:val="none" w:sz="0" w:space="0" w:color="auto"/>
                <w:right w:val="none" w:sz="0" w:space="0" w:color="auto"/>
              </w:divBdr>
              <w:divsChild>
                <w:div w:id="1025328902">
                  <w:marLeft w:val="0"/>
                  <w:marRight w:val="0"/>
                  <w:marTop w:val="0"/>
                  <w:marBottom w:val="0"/>
                  <w:divBdr>
                    <w:top w:val="none" w:sz="0" w:space="0" w:color="auto"/>
                    <w:left w:val="none" w:sz="0" w:space="0" w:color="auto"/>
                    <w:bottom w:val="none" w:sz="0" w:space="0" w:color="auto"/>
                    <w:right w:val="none" w:sz="0" w:space="0" w:color="auto"/>
                  </w:divBdr>
                </w:div>
              </w:divsChild>
            </w:div>
            <w:div w:id="624697569">
              <w:marLeft w:val="0"/>
              <w:marRight w:val="0"/>
              <w:marTop w:val="0"/>
              <w:marBottom w:val="0"/>
              <w:divBdr>
                <w:top w:val="none" w:sz="0" w:space="0" w:color="auto"/>
                <w:left w:val="none" w:sz="0" w:space="0" w:color="auto"/>
                <w:bottom w:val="none" w:sz="0" w:space="0" w:color="auto"/>
                <w:right w:val="none" w:sz="0" w:space="0" w:color="auto"/>
              </w:divBdr>
              <w:divsChild>
                <w:div w:id="131032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746">
          <w:marLeft w:val="-75"/>
          <w:marRight w:val="0"/>
          <w:marTop w:val="30"/>
          <w:marBottom w:val="30"/>
          <w:divBdr>
            <w:top w:val="none" w:sz="0" w:space="0" w:color="auto"/>
            <w:left w:val="none" w:sz="0" w:space="0" w:color="auto"/>
            <w:bottom w:val="none" w:sz="0" w:space="0" w:color="auto"/>
            <w:right w:val="none" w:sz="0" w:space="0" w:color="auto"/>
          </w:divBdr>
          <w:divsChild>
            <w:div w:id="1872062574">
              <w:marLeft w:val="0"/>
              <w:marRight w:val="0"/>
              <w:marTop w:val="0"/>
              <w:marBottom w:val="0"/>
              <w:divBdr>
                <w:top w:val="none" w:sz="0" w:space="0" w:color="auto"/>
                <w:left w:val="none" w:sz="0" w:space="0" w:color="auto"/>
                <w:bottom w:val="none" w:sz="0" w:space="0" w:color="auto"/>
                <w:right w:val="none" w:sz="0" w:space="0" w:color="auto"/>
              </w:divBdr>
              <w:divsChild>
                <w:div w:id="1914316755">
                  <w:marLeft w:val="0"/>
                  <w:marRight w:val="0"/>
                  <w:marTop w:val="0"/>
                  <w:marBottom w:val="0"/>
                  <w:divBdr>
                    <w:top w:val="none" w:sz="0" w:space="0" w:color="auto"/>
                    <w:left w:val="none" w:sz="0" w:space="0" w:color="auto"/>
                    <w:bottom w:val="none" w:sz="0" w:space="0" w:color="auto"/>
                    <w:right w:val="none" w:sz="0" w:space="0" w:color="auto"/>
                  </w:divBdr>
                </w:div>
              </w:divsChild>
            </w:div>
            <w:div w:id="884490579">
              <w:marLeft w:val="0"/>
              <w:marRight w:val="0"/>
              <w:marTop w:val="0"/>
              <w:marBottom w:val="0"/>
              <w:divBdr>
                <w:top w:val="none" w:sz="0" w:space="0" w:color="auto"/>
                <w:left w:val="none" w:sz="0" w:space="0" w:color="auto"/>
                <w:bottom w:val="none" w:sz="0" w:space="0" w:color="auto"/>
                <w:right w:val="none" w:sz="0" w:space="0" w:color="auto"/>
              </w:divBdr>
              <w:divsChild>
                <w:div w:id="1912537773">
                  <w:marLeft w:val="0"/>
                  <w:marRight w:val="0"/>
                  <w:marTop w:val="0"/>
                  <w:marBottom w:val="0"/>
                  <w:divBdr>
                    <w:top w:val="none" w:sz="0" w:space="0" w:color="auto"/>
                    <w:left w:val="none" w:sz="0" w:space="0" w:color="auto"/>
                    <w:bottom w:val="none" w:sz="0" w:space="0" w:color="auto"/>
                    <w:right w:val="none" w:sz="0" w:space="0" w:color="auto"/>
                  </w:divBdr>
                </w:div>
              </w:divsChild>
            </w:div>
            <w:div w:id="464079113">
              <w:marLeft w:val="0"/>
              <w:marRight w:val="0"/>
              <w:marTop w:val="0"/>
              <w:marBottom w:val="0"/>
              <w:divBdr>
                <w:top w:val="none" w:sz="0" w:space="0" w:color="auto"/>
                <w:left w:val="none" w:sz="0" w:space="0" w:color="auto"/>
                <w:bottom w:val="none" w:sz="0" w:space="0" w:color="auto"/>
                <w:right w:val="none" w:sz="0" w:space="0" w:color="auto"/>
              </w:divBdr>
              <w:divsChild>
                <w:div w:id="987977224">
                  <w:marLeft w:val="0"/>
                  <w:marRight w:val="0"/>
                  <w:marTop w:val="0"/>
                  <w:marBottom w:val="0"/>
                  <w:divBdr>
                    <w:top w:val="none" w:sz="0" w:space="0" w:color="auto"/>
                    <w:left w:val="none" w:sz="0" w:space="0" w:color="auto"/>
                    <w:bottom w:val="none" w:sz="0" w:space="0" w:color="auto"/>
                    <w:right w:val="none" w:sz="0" w:space="0" w:color="auto"/>
                  </w:divBdr>
                </w:div>
              </w:divsChild>
            </w:div>
            <w:div w:id="1346051260">
              <w:marLeft w:val="0"/>
              <w:marRight w:val="0"/>
              <w:marTop w:val="0"/>
              <w:marBottom w:val="0"/>
              <w:divBdr>
                <w:top w:val="none" w:sz="0" w:space="0" w:color="auto"/>
                <w:left w:val="none" w:sz="0" w:space="0" w:color="auto"/>
                <w:bottom w:val="none" w:sz="0" w:space="0" w:color="auto"/>
                <w:right w:val="none" w:sz="0" w:space="0" w:color="auto"/>
              </w:divBdr>
              <w:divsChild>
                <w:div w:id="26420329">
                  <w:marLeft w:val="0"/>
                  <w:marRight w:val="0"/>
                  <w:marTop w:val="0"/>
                  <w:marBottom w:val="0"/>
                  <w:divBdr>
                    <w:top w:val="none" w:sz="0" w:space="0" w:color="auto"/>
                    <w:left w:val="none" w:sz="0" w:space="0" w:color="auto"/>
                    <w:bottom w:val="none" w:sz="0" w:space="0" w:color="auto"/>
                    <w:right w:val="none" w:sz="0" w:space="0" w:color="auto"/>
                  </w:divBdr>
                </w:div>
              </w:divsChild>
            </w:div>
            <w:div w:id="1210919536">
              <w:marLeft w:val="0"/>
              <w:marRight w:val="0"/>
              <w:marTop w:val="0"/>
              <w:marBottom w:val="0"/>
              <w:divBdr>
                <w:top w:val="none" w:sz="0" w:space="0" w:color="auto"/>
                <w:left w:val="none" w:sz="0" w:space="0" w:color="auto"/>
                <w:bottom w:val="none" w:sz="0" w:space="0" w:color="auto"/>
                <w:right w:val="none" w:sz="0" w:space="0" w:color="auto"/>
              </w:divBdr>
              <w:divsChild>
                <w:div w:id="2030059349">
                  <w:marLeft w:val="0"/>
                  <w:marRight w:val="0"/>
                  <w:marTop w:val="0"/>
                  <w:marBottom w:val="0"/>
                  <w:divBdr>
                    <w:top w:val="none" w:sz="0" w:space="0" w:color="auto"/>
                    <w:left w:val="none" w:sz="0" w:space="0" w:color="auto"/>
                    <w:bottom w:val="none" w:sz="0" w:space="0" w:color="auto"/>
                    <w:right w:val="none" w:sz="0" w:space="0" w:color="auto"/>
                  </w:divBdr>
                </w:div>
              </w:divsChild>
            </w:div>
            <w:div w:id="1357733921">
              <w:marLeft w:val="0"/>
              <w:marRight w:val="0"/>
              <w:marTop w:val="0"/>
              <w:marBottom w:val="0"/>
              <w:divBdr>
                <w:top w:val="none" w:sz="0" w:space="0" w:color="auto"/>
                <w:left w:val="none" w:sz="0" w:space="0" w:color="auto"/>
                <w:bottom w:val="none" w:sz="0" w:space="0" w:color="auto"/>
                <w:right w:val="none" w:sz="0" w:space="0" w:color="auto"/>
              </w:divBdr>
              <w:divsChild>
                <w:div w:id="579295577">
                  <w:marLeft w:val="0"/>
                  <w:marRight w:val="0"/>
                  <w:marTop w:val="0"/>
                  <w:marBottom w:val="0"/>
                  <w:divBdr>
                    <w:top w:val="none" w:sz="0" w:space="0" w:color="auto"/>
                    <w:left w:val="none" w:sz="0" w:space="0" w:color="auto"/>
                    <w:bottom w:val="none" w:sz="0" w:space="0" w:color="auto"/>
                    <w:right w:val="none" w:sz="0" w:space="0" w:color="auto"/>
                  </w:divBdr>
                </w:div>
              </w:divsChild>
            </w:div>
            <w:div w:id="566571676">
              <w:marLeft w:val="0"/>
              <w:marRight w:val="0"/>
              <w:marTop w:val="0"/>
              <w:marBottom w:val="0"/>
              <w:divBdr>
                <w:top w:val="none" w:sz="0" w:space="0" w:color="auto"/>
                <w:left w:val="none" w:sz="0" w:space="0" w:color="auto"/>
                <w:bottom w:val="none" w:sz="0" w:space="0" w:color="auto"/>
                <w:right w:val="none" w:sz="0" w:space="0" w:color="auto"/>
              </w:divBdr>
              <w:divsChild>
                <w:div w:id="2117483074">
                  <w:marLeft w:val="0"/>
                  <w:marRight w:val="0"/>
                  <w:marTop w:val="0"/>
                  <w:marBottom w:val="0"/>
                  <w:divBdr>
                    <w:top w:val="none" w:sz="0" w:space="0" w:color="auto"/>
                    <w:left w:val="none" w:sz="0" w:space="0" w:color="auto"/>
                    <w:bottom w:val="none" w:sz="0" w:space="0" w:color="auto"/>
                    <w:right w:val="none" w:sz="0" w:space="0" w:color="auto"/>
                  </w:divBdr>
                </w:div>
              </w:divsChild>
            </w:div>
            <w:div w:id="845829873">
              <w:marLeft w:val="0"/>
              <w:marRight w:val="0"/>
              <w:marTop w:val="0"/>
              <w:marBottom w:val="0"/>
              <w:divBdr>
                <w:top w:val="none" w:sz="0" w:space="0" w:color="auto"/>
                <w:left w:val="none" w:sz="0" w:space="0" w:color="auto"/>
                <w:bottom w:val="none" w:sz="0" w:space="0" w:color="auto"/>
                <w:right w:val="none" w:sz="0" w:space="0" w:color="auto"/>
              </w:divBdr>
              <w:divsChild>
                <w:div w:id="666635066">
                  <w:marLeft w:val="0"/>
                  <w:marRight w:val="0"/>
                  <w:marTop w:val="0"/>
                  <w:marBottom w:val="0"/>
                  <w:divBdr>
                    <w:top w:val="none" w:sz="0" w:space="0" w:color="auto"/>
                    <w:left w:val="none" w:sz="0" w:space="0" w:color="auto"/>
                    <w:bottom w:val="none" w:sz="0" w:space="0" w:color="auto"/>
                    <w:right w:val="none" w:sz="0" w:space="0" w:color="auto"/>
                  </w:divBdr>
                </w:div>
              </w:divsChild>
            </w:div>
            <w:div w:id="524947968">
              <w:marLeft w:val="0"/>
              <w:marRight w:val="0"/>
              <w:marTop w:val="0"/>
              <w:marBottom w:val="0"/>
              <w:divBdr>
                <w:top w:val="none" w:sz="0" w:space="0" w:color="auto"/>
                <w:left w:val="none" w:sz="0" w:space="0" w:color="auto"/>
                <w:bottom w:val="none" w:sz="0" w:space="0" w:color="auto"/>
                <w:right w:val="none" w:sz="0" w:space="0" w:color="auto"/>
              </w:divBdr>
              <w:divsChild>
                <w:div w:id="1926304710">
                  <w:marLeft w:val="0"/>
                  <w:marRight w:val="0"/>
                  <w:marTop w:val="0"/>
                  <w:marBottom w:val="0"/>
                  <w:divBdr>
                    <w:top w:val="none" w:sz="0" w:space="0" w:color="auto"/>
                    <w:left w:val="none" w:sz="0" w:space="0" w:color="auto"/>
                    <w:bottom w:val="none" w:sz="0" w:space="0" w:color="auto"/>
                    <w:right w:val="none" w:sz="0" w:space="0" w:color="auto"/>
                  </w:divBdr>
                </w:div>
              </w:divsChild>
            </w:div>
            <w:div w:id="38630642">
              <w:marLeft w:val="0"/>
              <w:marRight w:val="0"/>
              <w:marTop w:val="0"/>
              <w:marBottom w:val="0"/>
              <w:divBdr>
                <w:top w:val="none" w:sz="0" w:space="0" w:color="auto"/>
                <w:left w:val="none" w:sz="0" w:space="0" w:color="auto"/>
                <w:bottom w:val="none" w:sz="0" w:space="0" w:color="auto"/>
                <w:right w:val="none" w:sz="0" w:space="0" w:color="auto"/>
              </w:divBdr>
              <w:divsChild>
                <w:div w:id="475875820">
                  <w:marLeft w:val="0"/>
                  <w:marRight w:val="0"/>
                  <w:marTop w:val="0"/>
                  <w:marBottom w:val="0"/>
                  <w:divBdr>
                    <w:top w:val="none" w:sz="0" w:space="0" w:color="auto"/>
                    <w:left w:val="none" w:sz="0" w:space="0" w:color="auto"/>
                    <w:bottom w:val="none" w:sz="0" w:space="0" w:color="auto"/>
                    <w:right w:val="none" w:sz="0" w:space="0" w:color="auto"/>
                  </w:divBdr>
                </w:div>
              </w:divsChild>
            </w:div>
            <w:div w:id="1992756805">
              <w:marLeft w:val="0"/>
              <w:marRight w:val="0"/>
              <w:marTop w:val="0"/>
              <w:marBottom w:val="0"/>
              <w:divBdr>
                <w:top w:val="none" w:sz="0" w:space="0" w:color="auto"/>
                <w:left w:val="none" w:sz="0" w:space="0" w:color="auto"/>
                <w:bottom w:val="none" w:sz="0" w:space="0" w:color="auto"/>
                <w:right w:val="none" w:sz="0" w:space="0" w:color="auto"/>
              </w:divBdr>
              <w:divsChild>
                <w:div w:id="613443441">
                  <w:marLeft w:val="0"/>
                  <w:marRight w:val="0"/>
                  <w:marTop w:val="0"/>
                  <w:marBottom w:val="0"/>
                  <w:divBdr>
                    <w:top w:val="none" w:sz="0" w:space="0" w:color="auto"/>
                    <w:left w:val="none" w:sz="0" w:space="0" w:color="auto"/>
                    <w:bottom w:val="none" w:sz="0" w:space="0" w:color="auto"/>
                    <w:right w:val="none" w:sz="0" w:space="0" w:color="auto"/>
                  </w:divBdr>
                </w:div>
              </w:divsChild>
            </w:div>
            <w:div w:id="1964921799">
              <w:marLeft w:val="0"/>
              <w:marRight w:val="0"/>
              <w:marTop w:val="0"/>
              <w:marBottom w:val="0"/>
              <w:divBdr>
                <w:top w:val="none" w:sz="0" w:space="0" w:color="auto"/>
                <w:left w:val="none" w:sz="0" w:space="0" w:color="auto"/>
                <w:bottom w:val="none" w:sz="0" w:space="0" w:color="auto"/>
                <w:right w:val="none" w:sz="0" w:space="0" w:color="auto"/>
              </w:divBdr>
              <w:divsChild>
                <w:div w:id="1816951156">
                  <w:marLeft w:val="0"/>
                  <w:marRight w:val="0"/>
                  <w:marTop w:val="0"/>
                  <w:marBottom w:val="0"/>
                  <w:divBdr>
                    <w:top w:val="none" w:sz="0" w:space="0" w:color="auto"/>
                    <w:left w:val="none" w:sz="0" w:space="0" w:color="auto"/>
                    <w:bottom w:val="none" w:sz="0" w:space="0" w:color="auto"/>
                    <w:right w:val="none" w:sz="0" w:space="0" w:color="auto"/>
                  </w:divBdr>
                </w:div>
              </w:divsChild>
            </w:div>
            <w:div w:id="1397246530">
              <w:marLeft w:val="0"/>
              <w:marRight w:val="0"/>
              <w:marTop w:val="0"/>
              <w:marBottom w:val="0"/>
              <w:divBdr>
                <w:top w:val="none" w:sz="0" w:space="0" w:color="auto"/>
                <w:left w:val="none" w:sz="0" w:space="0" w:color="auto"/>
                <w:bottom w:val="none" w:sz="0" w:space="0" w:color="auto"/>
                <w:right w:val="none" w:sz="0" w:space="0" w:color="auto"/>
              </w:divBdr>
              <w:divsChild>
                <w:div w:id="203560750">
                  <w:marLeft w:val="0"/>
                  <w:marRight w:val="0"/>
                  <w:marTop w:val="0"/>
                  <w:marBottom w:val="0"/>
                  <w:divBdr>
                    <w:top w:val="none" w:sz="0" w:space="0" w:color="auto"/>
                    <w:left w:val="none" w:sz="0" w:space="0" w:color="auto"/>
                    <w:bottom w:val="none" w:sz="0" w:space="0" w:color="auto"/>
                    <w:right w:val="none" w:sz="0" w:space="0" w:color="auto"/>
                  </w:divBdr>
                </w:div>
              </w:divsChild>
            </w:div>
            <w:div w:id="2023897475">
              <w:marLeft w:val="0"/>
              <w:marRight w:val="0"/>
              <w:marTop w:val="0"/>
              <w:marBottom w:val="0"/>
              <w:divBdr>
                <w:top w:val="none" w:sz="0" w:space="0" w:color="auto"/>
                <w:left w:val="none" w:sz="0" w:space="0" w:color="auto"/>
                <w:bottom w:val="none" w:sz="0" w:space="0" w:color="auto"/>
                <w:right w:val="none" w:sz="0" w:space="0" w:color="auto"/>
              </w:divBdr>
              <w:divsChild>
                <w:div w:id="1854417376">
                  <w:marLeft w:val="0"/>
                  <w:marRight w:val="0"/>
                  <w:marTop w:val="0"/>
                  <w:marBottom w:val="0"/>
                  <w:divBdr>
                    <w:top w:val="none" w:sz="0" w:space="0" w:color="auto"/>
                    <w:left w:val="none" w:sz="0" w:space="0" w:color="auto"/>
                    <w:bottom w:val="none" w:sz="0" w:space="0" w:color="auto"/>
                    <w:right w:val="none" w:sz="0" w:space="0" w:color="auto"/>
                  </w:divBdr>
                </w:div>
              </w:divsChild>
            </w:div>
            <w:div w:id="104935105">
              <w:marLeft w:val="0"/>
              <w:marRight w:val="0"/>
              <w:marTop w:val="0"/>
              <w:marBottom w:val="0"/>
              <w:divBdr>
                <w:top w:val="none" w:sz="0" w:space="0" w:color="auto"/>
                <w:left w:val="none" w:sz="0" w:space="0" w:color="auto"/>
                <w:bottom w:val="none" w:sz="0" w:space="0" w:color="auto"/>
                <w:right w:val="none" w:sz="0" w:space="0" w:color="auto"/>
              </w:divBdr>
              <w:divsChild>
                <w:div w:id="1998726010">
                  <w:marLeft w:val="0"/>
                  <w:marRight w:val="0"/>
                  <w:marTop w:val="0"/>
                  <w:marBottom w:val="0"/>
                  <w:divBdr>
                    <w:top w:val="none" w:sz="0" w:space="0" w:color="auto"/>
                    <w:left w:val="none" w:sz="0" w:space="0" w:color="auto"/>
                    <w:bottom w:val="none" w:sz="0" w:space="0" w:color="auto"/>
                    <w:right w:val="none" w:sz="0" w:space="0" w:color="auto"/>
                  </w:divBdr>
                </w:div>
              </w:divsChild>
            </w:div>
            <w:div w:id="1294407883">
              <w:marLeft w:val="0"/>
              <w:marRight w:val="0"/>
              <w:marTop w:val="0"/>
              <w:marBottom w:val="0"/>
              <w:divBdr>
                <w:top w:val="none" w:sz="0" w:space="0" w:color="auto"/>
                <w:left w:val="none" w:sz="0" w:space="0" w:color="auto"/>
                <w:bottom w:val="none" w:sz="0" w:space="0" w:color="auto"/>
                <w:right w:val="none" w:sz="0" w:space="0" w:color="auto"/>
              </w:divBdr>
              <w:divsChild>
                <w:div w:id="1145204138">
                  <w:marLeft w:val="0"/>
                  <w:marRight w:val="0"/>
                  <w:marTop w:val="0"/>
                  <w:marBottom w:val="0"/>
                  <w:divBdr>
                    <w:top w:val="none" w:sz="0" w:space="0" w:color="auto"/>
                    <w:left w:val="none" w:sz="0" w:space="0" w:color="auto"/>
                    <w:bottom w:val="none" w:sz="0" w:space="0" w:color="auto"/>
                    <w:right w:val="none" w:sz="0" w:space="0" w:color="auto"/>
                  </w:divBdr>
                </w:div>
              </w:divsChild>
            </w:div>
            <w:div w:id="112097695">
              <w:marLeft w:val="0"/>
              <w:marRight w:val="0"/>
              <w:marTop w:val="0"/>
              <w:marBottom w:val="0"/>
              <w:divBdr>
                <w:top w:val="none" w:sz="0" w:space="0" w:color="auto"/>
                <w:left w:val="none" w:sz="0" w:space="0" w:color="auto"/>
                <w:bottom w:val="none" w:sz="0" w:space="0" w:color="auto"/>
                <w:right w:val="none" w:sz="0" w:space="0" w:color="auto"/>
              </w:divBdr>
              <w:divsChild>
                <w:div w:id="552430149">
                  <w:marLeft w:val="0"/>
                  <w:marRight w:val="0"/>
                  <w:marTop w:val="0"/>
                  <w:marBottom w:val="0"/>
                  <w:divBdr>
                    <w:top w:val="none" w:sz="0" w:space="0" w:color="auto"/>
                    <w:left w:val="none" w:sz="0" w:space="0" w:color="auto"/>
                    <w:bottom w:val="none" w:sz="0" w:space="0" w:color="auto"/>
                    <w:right w:val="none" w:sz="0" w:space="0" w:color="auto"/>
                  </w:divBdr>
                </w:div>
              </w:divsChild>
            </w:div>
            <w:div w:id="1350180227">
              <w:marLeft w:val="0"/>
              <w:marRight w:val="0"/>
              <w:marTop w:val="0"/>
              <w:marBottom w:val="0"/>
              <w:divBdr>
                <w:top w:val="none" w:sz="0" w:space="0" w:color="auto"/>
                <w:left w:val="none" w:sz="0" w:space="0" w:color="auto"/>
                <w:bottom w:val="none" w:sz="0" w:space="0" w:color="auto"/>
                <w:right w:val="none" w:sz="0" w:space="0" w:color="auto"/>
              </w:divBdr>
              <w:divsChild>
                <w:div w:id="1827166613">
                  <w:marLeft w:val="0"/>
                  <w:marRight w:val="0"/>
                  <w:marTop w:val="0"/>
                  <w:marBottom w:val="0"/>
                  <w:divBdr>
                    <w:top w:val="none" w:sz="0" w:space="0" w:color="auto"/>
                    <w:left w:val="none" w:sz="0" w:space="0" w:color="auto"/>
                    <w:bottom w:val="none" w:sz="0" w:space="0" w:color="auto"/>
                    <w:right w:val="none" w:sz="0" w:space="0" w:color="auto"/>
                  </w:divBdr>
                </w:div>
              </w:divsChild>
            </w:div>
            <w:div w:id="1931500434">
              <w:marLeft w:val="0"/>
              <w:marRight w:val="0"/>
              <w:marTop w:val="0"/>
              <w:marBottom w:val="0"/>
              <w:divBdr>
                <w:top w:val="none" w:sz="0" w:space="0" w:color="auto"/>
                <w:left w:val="none" w:sz="0" w:space="0" w:color="auto"/>
                <w:bottom w:val="none" w:sz="0" w:space="0" w:color="auto"/>
                <w:right w:val="none" w:sz="0" w:space="0" w:color="auto"/>
              </w:divBdr>
              <w:divsChild>
                <w:div w:id="707410190">
                  <w:marLeft w:val="0"/>
                  <w:marRight w:val="0"/>
                  <w:marTop w:val="0"/>
                  <w:marBottom w:val="0"/>
                  <w:divBdr>
                    <w:top w:val="none" w:sz="0" w:space="0" w:color="auto"/>
                    <w:left w:val="none" w:sz="0" w:space="0" w:color="auto"/>
                    <w:bottom w:val="none" w:sz="0" w:space="0" w:color="auto"/>
                    <w:right w:val="none" w:sz="0" w:space="0" w:color="auto"/>
                  </w:divBdr>
                </w:div>
              </w:divsChild>
            </w:div>
            <w:div w:id="1453288444">
              <w:marLeft w:val="0"/>
              <w:marRight w:val="0"/>
              <w:marTop w:val="0"/>
              <w:marBottom w:val="0"/>
              <w:divBdr>
                <w:top w:val="none" w:sz="0" w:space="0" w:color="auto"/>
                <w:left w:val="none" w:sz="0" w:space="0" w:color="auto"/>
                <w:bottom w:val="none" w:sz="0" w:space="0" w:color="auto"/>
                <w:right w:val="none" w:sz="0" w:space="0" w:color="auto"/>
              </w:divBdr>
              <w:divsChild>
                <w:div w:id="62234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91021">
      <w:bodyDiv w:val="1"/>
      <w:marLeft w:val="0"/>
      <w:marRight w:val="0"/>
      <w:marTop w:val="0"/>
      <w:marBottom w:val="0"/>
      <w:divBdr>
        <w:top w:val="none" w:sz="0" w:space="0" w:color="auto"/>
        <w:left w:val="none" w:sz="0" w:space="0" w:color="auto"/>
        <w:bottom w:val="none" w:sz="0" w:space="0" w:color="auto"/>
        <w:right w:val="none" w:sz="0" w:space="0" w:color="auto"/>
      </w:divBdr>
    </w:div>
    <w:div w:id="357781500">
      <w:bodyDiv w:val="1"/>
      <w:marLeft w:val="0"/>
      <w:marRight w:val="0"/>
      <w:marTop w:val="0"/>
      <w:marBottom w:val="0"/>
      <w:divBdr>
        <w:top w:val="none" w:sz="0" w:space="0" w:color="auto"/>
        <w:left w:val="none" w:sz="0" w:space="0" w:color="auto"/>
        <w:bottom w:val="none" w:sz="0" w:space="0" w:color="auto"/>
        <w:right w:val="none" w:sz="0" w:space="0" w:color="auto"/>
      </w:divBdr>
    </w:div>
    <w:div w:id="410398333">
      <w:bodyDiv w:val="1"/>
      <w:marLeft w:val="0"/>
      <w:marRight w:val="0"/>
      <w:marTop w:val="0"/>
      <w:marBottom w:val="0"/>
      <w:divBdr>
        <w:top w:val="none" w:sz="0" w:space="0" w:color="auto"/>
        <w:left w:val="none" w:sz="0" w:space="0" w:color="auto"/>
        <w:bottom w:val="none" w:sz="0" w:space="0" w:color="auto"/>
        <w:right w:val="none" w:sz="0" w:space="0" w:color="auto"/>
      </w:divBdr>
    </w:div>
    <w:div w:id="516499836">
      <w:bodyDiv w:val="1"/>
      <w:marLeft w:val="0"/>
      <w:marRight w:val="0"/>
      <w:marTop w:val="0"/>
      <w:marBottom w:val="0"/>
      <w:divBdr>
        <w:top w:val="none" w:sz="0" w:space="0" w:color="auto"/>
        <w:left w:val="none" w:sz="0" w:space="0" w:color="auto"/>
        <w:bottom w:val="none" w:sz="0" w:space="0" w:color="auto"/>
        <w:right w:val="none" w:sz="0" w:space="0" w:color="auto"/>
      </w:divBdr>
    </w:div>
    <w:div w:id="703794608">
      <w:bodyDiv w:val="1"/>
      <w:marLeft w:val="0"/>
      <w:marRight w:val="0"/>
      <w:marTop w:val="0"/>
      <w:marBottom w:val="0"/>
      <w:divBdr>
        <w:top w:val="none" w:sz="0" w:space="0" w:color="auto"/>
        <w:left w:val="none" w:sz="0" w:space="0" w:color="auto"/>
        <w:bottom w:val="none" w:sz="0" w:space="0" w:color="auto"/>
        <w:right w:val="none" w:sz="0" w:space="0" w:color="auto"/>
      </w:divBdr>
    </w:div>
    <w:div w:id="713623555">
      <w:bodyDiv w:val="1"/>
      <w:marLeft w:val="0"/>
      <w:marRight w:val="0"/>
      <w:marTop w:val="0"/>
      <w:marBottom w:val="0"/>
      <w:divBdr>
        <w:top w:val="none" w:sz="0" w:space="0" w:color="auto"/>
        <w:left w:val="none" w:sz="0" w:space="0" w:color="auto"/>
        <w:bottom w:val="none" w:sz="0" w:space="0" w:color="auto"/>
        <w:right w:val="none" w:sz="0" w:space="0" w:color="auto"/>
      </w:divBdr>
    </w:div>
    <w:div w:id="760569569">
      <w:bodyDiv w:val="1"/>
      <w:marLeft w:val="0"/>
      <w:marRight w:val="0"/>
      <w:marTop w:val="0"/>
      <w:marBottom w:val="0"/>
      <w:divBdr>
        <w:top w:val="none" w:sz="0" w:space="0" w:color="auto"/>
        <w:left w:val="none" w:sz="0" w:space="0" w:color="auto"/>
        <w:bottom w:val="none" w:sz="0" w:space="0" w:color="auto"/>
        <w:right w:val="none" w:sz="0" w:space="0" w:color="auto"/>
      </w:divBdr>
    </w:div>
    <w:div w:id="1062099580">
      <w:bodyDiv w:val="1"/>
      <w:marLeft w:val="0"/>
      <w:marRight w:val="0"/>
      <w:marTop w:val="0"/>
      <w:marBottom w:val="0"/>
      <w:divBdr>
        <w:top w:val="none" w:sz="0" w:space="0" w:color="auto"/>
        <w:left w:val="none" w:sz="0" w:space="0" w:color="auto"/>
        <w:bottom w:val="none" w:sz="0" w:space="0" w:color="auto"/>
        <w:right w:val="none" w:sz="0" w:space="0" w:color="auto"/>
      </w:divBdr>
    </w:div>
    <w:div w:id="1089739924">
      <w:bodyDiv w:val="1"/>
      <w:marLeft w:val="0"/>
      <w:marRight w:val="0"/>
      <w:marTop w:val="0"/>
      <w:marBottom w:val="0"/>
      <w:divBdr>
        <w:top w:val="none" w:sz="0" w:space="0" w:color="auto"/>
        <w:left w:val="none" w:sz="0" w:space="0" w:color="auto"/>
        <w:bottom w:val="none" w:sz="0" w:space="0" w:color="auto"/>
        <w:right w:val="none" w:sz="0" w:space="0" w:color="auto"/>
      </w:divBdr>
    </w:div>
    <w:div w:id="1100954022">
      <w:bodyDiv w:val="1"/>
      <w:marLeft w:val="0"/>
      <w:marRight w:val="0"/>
      <w:marTop w:val="0"/>
      <w:marBottom w:val="0"/>
      <w:divBdr>
        <w:top w:val="none" w:sz="0" w:space="0" w:color="auto"/>
        <w:left w:val="none" w:sz="0" w:space="0" w:color="auto"/>
        <w:bottom w:val="none" w:sz="0" w:space="0" w:color="auto"/>
        <w:right w:val="none" w:sz="0" w:space="0" w:color="auto"/>
      </w:divBdr>
    </w:div>
    <w:div w:id="1205286823">
      <w:bodyDiv w:val="1"/>
      <w:marLeft w:val="0"/>
      <w:marRight w:val="0"/>
      <w:marTop w:val="0"/>
      <w:marBottom w:val="0"/>
      <w:divBdr>
        <w:top w:val="none" w:sz="0" w:space="0" w:color="auto"/>
        <w:left w:val="none" w:sz="0" w:space="0" w:color="auto"/>
        <w:bottom w:val="none" w:sz="0" w:space="0" w:color="auto"/>
        <w:right w:val="none" w:sz="0" w:space="0" w:color="auto"/>
      </w:divBdr>
    </w:div>
    <w:div w:id="1216744114">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88150971">
      <w:bodyDiv w:val="1"/>
      <w:marLeft w:val="0"/>
      <w:marRight w:val="0"/>
      <w:marTop w:val="0"/>
      <w:marBottom w:val="0"/>
      <w:divBdr>
        <w:top w:val="none" w:sz="0" w:space="0" w:color="auto"/>
        <w:left w:val="none" w:sz="0" w:space="0" w:color="auto"/>
        <w:bottom w:val="none" w:sz="0" w:space="0" w:color="auto"/>
        <w:right w:val="none" w:sz="0" w:space="0" w:color="auto"/>
      </w:divBdr>
    </w:div>
    <w:div w:id="1632133531">
      <w:bodyDiv w:val="1"/>
      <w:marLeft w:val="0"/>
      <w:marRight w:val="0"/>
      <w:marTop w:val="0"/>
      <w:marBottom w:val="0"/>
      <w:divBdr>
        <w:top w:val="none" w:sz="0" w:space="0" w:color="auto"/>
        <w:left w:val="none" w:sz="0" w:space="0" w:color="auto"/>
        <w:bottom w:val="none" w:sz="0" w:space="0" w:color="auto"/>
        <w:right w:val="none" w:sz="0" w:space="0" w:color="auto"/>
      </w:divBdr>
    </w:div>
    <w:div w:id="1669013527">
      <w:bodyDiv w:val="1"/>
      <w:marLeft w:val="0"/>
      <w:marRight w:val="0"/>
      <w:marTop w:val="0"/>
      <w:marBottom w:val="0"/>
      <w:divBdr>
        <w:top w:val="none" w:sz="0" w:space="0" w:color="auto"/>
        <w:left w:val="none" w:sz="0" w:space="0" w:color="auto"/>
        <w:bottom w:val="none" w:sz="0" w:space="0" w:color="auto"/>
        <w:right w:val="none" w:sz="0" w:space="0" w:color="auto"/>
      </w:divBdr>
    </w:div>
    <w:div w:id="1721393490">
      <w:bodyDiv w:val="1"/>
      <w:marLeft w:val="0"/>
      <w:marRight w:val="0"/>
      <w:marTop w:val="0"/>
      <w:marBottom w:val="0"/>
      <w:divBdr>
        <w:top w:val="none" w:sz="0" w:space="0" w:color="auto"/>
        <w:left w:val="none" w:sz="0" w:space="0" w:color="auto"/>
        <w:bottom w:val="none" w:sz="0" w:space="0" w:color="auto"/>
        <w:right w:val="none" w:sz="0" w:space="0" w:color="auto"/>
      </w:divBdr>
    </w:div>
    <w:div w:id="17688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sigroup.com" TargetMode="External"/><Relationship Id="rId18" Type="http://schemas.openxmlformats.org/officeDocument/2006/relationships/hyperlink" Target="https://www.astm.org/Standards/F2096.htm" TargetMode="External"/><Relationship Id="rId26" Type="http://schemas.openxmlformats.org/officeDocument/2006/relationships/hyperlink" Target="https://www.astm.org/Standards/F88.htm" TargetMode="External"/><Relationship Id="rId3" Type="http://schemas.openxmlformats.org/officeDocument/2006/relationships/customXml" Target="../customXml/item3.xml"/><Relationship Id="rId21" Type="http://schemas.openxmlformats.org/officeDocument/2006/relationships/hyperlink" Target="https://www.astm.org/Standards/F1929.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mergoVigilance@ul.com" TargetMode="External"/><Relationship Id="rId17" Type="http://schemas.openxmlformats.org/officeDocument/2006/relationships/hyperlink" Target="https://www.astm.org/Standards/F2096.htm" TargetMode="External"/><Relationship Id="rId25" Type="http://schemas.openxmlformats.org/officeDocument/2006/relationships/hyperlink" Target="https://www.astm.org/Standards/F88.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stm.org/Standards/F2096.htm" TargetMode="External"/><Relationship Id="rId20" Type="http://schemas.openxmlformats.org/officeDocument/2006/relationships/hyperlink" Target="https://www.astm.org/Standards/F1929.htm" TargetMode="External"/><Relationship Id="rId29" Type="http://schemas.openxmlformats.org/officeDocument/2006/relationships/hyperlink" Target="https://www.astm.org/Standards/F1980.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Compliance@argonmedical.com" TargetMode="External"/><Relationship Id="rId24" Type="http://schemas.openxmlformats.org/officeDocument/2006/relationships/hyperlink" Target="https://www.astm.org/Standards/F88.htm"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stm.org/Standards/D4169.htm" TargetMode="External"/><Relationship Id="rId23" Type="http://schemas.openxmlformats.org/officeDocument/2006/relationships/hyperlink" Target="https://www.astm.org/Standards/F1929.htm" TargetMode="External"/><Relationship Id="rId28" Type="http://schemas.openxmlformats.org/officeDocument/2006/relationships/hyperlink" Target="https://www.astm.org/Standards/F1980.htm" TargetMode="External"/><Relationship Id="rId10" Type="http://schemas.openxmlformats.org/officeDocument/2006/relationships/endnotes" Target="endnotes.xml"/><Relationship Id="rId19" Type="http://schemas.openxmlformats.org/officeDocument/2006/relationships/hyperlink" Target="https://www.astm.org/Standards/F2096.htm"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stm.org/Standards/D4169.htm" TargetMode="External"/><Relationship Id="rId22" Type="http://schemas.openxmlformats.org/officeDocument/2006/relationships/hyperlink" Target="https://www.astm.org/Standards/F1929.htm" TargetMode="External"/><Relationship Id="rId27" Type="http://schemas.openxmlformats.org/officeDocument/2006/relationships/hyperlink" Target="https://www.astm.org/Standards/F1980.htm" TargetMode="External"/><Relationship Id="rId30" Type="http://schemas.openxmlformats.org/officeDocument/2006/relationships/hyperlink" Target="https://www.astm.org/Standards/F1980.htm"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8998320-5229-49fa-b545-1146fcc196c3">X6KQWXAJUN6C-1856867172-302</_dlc_DocId>
    <_dlc_DocIdUrl xmlns="98998320-5229-49fa-b545-1146fcc196c3">
      <Url>https://argonmedical.sharepoint.com/Quality/PME/_layouts/15/DocIdRedir.aspx?ID=X6KQWXAJUN6C-1856867172-302</Url>
      <Description>X6KQWXAJUN6C-1856867172-302</Description>
    </_dlc_DocIdUrl>
    <SharedWithUsers xmlns="533d7803-0b09-441b-8841-a7d5d61164fa">
      <UserInfo>
        <DisplayName>Nneoma Oparah</DisplayName>
        <AccountId>317</AccountId>
        <AccountType/>
      </UserInfo>
      <UserInfo>
        <DisplayName>Gedaa Hassan</DisplayName>
        <AccountId>752</AccountId>
        <AccountType/>
      </UserInfo>
      <UserInfo>
        <DisplayName>Nadira Lotus</DisplayName>
        <AccountId>672</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45168FB229E64BB02D823972441852" ma:contentTypeVersion="8" ma:contentTypeDescription="Create a new document." ma:contentTypeScope="" ma:versionID="930cde1784db80892a686ca36e180a82">
  <xsd:schema xmlns:xsd="http://www.w3.org/2001/XMLSchema" xmlns:xs="http://www.w3.org/2001/XMLSchema" xmlns:p="http://schemas.microsoft.com/office/2006/metadata/properties" xmlns:ns1="http://schemas.microsoft.com/sharepoint/v3" xmlns:ns2="98998320-5229-49fa-b545-1146fcc196c3" xmlns:ns3="7df48557-8e40-41cc-b42f-0234d1441c26" xmlns:ns4="533d7803-0b09-441b-8841-a7d5d61164fa" targetNamespace="http://schemas.microsoft.com/office/2006/metadata/properties" ma:root="true" ma:fieldsID="a2decff7a4d88684e1e04d71338e4e58" ns1:_="" ns2:_="" ns3:_="" ns4:_="">
    <xsd:import namespace="http://schemas.microsoft.com/sharepoint/v3"/>
    <xsd:import namespace="98998320-5229-49fa-b545-1146fcc196c3"/>
    <xsd:import namespace="7df48557-8e40-41cc-b42f-0234d1441c26"/>
    <xsd:import namespace="533d7803-0b09-441b-8841-a7d5d61164f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1:_ip_UnifiedCompliancePolicyProperties" minOccurs="0"/>
                <xsd:element ref="ns1:_ip_UnifiedCompliancePolicyUIAc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98320-5229-49fa-b545-1146fcc196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df48557-8e40-41cc-b42f-0234d1441c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3d7803-0b09-441b-8841-a7d5d61164f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B36AD9-7C49-4C9F-8758-EEFFA6AB49F4}">
  <ds:schemaRefs>
    <ds:schemaRef ds:uri="http://schemas.microsoft.com/sharepoint/events"/>
  </ds:schemaRefs>
</ds:datastoreItem>
</file>

<file path=customXml/itemProps2.xml><?xml version="1.0" encoding="utf-8"?>
<ds:datastoreItem xmlns:ds="http://schemas.openxmlformats.org/officeDocument/2006/customXml" ds:itemID="{C47BDF46-C2A2-49C5-B0CE-B782C57F7EE0}">
  <ds:schemaRefs>
    <ds:schemaRef ds:uri="http://schemas.microsoft.com/sharepoint/v3/contenttype/forms"/>
  </ds:schemaRefs>
</ds:datastoreItem>
</file>

<file path=customXml/itemProps3.xml><?xml version="1.0" encoding="utf-8"?>
<ds:datastoreItem xmlns:ds="http://schemas.openxmlformats.org/officeDocument/2006/customXml" ds:itemID="{A68D0B19-D938-4802-9383-28F654A630FD}">
  <ds:schemaRefs>
    <ds:schemaRef ds:uri="http://schemas.microsoft.com/office/2006/metadata/properties"/>
    <ds:schemaRef ds:uri="http://schemas.microsoft.com/office/infopath/2007/PartnerControls"/>
    <ds:schemaRef ds:uri="98998320-5229-49fa-b545-1146fcc196c3"/>
    <ds:schemaRef ds:uri="533d7803-0b09-441b-8841-a7d5d61164fa"/>
    <ds:schemaRef ds:uri="http://schemas.microsoft.com/sharepoint/v3"/>
  </ds:schemaRefs>
</ds:datastoreItem>
</file>

<file path=customXml/itemProps4.xml><?xml version="1.0" encoding="utf-8"?>
<ds:datastoreItem xmlns:ds="http://schemas.openxmlformats.org/officeDocument/2006/customXml" ds:itemID="{431F52C6-68E5-4D12-B750-4728A8952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8998320-5229-49fa-b545-1146fcc196c3"/>
    <ds:schemaRef ds:uri="7df48557-8e40-41cc-b42f-0234d1441c26"/>
    <ds:schemaRef ds:uri="533d7803-0b09-441b-8841-a7d5d61164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4513</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Gedaa Hassan</dc:creator>
  <cp:keywords/>
  <dc:description/>
  <cp:lastModifiedBy>Pablo Lopez</cp:lastModifiedBy>
  <cp:revision>3</cp:revision>
  <cp:lastPrinted>2026-02-23T12:16:00Z</cp:lastPrinted>
  <dcterms:created xsi:type="dcterms:W3CDTF">2026-02-25T20:28:00Z</dcterms:created>
  <dcterms:modified xsi:type="dcterms:W3CDTF">2026-02-25T22:24:00Z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0x010100A845168FB229E64BB02D823972441852</vt:lpwstr>
  </property>
  <property fmtid="{D5CDD505-2E9C-101B-9397-08002B2CF9AE}" pid="3" name="_dlc_DocIdItemGuid">
    <vt:lpwstr>449f7a72-25d5-43c5-bfd7-104e0d46ffec</vt:lpwstr>
  </property>
</Properties>
</file>