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B8D4" w14:textId="7140A925" w:rsidR="0005411A" w:rsidRPr="009461CC" w:rsidRDefault="0005411A" w:rsidP="00042B91">
      <w:pPr>
        <w:pStyle w:val="BodyText3"/>
        <w:spacing w:after="0" w:afterAutospacing="0"/>
        <w:rPr>
          <w:sz w:val="24"/>
        </w:rPr>
      </w:pPr>
    </w:p>
    <w:p w14:paraId="2D72A510" w14:textId="58A5ED92" w:rsidR="0005411A" w:rsidRPr="009461CC" w:rsidRDefault="00E91403" w:rsidP="00042B91">
      <w:pPr>
        <w:pStyle w:val="BodyText3"/>
        <w:spacing w:after="0" w:afterAutospacing="0"/>
      </w:pPr>
      <w:r>
        <w:rPr>
          <w:bCs/>
          <w:noProof/>
          <w:lang w:val="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C8B7" wp14:editId="6A11C369">
                <wp:simplePos x="0" y="0"/>
                <wp:positionH relativeFrom="column">
                  <wp:posOffset>-191262</wp:posOffset>
                </wp:positionH>
                <wp:positionV relativeFrom="paragraph">
                  <wp:posOffset>68961</wp:posOffset>
                </wp:positionV>
                <wp:extent cx="6448425" cy="1285494"/>
                <wp:effectExtent l="25400" t="25400" r="41275" b="355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85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1F47" w14:textId="77777777" w:rsidR="0005411A" w:rsidRPr="00E91403" w:rsidRDefault="006F0810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hu"/>
                              </w:rPr>
                              <w:t>A BIZTONSÁGOSSÁGRÓL ÉS A KLINIKAI TELJESÍTŐKÉPESSÉGRŐL SZÓLÓ ÖSSZEFOGLALÓ (SSCP)</w:t>
                            </w:r>
                          </w:p>
                          <w:p w14:paraId="0E1996B2" w14:textId="77777777" w:rsidR="005D4A52" w:rsidRDefault="005D4A52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hu"/>
                              </w:rPr>
                              <w:t>SSCP-0006</w:t>
                            </w:r>
                          </w:p>
                          <w:p w14:paraId="06B6F153" w14:textId="755DD1A0" w:rsidR="005D4A52" w:rsidRDefault="00F1569C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hu"/>
                              </w:rPr>
                              <w:t xml:space="preserve">Atrieve™ vaszkuláris </w:t>
                            </w:r>
                            <w:r w:rsidR="002A7624" w:rsidRPr="001047FB">
                              <w:rPr>
                                <w:sz w:val="32"/>
                                <w:szCs w:val="32"/>
                                <w:lang w:val="hu"/>
                              </w:rPr>
                              <w:t>Snare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lang w:val="hu"/>
                              </w:rPr>
                              <w:t xml:space="preserve"> készlet</w:t>
                            </w:r>
                          </w:p>
                          <w:p w14:paraId="3354BBA5" w14:textId="08AF297F" w:rsidR="005D4A52" w:rsidRPr="005B469C" w:rsidRDefault="005D4A52" w:rsidP="006D00F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hu"/>
                              </w:rPr>
                              <w:t>DHF-82248</w:t>
                            </w:r>
                          </w:p>
                          <w:p w14:paraId="3CF39942" w14:textId="77777777" w:rsidR="0005411A" w:rsidRPr="00267292" w:rsidRDefault="0005411A" w:rsidP="009855C3"/>
                          <w:p w14:paraId="684B57C2" w14:textId="77777777" w:rsidR="0005411A" w:rsidRPr="00267292" w:rsidRDefault="0005411A" w:rsidP="009855C3">
                            <w:r>
                              <w:rPr>
                                <w:lang w:val="hu"/>
                              </w:rPr>
                              <w:t>[DÁTUM]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C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5.45pt;width:507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" strokeweight="4.5pt">
                <v:stroke linestyle="thinThick"/>
                <v:textbox>
                  <w:txbxContent>
                    <w:p w14:paraId="488C1F47" w14:textId="77777777" w:rsidR="0005411A" w:rsidRPr="00E91403" w:rsidRDefault="006F0810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hu"/>
                        </w:rPr>
                        <w:t>A BIZTONSÁGOSSÁGRÓL ÉS A KLINIKAI TELJESÍTŐKÉPESSÉGRŐL SZÓLÓ ÖSSZEFOGLALÓ (SSCP)</w:t>
                      </w:r>
                    </w:p>
                    <w:p w14:paraId="0E1996B2" w14:textId="77777777" w:rsidR="005D4A52" w:rsidRDefault="005D4A52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hu"/>
                        </w:rPr>
                        <w:t>SSCP-0006</w:t>
                      </w:r>
                    </w:p>
                    <w:p w14:paraId="06B6F153" w14:textId="755DD1A0" w:rsidR="005D4A52" w:rsidRDefault="00F1569C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hu"/>
                        </w:rPr>
                        <w:t xml:space="preserve">Atrieve™ vaszkuláris </w:t>
                      </w:r>
                      <w:r w:rsidR="002A7624" w:rsidRPr="001047FB">
                        <w:rPr>
                          <w:sz w:val="32"/>
                          <w:szCs w:val="32"/>
                          <w:lang w:val="hu"/>
                        </w:rPr>
                        <w:t>Snare</w:t>
                      </w:r>
                      <w:r>
                        <w:rPr>
                          <w:bCs/>
                          <w:sz w:val="32"/>
                          <w:szCs w:val="32"/>
                          <w:lang w:val="hu"/>
                        </w:rPr>
                        <w:t xml:space="preserve"> készlet</w:t>
                      </w:r>
                    </w:p>
                    <w:p w14:paraId="3354BBA5" w14:textId="08AF297F" w:rsidR="005D4A52" w:rsidRPr="005B469C" w:rsidRDefault="005D4A52" w:rsidP="006D00F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hu"/>
                        </w:rPr>
                        <w:t>DHF-82248</w:t>
                      </w:r>
                    </w:p>
                    <w:p w14:paraId="3CF39942" w14:textId="77777777" w:rsidR="0005411A" w:rsidRPr="00267292" w:rsidRDefault="0005411A" w:rsidP="009855C3"/>
                    <w:p w14:paraId="684B57C2" w14:textId="77777777" w:rsidR="0005411A" w:rsidRPr="00267292" w:rsidRDefault="0005411A" w:rsidP="009855C3">
                      <w:r>
                        <w:rPr>
                          <w:lang w:val="hu"/>
                        </w:rPr>
                        <w:t>[DÁTUM]</w:t>
                      </w:r>
                    </w:p>
                  </w:txbxContent>
                </v:textbox>
              </v:shape>
            </w:pict>
          </mc:Fallback>
        </mc:AlternateContent>
      </w:r>
    </w:p>
    <w:p w14:paraId="22332CC2" w14:textId="77777777" w:rsidR="0005411A" w:rsidRPr="009461CC" w:rsidRDefault="0005411A" w:rsidP="00042B91">
      <w:pPr>
        <w:pStyle w:val="BodyText3"/>
        <w:spacing w:after="0" w:afterAutospacing="0"/>
      </w:pPr>
    </w:p>
    <w:p w14:paraId="2048CF11" w14:textId="77777777" w:rsidR="0005411A" w:rsidRPr="009461CC" w:rsidRDefault="0005411A" w:rsidP="00042B91">
      <w:pPr>
        <w:pStyle w:val="BodyText3"/>
        <w:spacing w:after="0" w:afterAutospacing="0"/>
      </w:pPr>
    </w:p>
    <w:p w14:paraId="243C88AF" w14:textId="77777777" w:rsidR="0005411A" w:rsidRPr="009461CC" w:rsidRDefault="0005411A" w:rsidP="00042B91">
      <w:pPr>
        <w:pStyle w:val="BodyText3"/>
        <w:spacing w:after="0" w:afterAutospacing="0"/>
      </w:pPr>
    </w:p>
    <w:p w14:paraId="41545C51" w14:textId="2690A02B" w:rsidR="0005411A" w:rsidRPr="009461CC" w:rsidRDefault="0005411A" w:rsidP="00042B91">
      <w:pPr>
        <w:spacing w:after="0" w:afterAutospacing="0" w:line="240" w:lineRule="auto"/>
        <w:rPr>
          <w:rFonts w:cs="Times New Roman"/>
        </w:rPr>
      </w:pPr>
    </w:p>
    <w:p w14:paraId="155D5FB3" w14:textId="51695512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0F16F2D" w14:textId="5942F0CE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81CF868" w14:textId="0A72AB5D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525C55B" w14:textId="09737261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2CF7AE6F" w14:textId="1272C31A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t>Az Eudamed rendszerében történő közzétételhez</w:t>
      </w:r>
    </w:p>
    <w:p w14:paraId="57B38593" w14:textId="77777777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1469"/>
        <w:gridCol w:w="6783"/>
      </w:tblGrid>
      <w:tr w:rsidR="00E91403" w:rsidRPr="009461CC" w14:paraId="481127A2" w14:textId="77777777" w:rsidTr="00E91403"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64CC73A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SZEREPKÖR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A83C01C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RÉSZLEG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B6DA2F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NÉV / CÍM</w:t>
            </w:r>
          </w:p>
        </w:tc>
      </w:tr>
      <w:tr w:rsidR="006E0847" w:rsidRPr="009461CC" w14:paraId="45F6CF0D" w14:textId="77777777" w:rsidTr="008E1D43">
        <w:trPr>
          <w:trHeight w:val="5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14:paraId="552A4625" w14:textId="77777777" w:rsidR="006E0847" w:rsidRPr="009461CC" w:rsidRDefault="006E0847" w:rsidP="006E08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Készítette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51D1E08B" w14:textId="5374772E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Szabályozási ügyek</w:t>
            </w:r>
          </w:p>
        </w:tc>
        <w:tc>
          <w:tcPr>
            <w:tcW w:w="7519" w:type="dxa"/>
            <w:tcBorders>
              <w:top w:val="double" w:sz="4" w:space="0" w:color="auto"/>
            </w:tcBorders>
          </w:tcPr>
          <w:p w14:paraId="360D10DB" w14:textId="77777777" w:rsidR="006E0847" w:rsidRPr="009461CC" w:rsidRDefault="006E0847" w:rsidP="006E08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Nadira Lotus</w:t>
            </w:r>
          </w:p>
          <w:p w14:paraId="7BA00BEF" w14:textId="2E4C5FAD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Forgalomba hozatalt követő felügyeletért felelős igazgató</w:t>
            </w:r>
          </w:p>
        </w:tc>
      </w:tr>
    </w:tbl>
    <w:p w14:paraId="45EA3393" w14:textId="77777777" w:rsidR="00E91403" w:rsidRPr="009461CC" w:rsidRDefault="00E91403" w:rsidP="00E91403">
      <w:pPr>
        <w:jc w:val="center"/>
        <w:rPr>
          <w:rFonts w:cs="Times New Roman"/>
          <w:b/>
        </w:rPr>
      </w:pPr>
    </w:p>
    <w:p w14:paraId="3ADE6C89" w14:textId="0496458B" w:rsidR="00E91403" w:rsidRPr="002C3D81" w:rsidRDefault="00E91403" w:rsidP="00E91403">
      <w:pPr>
        <w:tabs>
          <w:tab w:val="center" w:pos="5220"/>
          <w:tab w:val="right" w:pos="10440"/>
        </w:tabs>
        <w:rPr>
          <w:rFonts w:cs="Times New Roman"/>
          <w:b/>
          <w:lang w:val="hu"/>
        </w:rPr>
      </w:pPr>
      <w:r>
        <w:rPr>
          <w:rFonts w:cs="Times New Roman"/>
          <w:lang w:val="hu"/>
        </w:rPr>
        <w:tab/>
      </w:r>
      <w:r>
        <w:rPr>
          <w:rFonts w:cs="Times New Roman"/>
          <w:b/>
          <w:bCs/>
          <w:lang w:val="hu"/>
        </w:rPr>
        <w:t>Aláírás-jóváhagyási mátrix</w:t>
      </w:r>
      <w:r>
        <w:rPr>
          <w:rFonts w:cs="Times New Roman"/>
          <w:lang w:val="hu"/>
        </w:rPr>
        <w:tab/>
      </w:r>
    </w:p>
    <w:p w14:paraId="01F684E3" w14:textId="77777777" w:rsidR="00E91403" w:rsidRPr="002C3D81" w:rsidRDefault="00E91403" w:rsidP="00E91403">
      <w:pPr>
        <w:spacing w:after="60"/>
        <w:ind w:right="274"/>
        <w:rPr>
          <w:rFonts w:cs="Times New Roman"/>
          <w:sz w:val="20"/>
          <w:szCs w:val="20"/>
          <w:lang w:val="hu"/>
        </w:rPr>
      </w:pPr>
      <w:r>
        <w:rPr>
          <w:rFonts w:cs="Times New Roman"/>
          <w:sz w:val="20"/>
          <w:szCs w:val="20"/>
          <w:lang w:val="hu"/>
        </w:rPr>
        <w:t>Ezt a dokumentumot minden alább felsorolt személynek vagy meghatalmazott képviselőjének felül kell vizsgálnia és jóváhagynia.</w:t>
      </w: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1403"/>
        <w:gridCol w:w="6849"/>
      </w:tblGrid>
      <w:tr w:rsidR="00E91403" w:rsidRPr="009461CC" w14:paraId="0DB197AA" w14:textId="77777777" w:rsidTr="00E91403">
        <w:trPr>
          <w:trHeight w:val="279"/>
        </w:trPr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954A60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SZEREPKÖR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F71F870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RÉSZLEG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0254E3BE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NÉV / CÍM</w:t>
            </w:r>
          </w:p>
        </w:tc>
      </w:tr>
      <w:tr w:rsidR="00386F47" w:rsidRPr="009461CC" w14:paraId="658FB919" w14:textId="77777777" w:rsidTr="00E91403">
        <w:trPr>
          <w:trHeight w:val="606"/>
        </w:trPr>
        <w:tc>
          <w:tcPr>
            <w:tcW w:w="1125" w:type="dxa"/>
            <w:vAlign w:val="center"/>
          </w:tcPr>
          <w:p w14:paraId="41D60951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Jóváhagyás</w:t>
            </w:r>
          </w:p>
        </w:tc>
        <w:tc>
          <w:tcPr>
            <w:tcW w:w="1305" w:type="dxa"/>
            <w:vAlign w:val="center"/>
          </w:tcPr>
          <w:p w14:paraId="4B304E07" w14:textId="2D98EABD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Klinikai ügyek</w:t>
            </w:r>
          </w:p>
        </w:tc>
        <w:tc>
          <w:tcPr>
            <w:tcW w:w="7519" w:type="dxa"/>
            <w:vAlign w:val="center"/>
          </w:tcPr>
          <w:p w14:paraId="613876EC" w14:textId="77777777" w:rsidR="00386F47" w:rsidRPr="009461CC" w:rsidRDefault="00386F47" w:rsidP="00386F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Danyel Carr</w:t>
            </w:r>
          </w:p>
          <w:p w14:paraId="172E4813" w14:textId="2E4F9175" w:rsidR="00386F47" w:rsidRPr="009461CC" w:rsidRDefault="00E03D3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Klinikai ügyekért felelős szenior igazgató</w:t>
            </w:r>
          </w:p>
        </w:tc>
      </w:tr>
      <w:tr w:rsidR="00386F47" w:rsidRPr="009461CC" w14:paraId="526E9923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55BCD6C3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Jóváhagyás</w:t>
            </w:r>
          </w:p>
        </w:tc>
        <w:tc>
          <w:tcPr>
            <w:tcW w:w="1305" w:type="dxa"/>
            <w:vAlign w:val="center"/>
          </w:tcPr>
          <w:p w14:paraId="4887D925" w14:textId="1B032CD4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 xml:space="preserve">Minőség </w:t>
            </w:r>
          </w:p>
        </w:tc>
        <w:tc>
          <w:tcPr>
            <w:tcW w:w="7519" w:type="dxa"/>
            <w:vAlign w:val="center"/>
          </w:tcPr>
          <w:p w14:paraId="3D954801" w14:textId="77777777" w:rsidR="00F07DD1" w:rsidRDefault="00F07DD1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 xml:space="preserve">James Stephens </w:t>
            </w:r>
          </w:p>
          <w:p w14:paraId="1EA24645" w14:textId="5BC698A1" w:rsidR="00386F47" w:rsidRPr="009461CC" w:rsidRDefault="00547353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Minőségügyi műveletekért felelős szenior igazgató</w:t>
            </w:r>
          </w:p>
        </w:tc>
      </w:tr>
      <w:tr w:rsidR="00386F47" w:rsidRPr="009461CC" w14:paraId="01329AB2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77F5A5E8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Jóváhagyás</w:t>
            </w:r>
          </w:p>
        </w:tc>
        <w:tc>
          <w:tcPr>
            <w:tcW w:w="1305" w:type="dxa"/>
            <w:vAlign w:val="center"/>
          </w:tcPr>
          <w:p w14:paraId="25EABF73" w14:textId="63DB84E6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 xml:space="preserve">Szabályozás </w:t>
            </w:r>
          </w:p>
        </w:tc>
        <w:tc>
          <w:tcPr>
            <w:tcW w:w="7519" w:type="dxa"/>
            <w:vAlign w:val="center"/>
          </w:tcPr>
          <w:p w14:paraId="7676555E" w14:textId="77777777" w:rsidR="00386F47" w:rsidRPr="009461CC" w:rsidRDefault="00386F47" w:rsidP="00386F47">
            <w:pPr>
              <w:spacing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hu"/>
              </w:rPr>
              <w:t>Scott Bishops</w:t>
            </w:r>
          </w:p>
          <w:p w14:paraId="39BF7685" w14:textId="4DD9DE97" w:rsidR="00386F47" w:rsidRPr="009461CC" w:rsidRDefault="00E950A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hu"/>
              </w:rPr>
              <w:t>Alelnök, globális RA és minőségbiztosítás</w:t>
            </w:r>
          </w:p>
        </w:tc>
      </w:tr>
    </w:tbl>
    <w:p w14:paraId="51DA0A01" w14:textId="5402C604" w:rsidR="00E91403" w:rsidRPr="009461CC" w:rsidRDefault="00E91403" w:rsidP="00E91403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lang w:val="hu"/>
        </w:rPr>
        <w:t>Korábbi felülvizsgálatok</w:t>
      </w: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30"/>
        <w:gridCol w:w="1296"/>
        <w:gridCol w:w="1189"/>
        <w:gridCol w:w="3942"/>
        <w:gridCol w:w="1730"/>
      </w:tblGrid>
      <w:tr w:rsidR="00E91403" w:rsidRPr="009461CC" w14:paraId="38F29FD4" w14:textId="77777777" w:rsidTr="00740900">
        <w:tc>
          <w:tcPr>
            <w:tcW w:w="12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4BEB81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Felülvizsgálat</w:t>
            </w:r>
          </w:p>
        </w:tc>
        <w:tc>
          <w:tcPr>
            <w:tcW w:w="112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3A8D0CD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Dátum</w:t>
            </w:r>
          </w:p>
        </w:tc>
        <w:tc>
          <w:tcPr>
            <w:tcW w:w="11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E5F13C6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Fejezetek</w:t>
            </w:r>
          </w:p>
        </w:tc>
        <w:tc>
          <w:tcPr>
            <w:tcW w:w="449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08681D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Felülvizsgálat leírása</w:t>
            </w:r>
          </w:p>
        </w:tc>
        <w:tc>
          <w:tcPr>
            <w:tcW w:w="179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32F4EE6" w14:textId="77777777" w:rsidR="00E91403" w:rsidRPr="009461CC" w:rsidRDefault="00E91403" w:rsidP="00842611">
            <w:pPr>
              <w:tabs>
                <w:tab w:val="left" w:pos="4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hu"/>
              </w:rPr>
              <w:t>Változtatási kérelem száma</w:t>
            </w:r>
          </w:p>
        </w:tc>
      </w:tr>
      <w:tr w:rsidR="00740900" w:rsidRPr="009461CC" w14:paraId="47D66140" w14:textId="77777777" w:rsidTr="00740900"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</w:tcPr>
          <w:p w14:paraId="4EEA4C6D" w14:textId="5A95910B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</w:tcPr>
          <w:p w14:paraId="0D82C539" w14:textId="6206AFE6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2022.05.22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</w:tcPr>
          <w:p w14:paraId="6CD4C417" w14:textId="536D40E4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Minden</w:t>
            </w:r>
          </w:p>
        </w:tc>
        <w:tc>
          <w:tcPr>
            <w:tcW w:w="4496" w:type="dxa"/>
            <w:tcBorders>
              <w:top w:val="double" w:sz="4" w:space="0" w:color="auto"/>
              <w:bottom w:val="single" w:sz="4" w:space="0" w:color="auto"/>
            </w:tcBorders>
          </w:tcPr>
          <w:p w14:paraId="3973A2E3" w14:textId="3D8B33BA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Kezdeti jelentés csak belső használatra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4" w:space="0" w:color="auto"/>
            </w:tcBorders>
          </w:tcPr>
          <w:p w14:paraId="243CB41C" w14:textId="62833BA2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N/A</w:t>
            </w:r>
          </w:p>
        </w:tc>
      </w:tr>
      <w:tr w:rsidR="00923982" w:rsidRPr="009461CC" w14:paraId="495D8A1C" w14:textId="77777777" w:rsidTr="00740900"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14:paraId="065DAE3E" w14:textId="16DC1CE4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</w:tcPr>
          <w:p w14:paraId="52F239C5" w14:textId="69AD5128" w:rsidR="00923982" w:rsidRPr="009461CC" w:rsidRDefault="006F76E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2025.12.15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12" w:space="0" w:color="auto"/>
            </w:tcBorders>
          </w:tcPr>
          <w:p w14:paraId="319F0BB7" w14:textId="488E18A0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Minden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12" w:space="0" w:color="auto"/>
            </w:tcBorders>
          </w:tcPr>
          <w:p w14:paraId="3D913A75" w14:textId="09B5D375" w:rsidR="00923982" w:rsidRPr="009461CC" w:rsidRDefault="0080432B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EU MDR benyújtása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12" w:space="0" w:color="auto"/>
            </w:tcBorders>
          </w:tcPr>
          <w:p w14:paraId="077C5F38" w14:textId="76003B93" w:rsidR="00923982" w:rsidRPr="009461CC" w:rsidRDefault="008735FE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07919</w:t>
            </w:r>
          </w:p>
        </w:tc>
      </w:tr>
    </w:tbl>
    <w:p w14:paraId="5C951A98" w14:textId="6A651DC3" w:rsidR="0005411A" w:rsidRPr="009461CC" w:rsidRDefault="00E91403" w:rsidP="00E91403">
      <w:pPr>
        <w:jc w:val="center"/>
        <w:rPr>
          <w:rFonts w:cs="Times New Roman"/>
        </w:rPr>
      </w:pPr>
      <w:r>
        <w:rPr>
          <w:rFonts w:cs="Times New Roman"/>
          <w:i/>
          <w:iCs/>
          <w:lang w:val="hu"/>
        </w:rPr>
        <w:t>Megjegyzés: A jóváhagyásokat a kapcsolódó módosítási kérelmen keresztül rögzítik.</w:t>
      </w:r>
    </w:p>
    <w:p w14:paraId="700C8B5F" w14:textId="34A53550" w:rsidR="006F0810" w:rsidRPr="009461CC" w:rsidRDefault="0005411A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szCs w:val="24"/>
          <w:lang w:val="hu"/>
        </w:rPr>
        <w:br w:type="page"/>
      </w:r>
      <w:r>
        <w:rPr>
          <w:rFonts w:cs="Times New Roman"/>
          <w:lang w:val="hu"/>
        </w:rPr>
        <w:lastRenderedPageBreak/>
        <w:t>Tartalomjegyzék</w:t>
      </w:r>
    </w:p>
    <w:p w14:paraId="014C60AF" w14:textId="29D37A5A" w:rsidR="002C3D81" w:rsidRDefault="006F0810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rPr>
          <w:lang w:val="hu"/>
        </w:rPr>
        <w:fldChar w:fldCharType="begin"/>
      </w:r>
      <w:r>
        <w:instrText xml:space="preserve"> TOC \o "1-3" \h \z \u </w:instrText>
      </w:r>
      <w:r>
        <w:fldChar w:fldCharType="separate"/>
      </w:r>
      <w:hyperlink w:anchor="_Toc222741454" w:history="1">
        <w:r w:rsidR="002C3D81" w:rsidRPr="002F3AFD">
          <w:rPr>
            <w:rStyle w:val="Hyperlink"/>
            <w:noProof/>
          </w:rPr>
          <w:t>1.</w:t>
        </w:r>
        <w:r w:rsidR="002C3D81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2C3D81" w:rsidRPr="002F3AFD">
          <w:rPr>
            <w:rStyle w:val="Hyperlink"/>
            <w:bCs/>
            <w:noProof/>
            <w:lang w:val="hu"/>
          </w:rPr>
          <w:t>A biztonságosságról és a klinikai teljesítőképességről szóló összefoglaló (SSCP) hatálya:</w:t>
        </w:r>
        <w:r w:rsidR="002C3D81">
          <w:rPr>
            <w:noProof/>
            <w:webHidden/>
          </w:rPr>
          <w:tab/>
        </w:r>
        <w:r w:rsidR="002C3D81">
          <w:rPr>
            <w:noProof/>
            <w:webHidden/>
          </w:rPr>
          <w:fldChar w:fldCharType="begin"/>
        </w:r>
        <w:r w:rsidR="002C3D81">
          <w:rPr>
            <w:noProof/>
            <w:webHidden/>
          </w:rPr>
          <w:instrText xml:space="preserve"> PAGEREF _Toc222741454 \h </w:instrText>
        </w:r>
        <w:r w:rsidR="002C3D81">
          <w:rPr>
            <w:noProof/>
            <w:webHidden/>
          </w:rPr>
        </w:r>
        <w:r w:rsidR="002C3D81"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3</w:t>
        </w:r>
        <w:r w:rsidR="002C3D81">
          <w:rPr>
            <w:noProof/>
            <w:webHidden/>
          </w:rPr>
          <w:fldChar w:fldCharType="end"/>
        </w:r>
      </w:hyperlink>
    </w:p>
    <w:p w14:paraId="6A25D284" w14:textId="136C352F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55" w:history="1">
        <w:r w:rsidRPr="002F3AFD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Eszköz kereskedelmi neve: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0A13F4" w14:textId="100B39B4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56" w:history="1">
        <w:r w:rsidRPr="002F3AFD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Eszközleírás, alapvető UDI-DI és EU osztályozás: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AC6290" w14:textId="484BAD8F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57" w:history="1">
        <w:r w:rsidRPr="002F3AFD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Az eszközre vonatkozó első tanúsítvány (CE) kiadásának éve: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4E0FE0" w14:textId="401F1025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58" w:history="1">
        <w:r w:rsidRPr="002F3AFD">
          <w:rPr>
            <w:rStyle w:val="Hyperlink"/>
            <w:noProof/>
            <w:lang w:val="hu"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Gyártó neve, címe és SRN-száma: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C3A485" w14:textId="61FAE835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59" w:history="1">
        <w:r w:rsidRPr="002F3AFD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Meghatalmazott képviselő neve és SRN száma: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8B593C" w14:textId="4D920B2A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0" w:history="1">
        <w:r w:rsidRPr="002F3AFD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Bejelentett szervezet (NB) neve és egyedi azonosító száma: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EB2CC0" w14:textId="3A0A0533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1" w:history="1">
        <w:r w:rsidRPr="002F3AFD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Az eszköz rendeltetésszerű használata/célja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208AB2" w14:textId="30D85EE4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2" w:history="1">
        <w:r w:rsidRPr="002F3AFD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Rendeltetésszerű használata/cél</w:t>
        </w:r>
        <w:r>
          <w:rPr>
            <w:noProof/>
            <w:webHidden/>
          </w:rPr>
          <w:tab/>
          <w:t>4</w:t>
        </w:r>
      </w:hyperlink>
    </w:p>
    <w:p w14:paraId="12758EB2" w14:textId="77BD0D38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3" w:history="1">
        <w:r w:rsidRPr="002F3AFD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Alkalmazási területek</w:t>
        </w:r>
        <w:r>
          <w:rPr>
            <w:noProof/>
            <w:webHidden/>
          </w:rPr>
          <w:tab/>
          <w:t>4</w:t>
        </w:r>
      </w:hyperlink>
    </w:p>
    <w:p w14:paraId="42EFEB17" w14:textId="6886ABB2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4" w:history="1">
        <w:r w:rsidRPr="002F3AFD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Célzott betegpopuláció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1AAED5" w14:textId="6A9A292D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5" w:history="1">
        <w:r w:rsidRPr="002F3AFD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Ellenjavallatok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B1D899" w14:textId="7A3005A0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6" w:history="1">
        <w:r w:rsidRPr="002F3AFD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Eszközleírás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CF60C4" w14:textId="0FD5EC0C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7" w:history="1">
        <w:r w:rsidRPr="002F3AFD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Az eszköz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C00A5B" w14:textId="2AB1069F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8" w:history="1">
        <w:r w:rsidRPr="002F3AFD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Korábbi változatok és a különbségek</w:t>
        </w:r>
        <w:r>
          <w:rPr>
            <w:noProof/>
            <w:webHidden/>
          </w:rPr>
          <w:tab/>
          <w:t>5</w:t>
        </w:r>
      </w:hyperlink>
    </w:p>
    <w:p w14:paraId="7C5A2603" w14:textId="6457BD2E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69" w:history="1">
        <w:r w:rsidRPr="002F3AFD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Kiegészítők, kompatibilis eszközök és egyéb, egyidejűleg használt termékek</w:t>
        </w:r>
        <w:r>
          <w:rPr>
            <w:noProof/>
            <w:webHidden/>
          </w:rPr>
          <w:tab/>
          <w:t>5</w:t>
        </w:r>
      </w:hyperlink>
    </w:p>
    <w:p w14:paraId="297142F1" w14:textId="24304437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0" w:history="1">
        <w:r w:rsidRPr="002F3AFD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Kockázatok és figyelmeztetések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21E925" w14:textId="5728D933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1" w:history="1">
        <w:r w:rsidRPr="002F3AFD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Maradék kockázatok és nemkívánatos mellékhatások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FA293A" w14:textId="15016920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2" w:history="1">
        <w:r w:rsidRPr="002F3AFD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Figyelmeztetések és óvintézkedések</w:t>
        </w:r>
        <w:r>
          <w:rPr>
            <w:noProof/>
            <w:webHidden/>
          </w:rPr>
          <w:tab/>
          <w:t>6</w:t>
        </w:r>
      </w:hyperlink>
    </w:p>
    <w:p w14:paraId="2C0C686B" w14:textId="722ABB2D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3" w:history="1">
        <w:r w:rsidRPr="002F3AFD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 biztonságosság egyéb releváns szempontjai, ideértve a helyszíni biztonsági korrekciós intézkedések összefoglalóját (FSCA, beleértve az FSN-t is)</w:t>
        </w:r>
        <w:r>
          <w:rPr>
            <w:noProof/>
            <w:webHidden/>
          </w:rPr>
          <w:tab/>
          <w:t>7</w:t>
        </w:r>
      </w:hyperlink>
    </w:p>
    <w:p w14:paraId="730E9C3F" w14:textId="6C5BA348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4" w:history="1">
        <w:r w:rsidRPr="002F3AFD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 klinikai értékelés és a forgalomba hozatalt követő klinikai követés (PCMF) összefoglalója</w:t>
        </w:r>
        <w:r>
          <w:rPr>
            <w:noProof/>
            <w:webHidden/>
          </w:rPr>
          <w:tab/>
          <w:t>7</w:t>
        </w:r>
      </w:hyperlink>
    </w:p>
    <w:p w14:paraId="128D12C1" w14:textId="5C2C9CE3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5" w:history="1">
        <w:r w:rsidRPr="002F3AFD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Az egyenértékű eszközzel kapcsolatos klinikai adatok összefoglalása, ha vannak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151EF3" w14:textId="2254035D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6" w:history="1">
        <w:r w:rsidRPr="002F3AFD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Az elvégzett klinikai vizsgálatok adatainak összefoglalója a CE-jelölés előtt, ha vannak ilyenek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5129E4" w14:textId="21BB7024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7" w:history="1">
        <w:r w:rsidRPr="002F3AFD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Más forrásokból származó klinikai adatok összefoglalása, ha vannak ilyenek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C0F2F6" w14:textId="0F1F95C0" w:rsidR="002C3D81" w:rsidRDefault="002C3D81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8" w:history="1">
        <w:r w:rsidRPr="002F3AFD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A klinikai teljesítmény és a biztonság átfogó összefoglalása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E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3586C1" w14:textId="1293FDC4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79" w:history="1">
        <w:r w:rsidRPr="002F3AFD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Folyamatban lévő vagy tervezett forgalomba hozatalt követő klinikai nyomon követés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7F8D94" w14:textId="527AFE60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0" w:history="1">
        <w:r w:rsidRPr="002F3AFD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Lehetséges diagnosztikai vagy terápiás alternatívák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673D16" w14:textId="537D8F3A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1" w:history="1">
        <w:r w:rsidRPr="002F3AFD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Javasolt profil és képzés a felhasználók számára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9F320F" w14:textId="12EC828F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2" w:history="1">
        <w:r w:rsidRPr="002F3AFD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Harmonizált szabványok / általános előírások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5044B6" w14:textId="16595D4D" w:rsidR="002C3D81" w:rsidRDefault="0032560E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3" w:history="1">
        <w:r w:rsidRPr="002F3AFD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2F3AFD">
          <w:rPr>
            <w:rStyle w:val="Hyperlink"/>
            <w:bCs/>
            <w:noProof/>
            <w:lang w:val="hu"/>
          </w:rPr>
          <w:t>Korábbi felülvizsgálatok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9D6E5E3" w14:textId="7A68DD18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</w:rPr>
        <w:fldChar w:fldCharType="end"/>
      </w:r>
    </w:p>
    <w:p w14:paraId="343DF155" w14:textId="77777777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br w:type="page"/>
      </w:r>
    </w:p>
    <w:p w14:paraId="453DC774" w14:textId="77777777" w:rsidR="00221CEF" w:rsidRPr="009461CC" w:rsidRDefault="00221CEF" w:rsidP="00042B91">
      <w:pPr>
        <w:pStyle w:val="Heading7"/>
        <w:spacing w:after="0" w:afterAutospacing="0"/>
      </w:pPr>
      <w:r>
        <w:rPr>
          <w:bCs/>
          <w:lang w:val="hu"/>
        </w:rPr>
        <w:lastRenderedPageBreak/>
        <w:t>A biztonságosságról és a klinikai teljesítőképességről szóló összefoglaló</w:t>
      </w:r>
    </w:p>
    <w:p w14:paraId="2D567C3A" w14:textId="4D6B7954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t>A biztonsági és klinikai teljesítményt összefoglaló dokumentum (SSCP) célja, hogy a nyilvánosság számára hozzáférést biztosítson az eszköz biztonságosságának és klinikai teljesítményének főbb szempontjairól szóló frissített összefoglalóhoz.</w:t>
      </w:r>
    </w:p>
    <w:p w14:paraId="549AF428" w14:textId="35F6904C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t>Az SSCP dokumentumnak nem célja a Használati Útmutató helyettesítése fő dokumentumként az eszköz biztonságos használatának biztosítása érdekében, és nem szolgál diagnosztikai vagy terápiás javaslatokkal sem a felhasználók, sem a betegek számára.</w:t>
      </w:r>
    </w:p>
    <w:p w14:paraId="6E1D4297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7958E5A" w14:textId="739089BF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t>Az alábbi információ a felhasználóknak/egészségügyi szakembereknek szól.</w:t>
      </w:r>
    </w:p>
    <w:p w14:paraId="18A77BED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6E5276B4" w14:textId="2AFD9220" w:rsidR="00042B91" w:rsidRPr="009461CC" w:rsidRDefault="006F081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0" w:name="_Toc222741454"/>
      <w:r>
        <w:rPr>
          <w:rFonts w:cs="Times New Roman"/>
          <w:bCs/>
          <w:lang w:val="hu"/>
        </w:rPr>
        <w:t>A biztonságosságról és a klinikai teljesítőképességről szóló összefoglaló (SSCP) hatálya:</w:t>
      </w:r>
      <w:bookmarkEnd w:id="0"/>
    </w:p>
    <w:p w14:paraId="5CDBAEA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45E5BCB2" w14:textId="6E901CD2" w:rsidR="00AA2E04" w:rsidRPr="009461CC" w:rsidRDefault="00221CEF" w:rsidP="00042B91">
      <w:pPr>
        <w:pStyle w:val="Heading1"/>
        <w:rPr>
          <w:rFonts w:cs="Times New Roman"/>
        </w:rPr>
      </w:pPr>
      <w:bookmarkStart w:id="1" w:name="_Toc222741455"/>
      <w:r>
        <w:rPr>
          <w:rFonts w:cs="Times New Roman"/>
          <w:bCs/>
          <w:lang w:val="hu"/>
        </w:rPr>
        <w:t>Eszköz kereskedelmi neve:</w:t>
      </w:r>
      <w:bookmarkEnd w:id="1"/>
      <w:r>
        <w:rPr>
          <w:rFonts w:cs="Times New Roman"/>
          <w:bCs/>
          <w:lang w:val="hu"/>
        </w:rPr>
        <w:t xml:space="preserve"> </w:t>
      </w:r>
    </w:p>
    <w:p w14:paraId="29AE9E59" w14:textId="55C8E9F9" w:rsidR="00042B91" w:rsidRPr="009461CC" w:rsidRDefault="00982459" w:rsidP="001E6921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hu"/>
        </w:rPr>
        <w:t xml:space="preserve">Atrieve vaszkuláris </w:t>
      </w:r>
      <w:r w:rsidR="002A7624">
        <w:rPr>
          <w:rFonts w:cs="Times New Roman"/>
          <w:lang w:val="hu"/>
        </w:rPr>
        <w:t xml:space="preserve">Snare </w:t>
      </w:r>
      <w:r>
        <w:rPr>
          <w:rFonts w:cs="Times New Roman"/>
          <w:lang w:val="hu"/>
        </w:rPr>
        <w:t>készlet</w:t>
      </w:r>
    </w:p>
    <w:p w14:paraId="6E4554A3" w14:textId="77777777" w:rsidR="00982459" w:rsidRPr="009461CC" w:rsidRDefault="00982459" w:rsidP="00042B91">
      <w:pPr>
        <w:spacing w:after="0" w:afterAutospacing="0" w:line="240" w:lineRule="auto"/>
        <w:rPr>
          <w:rFonts w:cs="Times New Roman"/>
        </w:rPr>
      </w:pPr>
    </w:p>
    <w:p w14:paraId="7E6E8DB0" w14:textId="23280863" w:rsidR="00221CEF" w:rsidRPr="009461CC" w:rsidRDefault="00221CEF" w:rsidP="00042B91">
      <w:pPr>
        <w:pStyle w:val="Heading1"/>
        <w:rPr>
          <w:rFonts w:cs="Times New Roman"/>
        </w:rPr>
      </w:pPr>
      <w:bookmarkStart w:id="2" w:name="_Toc222741456"/>
      <w:r>
        <w:rPr>
          <w:rFonts w:cs="Times New Roman"/>
          <w:bCs/>
          <w:lang w:val="hu"/>
        </w:rPr>
        <w:t>Eszközleírás, alapvető UDI-DI és EU osztályozás: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533"/>
        <w:gridCol w:w="1527"/>
        <w:gridCol w:w="1440"/>
        <w:gridCol w:w="2065"/>
      </w:tblGrid>
      <w:tr w:rsidR="006266F5" w:rsidRPr="009461CC" w14:paraId="77A15E5D" w14:textId="77777777" w:rsidTr="001047FB">
        <w:tc>
          <w:tcPr>
            <w:tcW w:w="3865" w:type="dxa"/>
            <w:shd w:val="clear" w:color="auto" w:fill="E7E6E6" w:themeFill="background2"/>
          </w:tcPr>
          <w:p w14:paraId="6089AC65" w14:textId="5ACA6E64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hu"/>
              </w:rPr>
              <w:t>Eszköz neve és leírása</w:t>
            </w:r>
          </w:p>
        </w:tc>
        <w:tc>
          <w:tcPr>
            <w:tcW w:w="1533" w:type="dxa"/>
            <w:shd w:val="clear" w:color="auto" w:fill="E7E6E6" w:themeFill="background2"/>
          </w:tcPr>
          <w:p w14:paraId="18959F52" w14:textId="108D25E1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hu"/>
              </w:rPr>
              <w:t>Osztályozás</w:t>
            </w:r>
          </w:p>
        </w:tc>
        <w:tc>
          <w:tcPr>
            <w:tcW w:w="1527" w:type="dxa"/>
            <w:shd w:val="clear" w:color="auto" w:fill="E7E6E6" w:themeFill="background2"/>
          </w:tcPr>
          <w:p w14:paraId="1CA77B88" w14:textId="5CBB4D69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hu"/>
              </w:rPr>
              <w:t>GMDN-kód</w:t>
            </w:r>
          </w:p>
        </w:tc>
        <w:tc>
          <w:tcPr>
            <w:tcW w:w="1440" w:type="dxa"/>
            <w:shd w:val="clear" w:color="auto" w:fill="E7E6E6" w:themeFill="background2"/>
          </w:tcPr>
          <w:p w14:paraId="603AC5E7" w14:textId="64E6761C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hu"/>
              </w:rPr>
              <w:t>EMDN</w:t>
            </w:r>
          </w:p>
        </w:tc>
        <w:tc>
          <w:tcPr>
            <w:tcW w:w="2065" w:type="dxa"/>
            <w:shd w:val="clear" w:color="auto" w:fill="E7E6E6" w:themeFill="background2"/>
          </w:tcPr>
          <w:p w14:paraId="49C72348" w14:textId="0CB79C70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hu"/>
              </w:rPr>
              <w:t>Alap UDI-DI</w:t>
            </w:r>
          </w:p>
        </w:tc>
      </w:tr>
      <w:tr w:rsidR="006266F5" w:rsidRPr="009461CC" w14:paraId="72288A12" w14:textId="77777777" w:rsidTr="001047FB">
        <w:tc>
          <w:tcPr>
            <w:tcW w:w="3865" w:type="dxa"/>
          </w:tcPr>
          <w:p w14:paraId="04AE147E" w14:textId="17C4D5E4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6-10 mm átmérő x 120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>, 6F x 100 cm katéter</w:t>
            </w:r>
          </w:p>
        </w:tc>
        <w:tc>
          <w:tcPr>
            <w:tcW w:w="1533" w:type="dxa"/>
            <w:vMerge w:val="restart"/>
          </w:tcPr>
          <w:p w14:paraId="016CD4E1" w14:textId="205743A9" w:rsidR="006266F5" w:rsidRPr="009461CC" w:rsidRDefault="00BA7D3E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III. osztály</w:t>
            </w:r>
          </w:p>
        </w:tc>
        <w:tc>
          <w:tcPr>
            <w:tcW w:w="1527" w:type="dxa"/>
            <w:vMerge w:val="restart"/>
          </w:tcPr>
          <w:p w14:paraId="2554DF3F" w14:textId="217E32BA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17927</w:t>
            </w:r>
          </w:p>
        </w:tc>
        <w:tc>
          <w:tcPr>
            <w:tcW w:w="1440" w:type="dxa"/>
            <w:vMerge w:val="restart"/>
          </w:tcPr>
          <w:p w14:paraId="44053393" w14:textId="5F7E5816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C019005</w:t>
            </w:r>
          </w:p>
        </w:tc>
        <w:tc>
          <w:tcPr>
            <w:tcW w:w="2065" w:type="dxa"/>
            <w:vMerge w:val="restart"/>
          </w:tcPr>
          <w:p w14:paraId="16987761" w14:textId="1464A232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088633329000132</w:t>
            </w:r>
          </w:p>
        </w:tc>
      </w:tr>
      <w:tr w:rsidR="006266F5" w:rsidRPr="009461CC" w14:paraId="674985B4" w14:textId="77777777" w:rsidTr="001047FB">
        <w:tc>
          <w:tcPr>
            <w:tcW w:w="3865" w:type="dxa"/>
          </w:tcPr>
          <w:p w14:paraId="1845B978" w14:textId="754E5CE6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9-15 mm átmérő x 120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 xml:space="preserve">, 6F x 100 cm katéter </w:t>
            </w:r>
          </w:p>
        </w:tc>
        <w:tc>
          <w:tcPr>
            <w:tcW w:w="1533" w:type="dxa"/>
            <w:vMerge/>
          </w:tcPr>
          <w:p w14:paraId="0F2DCD2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45E8FDD8" w14:textId="4AADF8C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165F2BB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C1D336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B0B0E25" w14:textId="77777777" w:rsidTr="001047FB">
        <w:tc>
          <w:tcPr>
            <w:tcW w:w="3865" w:type="dxa"/>
          </w:tcPr>
          <w:p w14:paraId="0A9B2655" w14:textId="5A4ED1EC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12-20 mm átmérő x 120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 xml:space="preserve">, 6F x 100 cm katéter </w:t>
            </w:r>
          </w:p>
        </w:tc>
        <w:tc>
          <w:tcPr>
            <w:tcW w:w="1533" w:type="dxa"/>
            <w:vMerge/>
          </w:tcPr>
          <w:p w14:paraId="4F42F09B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7D1A397B" w14:textId="2F1838AC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721C2322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3C7CCE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06B07953" w14:textId="77777777" w:rsidTr="001047FB">
        <w:tc>
          <w:tcPr>
            <w:tcW w:w="3865" w:type="dxa"/>
          </w:tcPr>
          <w:p w14:paraId="122A6EC5" w14:textId="1CD83A01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18-30 mm átmérő x 120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 xml:space="preserve">, 7F x 100 cm katéter </w:t>
            </w:r>
          </w:p>
        </w:tc>
        <w:tc>
          <w:tcPr>
            <w:tcW w:w="1533" w:type="dxa"/>
            <w:vMerge/>
          </w:tcPr>
          <w:p w14:paraId="1913C87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00E8406E" w14:textId="7131A855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68FC6CA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36E1922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0E2EDC2" w14:textId="77777777" w:rsidTr="001047FB">
        <w:tc>
          <w:tcPr>
            <w:tcW w:w="3865" w:type="dxa"/>
          </w:tcPr>
          <w:p w14:paraId="3B2B1D80" w14:textId="2E360817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27-45 mm átmérő x 120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>, 7F x 100 cm katéter</w:t>
            </w:r>
          </w:p>
        </w:tc>
        <w:tc>
          <w:tcPr>
            <w:tcW w:w="1533" w:type="dxa"/>
            <w:vMerge/>
          </w:tcPr>
          <w:p w14:paraId="5D29838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001781C2" w14:textId="46419622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20D9A32E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855DBE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E3403A6" w14:textId="77777777" w:rsidTr="001047FB">
        <w:tc>
          <w:tcPr>
            <w:tcW w:w="3865" w:type="dxa"/>
          </w:tcPr>
          <w:p w14:paraId="675708BF" w14:textId="69E11805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2-4 mm átmérő x 175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 xml:space="preserve">, 3.2F x 150 cm katéter </w:t>
            </w:r>
          </w:p>
        </w:tc>
        <w:tc>
          <w:tcPr>
            <w:tcW w:w="1533" w:type="dxa"/>
            <w:vMerge/>
          </w:tcPr>
          <w:p w14:paraId="4005AAE7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10F77F80" w14:textId="1EEE88E0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01E30B8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7E3CD13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63BEE28" w14:textId="77777777" w:rsidTr="001047FB">
        <w:tc>
          <w:tcPr>
            <w:tcW w:w="3865" w:type="dxa"/>
          </w:tcPr>
          <w:p w14:paraId="2C7CFD34" w14:textId="7B636476" w:rsidR="006266F5" w:rsidRPr="009461CC" w:rsidRDefault="006266F5" w:rsidP="001047FB">
            <w:pPr>
              <w:spacing w:line="228" w:lineRule="auto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 xml:space="preserve">Atrieve Vascular Snare™ készlet, 4-8 mm átmérő x 175 cm </w:t>
            </w:r>
            <w:r w:rsidR="002A7624">
              <w:rPr>
                <w:rFonts w:cs="Times New Roman"/>
                <w:lang w:val="hu"/>
              </w:rPr>
              <w:t>Snare</w:t>
            </w:r>
            <w:r>
              <w:rPr>
                <w:rFonts w:cs="Times New Roman"/>
                <w:lang w:val="hu"/>
              </w:rPr>
              <w:t>, 3.2F x 150 cm katéter</w:t>
            </w:r>
          </w:p>
        </w:tc>
        <w:tc>
          <w:tcPr>
            <w:tcW w:w="1533" w:type="dxa"/>
            <w:vMerge/>
          </w:tcPr>
          <w:p w14:paraId="796C4314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27" w:type="dxa"/>
            <w:vMerge/>
          </w:tcPr>
          <w:p w14:paraId="520A7E25" w14:textId="5F41C696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14:paraId="77962B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70FDA7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</w:tbl>
    <w:p w14:paraId="2DAE4D4B" w14:textId="77777777" w:rsidR="00AA2E04" w:rsidRPr="009461CC" w:rsidRDefault="00AA2E04" w:rsidP="00AA3694">
      <w:pPr>
        <w:pStyle w:val="Heading1"/>
        <w:numPr>
          <w:ilvl w:val="0"/>
          <w:numId w:val="0"/>
        </w:numPr>
        <w:rPr>
          <w:rFonts w:cs="Times New Roman"/>
        </w:rPr>
      </w:pPr>
    </w:p>
    <w:p w14:paraId="4B18C73D" w14:textId="72C79B52" w:rsidR="009855C3" w:rsidRPr="009461CC" w:rsidRDefault="009855C3" w:rsidP="00042B91">
      <w:pPr>
        <w:pStyle w:val="Heading1"/>
        <w:rPr>
          <w:rFonts w:cs="Times New Roman"/>
        </w:rPr>
      </w:pPr>
      <w:bookmarkStart w:id="3" w:name="_Toc222741457"/>
      <w:r>
        <w:rPr>
          <w:rFonts w:cs="Times New Roman"/>
          <w:bCs/>
          <w:lang w:val="hu"/>
        </w:rPr>
        <w:t>Az eszközre vonatkozó első tanúsítvány (CE) kiadásának éve:</w:t>
      </w:r>
      <w:bookmarkEnd w:id="3"/>
      <w:r>
        <w:rPr>
          <w:rFonts w:cs="Times New Roman"/>
          <w:bCs/>
          <w:lang w:val="hu"/>
        </w:rPr>
        <w:t xml:space="preserve"> </w:t>
      </w:r>
    </w:p>
    <w:p w14:paraId="76BA3EF9" w14:textId="2F11EB3E" w:rsidR="00713233" w:rsidRPr="009461CC" w:rsidRDefault="00780A59" w:rsidP="00E714ED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2010-ben kapta meg a CE-jelölést (CE 608298) az MDD (orvostechnikai eszközökről szóló irányelv) keretében </w:t>
      </w:r>
    </w:p>
    <w:p w14:paraId="10A04209" w14:textId="75FC9DEC" w:rsidR="009855C3" w:rsidRPr="002C3D81" w:rsidRDefault="009855C3" w:rsidP="00042B91">
      <w:pPr>
        <w:pStyle w:val="Heading1"/>
        <w:rPr>
          <w:rFonts w:cs="Times New Roman"/>
          <w:lang w:val="hu"/>
        </w:rPr>
      </w:pPr>
      <w:r>
        <w:rPr>
          <w:rFonts w:cs="Times New Roman"/>
          <w:bCs/>
          <w:lang w:val="hu"/>
        </w:rPr>
        <w:lastRenderedPageBreak/>
        <w:t xml:space="preserve"> </w:t>
      </w:r>
      <w:bookmarkStart w:id="4" w:name="_Toc222741458"/>
      <w:r>
        <w:rPr>
          <w:rFonts w:cs="Times New Roman"/>
          <w:bCs/>
          <w:lang w:val="hu"/>
        </w:rPr>
        <w:t>Gyártó neve, címe és SRN-száma:</w:t>
      </w:r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493B5B" w:rsidRPr="009461CC" w14:paraId="49C995E4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8134E" w14:textId="77777777" w:rsidR="00493B5B" w:rsidRPr="009461CC" w:rsidRDefault="00493B5B" w:rsidP="00AA3694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hu"/>
              </w:rPr>
              <w:t>Gyártói információk</w:t>
            </w:r>
          </w:p>
        </w:tc>
      </w:tr>
      <w:tr w:rsidR="00493B5B" w:rsidRPr="009461CC" w14:paraId="49F686BA" w14:textId="77777777" w:rsidTr="001047FB">
        <w:trPr>
          <w:trHeight w:val="314"/>
        </w:trPr>
        <w:tc>
          <w:tcPr>
            <w:tcW w:w="2241" w:type="pct"/>
          </w:tcPr>
          <w:p w14:paraId="55881DB9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hu"/>
              </w:rPr>
              <w:t>Gyártói sorozatszám: US-MF-000002324</w:t>
            </w:r>
          </w:p>
        </w:tc>
        <w:tc>
          <w:tcPr>
            <w:tcW w:w="2759" w:type="pct"/>
          </w:tcPr>
          <w:p w14:paraId="61E93080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hu"/>
              </w:rPr>
              <w:t>Gyártó neve: Argon Medical Devices, Inc.</w:t>
            </w:r>
          </w:p>
        </w:tc>
      </w:tr>
      <w:tr w:rsidR="00493B5B" w:rsidRPr="009461CC" w14:paraId="03F91594" w14:textId="77777777" w:rsidTr="00272DEA">
        <w:trPr>
          <w:trHeight w:val="525"/>
        </w:trPr>
        <w:tc>
          <w:tcPr>
            <w:tcW w:w="2241" w:type="pct"/>
          </w:tcPr>
          <w:p w14:paraId="119B5A73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Kapcsolattartó kereszt- és vezetékneve: Scott Bishop</w:t>
            </w:r>
          </w:p>
        </w:tc>
        <w:tc>
          <w:tcPr>
            <w:tcW w:w="2759" w:type="pct"/>
          </w:tcPr>
          <w:p w14:paraId="0FE9AF31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E-mail:</w:t>
            </w:r>
            <w:r>
              <w:rPr>
                <w:sz w:val="22"/>
                <w:lang w:val="hu"/>
              </w:rPr>
              <w:t xml:space="preserve"> </w:t>
            </w:r>
            <w:hyperlink r:id="rId11" w:history="1">
              <w:r>
                <w:rPr>
                  <w:color w:val="0563C1"/>
                  <w:szCs w:val="24"/>
                  <w:u w:val="single"/>
                  <w:lang w:val="hu"/>
                </w:rPr>
                <w:t>RegCompliance@argonmedical.com</w:t>
              </w:r>
            </w:hyperlink>
          </w:p>
          <w:p w14:paraId="12F2B43C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</w:p>
        </w:tc>
      </w:tr>
      <w:tr w:rsidR="00493B5B" w:rsidRPr="009461CC" w14:paraId="075079C3" w14:textId="77777777" w:rsidTr="00272DEA">
        <w:trPr>
          <w:trHeight w:val="525"/>
        </w:trPr>
        <w:tc>
          <w:tcPr>
            <w:tcW w:w="2241" w:type="pct"/>
          </w:tcPr>
          <w:p w14:paraId="05BD6F97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Telefonszám: 903-675-9321</w:t>
            </w:r>
          </w:p>
        </w:tc>
        <w:tc>
          <w:tcPr>
            <w:tcW w:w="2759" w:type="pct"/>
          </w:tcPr>
          <w:p w14:paraId="260E0D3D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Cím:</w:t>
            </w:r>
          </w:p>
          <w:p w14:paraId="041EA64B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1445 Flat Creek Rd.</w:t>
            </w:r>
          </w:p>
          <w:p w14:paraId="26DE4983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Athens, Texas 75751</w:t>
            </w:r>
          </w:p>
          <w:p w14:paraId="586DCCA3" w14:textId="38B6FE42" w:rsidR="00493B5B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USA</w:t>
            </w:r>
          </w:p>
        </w:tc>
      </w:tr>
    </w:tbl>
    <w:p w14:paraId="2E5002E8" w14:textId="77777777" w:rsidR="00D20FA4" w:rsidRPr="009461CC" w:rsidRDefault="00D20FA4" w:rsidP="00042B91">
      <w:pPr>
        <w:spacing w:after="0" w:afterAutospacing="0" w:line="240" w:lineRule="auto"/>
        <w:ind w:left="1440"/>
        <w:rPr>
          <w:rFonts w:cs="Times New Roman"/>
        </w:rPr>
      </w:pPr>
    </w:p>
    <w:p w14:paraId="1CFB1B57" w14:textId="4BD4E170" w:rsidR="009855C3" w:rsidRPr="009461CC" w:rsidRDefault="00887E5D" w:rsidP="00AA3694">
      <w:pPr>
        <w:pStyle w:val="Heading1"/>
        <w:rPr>
          <w:rFonts w:cs="Times New Roman"/>
        </w:rPr>
      </w:pPr>
      <w:bookmarkStart w:id="5" w:name="_Toc222741459"/>
      <w:r>
        <w:rPr>
          <w:rFonts w:cs="Times New Roman"/>
          <w:bCs/>
          <w:lang w:val="hu"/>
        </w:rPr>
        <w:t>Meghatalmazott képviselő neve és SRN száma:</w:t>
      </w:r>
      <w:bookmarkEnd w:id="5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8A210D" w:rsidRPr="009461CC" w14:paraId="5389928F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B4BB7C" w14:textId="77777777" w:rsidR="008A210D" w:rsidRPr="009461CC" w:rsidRDefault="008A210D" w:rsidP="008A210D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hu"/>
              </w:rPr>
              <w:t>Meghatalmazott képviselő adatai</w:t>
            </w:r>
          </w:p>
        </w:tc>
      </w:tr>
      <w:tr w:rsidR="008A210D" w:rsidRPr="002305F3" w14:paraId="486856D5" w14:textId="77777777" w:rsidTr="00272DEA">
        <w:trPr>
          <w:trHeight w:val="489"/>
        </w:trPr>
        <w:tc>
          <w:tcPr>
            <w:tcW w:w="2241" w:type="pct"/>
          </w:tcPr>
          <w:p w14:paraId="5FC8645E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hu"/>
              </w:rPr>
              <w:t>SRN: NL-AR-000000116</w:t>
            </w:r>
          </w:p>
        </w:tc>
        <w:tc>
          <w:tcPr>
            <w:tcW w:w="2759" w:type="pct"/>
          </w:tcPr>
          <w:p w14:paraId="25BF63FC" w14:textId="77777777" w:rsidR="008A210D" w:rsidRPr="000D0499" w:rsidRDefault="008A210D" w:rsidP="001047FB">
            <w:pPr>
              <w:widowControl w:val="0"/>
              <w:autoSpaceDE w:val="0"/>
              <w:autoSpaceDN w:val="0"/>
              <w:spacing w:after="0" w:afterAutospacing="0"/>
              <w:rPr>
                <w:bCs/>
                <w:szCs w:val="24"/>
                <w:lang w:val="pt-BR"/>
              </w:rPr>
            </w:pPr>
            <w:r>
              <w:rPr>
                <w:szCs w:val="24"/>
                <w:lang w:val="hu"/>
              </w:rPr>
              <w:t>Meghatalmazott képviselő szervezet neve:</w:t>
            </w:r>
          </w:p>
          <w:p w14:paraId="3A6B7B5C" w14:textId="77777777" w:rsidR="008A210D" w:rsidRPr="000D0499" w:rsidRDefault="008A210D" w:rsidP="008A210D">
            <w:pPr>
              <w:spacing w:after="0" w:afterAutospacing="0"/>
              <w:rPr>
                <w:szCs w:val="24"/>
                <w:lang w:val="pt-BR"/>
              </w:rPr>
            </w:pPr>
            <w:r>
              <w:rPr>
                <w:szCs w:val="24"/>
                <w:lang w:val="hu"/>
              </w:rPr>
              <w:t>Emergo Europe</w:t>
            </w:r>
          </w:p>
        </w:tc>
      </w:tr>
      <w:tr w:rsidR="008A210D" w:rsidRPr="002305F3" w14:paraId="7AE34B46" w14:textId="77777777" w:rsidTr="001047FB">
        <w:trPr>
          <w:trHeight w:val="368"/>
        </w:trPr>
        <w:tc>
          <w:tcPr>
            <w:tcW w:w="2241" w:type="pct"/>
          </w:tcPr>
          <w:p w14:paraId="65D7FE1F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Elérhetőségek: Vigilancia csapat</w:t>
            </w:r>
          </w:p>
        </w:tc>
        <w:tc>
          <w:tcPr>
            <w:tcW w:w="2759" w:type="pct"/>
          </w:tcPr>
          <w:p w14:paraId="2A3CD5D0" w14:textId="77777777" w:rsidR="008A210D" w:rsidRPr="002C3D81" w:rsidRDefault="008A210D" w:rsidP="008A210D">
            <w:pPr>
              <w:widowControl w:val="0"/>
              <w:autoSpaceDE w:val="0"/>
              <w:autoSpaceDN w:val="0"/>
              <w:spacing w:before="39" w:after="0" w:afterAutospacing="0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hu"/>
              </w:rPr>
              <w:t xml:space="preserve">E-mail: </w:t>
            </w:r>
            <w:hyperlink r:id="rId12" w:history="1">
              <w:r>
                <w:rPr>
                  <w:color w:val="0563C1"/>
                  <w:szCs w:val="24"/>
                  <w:u w:val="single"/>
                  <w:lang w:val="hu"/>
                </w:rPr>
                <w:t>EmergoVigilance@ul.com</w:t>
              </w:r>
            </w:hyperlink>
          </w:p>
        </w:tc>
      </w:tr>
      <w:tr w:rsidR="008A210D" w:rsidRPr="009461CC" w14:paraId="0CB481FF" w14:textId="77777777" w:rsidTr="00272DEA">
        <w:trPr>
          <w:trHeight w:val="525"/>
        </w:trPr>
        <w:tc>
          <w:tcPr>
            <w:tcW w:w="2241" w:type="pct"/>
          </w:tcPr>
          <w:p w14:paraId="3652CFB2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Telefonszám: +31-70-345-8570</w:t>
            </w:r>
          </w:p>
          <w:p w14:paraId="7CCBBDE7" w14:textId="739E5D21" w:rsidR="00A603C9" w:rsidRPr="009461CC" w:rsidRDefault="00A603C9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color w:val="000000"/>
                <w:szCs w:val="24"/>
                <w:lang w:val="hu"/>
              </w:rPr>
              <w:t>Fax: +31 (0)70 346 7299</w:t>
            </w:r>
          </w:p>
        </w:tc>
        <w:tc>
          <w:tcPr>
            <w:tcW w:w="2759" w:type="pct"/>
          </w:tcPr>
          <w:p w14:paraId="2F41425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Cím</w:t>
            </w:r>
          </w:p>
          <w:p w14:paraId="759A4A48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 xml:space="preserve">Utca, házsazám: </w:t>
            </w:r>
            <w:r>
              <w:rPr>
                <w:sz w:val="22"/>
                <w:lang w:val="hu"/>
              </w:rPr>
              <w:t xml:space="preserve"> 60 </w:t>
            </w:r>
            <w:r>
              <w:rPr>
                <w:szCs w:val="24"/>
                <w:lang w:val="hu"/>
              </w:rPr>
              <w:t>Westervoortsedijk</w:t>
            </w:r>
          </w:p>
          <w:p w14:paraId="3B20AE15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Város: Arnhem</w:t>
            </w:r>
          </w:p>
          <w:p w14:paraId="6FC3344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Irányítószám: 6827 AT</w:t>
            </w:r>
          </w:p>
          <w:p w14:paraId="2EB91056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hu"/>
              </w:rPr>
              <w:t>Ország: Hollandia</w:t>
            </w:r>
          </w:p>
        </w:tc>
      </w:tr>
    </w:tbl>
    <w:p w14:paraId="1624A296" w14:textId="77777777" w:rsidR="009855C3" w:rsidRPr="009461CC" w:rsidRDefault="009855C3" w:rsidP="00042B91">
      <w:pPr>
        <w:spacing w:after="0" w:afterAutospacing="0" w:line="240" w:lineRule="auto"/>
        <w:ind w:left="1440"/>
        <w:rPr>
          <w:rFonts w:cs="Times New Roman"/>
        </w:rPr>
      </w:pPr>
    </w:p>
    <w:p w14:paraId="6CE36BA3" w14:textId="292AEF0B" w:rsidR="006517A0" w:rsidRPr="009461CC" w:rsidRDefault="009855C3" w:rsidP="003074B3">
      <w:pPr>
        <w:pStyle w:val="Heading1"/>
        <w:rPr>
          <w:rFonts w:cs="Times New Roman"/>
        </w:rPr>
      </w:pPr>
      <w:bookmarkStart w:id="6" w:name="_Toc222741460"/>
      <w:r>
        <w:rPr>
          <w:rFonts w:cs="Times New Roman"/>
          <w:bCs/>
          <w:lang w:val="hu"/>
        </w:rPr>
        <w:t>Bejelentett szervezet (NB) neve és egyedi azonosító száma: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926"/>
      </w:tblGrid>
      <w:tr w:rsidR="003074B3" w:rsidRPr="009461CC" w14:paraId="7E457138" w14:textId="77777777" w:rsidTr="00272DEA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932D8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hu"/>
              </w:rPr>
              <w:t>Bejelentett szervezet</w:t>
            </w:r>
          </w:p>
        </w:tc>
      </w:tr>
      <w:tr w:rsidR="00272DEA" w:rsidRPr="009461CC" w14:paraId="0B814508" w14:textId="77777777" w:rsidTr="001047FB">
        <w:trPr>
          <w:trHeight w:val="350"/>
          <w:jc w:val="center"/>
        </w:trPr>
        <w:tc>
          <w:tcPr>
            <w:tcW w:w="1680" w:type="pct"/>
          </w:tcPr>
          <w:p w14:paraId="49157CDC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Név:</w:t>
            </w:r>
          </w:p>
        </w:tc>
        <w:tc>
          <w:tcPr>
            <w:tcW w:w="3320" w:type="pct"/>
          </w:tcPr>
          <w:p w14:paraId="5863E627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cs="Times New Roman"/>
                <w:szCs w:val="24"/>
                <w:lang w:val="hu"/>
              </w:rPr>
              <w:t>The British Standards Institution (BSI) Group the Netherlands B.V.</w:t>
            </w:r>
          </w:p>
        </w:tc>
      </w:tr>
      <w:tr w:rsidR="003074B3" w:rsidRPr="009461CC" w14:paraId="65281175" w14:textId="77777777" w:rsidTr="001047FB">
        <w:trPr>
          <w:trHeight w:val="728"/>
          <w:jc w:val="center"/>
        </w:trPr>
        <w:tc>
          <w:tcPr>
            <w:tcW w:w="1680" w:type="pct"/>
          </w:tcPr>
          <w:p w14:paraId="7941F5B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Cím:</w:t>
            </w:r>
          </w:p>
        </w:tc>
        <w:tc>
          <w:tcPr>
            <w:tcW w:w="3320" w:type="pct"/>
          </w:tcPr>
          <w:p w14:paraId="727CFF1E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John M. Keynesplein 9</w:t>
            </w:r>
          </w:p>
          <w:p w14:paraId="4054093A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1066 EP Amszterdam</w:t>
            </w:r>
          </w:p>
          <w:p w14:paraId="72F2BC2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 xml:space="preserve"> Hollandia</w:t>
            </w:r>
          </w:p>
        </w:tc>
      </w:tr>
      <w:tr w:rsidR="003074B3" w:rsidRPr="009461CC" w14:paraId="7A858549" w14:textId="77777777" w:rsidTr="001047FB">
        <w:trPr>
          <w:trHeight w:val="351"/>
          <w:jc w:val="center"/>
        </w:trPr>
        <w:tc>
          <w:tcPr>
            <w:tcW w:w="1680" w:type="pct"/>
          </w:tcPr>
          <w:p w14:paraId="4D329CD4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Weboldal:</w:t>
            </w:r>
          </w:p>
        </w:tc>
        <w:tc>
          <w:tcPr>
            <w:tcW w:w="3320" w:type="pct"/>
          </w:tcPr>
          <w:p w14:paraId="29B75D5D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hyperlink r:id="rId13" w:history="1">
              <w:r>
                <w:rPr>
                  <w:rFonts w:eastAsia="Times New Roman" w:cs="Times New Roman"/>
                  <w:color w:val="0000FF"/>
                  <w:szCs w:val="24"/>
                  <w:u w:val="single"/>
                  <w:lang w:val="hu"/>
                </w:rPr>
                <w:t>www.bsigroup.com</w:t>
              </w:r>
            </w:hyperlink>
            <w:r>
              <w:rPr>
                <w:rFonts w:eastAsia="Times New Roman" w:cs="Times New Roman"/>
                <w:szCs w:val="24"/>
                <w:lang w:val="hu"/>
              </w:rPr>
              <w:t xml:space="preserve"> </w:t>
            </w:r>
          </w:p>
        </w:tc>
      </w:tr>
      <w:tr w:rsidR="003074B3" w:rsidRPr="009461CC" w14:paraId="242654B6" w14:textId="77777777" w:rsidTr="001047FB">
        <w:trPr>
          <w:trHeight w:val="355"/>
          <w:jc w:val="center"/>
        </w:trPr>
        <w:tc>
          <w:tcPr>
            <w:tcW w:w="1680" w:type="pct"/>
          </w:tcPr>
          <w:p w14:paraId="6F572CD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Telefon szám:</w:t>
            </w:r>
          </w:p>
        </w:tc>
        <w:tc>
          <w:tcPr>
            <w:tcW w:w="3320" w:type="pct"/>
          </w:tcPr>
          <w:p w14:paraId="7E5F2BF5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+31 (0)20 346 07 80</w:t>
            </w:r>
          </w:p>
        </w:tc>
      </w:tr>
      <w:tr w:rsidR="003074B3" w:rsidRPr="009461CC" w14:paraId="3445789F" w14:textId="77777777" w:rsidTr="001047FB">
        <w:trPr>
          <w:trHeight w:val="355"/>
          <w:jc w:val="center"/>
        </w:trPr>
        <w:tc>
          <w:tcPr>
            <w:tcW w:w="1680" w:type="pct"/>
          </w:tcPr>
          <w:p w14:paraId="6D8C8396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Fax:</w:t>
            </w:r>
          </w:p>
        </w:tc>
        <w:tc>
          <w:tcPr>
            <w:tcW w:w="3320" w:type="pct"/>
          </w:tcPr>
          <w:p w14:paraId="42A0F78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+31 (0)20 346 07 81</w:t>
            </w:r>
          </w:p>
        </w:tc>
      </w:tr>
      <w:tr w:rsidR="003074B3" w:rsidRPr="009461CC" w14:paraId="108563A6" w14:textId="77777777" w:rsidTr="001047FB">
        <w:trPr>
          <w:trHeight w:val="323"/>
          <w:jc w:val="center"/>
        </w:trPr>
        <w:tc>
          <w:tcPr>
            <w:tcW w:w="1680" w:type="pct"/>
          </w:tcPr>
          <w:p w14:paraId="68313F8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Bejelentett szervezet száma:</w:t>
            </w:r>
            <w:r>
              <w:rPr>
                <w:rFonts w:eastAsia="Times New Roman" w:cs="Times New Roman"/>
                <w:szCs w:val="24"/>
                <w:lang w:val="hu"/>
              </w:rPr>
              <w:tab/>
            </w:r>
          </w:p>
        </w:tc>
        <w:tc>
          <w:tcPr>
            <w:tcW w:w="3320" w:type="pct"/>
          </w:tcPr>
          <w:p w14:paraId="445F211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hu"/>
              </w:rPr>
              <w:t>2797</w:t>
            </w:r>
          </w:p>
        </w:tc>
      </w:tr>
    </w:tbl>
    <w:p w14:paraId="49CBA632" w14:textId="77777777" w:rsidR="005C6A90" w:rsidRPr="009461CC" w:rsidRDefault="005C6A90" w:rsidP="00042B91">
      <w:pPr>
        <w:spacing w:after="0" w:afterAutospacing="0" w:line="240" w:lineRule="auto"/>
        <w:rPr>
          <w:rFonts w:cs="Times New Roman"/>
        </w:rPr>
      </w:pPr>
    </w:p>
    <w:p w14:paraId="708F564C" w14:textId="58CA8111" w:rsidR="00AA2E04" w:rsidRPr="009461CC" w:rsidRDefault="00AA2E0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" w:name="_Toc222741461"/>
      <w:r>
        <w:rPr>
          <w:rFonts w:cs="Times New Roman"/>
          <w:bCs/>
          <w:lang w:val="hu"/>
        </w:rPr>
        <w:t>Az eszköz rendeltetésszerű használata/célja</w:t>
      </w:r>
      <w:bookmarkEnd w:id="7"/>
      <w:r>
        <w:rPr>
          <w:rFonts w:cs="Times New Roman"/>
          <w:bCs/>
          <w:lang w:val="hu"/>
        </w:rPr>
        <w:t xml:space="preserve"> </w:t>
      </w:r>
    </w:p>
    <w:p w14:paraId="48603D86" w14:textId="3BAB4A94" w:rsidR="00D104AC" w:rsidRPr="009461CC" w:rsidRDefault="00D104AC" w:rsidP="00FB0A38">
      <w:pPr>
        <w:spacing w:after="0" w:afterAutospacing="0"/>
        <w:ind w:left="360"/>
        <w:rPr>
          <w:rFonts w:cs="Times New Roman"/>
        </w:rPr>
      </w:pPr>
      <w:r>
        <w:rPr>
          <w:rFonts w:cs="Times New Roman"/>
          <w:lang w:val="hu"/>
        </w:rPr>
        <w:t>Referenciák:</w:t>
      </w:r>
    </w:p>
    <w:p w14:paraId="5CC3EE9B" w14:textId="1A780D49" w:rsidR="00042B91" w:rsidRPr="009461CC" w:rsidRDefault="00FE5B7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hu"/>
        </w:rPr>
        <w:t>Referenciaszámok: X9585730-0321-EU Rev A</w:t>
      </w:r>
    </w:p>
    <w:p w14:paraId="1254EE9F" w14:textId="77777777" w:rsidR="00FE5B73" w:rsidRPr="009461CC" w:rsidRDefault="00FE5B73" w:rsidP="00042B91">
      <w:pPr>
        <w:spacing w:after="0" w:afterAutospacing="0" w:line="240" w:lineRule="auto"/>
        <w:rPr>
          <w:rFonts w:cs="Times New Roman"/>
        </w:rPr>
      </w:pPr>
    </w:p>
    <w:p w14:paraId="39A6DB15" w14:textId="58ED6DAB" w:rsidR="006F0810" w:rsidRPr="009461CC" w:rsidRDefault="00B7112F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hu"/>
        </w:rPr>
        <w:t xml:space="preserve"> </w:t>
      </w:r>
      <w:bookmarkStart w:id="8" w:name="_Toc222741462"/>
      <w:r>
        <w:rPr>
          <w:rFonts w:cs="Times New Roman"/>
          <w:bCs/>
          <w:lang w:val="hu"/>
        </w:rPr>
        <w:t>Rendeltetésszerű használata/cél</w:t>
      </w:r>
      <w:bookmarkEnd w:id="8"/>
    </w:p>
    <w:p w14:paraId="5F55F24F" w14:textId="20556298" w:rsidR="009B569A" w:rsidRPr="009461CC" w:rsidRDefault="00B82FB3" w:rsidP="00B82FB3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hu"/>
        </w:rPr>
        <w:t>Idegentestek eltávolítására és manipulációjára szolgál a kardiovaszkuláris rendszerben és az üreges szervekben.</w:t>
      </w:r>
    </w:p>
    <w:p w14:paraId="0540FB4C" w14:textId="6BE36C7A" w:rsidR="006F0810" w:rsidRPr="009461CC" w:rsidRDefault="006F0810" w:rsidP="00042B91">
      <w:pPr>
        <w:pStyle w:val="Heading1"/>
        <w:rPr>
          <w:rFonts w:cs="Times New Roman"/>
        </w:rPr>
      </w:pPr>
      <w:bookmarkStart w:id="9" w:name="_Toc222741463"/>
      <w:r>
        <w:rPr>
          <w:rFonts w:cs="Times New Roman"/>
          <w:bCs/>
          <w:lang w:val="hu"/>
        </w:rPr>
        <w:t>Alkalmazási területek</w:t>
      </w:r>
      <w:bookmarkEnd w:id="9"/>
    </w:p>
    <w:p w14:paraId="24ADD508" w14:textId="77777777" w:rsidR="00235AAE" w:rsidRPr="002C3D81" w:rsidRDefault="00235AAE" w:rsidP="00235AAE">
      <w:pPr>
        <w:widowControl w:val="0"/>
        <w:rPr>
          <w:rFonts w:cs="Times New Roman"/>
          <w:lang w:val="hu"/>
        </w:rPr>
      </w:pPr>
      <w:r>
        <w:rPr>
          <w:rFonts w:cs="Times New Roman"/>
          <w:lang w:val="hu"/>
        </w:rPr>
        <w:lastRenderedPageBreak/>
        <w:t>Idegentestek eltávolítására és manipulációjára szolgál a kardiovaszkuláris rendszerben és az üreges szervekben. A manipulációk körébe tartozik az állandó vénás katéterek újra pozícionálása vagy fibrinhüvelyének eltávolítása, valamint a centrálvénás hozzáférésű vénás vérvétel segítése.</w:t>
      </w:r>
    </w:p>
    <w:p w14:paraId="498EAE44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0" w:name="_Toc222741464"/>
      <w:r>
        <w:rPr>
          <w:rFonts w:cs="Times New Roman"/>
          <w:bCs/>
          <w:lang w:val="hu"/>
        </w:rPr>
        <w:t>Célzott betegpopuláció</w:t>
      </w:r>
      <w:bookmarkEnd w:id="10"/>
    </w:p>
    <w:p w14:paraId="099A3585" w14:textId="77777777" w:rsidR="003B70D7" w:rsidRPr="009461CC" w:rsidRDefault="003B70D7" w:rsidP="005A1E4B">
      <w:pPr>
        <w:pStyle w:val="pf0"/>
        <w:widowControl w:val="0"/>
        <w:spacing w:before="0" w:beforeAutospacing="0" w:after="0" w:afterAutospacing="0"/>
      </w:pPr>
      <w:r>
        <w:rPr>
          <w:lang w:val="hu"/>
        </w:rPr>
        <w:t>Felnőtt betegek, beleértve az idős felnőtteket, bármilyen nem, faji vagy etnikai hovatartozás.</w:t>
      </w:r>
    </w:p>
    <w:p w14:paraId="3621B4F1" w14:textId="77777777" w:rsidR="003B70D7" w:rsidRPr="009461CC" w:rsidRDefault="003B70D7" w:rsidP="003B70D7">
      <w:pPr>
        <w:pStyle w:val="pf0"/>
        <w:widowControl w:val="0"/>
        <w:spacing w:before="0" w:beforeAutospacing="0" w:after="0" w:afterAutospacing="0"/>
      </w:pPr>
    </w:p>
    <w:p w14:paraId="28F544BD" w14:textId="4F93A450" w:rsidR="006F0810" w:rsidRPr="009461CC" w:rsidRDefault="006F0810" w:rsidP="00042B91">
      <w:pPr>
        <w:pStyle w:val="Heading1"/>
        <w:rPr>
          <w:rFonts w:cs="Times New Roman"/>
        </w:rPr>
      </w:pPr>
      <w:bookmarkStart w:id="11" w:name="_Toc222741465"/>
      <w:r>
        <w:rPr>
          <w:rFonts w:cs="Times New Roman"/>
          <w:bCs/>
          <w:lang w:val="hu"/>
        </w:rPr>
        <w:t>Ellenjavallatok</w:t>
      </w:r>
      <w:bookmarkEnd w:id="11"/>
    </w:p>
    <w:p w14:paraId="169E24EB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val="hu"/>
        </w:rPr>
        <w:t>Ez az eszköz nem alkalmas a szövetnövekedés által befogott idegentestek eltávolítására</w:t>
      </w:r>
      <w:r>
        <w:rPr>
          <w:rFonts w:cs="Times New Roman"/>
          <w:color w:val="4472C4" w:themeColor="accent1"/>
          <w:lang w:val="hu"/>
        </w:rPr>
        <w:t>.</w:t>
      </w:r>
    </w:p>
    <w:p w14:paraId="4BFB00B8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hu"/>
        </w:rPr>
        <w:t>Az eszközt nem szabad alkalmazni fibrinhüvely eltávolítására nyitott foramen ovale vagy egyéb septum defektusok jelenlétében.</w:t>
      </w:r>
    </w:p>
    <w:p w14:paraId="77577945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hu"/>
        </w:rPr>
        <w:t>Ez az eszköz nem beültetett pacemaker elektródák eltávolítására szolgál.</w:t>
      </w:r>
    </w:p>
    <w:p w14:paraId="764D1032" w14:textId="77777777" w:rsidR="00761873" w:rsidRPr="009461CC" w:rsidRDefault="00761873" w:rsidP="00761873">
      <w:pPr>
        <w:pStyle w:val="ListParagraph"/>
        <w:spacing w:after="0" w:afterAutospacing="0"/>
        <w:ind w:left="1440"/>
        <w:rPr>
          <w:rFonts w:cs="Times New Roman"/>
        </w:rPr>
      </w:pPr>
    </w:p>
    <w:p w14:paraId="0A9D601E" w14:textId="53FB771D" w:rsidR="00760400" w:rsidRPr="009461CC" w:rsidRDefault="00D20FA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2" w:name="_Toc222741466"/>
      <w:r>
        <w:rPr>
          <w:rFonts w:cs="Times New Roman"/>
          <w:bCs/>
          <w:lang w:val="hu"/>
        </w:rPr>
        <w:t>Eszközleírás</w:t>
      </w:r>
      <w:bookmarkEnd w:id="12"/>
    </w:p>
    <w:p w14:paraId="7115673A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33649869" w14:textId="52085753" w:rsidR="00D20FA4" w:rsidRPr="009461CC" w:rsidRDefault="00D20FA4" w:rsidP="00042B91">
      <w:pPr>
        <w:pStyle w:val="Heading1"/>
        <w:rPr>
          <w:rFonts w:cs="Times New Roman"/>
        </w:rPr>
      </w:pPr>
      <w:bookmarkStart w:id="13" w:name="_Toc222741467"/>
      <w:r>
        <w:rPr>
          <w:rFonts w:cs="Times New Roman"/>
          <w:bCs/>
          <w:lang w:val="hu"/>
        </w:rPr>
        <w:t>Az eszköz leírása</w:t>
      </w:r>
      <w:bookmarkEnd w:id="13"/>
      <w:r>
        <w:rPr>
          <w:rFonts w:cs="Times New Roman"/>
          <w:bCs/>
          <w:lang w:val="hu"/>
        </w:rPr>
        <w:t xml:space="preserve"> </w:t>
      </w:r>
    </w:p>
    <w:p w14:paraId="3DAFEC6E" w14:textId="093E245E" w:rsidR="00994DB9" w:rsidRPr="002C3D81" w:rsidRDefault="00994DB9" w:rsidP="00994DB9">
      <w:pPr>
        <w:rPr>
          <w:rFonts w:cs="Times New Roman"/>
          <w:lang w:val="hu"/>
        </w:rPr>
      </w:pPr>
      <w:bookmarkStart w:id="14" w:name="_Hlk169187630"/>
      <w:r>
        <w:rPr>
          <w:rFonts w:cs="Times New Roman"/>
          <w:lang w:val="hu"/>
        </w:rPr>
        <w:t xml:space="preserve">Az Atrieve™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egy hurkos közből áll, amely három előre elkészített, szuperelasztikus nitinolból és platinából készült hurokkal rendelkezik. A hurkok nincsenek összefonódva és szabadon mozognak egymáshoz képest. A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hurkai a bejuttató katéter segítségével vezethetők be anélkül, hogy az eszköz maradandó torzulásnak lenne kitéve. Az Atrieve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tartalmaz egy bejuttató katétert, nyomatékszabályozót fogó és egy bevezető eszközt. A bevezető katéter disztális végén egy röntgenárnyékot adó jelölő sáv található. A termék védőtokba csomagolva érkezik. Az eszköz egyszer használatos, és steril (etilén-oxid) csomagolásban, használatra készen kerül forgalomba.</w:t>
      </w:r>
    </w:p>
    <w:p w14:paraId="210E0750" w14:textId="3005D742" w:rsidR="00994DB9" w:rsidRPr="002C3D81" w:rsidRDefault="00994DB9" w:rsidP="00994DB9">
      <w:pPr>
        <w:rPr>
          <w:rFonts w:cs="Times New Roman"/>
          <w:lang w:val="hu"/>
        </w:rPr>
      </w:pPr>
      <w:r>
        <w:rPr>
          <w:rFonts w:cs="Times New Roman"/>
          <w:lang w:val="hu"/>
        </w:rPr>
        <w:t xml:space="preserve">Az Atrieve™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a következő méretekben kapható: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4"/>
        <w:gridCol w:w="2658"/>
        <w:gridCol w:w="2343"/>
        <w:gridCol w:w="2605"/>
      </w:tblGrid>
      <w:tr w:rsidR="00994DB9" w:rsidRPr="009461CC" w14:paraId="5ADE64F6" w14:textId="77777777" w:rsidTr="0022766F">
        <w:tc>
          <w:tcPr>
            <w:tcW w:w="1354" w:type="pct"/>
          </w:tcPr>
          <w:p w14:paraId="323B4940" w14:textId="6B1FBFCA" w:rsidR="00994DB9" w:rsidRPr="009461CC" w:rsidRDefault="002A7624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Snare</w:t>
            </w:r>
            <w:r w:rsidR="00994DB9">
              <w:rPr>
                <w:rFonts w:cs="Times New Roman"/>
                <w:lang w:val="hu"/>
              </w:rPr>
              <w:t xml:space="preserve"> átmérő tartomány</w:t>
            </w:r>
          </w:p>
        </w:tc>
        <w:tc>
          <w:tcPr>
            <w:tcW w:w="1274" w:type="pct"/>
          </w:tcPr>
          <w:p w14:paraId="2775F724" w14:textId="3C0D86CB" w:rsidR="00994DB9" w:rsidRPr="009461CC" w:rsidRDefault="002A7624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Snare</w:t>
            </w:r>
            <w:r w:rsidR="00994DB9">
              <w:rPr>
                <w:rFonts w:cs="Times New Roman"/>
                <w:lang w:val="hu"/>
              </w:rPr>
              <w:t xml:space="preserve"> hossza</w:t>
            </w:r>
          </w:p>
        </w:tc>
        <w:tc>
          <w:tcPr>
            <w:tcW w:w="1123" w:type="pct"/>
          </w:tcPr>
          <w:p w14:paraId="7396E03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Szállítási méret</w:t>
            </w:r>
          </w:p>
        </w:tc>
        <w:tc>
          <w:tcPr>
            <w:tcW w:w="1250" w:type="pct"/>
          </w:tcPr>
          <w:p w14:paraId="7E248A6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Katéter hossza</w:t>
            </w:r>
          </w:p>
        </w:tc>
      </w:tr>
      <w:tr w:rsidR="00994DB9" w:rsidRPr="009461CC" w14:paraId="41F89C56" w14:textId="77777777" w:rsidTr="0022766F">
        <w:tc>
          <w:tcPr>
            <w:tcW w:w="1354" w:type="pct"/>
          </w:tcPr>
          <w:p w14:paraId="20D41F9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2-4 mm</w:t>
            </w:r>
          </w:p>
        </w:tc>
        <w:tc>
          <w:tcPr>
            <w:tcW w:w="1274" w:type="pct"/>
          </w:tcPr>
          <w:p w14:paraId="04CC9EC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175 cm</w:t>
            </w:r>
          </w:p>
        </w:tc>
        <w:tc>
          <w:tcPr>
            <w:tcW w:w="1123" w:type="pct"/>
          </w:tcPr>
          <w:p w14:paraId="38F2FCC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3.2 F</w:t>
            </w:r>
          </w:p>
        </w:tc>
        <w:tc>
          <w:tcPr>
            <w:tcW w:w="1250" w:type="pct"/>
          </w:tcPr>
          <w:p w14:paraId="5CD712C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150 cm</w:t>
            </w:r>
          </w:p>
        </w:tc>
      </w:tr>
      <w:tr w:rsidR="00994DB9" w:rsidRPr="009461CC" w14:paraId="5428D0A0" w14:textId="77777777" w:rsidTr="0022766F">
        <w:tc>
          <w:tcPr>
            <w:tcW w:w="1354" w:type="pct"/>
          </w:tcPr>
          <w:p w14:paraId="7992579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4-8 mm</w:t>
            </w:r>
          </w:p>
        </w:tc>
        <w:tc>
          <w:tcPr>
            <w:tcW w:w="1274" w:type="pct"/>
          </w:tcPr>
          <w:p w14:paraId="7E385A6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175 cm</w:t>
            </w:r>
          </w:p>
        </w:tc>
        <w:tc>
          <w:tcPr>
            <w:tcW w:w="1123" w:type="pct"/>
          </w:tcPr>
          <w:p w14:paraId="52F22EE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3.2 F</w:t>
            </w:r>
          </w:p>
        </w:tc>
        <w:tc>
          <w:tcPr>
            <w:tcW w:w="1250" w:type="pct"/>
          </w:tcPr>
          <w:p w14:paraId="2FFE91B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150 cm</w:t>
            </w:r>
          </w:p>
        </w:tc>
      </w:tr>
      <w:tr w:rsidR="00994DB9" w:rsidRPr="009461CC" w14:paraId="1CBE6E3D" w14:textId="77777777" w:rsidTr="0022766F">
        <w:tc>
          <w:tcPr>
            <w:tcW w:w="1354" w:type="pct"/>
          </w:tcPr>
          <w:p w14:paraId="3CD87E5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6-10 mm</w:t>
            </w:r>
          </w:p>
        </w:tc>
        <w:tc>
          <w:tcPr>
            <w:tcW w:w="1274" w:type="pct"/>
          </w:tcPr>
          <w:p w14:paraId="58739EE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120 cm</w:t>
            </w:r>
          </w:p>
        </w:tc>
        <w:tc>
          <w:tcPr>
            <w:tcW w:w="1123" w:type="pct"/>
          </w:tcPr>
          <w:p w14:paraId="66A2FE52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6 F</w:t>
            </w:r>
          </w:p>
        </w:tc>
        <w:tc>
          <w:tcPr>
            <w:tcW w:w="1250" w:type="pct"/>
          </w:tcPr>
          <w:p w14:paraId="16036EC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100 cm</w:t>
            </w:r>
          </w:p>
        </w:tc>
      </w:tr>
      <w:tr w:rsidR="00994DB9" w:rsidRPr="009461CC" w14:paraId="7137F3A0" w14:textId="77777777" w:rsidTr="0022766F">
        <w:tc>
          <w:tcPr>
            <w:tcW w:w="1354" w:type="pct"/>
          </w:tcPr>
          <w:p w14:paraId="5097E3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9-15 mm</w:t>
            </w:r>
          </w:p>
        </w:tc>
        <w:tc>
          <w:tcPr>
            <w:tcW w:w="1274" w:type="pct"/>
          </w:tcPr>
          <w:p w14:paraId="6E08B1BC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120 cm</w:t>
            </w:r>
          </w:p>
        </w:tc>
        <w:tc>
          <w:tcPr>
            <w:tcW w:w="1123" w:type="pct"/>
          </w:tcPr>
          <w:p w14:paraId="5E975E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6 F</w:t>
            </w:r>
          </w:p>
        </w:tc>
        <w:tc>
          <w:tcPr>
            <w:tcW w:w="1250" w:type="pct"/>
          </w:tcPr>
          <w:p w14:paraId="701503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100 cm</w:t>
            </w:r>
          </w:p>
        </w:tc>
      </w:tr>
      <w:tr w:rsidR="00994DB9" w:rsidRPr="009461CC" w14:paraId="6873E431" w14:textId="77777777" w:rsidTr="0022766F">
        <w:tc>
          <w:tcPr>
            <w:tcW w:w="1354" w:type="pct"/>
          </w:tcPr>
          <w:p w14:paraId="0A8A227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12-20 mm</w:t>
            </w:r>
          </w:p>
        </w:tc>
        <w:tc>
          <w:tcPr>
            <w:tcW w:w="1274" w:type="pct"/>
          </w:tcPr>
          <w:p w14:paraId="7058BA8B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120 cm</w:t>
            </w:r>
          </w:p>
        </w:tc>
        <w:tc>
          <w:tcPr>
            <w:tcW w:w="1123" w:type="pct"/>
          </w:tcPr>
          <w:p w14:paraId="16F950B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6 F</w:t>
            </w:r>
          </w:p>
        </w:tc>
        <w:tc>
          <w:tcPr>
            <w:tcW w:w="1250" w:type="pct"/>
          </w:tcPr>
          <w:p w14:paraId="759B78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100 cm</w:t>
            </w:r>
          </w:p>
        </w:tc>
      </w:tr>
      <w:tr w:rsidR="00994DB9" w:rsidRPr="009461CC" w14:paraId="52111BAB" w14:textId="77777777" w:rsidTr="0022766F">
        <w:tc>
          <w:tcPr>
            <w:tcW w:w="1354" w:type="pct"/>
          </w:tcPr>
          <w:p w14:paraId="41061D9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18-30 mm</w:t>
            </w:r>
          </w:p>
        </w:tc>
        <w:tc>
          <w:tcPr>
            <w:tcW w:w="1274" w:type="pct"/>
          </w:tcPr>
          <w:p w14:paraId="22AB0CD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120 cm</w:t>
            </w:r>
          </w:p>
        </w:tc>
        <w:tc>
          <w:tcPr>
            <w:tcW w:w="1123" w:type="pct"/>
          </w:tcPr>
          <w:p w14:paraId="17196BA8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7 F</w:t>
            </w:r>
          </w:p>
        </w:tc>
        <w:tc>
          <w:tcPr>
            <w:tcW w:w="1250" w:type="pct"/>
          </w:tcPr>
          <w:p w14:paraId="4543B8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100 cm</w:t>
            </w:r>
          </w:p>
        </w:tc>
      </w:tr>
      <w:tr w:rsidR="00994DB9" w:rsidRPr="009461CC" w14:paraId="3F7A77C7" w14:textId="77777777" w:rsidTr="0022766F">
        <w:tc>
          <w:tcPr>
            <w:tcW w:w="1354" w:type="pct"/>
          </w:tcPr>
          <w:p w14:paraId="755F3FE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27-45 mm</w:t>
            </w:r>
          </w:p>
        </w:tc>
        <w:tc>
          <w:tcPr>
            <w:tcW w:w="1274" w:type="pct"/>
          </w:tcPr>
          <w:p w14:paraId="622306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120 cm</w:t>
            </w:r>
          </w:p>
        </w:tc>
        <w:tc>
          <w:tcPr>
            <w:tcW w:w="1123" w:type="pct"/>
          </w:tcPr>
          <w:p w14:paraId="74C46753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7 F</w:t>
            </w:r>
          </w:p>
        </w:tc>
        <w:tc>
          <w:tcPr>
            <w:tcW w:w="1250" w:type="pct"/>
          </w:tcPr>
          <w:p w14:paraId="2DBCCFB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hu"/>
              </w:rPr>
              <w:t>100 cm</w:t>
            </w:r>
          </w:p>
        </w:tc>
      </w:tr>
    </w:tbl>
    <w:p w14:paraId="5D27461E" w14:textId="77777777" w:rsidR="000F4DF1" w:rsidRPr="009461CC" w:rsidRDefault="000F4DF1" w:rsidP="00994DB9">
      <w:pPr>
        <w:rPr>
          <w:rFonts w:cs="Times New Roman"/>
        </w:rPr>
      </w:pPr>
    </w:p>
    <w:p w14:paraId="4C7769AE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5" w:name="_Toc222741468"/>
      <w:bookmarkEnd w:id="14"/>
      <w:r>
        <w:rPr>
          <w:rFonts w:cs="Times New Roman"/>
          <w:bCs/>
          <w:lang w:val="hu"/>
        </w:rPr>
        <w:t>Korábbi változatok és a különbségek</w:t>
      </w:r>
      <w:bookmarkEnd w:id="15"/>
    </w:p>
    <w:p w14:paraId="060329F5" w14:textId="3AA8BB73" w:rsidR="00042B91" w:rsidRPr="000D0499" w:rsidRDefault="009D7E33" w:rsidP="007B0F04">
      <w:pPr>
        <w:ind w:left="792"/>
        <w:rPr>
          <w:rFonts w:cs="Times New Roman"/>
          <w:lang w:val="pt-BR"/>
        </w:rPr>
      </w:pPr>
      <w:r>
        <w:rPr>
          <w:rFonts w:cs="Times New Roman"/>
          <w:lang w:val="hu"/>
        </w:rPr>
        <w:t>Ez a szakasz nem alkalmazható (N/A).</w:t>
      </w:r>
    </w:p>
    <w:p w14:paraId="26363C05" w14:textId="77777777" w:rsidR="00760400" w:rsidRPr="000D0499" w:rsidRDefault="00760400" w:rsidP="00042B91">
      <w:pPr>
        <w:pStyle w:val="Heading1"/>
        <w:rPr>
          <w:rFonts w:cs="Times New Roman"/>
          <w:lang w:val="pt-BR"/>
        </w:rPr>
      </w:pPr>
      <w:bookmarkStart w:id="16" w:name="_Toc222741469"/>
      <w:r>
        <w:rPr>
          <w:rFonts w:cs="Times New Roman"/>
          <w:bCs/>
          <w:lang w:val="hu"/>
        </w:rPr>
        <w:t>Kiegészítők, kompatibilis eszközök és egyéb, egyidejűleg használt termékek</w:t>
      </w:r>
      <w:bookmarkEnd w:id="16"/>
    </w:p>
    <w:p w14:paraId="21F32064" w14:textId="5E2A52A3" w:rsidR="00C02BC0" w:rsidRPr="000D0499" w:rsidRDefault="00C02BC0" w:rsidP="007B0F04">
      <w:pPr>
        <w:spacing w:after="0" w:afterAutospacing="0"/>
        <w:ind w:left="792"/>
        <w:rPr>
          <w:rFonts w:cs="Times New Roman"/>
          <w:lang w:val="pt-BR"/>
        </w:rPr>
      </w:pPr>
      <w:r>
        <w:rPr>
          <w:rFonts w:cs="Times New Roman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tartozékai közé tartozik a bejuttató katéter, a bevezető eszköz és a nyomatékszabályozó fogó (tűs satu).</w:t>
      </w:r>
    </w:p>
    <w:p w14:paraId="45C0A245" w14:textId="61A622A4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7" w:name="_Toc222741470"/>
      <w:r>
        <w:rPr>
          <w:rFonts w:cs="Times New Roman"/>
          <w:bCs/>
          <w:lang w:val="hu"/>
        </w:rPr>
        <w:lastRenderedPageBreak/>
        <w:t>Kockázatok és figyelmeztetések</w:t>
      </w:r>
      <w:bookmarkEnd w:id="17"/>
    </w:p>
    <w:p w14:paraId="3D8BE6E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04F70349" w14:textId="6FD2DA8D" w:rsidR="008745ED" w:rsidRPr="009461CC" w:rsidRDefault="008745ED" w:rsidP="00042B91">
      <w:pPr>
        <w:pStyle w:val="Heading1"/>
        <w:rPr>
          <w:rFonts w:cs="Times New Roman"/>
        </w:rPr>
      </w:pPr>
      <w:bookmarkStart w:id="18" w:name="_Toc222741471"/>
      <w:r>
        <w:rPr>
          <w:rFonts w:cs="Times New Roman"/>
          <w:bCs/>
          <w:lang w:val="hu"/>
        </w:rPr>
        <w:t>Maradék kockázatok és nemkívánatos mellékhatások</w:t>
      </w:r>
      <w:bookmarkEnd w:id="18"/>
    </w:p>
    <w:p w14:paraId="2F64097C" w14:textId="607FF4A5" w:rsidR="00D15BBE" w:rsidRPr="009461CC" w:rsidRDefault="00C64987" w:rsidP="008D7F1C">
      <w:pPr>
        <w:ind w:left="792"/>
        <w:rPr>
          <w:rFonts w:cs="Times New Roman"/>
        </w:rPr>
      </w:pPr>
      <w:r>
        <w:rPr>
          <w:rFonts w:cs="Times New Roman"/>
          <w:lang w:val="hu"/>
        </w:rPr>
        <w:t xml:space="preserve">Az RMR-0011 Rev H a termék következő kockázat-előny profilját vázolta fel: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719"/>
        <w:gridCol w:w="2340"/>
        <w:gridCol w:w="3955"/>
      </w:tblGrid>
      <w:tr w:rsidR="00453251" w:rsidRPr="009461CC" w14:paraId="15FC12E9" w14:textId="77777777" w:rsidTr="001047FB">
        <w:trPr>
          <w:trHeight w:val="620"/>
        </w:trPr>
        <w:tc>
          <w:tcPr>
            <w:tcW w:w="1158" w:type="pct"/>
            <w:shd w:val="clear" w:color="auto" w:fill="BFBFBF"/>
            <w:vAlign w:val="center"/>
          </w:tcPr>
          <w:p w14:paraId="024816D8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"/>
              </w:rPr>
              <w:t>Eredmény</w:t>
            </w:r>
            <w:bookmarkStart w:id="19" w:name="_Toc86391902"/>
            <w:bookmarkEnd w:id="19"/>
          </w:p>
        </w:tc>
        <w:tc>
          <w:tcPr>
            <w:tcW w:w="824" w:type="pct"/>
            <w:shd w:val="clear" w:color="auto" w:fill="BFBFBF"/>
          </w:tcPr>
          <w:p w14:paraId="22A108A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"/>
              </w:rPr>
              <w:t>SOA</w:t>
            </w:r>
            <w:r>
              <w:rPr>
                <w:rFonts w:ascii="Times New Roman" w:hAnsi="Times New Roman" w:cs="Times New Roman"/>
                <w:lang w:val="hu"/>
              </w:rPr>
              <w:br/>
              <w:t>Teljes tartomány</w:t>
            </w:r>
          </w:p>
        </w:tc>
        <w:tc>
          <w:tcPr>
            <w:tcW w:w="1122" w:type="pct"/>
            <w:shd w:val="clear" w:color="auto" w:fill="BFBFBF"/>
            <w:vAlign w:val="center"/>
          </w:tcPr>
          <w:p w14:paraId="16D6B523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"/>
              </w:rPr>
              <w:t>Versenytárs eszköz</w:t>
            </w:r>
          </w:p>
          <w:p w14:paraId="45EFB37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"/>
              </w:rPr>
              <w:t>Teljes tartomány</w:t>
            </w:r>
            <w:bookmarkStart w:id="20" w:name="_Toc86391905"/>
            <w:bookmarkEnd w:id="20"/>
          </w:p>
        </w:tc>
        <w:tc>
          <w:tcPr>
            <w:tcW w:w="1896" w:type="pct"/>
            <w:shd w:val="clear" w:color="auto" w:fill="BFBFBF"/>
            <w:vAlign w:val="center"/>
          </w:tcPr>
          <w:p w14:paraId="17C5AFF5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"/>
              </w:rPr>
              <w:t>Elfogadási feltételek</w:t>
            </w:r>
            <w:bookmarkStart w:id="21" w:name="_Toc86391906"/>
            <w:bookmarkEnd w:id="21"/>
          </w:p>
        </w:tc>
        <w:bookmarkStart w:id="22" w:name="_Toc86391907"/>
        <w:bookmarkEnd w:id="22"/>
      </w:tr>
      <w:tr w:rsidR="00453251" w:rsidRPr="009461CC" w14:paraId="5B41AE2D" w14:textId="77777777" w:rsidTr="00453251">
        <w:tc>
          <w:tcPr>
            <w:tcW w:w="5000" w:type="pct"/>
            <w:gridSpan w:val="4"/>
            <w:shd w:val="clear" w:color="auto" w:fill="D9D9D9"/>
          </w:tcPr>
          <w:p w14:paraId="026E445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Biztonság</w:t>
            </w:r>
          </w:p>
        </w:tc>
      </w:tr>
      <w:tr w:rsidR="00453251" w:rsidRPr="009461CC" w14:paraId="2ECEC40D" w14:textId="77777777" w:rsidTr="001047FB">
        <w:tc>
          <w:tcPr>
            <w:tcW w:w="1158" w:type="pct"/>
          </w:tcPr>
          <w:p w14:paraId="01C3E100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Vérzés</w:t>
            </w:r>
            <w:bookmarkStart w:id="23" w:name="_Toc86391910"/>
            <w:bookmarkEnd w:id="23"/>
          </w:p>
        </w:tc>
        <w:tc>
          <w:tcPr>
            <w:tcW w:w="824" w:type="pct"/>
            <w:vAlign w:val="center"/>
          </w:tcPr>
          <w:p w14:paraId="529B6FA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0-3%</w:t>
            </w:r>
          </w:p>
        </w:tc>
        <w:tc>
          <w:tcPr>
            <w:tcW w:w="1122" w:type="pct"/>
            <w:vAlign w:val="center"/>
          </w:tcPr>
          <w:p w14:paraId="30172B6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4" w:name="_Toc86391913"/>
            <w:bookmarkStart w:id="25" w:name="_Toc86391911"/>
            <w:bookmarkEnd w:id="24"/>
            <w:bookmarkEnd w:id="25"/>
            <w:r>
              <w:rPr>
                <w:rFonts w:ascii="Times New Roman" w:hAnsi="Times New Roman" w:cs="Times New Roman"/>
                <w:iCs w:val="0"/>
                <w:lang w:val="hu"/>
              </w:rPr>
              <w:t>0-0,6%</w:t>
            </w:r>
          </w:p>
        </w:tc>
        <w:tc>
          <w:tcPr>
            <w:tcW w:w="1896" w:type="pct"/>
            <w:vAlign w:val="center"/>
          </w:tcPr>
          <w:p w14:paraId="03E978D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26" w:name="_Toc86391914"/>
            <w:bookmarkEnd w:id="26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A vérzés aránya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3%</w:t>
            </w:r>
          </w:p>
        </w:tc>
        <w:bookmarkStart w:id="27" w:name="_Toc86391915"/>
        <w:bookmarkEnd w:id="27"/>
      </w:tr>
      <w:tr w:rsidR="00453251" w:rsidRPr="002A7624" w14:paraId="770200CA" w14:textId="77777777" w:rsidTr="001047FB">
        <w:tc>
          <w:tcPr>
            <w:tcW w:w="1158" w:type="pct"/>
          </w:tcPr>
          <w:p w14:paraId="4D43F3AC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Perforáció/szövetkárosodás</w:t>
            </w:r>
            <w:bookmarkStart w:id="28" w:name="_Toc86391916"/>
            <w:bookmarkEnd w:id="28"/>
          </w:p>
        </w:tc>
        <w:tc>
          <w:tcPr>
            <w:tcW w:w="824" w:type="pct"/>
            <w:vAlign w:val="center"/>
          </w:tcPr>
          <w:p w14:paraId="42E7FC3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0-1,7%</w:t>
            </w:r>
          </w:p>
        </w:tc>
        <w:tc>
          <w:tcPr>
            <w:tcW w:w="1122" w:type="pct"/>
            <w:vAlign w:val="center"/>
          </w:tcPr>
          <w:p w14:paraId="58C428BE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9" w:name="_Toc86391919"/>
            <w:bookmarkStart w:id="30" w:name="_Toc86391917"/>
            <w:bookmarkEnd w:id="29"/>
            <w:bookmarkEnd w:id="30"/>
            <w:r>
              <w:rPr>
                <w:rFonts w:ascii="Times New Roman" w:hAnsi="Times New Roman" w:cs="Times New Roman"/>
                <w:iCs w:val="0"/>
                <w:lang w:val="hu"/>
              </w:rPr>
              <w:t>0-4,0%</w:t>
            </w:r>
          </w:p>
        </w:tc>
        <w:tc>
          <w:tcPr>
            <w:tcW w:w="1896" w:type="pct"/>
            <w:vAlign w:val="center"/>
          </w:tcPr>
          <w:p w14:paraId="785BDB89" w14:textId="77777777" w:rsidR="00453251" w:rsidRPr="001047FB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  <w:lang w:val="es-MX"/>
              </w:rPr>
            </w:pPr>
            <w:bookmarkStart w:id="31" w:name="_Toc86391920"/>
            <w:bookmarkEnd w:id="31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A perforáció/szövetkárosodás aránya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4%</w:t>
            </w:r>
          </w:p>
        </w:tc>
        <w:bookmarkStart w:id="32" w:name="_Toc86391921"/>
        <w:bookmarkEnd w:id="32"/>
      </w:tr>
      <w:tr w:rsidR="00453251" w:rsidRPr="009461CC" w14:paraId="3D17E0CA" w14:textId="77777777" w:rsidTr="001047FB">
        <w:tc>
          <w:tcPr>
            <w:tcW w:w="1158" w:type="pct"/>
          </w:tcPr>
          <w:p w14:paraId="22E5467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Légembólia</w:t>
            </w:r>
            <w:bookmarkStart w:id="33" w:name="_Toc86391922"/>
            <w:bookmarkEnd w:id="33"/>
          </w:p>
        </w:tc>
        <w:tc>
          <w:tcPr>
            <w:tcW w:w="824" w:type="pct"/>
            <w:vAlign w:val="center"/>
          </w:tcPr>
          <w:p w14:paraId="50CDDBB0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0-2,1%</w:t>
            </w:r>
          </w:p>
        </w:tc>
        <w:tc>
          <w:tcPr>
            <w:tcW w:w="1122" w:type="pct"/>
            <w:vAlign w:val="center"/>
          </w:tcPr>
          <w:p w14:paraId="0471C43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4" w:name="_Toc86391925"/>
            <w:bookmarkStart w:id="35" w:name="_Toc86391923"/>
            <w:bookmarkEnd w:id="34"/>
            <w:bookmarkEnd w:id="35"/>
            <w:r>
              <w:rPr>
                <w:rFonts w:ascii="Times New Roman" w:hAnsi="Times New Roman" w:cs="Times New Roman"/>
                <w:iCs w:val="0"/>
                <w:lang w:val="hu"/>
              </w:rPr>
              <w:t>0-0,6%</w:t>
            </w:r>
          </w:p>
        </w:tc>
        <w:tc>
          <w:tcPr>
            <w:tcW w:w="1896" w:type="pct"/>
            <w:vAlign w:val="center"/>
          </w:tcPr>
          <w:p w14:paraId="1B80F3DB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6" w:name="_Toc86391926"/>
            <w:bookmarkEnd w:id="36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Embólia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2,1%</w:t>
            </w:r>
          </w:p>
        </w:tc>
        <w:bookmarkStart w:id="37" w:name="_Toc86391927"/>
        <w:bookmarkEnd w:id="37"/>
      </w:tr>
      <w:tr w:rsidR="00453251" w:rsidRPr="009461CC" w14:paraId="33FEDA6C" w14:textId="77777777" w:rsidTr="001047FB">
        <w:tc>
          <w:tcPr>
            <w:tcW w:w="1158" w:type="pct"/>
          </w:tcPr>
          <w:p w14:paraId="5817831E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Fertőzés</w:t>
            </w:r>
            <w:bookmarkStart w:id="38" w:name="_Toc86391928"/>
            <w:bookmarkEnd w:id="38"/>
          </w:p>
        </w:tc>
        <w:tc>
          <w:tcPr>
            <w:tcW w:w="824" w:type="pct"/>
            <w:vAlign w:val="center"/>
          </w:tcPr>
          <w:p w14:paraId="190DF8A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122" w:type="pct"/>
            <w:vAlign w:val="center"/>
          </w:tcPr>
          <w:p w14:paraId="480907F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9" w:name="_Toc86391931"/>
            <w:bookmarkStart w:id="40" w:name="_Toc86391929"/>
            <w:bookmarkEnd w:id="39"/>
            <w:bookmarkEnd w:id="40"/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896" w:type="pct"/>
            <w:vAlign w:val="center"/>
          </w:tcPr>
          <w:p w14:paraId="1D828A4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1" w:name="_Toc86391932"/>
            <w:bookmarkEnd w:id="41"/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0% alatti</w:t>
            </w:r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 fertőzés</w:t>
            </w:r>
          </w:p>
        </w:tc>
        <w:bookmarkStart w:id="42" w:name="_Toc86391933"/>
        <w:bookmarkEnd w:id="42"/>
      </w:tr>
      <w:tr w:rsidR="00453251" w:rsidRPr="009461CC" w14:paraId="00F9D43C" w14:textId="77777777" w:rsidTr="001047FB">
        <w:tc>
          <w:tcPr>
            <w:tcW w:w="1158" w:type="pct"/>
          </w:tcPr>
          <w:p w14:paraId="530E2FE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Allergiás reakció</w:t>
            </w:r>
            <w:bookmarkStart w:id="43" w:name="_Toc86391934"/>
            <w:bookmarkEnd w:id="43"/>
          </w:p>
        </w:tc>
        <w:tc>
          <w:tcPr>
            <w:tcW w:w="824" w:type="pct"/>
            <w:vAlign w:val="center"/>
          </w:tcPr>
          <w:p w14:paraId="6250CCD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122" w:type="pct"/>
            <w:vAlign w:val="center"/>
          </w:tcPr>
          <w:p w14:paraId="50CF5415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4" w:name="_Toc86391937"/>
            <w:bookmarkStart w:id="45" w:name="_Toc86391935"/>
            <w:bookmarkEnd w:id="44"/>
            <w:bookmarkEnd w:id="45"/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896" w:type="pct"/>
            <w:vAlign w:val="center"/>
          </w:tcPr>
          <w:p w14:paraId="3CD98CC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6" w:name="_Toc86391938"/>
            <w:bookmarkEnd w:id="46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Allergiás reakció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0%</w:t>
            </w:r>
          </w:p>
        </w:tc>
        <w:bookmarkStart w:id="47" w:name="_Toc86391939"/>
        <w:bookmarkEnd w:id="47"/>
      </w:tr>
      <w:tr w:rsidR="00453251" w:rsidRPr="009461CC" w14:paraId="027FF060" w14:textId="77777777" w:rsidTr="001047FB">
        <w:trPr>
          <w:trHeight w:val="197"/>
        </w:trPr>
        <w:tc>
          <w:tcPr>
            <w:tcW w:w="1158" w:type="pct"/>
          </w:tcPr>
          <w:p w14:paraId="0B4FA88A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Fájdalom</w:t>
            </w:r>
            <w:bookmarkStart w:id="48" w:name="_Toc86391940"/>
            <w:bookmarkEnd w:id="48"/>
          </w:p>
        </w:tc>
        <w:tc>
          <w:tcPr>
            <w:tcW w:w="824" w:type="pct"/>
            <w:vAlign w:val="center"/>
          </w:tcPr>
          <w:p w14:paraId="0A01661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122" w:type="pct"/>
            <w:vAlign w:val="center"/>
          </w:tcPr>
          <w:p w14:paraId="72B648EC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9" w:name="_Toc86391943"/>
            <w:bookmarkStart w:id="50" w:name="_Toc86391941"/>
            <w:bookmarkEnd w:id="49"/>
            <w:bookmarkEnd w:id="50"/>
            <w:r>
              <w:rPr>
                <w:rFonts w:ascii="Times New Roman" w:hAnsi="Times New Roman" w:cs="Times New Roman"/>
                <w:iCs w:val="0"/>
                <w:lang w:val="hu"/>
              </w:rPr>
              <w:t>0%</w:t>
            </w:r>
          </w:p>
        </w:tc>
        <w:tc>
          <w:tcPr>
            <w:tcW w:w="1896" w:type="pct"/>
            <w:vAlign w:val="center"/>
          </w:tcPr>
          <w:p w14:paraId="56186FA5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51" w:name="_Toc86391944"/>
            <w:bookmarkEnd w:id="51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Fájdalom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0%</w:t>
            </w:r>
          </w:p>
        </w:tc>
        <w:bookmarkStart w:id="52" w:name="_Toc86391945"/>
        <w:bookmarkEnd w:id="52"/>
      </w:tr>
      <w:tr w:rsidR="00453251" w:rsidRPr="009461CC" w14:paraId="28252FD0" w14:textId="77777777" w:rsidTr="001047FB">
        <w:tc>
          <w:tcPr>
            <w:tcW w:w="1158" w:type="pct"/>
          </w:tcPr>
          <w:p w14:paraId="013547C7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Összes szövődmény</w:t>
            </w:r>
            <w:bookmarkStart w:id="53" w:name="_Toc86391946"/>
            <w:bookmarkEnd w:id="53"/>
          </w:p>
        </w:tc>
        <w:tc>
          <w:tcPr>
            <w:tcW w:w="824" w:type="pct"/>
            <w:vAlign w:val="center"/>
          </w:tcPr>
          <w:p w14:paraId="740F59E9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0-5,2%</w:t>
            </w:r>
          </w:p>
        </w:tc>
        <w:tc>
          <w:tcPr>
            <w:tcW w:w="1122" w:type="pct"/>
            <w:vAlign w:val="center"/>
          </w:tcPr>
          <w:p w14:paraId="0BF92E7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4" w:name="_Toc86391949"/>
            <w:bookmarkStart w:id="55" w:name="_Toc86391947"/>
            <w:bookmarkEnd w:id="54"/>
            <w:bookmarkEnd w:id="55"/>
            <w:r>
              <w:rPr>
                <w:rFonts w:ascii="Times New Roman" w:hAnsi="Times New Roman" w:cs="Times New Roman"/>
                <w:iCs w:val="0"/>
                <w:lang w:val="hu"/>
              </w:rPr>
              <w:t>0-4%</w:t>
            </w:r>
          </w:p>
        </w:tc>
        <w:tc>
          <w:tcPr>
            <w:tcW w:w="1896" w:type="pct"/>
            <w:vAlign w:val="center"/>
          </w:tcPr>
          <w:p w14:paraId="71781E0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56" w:name="_Toc86391950"/>
            <w:bookmarkEnd w:id="56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Összes szövődmény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kevesebb, mint 5,2%</w:t>
            </w:r>
          </w:p>
        </w:tc>
        <w:bookmarkStart w:id="57" w:name="_Toc86391951"/>
        <w:bookmarkEnd w:id="57"/>
      </w:tr>
      <w:tr w:rsidR="00453251" w:rsidRPr="009461CC" w14:paraId="0BC00479" w14:textId="77777777" w:rsidTr="00453251">
        <w:tc>
          <w:tcPr>
            <w:tcW w:w="5000" w:type="pct"/>
            <w:gridSpan w:val="4"/>
            <w:shd w:val="clear" w:color="auto" w:fill="D9D9D9"/>
            <w:vAlign w:val="center"/>
          </w:tcPr>
          <w:p w14:paraId="35A811C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Teljesítmény</w:t>
            </w:r>
          </w:p>
        </w:tc>
      </w:tr>
      <w:tr w:rsidR="00453251" w:rsidRPr="009461CC" w14:paraId="6F720CB6" w14:textId="77777777" w:rsidTr="001047FB">
        <w:tc>
          <w:tcPr>
            <w:tcW w:w="1158" w:type="pct"/>
            <w:vAlign w:val="center"/>
          </w:tcPr>
          <w:p w14:paraId="60785A5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Műszaki siker </w:t>
            </w:r>
            <w:bookmarkStart w:id="58" w:name="_Toc86391954"/>
            <w:bookmarkEnd w:id="58"/>
          </w:p>
        </w:tc>
        <w:tc>
          <w:tcPr>
            <w:tcW w:w="824" w:type="pct"/>
            <w:vAlign w:val="center"/>
          </w:tcPr>
          <w:p w14:paraId="042F9BC6" w14:textId="77777777" w:rsidR="00453251" w:rsidRPr="009461CC" w:rsidDel="002D4462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82,8–100%</w:t>
            </w:r>
          </w:p>
        </w:tc>
        <w:tc>
          <w:tcPr>
            <w:tcW w:w="1122" w:type="pct"/>
            <w:vAlign w:val="center"/>
          </w:tcPr>
          <w:p w14:paraId="3177A35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9" w:name="_Toc86391957"/>
            <w:bookmarkStart w:id="60" w:name="_Toc86391955"/>
            <w:bookmarkEnd w:id="59"/>
            <w:bookmarkEnd w:id="60"/>
            <w:r>
              <w:rPr>
                <w:rFonts w:ascii="Times New Roman" w:hAnsi="Times New Roman" w:cs="Times New Roman"/>
                <w:iCs w:val="0"/>
                <w:lang w:val="hu"/>
              </w:rPr>
              <w:t>82,0–100%</w:t>
            </w:r>
          </w:p>
        </w:tc>
        <w:tc>
          <w:tcPr>
            <w:tcW w:w="1896" w:type="pct"/>
            <w:vAlign w:val="center"/>
          </w:tcPr>
          <w:p w14:paraId="55C13098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1" w:name="_Toc86391958"/>
            <w:bookmarkEnd w:id="61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Műszaki siker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nagyobb, mint 82,0%</w:t>
            </w:r>
          </w:p>
        </w:tc>
        <w:bookmarkStart w:id="62" w:name="_Toc86391959"/>
        <w:bookmarkEnd w:id="62"/>
      </w:tr>
      <w:tr w:rsidR="00453251" w:rsidRPr="009461CC" w14:paraId="4E839B51" w14:textId="77777777" w:rsidTr="001047FB">
        <w:tc>
          <w:tcPr>
            <w:tcW w:w="1158" w:type="pct"/>
            <w:vAlign w:val="center"/>
          </w:tcPr>
          <w:p w14:paraId="055E85A0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Klinikai siker </w:t>
            </w:r>
            <w:bookmarkStart w:id="63" w:name="_Toc86391960"/>
            <w:bookmarkEnd w:id="63"/>
          </w:p>
        </w:tc>
        <w:tc>
          <w:tcPr>
            <w:tcW w:w="824" w:type="pct"/>
            <w:vAlign w:val="center"/>
          </w:tcPr>
          <w:p w14:paraId="163906FF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hu"/>
              </w:rPr>
              <w:t>95,2-100%</w:t>
            </w:r>
          </w:p>
        </w:tc>
        <w:tc>
          <w:tcPr>
            <w:tcW w:w="1122" w:type="pct"/>
            <w:vAlign w:val="center"/>
          </w:tcPr>
          <w:p w14:paraId="24CE1D22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64" w:name="_Toc86391963"/>
            <w:bookmarkStart w:id="65" w:name="_Toc86391961"/>
            <w:bookmarkEnd w:id="64"/>
            <w:bookmarkEnd w:id="65"/>
            <w:r>
              <w:rPr>
                <w:rFonts w:ascii="Times New Roman" w:hAnsi="Times New Roman" w:cs="Times New Roman"/>
                <w:iCs w:val="0"/>
                <w:lang w:val="hu"/>
              </w:rPr>
              <w:t>92,3-100%</w:t>
            </w:r>
          </w:p>
        </w:tc>
        <w:tc>
          <w:tcPr>
            <w:tcW w:w="1896" w:type="pct"/>
            <w:vAlign w:val="center"/>
          </w:tcPr>
          <w:p w14:paraId="1240798C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6" w:name="_Toc86391964"/>
            <w:bookmarkEnd w:id="66"/>
            <w:r>
              <w:rPr>
                <w:rFonts w:ascii="Times New Roman" w:hAnsi="Times New Roman" w:cs="Times New Roman"/>
                <w:iCs w:val="0"/>
                <w:lang w:val="hu"/>
              </w:rPr>
              <w:t xml:space="preserve">Klinikai siker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hu"/>
              </w:rPr>
              <w:t>nagyobb, mint 92,3%</w:t>
            </w:r>
          </w:p>
        </w:tc>
        <w:bookmarkStart w:id="67" w:name="_Toc86391965"/>
        <w:bookmarkEnd w:id="67"/>
      </w:tr>
    </w:tbl>
    <w:p w14:paraId="47F3BE56" w14:textId="32B420D3" w:rsidR="00941D63" w:rsidRPr="002C3D81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eastAsia="Times New Roman" w:cs="Times New Roman"/>
          <w:szCs w:val="24"/>
          <w:lang w:val="hu"/>
        </w:rPr>
        <w:t xml:space="preserve"> készlet elfogadható kockázati profilt mutat, és nincsenek elfogadhatatlannak minősített fennmaradó kockázatok. A betegek esetleges sérülése, mint például a vérzés, embólia, fertőzés és szövetkárosodás, ritkák, és az iparágban elfogadható arányok közé esnek. A gyakori meghibásodási módok, például az alkatrész leválása vagy az eszköz ellenállása, ritkák és jól kontrolláltak.</w:t>
      </w:r>
    </w:p>
    <w:p w14:paraId="6CD9B2F8" w14:textId="27B9DB44" w:rsidR="00941D63" w:rsidRPr="002C3D81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Minden azonosított kockázatot címkézés, figyelmeztetések és használati utasítások segítségével kezelnek. A teljes kockázat összehasonlítható az alternatív kezelésekével, és az eszköz biztonságos, minimálisan invazív idegentest-kivételének előnyei meghaladják a kockázatokat. A forgalomba hozatalt követő monitorozás során nem azonosítottak új kockázatokat.</w:t>
      </w:r>
    </w:p>
    <w:p w14:paraId="503092B6" w14:textId="15AAF628" w:rsidR="000F0AC2" w:rsidRPr="009461CC" w:rsidRDefault="008745ED" w:rsidP="001035F0">
      <w:pPr>
        <w:pStyle w:val="Heading1"/>
        <w:rPr>
          <w:rFonts w:cs="Times New Roman"/>
        </w:rPr>
      </w:pPr>
      <w:bookmarkStart w:id="68" w:name="_Toc222741472"/>
      <w:r>
        <w:rPr>
          <w:rFonts w:cs="Times New Roman"/>
          <w:bCs/>
          <w:lang w:val="hu"/>
        </w:rPr>
        <w:t>Figyelmeztetések és óvintézkedések</w:t>
      </w:r>
      <w:bookmarkEnd w:id="68"/>
    </w:p>
    <w:p w14:paraId="3AFFFB2C" w14:textId="56B6C6C3" w:rsidR="00A030DC" w:rsidRPr="000D0499" w:rsidRDefault="00C64987" w:rsidP="006F12B6">
      <w:pPr>
        <w:spacing w:after="0" w:afterAutospacing="0" w:line="240" w:lineRule="auto"/>
        <w:ind w:left="792"/>
        <w:rPr>
          <w:rFonts w:cs="Times New Roman"/>
          <w:iCs/>
          <w:lang w:val="pt-BR"/>
        </w:rPr>
      </w:pPr>
      <w:r>
        <w:rPr>
          <w:rFonts w:cs="Times New Roman"/>
          <w:lang w:val="hu"/>
        </w:rPr>
        <w:t>Referencia IFU X9585730-0321-EU Rev A</w:t>
      </w:r>
    </w:p>
    <w:p w14:paraId="581EAB6F" w14:textId="38AC09C7" w:rsidR="0084795E" w:rsidRPr="009461CC" w:rsidRDefault="0084795E" w:rsidP="006F12B6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hu"/>
        </w:rPr>
        <w:t>Figyelmeztetések:</w:t>
      </w:r>
    </w:p>
    <w:p w14:paraId="6D12BCC6" w14:textId="77777777" w:rsidR="00C13612" w:rsidRPr="002C3D81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Ezt az eszközt kizárólag egyetlen beteg általi felhasználásra tervezték, tesztelték és gyártották. Az eszköz újrafelhasználása vagy újrafeldolgozása az eszköz meghibásodásához és a beteg későbbi sérüléséhez vezethet. Az eszköz újrafeldolgozása és/vagy újrasterilizálása szennyeződés és a beteg fertőzésének kockázatát jelentheti. Ne használja fel újra, dolgozza fel újra vagy sterilizálja újra ezt az eszközt.</w:t>
      </w:r>
    </w:p>
    <w:p w14:paraId="02E0F1FE" w14:textId="77777777" w:rsidR="00C13612" w:rsidRPr="00F933E3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Használat előtt ellenőrizze a csomag sértetlenségét.</w:t>
      </w:r>
    </w:p>
    <w:p w14:paraId="0AB04CB5" w14:textId="77777777" w:rsidR="00C13612" w:rsidRPr="00F933E3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Ne használja, ha a csomagolás nyitott vagy sérült, vagy ha lejárati időn túli.</w:t>
      </w:r>
    </w:p>
    <w:p w14:paraId="287B6E69" w14:textId="77777777" w:rsidR="00C13612" w:rsidRPr="00F933E3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Ne használja tovább, ha az eljárás során bármelyik alkatrész megsérült.</w:t>
      </w:r>
    </w:p>
    <w:p w14:paraId="22477486" w14:textId="77777777" w:rsidR="00C13612" w:rsidRPr="00F933E3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 nitinol egy nikkel-titán ötvözet. Nikkelre érzékeny betegeknél allergiás reakció léphet fel.</w:t>
      </w:r>
    </w:p>
    <w:p w14:paraId="2A4E00BA" w14:textId="77777777" w:rsidR="00C13612" w:rsidRPr="00F933E3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lastRenderedPageBreak/>
        <w:t>Platinára érzékeny betegeknél allergiás reakció léphet fel.</w:t>
      </w:r>
    </w:p>
    <w:p w14:paraId="0D7E98B5" w14:textId="77777777" w:rsidR="00C13612" w:rsidRPr="00F933E3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Az eszköz használata során a tüdőembólia kockázatának minimalizálása érdekében elővigyázatossággal kell eljárni nagyméretű fibrinhüvely eltávolításakor.</w:t>
      </w:r>
    </w:p>
    <w:p w14:paraId="4CB50B44" w14:textId="77777777" w:rsidR="00C13612" w:rsidRPr="00F933E3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Bizonyos eljárások során történhet vérzés a bejuttató katéter csatlakozási pontján keresztül. Szükség szerint vagy a kezelőorvos megítélése alapján egy hemosztázis szelep (nem a készlet része) csatlakoztatható a bejuttató katéterhez a vérzés mértékének csökkentése érdekében.</w:t>
      </w:r>
    </w:p>
    <w:p w14:paraId="7C5DC59D" w14:textId="77777777" w:rsidR="0084795E" w:rsidRPr="00F933E3" w:rsidRDefault="0084795E" w:rsidP="00FE6595">
      <w:pPr>
        <w:spacing w:after="0" w:afterAutospacing="0" w:line="240" w:lineRule="auto"/>
        <w:ind w:left="792"/>
        <w:rPr>
          <w:rFonts w:cs="Times New Roman"/>
          <w:iCs/>
          <w:lang w:val="hu"/>
        </w:rPr>
      </w:pPr>
    </w:p>
    <w:p w14:paraId="34731DB5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hu"/>
        </w:rPr>
        <w:t>Óvintézkedések:</w:t>
      </w:r>
    </w:p>
    <w:p w14:paraId="043EE8E1" w14:textId="77777777" w:rsidR="00533C0A" w:rsidRPr="000D0499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 fibrinhüvely eltávolítása során a katéterekre ható húzóerők károsíthatják, megnyújthatják vagy eltörhetik a 6 French vagy annál kisebb átmérőjű, állandó katétereket. Ne alkalmazzon túlzott húzóerőt, amikor 6 French vagy annál kisebb átmérőjű katéterekről próbálja meg eltávolítani a fibrinhüvelyt.</w:t>
      </w:r>
    </w:p>
    <w:p w14:paraId="7C78A400" w14:textId="77777777" w:rsidR="00533C0A" w:rsidRPr="000D0499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Ne alkalmazzon túlzott erőt a katéter bevezető eszközön keresztüli mozgatása során.</w:t>
      </w:r>
    </w:p>
    <w:p w14:paraId="68E7CD6A" w14:textId="77777777" w:rsidR="009E4BE1" w:rsidRPr="000D0499" w:rsidRDefault="009E4BE1" w:rsidP="00DB582A">
      <w:pPr>
        <w:spacing w:after="0" w:afterAutospacing="0" w:line="240" w:lineRule="auto"/>
        <w:rPr>
          <w:rFonts w:cs="Times New Roman"/>
          <w:b/>
          <w:bCs/>
          <w:iCs/>
          <w:lang w:val="hu"/>
        </w:rPr>
      </w:pPr>
    </w:p>
    <w:p w14:paraId="1F2A8F23" w14:textId="7550D298" w:rsidR="00481A9E" w:rsidRPr="000D0499" w:rsidRDefault="00481A9E" w:rsidP="001047FB">
      <w:pPr>
        <w:spacing w:after="120" w:afterAutospacing="0" w:line="216" w:lineRule="auto"/>
        <w:ind w:firstLine="720"/>
        <w:jc w:val="both"/>
        <w:rPr>
          <w:rFonts w:eastAsia="Times New Roman" w:cs="Times New Roman"/>
          <w:b/>
          <w:szCs w:val="24"/>
          <w:lang w:val="hu"/>
        </w:rPr>
      </w:pPr>
      <w:r>
        <w:rPr>
          <w:rFonts w:eastAsia="Times New Roman" w:cs="Times New Roman"/>
          <w:b/>
          <w:bCs/>
          <w:szCs w:val="24"/>
          <w:lang w:val="hu"/>
        </w:rPr>
        <w:t xml:space="preserve">Kockázatok és mellékhatások </w:t>
      </w:r>
    </w:p>
    <w:p w14:paraId="3EC1F3BA" w14:textId="77777777" w:rsidR="00481A9E" w:rsidRPr="000D0499" w:rsidRDefault="00481A9E" w:rsidP="001047FB">
      <w:pPr>
        <w:spacing w:after="120" w:afterAutospacing="0" w:line="216" w:lineRule="auto"/>
        <w:jc w:val="both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 potenciális szövődmények közé tartozhatnak többek között:</w:t>
      </w:r>
    </w:p>
    <w:p w14:paraId="31B00162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Embolizáció</w:t>
      </w:r>
    </w:p>
    <w:p w14:paraId="4831EC23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Sztrók</w:t>
      </w:r>
    </w:p>
    <w:p w14:paraId="3E3CC4E5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Miokardiális infarktus (elhelyezéstől függően)</w:t>
      </w:r>
    </w:p>
    <w:p w14:paraId="3C5A584A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Tüdőembólia</w:t>
      </w:r>
    </w:p>
    <w:p w14:paraId="70F9D337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Érperforáció</w:t>
      </w:r>
    </w:p>
    <w:p w14:paraId="3B28D7FF" w14:textId="77777777" w:rsidR="00481A9E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Eszköz beszorulása</w:t>
      </w:r>
    </w:p>
    <w:p w14:paraId="33ABECFB" w14:textId="77777777" w:rsidR="00D558E5" w:rsidRPr="009461CC" w:rsidRDefault="00481A9E" w:rsidP="001047FB">
      <w:pPr>
        <w:widowControl w:val="0"/>
        <w:numPr>
          <w:ilvl w:val="0"/>
          <w:numId w:val="24"/>
        </w:numPr>
        <w:spacing w:after="0" w:afterAutospacing="0" w:line="216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Vérzés</w:t>
      </w:r>
    </w:p>
    <w:p w14:paraId="0A9BFD81" w14:textId="77777777" w:rsidR="00D558E5" w:rsidRPr="009461CC" w:rsidRDefault="00D558E5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</w:p>
    <w:p w14:paraId="6EEBEC55" w14:textId="65AF2143" w:rsidR="00A80721" w:rsidRPr="009461CC" w:rsidRDefault="00A80721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>Klinikai előnyök.</w:t>
      </w:r>
    </w:p>
    <w:p w14:paraId="12CF44E5" w14:textId="435C0A8E" w:rsidR="00481A9E" w:rsidRPr="009461CC" w:rsidRDefault="00A80721" w:rsidP="00A80721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eastAsia="Times New Roman" w:cs="Times New Roman"/>
          <w:szCs w:val="24"/>
          <w:lang w:val="hu"/>
        </w:rPr>
        <w:t xml:space="preserve"> közvetlen előnyt jelent a beteg számára azáltal, hogy perkután eltávolítja és manipulálja az idegentesteket, alacsonyabb szövődményekkel és kockázatokkal a sebészeti beavatkozáshoz képest.</w:t>
      </w:r>
    </w:p>
    <w:p w14:paraId="5240AF40" w14:textId="3E5A2DE2" w:rsidR="00042B91" w:rsidRPr="009461CC" w:rsidRDefault="00BB36B1" w:rsidP="00A4616A">
      <w:pPr>
        <w:spacing w:after="0" w:afterAutospacing="0" w:line="240" w:lineRule="auto"/>
        <w:rPr>
          <w:rFonts w:cs="Times New Roman"/>
          <w:iCs/>
        </w:rPr>
      </w:pPr>
      <w:r>
        <w:rPr>
          <w:rFonts w:cs="Times New Roman"/>
          <w:lang w:val="hu"/>
        </w:rPr>
        <w:t>Élettartam: átmeneti, kevesebb mint 60 perc.</w:t>
      </w:r>
    </w:p>
    <w:p w14:paraId="393C5ED9" w14:textId="77777777" w:rsidR="00E14C97" w:rsidRPr="009461CC" w:rsidRDefault="00E14C97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09A94B0F" w14:textId="4E664EE0" w:rsidR="00760400" w:rsidRPr="009461CC" w:rsidRDefault="008745ED" w:rsidP="00042B91">
      <w:pPr>
        <w:pStyle w:val="Heading1"/>
        <w:rPr>
          <w:rFonts w:cs="Times New Roman"/>
        </w:rPr>
      </w:pPr>
      <w:bookmarkStart w:id="69" w:name="_Toc222741473"/>
      <w:r>
        <w:rPr>
          <w:rFonts w:cs="Times New Roman"/>
          <w:bCs/>
          <w:lang w:val="hu"/>
        </w:rPr>
        <w:t>A biztonságosság egyéb releváns szempontjai, ideértve a helyszíni biztonsági korrekciós intézkedések összefoglalóját (FSCA, beleértve az FSN-t is)</w:t>
      </w:r>
      <w:bookmarkEnd w:id="69"/>
    </w:p>
    <w:p w14:paraId="65E21D1D" w14:textId="58A43005" w:rsidR="004F5057" w:rsidRPr="009461CC" w:rsidRDefault="00FC52C8" w:rsidP="001F48BA">
      <w:pPr>
        <w:rPr>
          <w:rFonts w:cs="Times New Roman"/>
        </w:rPr>
      </w:pPr>
      <w:r>
        <w:rPr>
          <w:rFonts w:cs="Times New Roman"/>
          <w:lang w:val="hu"/>
        </w:rPr>
        <w:t>A jelentési időszakban nem történt helyszíni biztonsági korrekciós intézkedés (FSCA) vagy visszahívás.</w:t>
      </w:r>
    </w:p>
    <w:p w14:paraId="21FC0F42" w14:textId="6F4CDE71" w:rsidR="008745ED" w:rsidRDefault="008745ED" w:rsidP="00F67A0E">
      <w:pPr>
        <w:pStyle w:val="Heading1"/>
        <w:numPr>
          <w:ilvl w:val="0"/>
          <w:numId w:val="2"/>
        </w:numPr>
        <w:rPr>
          <w:rFonts w:cs="Times New Roman"/>
          <w:bCs/>
          <w:lang w:val="hu"/>
        </w:rPr>
      </w:pPr>
      <w:bookmarkStart w:id="70" w:name="_Toc222741474"/>
      <w:r>
        <w:rPr>
          <w:rFonts w:cs="Times New Roman"/>
          <w:bCs/>
          <w:lang w:val="hu"/>
        </w:rPr>
        <w:t>A klinikai értékelés és a forgalomba hozatalt követő klinikai követés (PCMF) összefoglalója</w:t>
      </w:r>
      <w:bookmarkEnd w:id="70"/>
    </w:p>
    <w:p w14:paraId="601988AF" w14:textId="77777777" w:rsidR="0032560E" w:rsidRPr="001047FB" w:rsidRDefault="0032560E" w:rsidP="001047FB">
      <w:pPr>
        <w:spacing w:after="0" w:afterAutospacing="0"/>
        <w:rPr>
          <w:sz w:val="12"/>
          <w:szCs w:val="10"/>
          <w:lang w:val="hu"/>
        </w:rPr>
      </w:pPr>
    </w:p>
    <w:p w14:paraId="7CA310DE" w14:textId="3D0DC380" w:rsidR="00DA4404" w:rsidRDefault="00DA440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 xml:space="preserve">A klinikai értékelő jelentés (CER-029 Rev B) megerősíti, hogy az Atrieve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készlet klinikailag biztonságos és hatékony idegentestek szív- és érrendszerben történő eltávolítására és kezelésére. Elsősorban képzett egészségügyi szakemberek használják minimálisan invazív beavatkozások során.</w:t>
      </w:r>
    </w:p>
    <w:p w14:paraId="61548078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065C32D9" w14:textId="36044E92" w:rsidR="00DA4404" w:rsidRDefault="00DA440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>A szakirodalmi áttekintésen, klinikai tapasztalatokon és forgalomba hozatal utáni adatokon alapuló értékelés magas műszaki és klinikai sikerességi arányt mutat. Az olyan szövődmények, mint a vérzés, embólia, fertőzés vagy allergiás reakciók ritkák és az elfogadható klinikai határokon belül vannak.</w:t>
      </w:r>
    </w:p>
    <w:p w14:paraId="5A266509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0DAD67AD" w14:textId="4FF5EA89" w:rsidR="00DA4404" w:rsidRDefault="00DA440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lastRenderedPageBreak/>
        <w:t>Nem azonosítottak új biztonsági aggályokat vagy váratlan kockázatokat. Az eszköz teljesítménye összehasonlítható a piacon jelen lévő hasonló termékekével, következetes kockázat-előny profilt fenntartva.</w:t>
      </w:r>
    </w:p>
    <w:p w14:paraId="38548956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745B2F11" w14:textId="5411DE24" w:rsidR="00257EE2" w:rsidRDefault="00DA440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 xml:space="preserve">Összefoglalva, az Atrieve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megbízható teljesítményt és erős biztonsági profilt mutat, ami alátámasztja a klinikai környezetben való folyamatos használatát.</w:t>
      </w:r>
    </w:p>
    <w:p w14:paraId="45D98DD3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highlight w:val="yellow"/>
          <w:lang w:val="hu"/>
        </w:rPr>
      </w:pPr>
    </w:p>
    <w:p w14:paraId="491E112E" w14:textId="43F380B5" w:rsidR="005A5584" w:rsidRDefault="005A558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>Az Atrieve forgalomba hozatal utáni klinikai utánkövetési terve (PMCFP) egy strukturált megközelítést vázol fel a biztonságosság és a teljesítmény forgalomba hozatal utáni monitorozására. Ezek a III. osztályú eszközök idegentestek szív- és érrendszerben történő eltávolítására vagy kezelésére szolgálnak, és átmeneti használatra szánták őket.</w:t>
      </w:r>
    </w:p>
    <w:p w14:paraId="3AECEBD1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72FE8271" w14:textId="5FE4B52E" w:rsidR="00042B91" w:rsidRDefault="005A5584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>A forgalomba hozatal utáni klinikai utánkövetési (PMCF) tevékenységek általános módszerekre támaszkodnak, beleértve az éves szakirodalmi áttekintéseket, a mellékhatás-adatbázisok monitorozását (pl. MAUDE) és a forgalomba hozatal utáni felügyeleti jelentések elemzését. Ezek az erőfeszítések a folyamatos biztonságosság és hatékonyság megerősítésére, a felmerülő kockázatok azonosítására és a nem javallaton alapuló használat felderítésére irányulnak. Hasonló eszközök klinikai adatait is felülvizsgálják az eredmények összehasonlítása érdekében.</w:t>
      </w:r>
    </w:p>
    <w:p w14:paraId="742C7BAE" w14:textId="77777777" w:rsidR="0032560E" w:rsidRPr="000D0499" w:rsidRDefault="0032560E" w:rsidP="001047FB">
      <w:pPr>
        <w:spacing w:after="0" w:afterAutospacing="0" w:line="228" w:lineRule="auto"/>
        <w:rPr>
          <w:rFonts w:cs="Times New Roman"/>
          <w:lang w:val="hu"/>
        </w:rPr>
      </w:pPr>
    </w:p>
    <w:p w14:paraId="33785C59" w14:textId="7AB0634B" w:rsidR="008745ED" w:rsidRPr="000D0499" w:rsidRDefault="008745ED" w:rsidP="001047FB">
      <w:pPr>
        <w:pStyle w:val="Heading1"/>
        <w:spacing w:line="228" w:lineRule="auto"/>
        <w:rPr>
          <w:rFonts w:cs="Times New Roman"/>
          <w:lang w:val="hu"/>
        </w:rPr>
      </w:pPr>
      <w:bookmarkStart w:id="71" w:name="_Toc222741475"/>
      <w:r>
        <w:rPr>
          <w:rFonts w:cs="Times New Roman"/>
          <w:bCs/>
          <w:lang w:val="hu"/>
        </w:rPr>
        <w:t>Az egyenértékű eszközzel kapcsolatos klinikai adatok összefoglalása, ha vannak</w:t>
      </w:r>
      <w:bookmarkEnd w:id="71"/>
      <w:r>
        <w:rPr>
          <w:rFonts w:cs="Times New Roman"/>
          <w:bCs/>
          <w:lang w:val="hu"/>
        </w:rPr>
        <w:t xml:space="preserve"> </w:t>
      </w:r>
    </w:p>
    <w:p w14:paraId="62C65035" w14:textId="2ED3F324" w:rsidR="00B763A0" w:rsidRPr="000D0499" w:rsidRDefault="00F24AE3" w:rsidP="001047FB">
      <w:pPr>
        <w:spacing w:line="228" w:lineRule="auto"/>
        <w:ind w:firstLine="360"/>
        <w:rPr>
          <w:rFonts w:cs="Times New Roman"/>
          <w:lang w:val="pt-BR"/>
        </w:rPr>
      </w:pPr>
      <w:r>
        <w:rPr>
          <w:rFonts w:cs="Times New Roman"/>
          <w:lang w:val="hu"/>
        </w:rPr>
        <w:t>Ez a szakasz nem alkalmazható (N/A).</w:t>
      </w:r>
    </w:p>
    <w:p w14:paraId="46CE7D79" w14:textId="2B10E133" w:rsidR="008745ED" w:rsidRPr="000D0499" w:rsidRDefault="008745ED" w:rsidP="001047FB">
      <w:pPr>
        <w:pStyle w:val="Heading1"/>
        <w:spacing w:line="228" w:lineRule="auto"/>
        <w:rPr>
          <w:rFonts w:cs="Times New Roman"/>
          <w:lang w:val="pt-BR"/>
        </w:rPr>
      </w:pPr>
      <w:bookmarkStart w:id="72" w:name="_Toc222741476"/>
      <w:r>
        <w:rPr>
          <w:rFonts w:cs="Times New Roman"/>
          <w:bCs/>
          <w:lang w:val="hu"/>
        </w:rPr>
        <w:t>Az elvégzett klinikai vizsgálatok adatainak összefoglalója a CE-jelölés előtt, ha vannak ilyenek</w:t>
      </w:r>
      <w:bookmarkEnd w:id="72"/>
      <w:r>
        <w:rPr>
          <w:rFonts w:cs="Times New Roman"/>
          <w:bCs/>
          <w:lang w:val="hu"/>
        </w:rPr>
        <w:t xml:space="preserve"> </w:t>
      </w:r>
    </w:p>
    <w:p w14:paraId="27B7D18D" w14:textId="3346219F" w:rsidR="004846A6" w:rsidRPr="000D0499" w:rsidRDefault="00F604C9" w:rsidP="001047FB">
      <w:pPr>
        <w:spacing w:line="228" w:lineRule="auto"/>
        <w:ind w:left="360"/>
        <w:rPr>
          <w:rFonts w:cs="Times New Roman"/>
          <w:lang w:val="pt-BR"/>
        </w:rPr>
      </w:pPr>
      <w:bookmarkStart w:id="73" w:name="_Hlk196514030"/>
      <w:r>
        <w:rPr>
          <w:rFonts w:cs="Times New Roman"/>
          <w:lang w:val="hu"/>
        </w:rPr>
        <w:t>Ez a szakasz nem alkalmazható (N/A).</w:t>
      </w:r>
    </w:p>
    <w:p w14:paraId="7A896071" w14:textId="00061818" w:rsidR="008745ED" w:rsidRPr="000D0499" w:rsidRDefault="008745ED" w:rsidP="001047FB">
      <w:pPr>
        <w:pStyle w:val="Heading1"/>
        <w:spacing w:line="228" w:lineRule="auto"/>
        <w:rPr>
          <w:rFonts w:cs="Times New Roman"/>
          <w:lang w:val="pt-BR"/>
        </w:rPr>
      </w:pPr>
      <w:bookmarkStart w:id="74" w:name="_Toc222741477"/>
      <w:bookmarkEnd w:id="73"/>
      <w:r>
        <w:rPr>
          <w:rFonts w:cs="Times New Roman"/>
          <w:bCs/>
          <w:lang w:val="hu"/>
        </w:rPr>
        <w:t>Más forrásokból származó klinikai adatok összefoglalása, ha vannak ilyenek</w:t>
      </w:r>
      <w:bookmarkEnd w:id="74"/>
      <w:r>
        <w:rPr>
          <w:rFonts w:cs="Times New Roman"/>
          <w:bCs/>
          <w:lang w:val="hu"/>
        </w:rPr>
        <w:t xml:space="preserve"> </w:t>
      </w:r>
    </w:p>
    <w:p w14:paraId="3D914E56" w14:textId="77777777" w:rsidR="0032560E" w:rsidRPr="001047FB" w:rsidRDefault="0032560E" w:rsidP="001047FB">
      <w:pPr>
        <w:spacing w:after="0" w:afterAutospacing="0" w:line="228" w:lineRule="auto"/>
        <w:rPr>
          <w:rFonts w:eastAsia="Times New Roman" w:cs="Times New Roman"/>
          <w:sz w:val="16"/>
          <w:szCs w:val="16"/>
          <w:lang w:val="hu"/>
        </w:rPr>
      </w:pPr>
    </w:p>
    <w:p w14:paraId="3F1ED76E" w14:textId="2A5C9A1F" w:rsidR="006C2B68" w:rsidRDefault="0037599D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 CER-029 Rev B-t külső klinikai adatok átfogó áttekintése támasztja alá, beleértve:</w:t>
      </w:r>
    </w:p>
    <w:p w14:paraId="4436C55A" w14:textId="77777777" w:rsidR="0032560E" w:rsidRPr="001047FB" w:rsidRDefault="0032560E" w:rsidP="001047FB">
      <w:pPr>
        <w:spacing w:after="0" w:afterAutospacing="0" w:line="228" w:lineRule="auto"/>
        <w:rPr>
          <w:rFonts w:eastAsia="Times New Roman" w:cs="Times New Roman"/>
          <w:sz w:val="16"/>
          <w:szCs w:val="16"/>
          <w:lang w:val="hu"/>
        </w:rPr>
      </w:pPr>
    </w:p>
    <w:p w14:paraId="421058D0" w14:textId="26D1A572" w:rsidR="00FB1FDD" w:rsidRDefault="00FC5667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szCs w:val="24"/>
          <w:lang w:val="hu"/>
        </w:rPr>
        <w:t>A legmodernebb (SOA) szakirodalom: 579 cikk szisztematikus áttekintése 16 releváns vizsgálatot azonosított hasonló eszközökkel és eljárásokkal kapcsolatban. Ezek a vizsgálatok magas technikai sikerességi arányt (≥91,2%) és alacsony szövődményarányt (≤1,1%) mutattak ki, amivel biztonságossági és teljesítmény-referenciaértékeket állítottak fel.</w:t>
      </w:r>
      <w:r>
        <w:rPr>
          <w:rFonts w:cs="Times New Roman"/>
          <w:lang w:val="hu"/>
        </w:rPr>
        <w:t xml:space="preserve"> </w:t>
      </w:r>
    </w:p>
    <w:p w14:paraId="44BA2C76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7C6B59FC" w14:textId="77777777" w:rsidR="00FB1FDD" w:rsidRDefault="00D23267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szCs w:val="24"/>
          <w:lang w:val="hu"/>
        </w:rPr>
        <w:t>Versenytárs eszközökkel kapcsolatos szakirodalom: Nyolc, hasonló eszközökkel (pl. EN Snare, GooseNeck, CloverSnare) végzett vizsgálat hasonló biztonságossági és hatékonysági profilokat mutatott, megerősítve a vaszkuláris fogóhurkok standard ellátási státuszát.</w:t>
      </w:r>
      <w:r>
        <w:rPr>
          <w:rFonts w:cs="Times New Roman"/>
          <w:lang w:val="hu"/>
        </w:rPr>
        <w:t xml:space="preserve"> </w:t>
      </w:r>
    </w:p>
    <w:p w14:paraId="395862EC" w14:textId="77777777" w:rsidR="0032560E" w:rsidRPr="001047FB" w:rsidRDefault="0032560E" w:rsidP="001047FB">
      <w:pPr>
        <w:spacing w:after="0" w:afterAutospacing="0" w:line="228" w:lineRule="auto"/>
        <w:rPr>
          <w:rFonts w:cs="Times New Roman"/>
          <w:sz w:val="16"/>
          <w:szCs w:val="14"/>
          <w:lang w:val="hu"/>
        </w:rPr>
      </w:pPr>
    </w:p>
    <w:p w14:paraId="2910073B" w14:textId="4049ACE7" w:rsidR="004846A6" w:rsidRDefault="009B4453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Klinikai irányelvek: A szakmai társaságok (pl. SIR, ESC, KDOQI) ajánlásai támogatják a perkután eltávolítási módszerek, így a fogóhurkok alkalmazását elsődleges kezelési lehetőségként a kardiovaszkuláris rendszerben található idegentestek eltávolítására.</w:t>
      </w:r>
    </w:p>
    <w:p w14:paraId="35C8E4D7" w14:textId="77777777" w:rsidR="0032560E" w:rsidRPr="001047FB" w:rsidRDefault="0032560E" w:rsidP="001047FB">
      <w:pPr>
        <w:spacing w:after="0" w:afterAutospacing="0" w:line="228" w:lineRule="auto"/>
        <w:rPr>
          <w:rFonts w:eastAsia="Times New Roman" w:cs="Times New Roman"/>
          <w:sz w:val="16"/>
          <w:szCs w:val="16"/>
          <w:lang w:val="hu"/>
        </w:rPr>
      </w:pPr>
    </w:p>
    <w:p w14:paraId="661EF380" w14:textId="29BB1CA1" w:rsidR="00516D79" w:rsidRDefault="00516D79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Vizsgált eszközzel kapcsolatos szakirodalom: Tizenhárom publikáció (esetismertetések és retrospektív vizsgálatok egyaránt) az Atrieve eszközről 100%-os műszaki sikert és 94,5%-os klinikai sikert mutatott, minimális mellékhatások mellett. Néhány teljesítménymutató kissé alulteljesített a SOA referenciaértékeihez képest, de az elfogadható klinikai tartományon belül maradt.</w:t>
      </w:r>
    </w:p>
    <w:p w14:paraId="41501C81" w14:textId="77777777" w:rsidR="0032560E" w:rsidRPr="001047FB" w:rsidRDefault="0032560E" w:rsidP="001047FB">
      <w:pPr>
        <w:spacing w:after="0" w:afterAutospacing="0" w:line="228" w:lineRule="auto"/>
        <w:rPr>
          <w:rFonts w:eastAsia="Times New Roman" w:cs="Times New Roman"/>
          <w:sz w:val="14"/>
          <w:szCs w:val="14"/>
          <w:lang w:val="hu"/>
        </w:rPr>
      </w:pPr>
    </w:p>
    <w:p w14:paraId="66F22352" w14:textId="28F3CCF3" w:rsidR="004846A6" w:rsidRDefault="004846A6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 xml:space="preserve">Emellett a jelentés integrálja az Atrieve termék strukturált felügyeleti tervein keresztül gyűjtött forgalomba hozatal utáni felügyeleti (PMS) adatokat. Ez magában foglalja a panaszok és a nemkívánatos események öt éven át tartó nyomon követését, valamint a korrekciós intézkedéseket. A globális értékesítés magas </w:t>
      </w:r>
      <w:r>
        <w:rPr>
          <w:rFonts w:eastAsia="Times New Roman" w:cs="Times New Roman"/>
          <w:szCs w:val="24"/>
          <w:lang w:val="hu"/>
        </w:rPr>
        <w:lastRenderedPageBreak/>
        <w:t>mennyisége ellenére a PMS adatok nem mutattak ki újonnan felmerülő biztonsági trendeket vagy előre nem látható kockázatokat, megerősítve az eszközök valós körülmények közötti biztonsági profilját.</w:t>
      </w:r>
    </w:p>
    <w:p w14:paraId="5BCBCA33" w14:textId="77777777" w:rsidR="0032560E" w:rsidRPr="001047FB" w:rsidRDefault="0032560E" w:rsidP="001047FB">
      <w:pPr>
        <w:spacing w:after="0" w:afterAutospacing="0" w:line="228" w:lineRule="auto"/>
        <w:rPr>
          <w:rFonts w:eastAsia="Times New Roman" w:cs="Times New Roman"/>
          <w:sz w:val="16"/>
          <w:szCs w:val="16"/>
          <w:lang w:val="hu"/>
        </w:rPr>
      </w:pPr>
    </w:p>
    <w:p w14:paraId="6527D03E" w14:textId="73944EC6" w:rsidR="004846A6" w:rsidRDefault="004846A6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Végül, a nem klinikai adatok, beleértve a laboratóriumi vizsgálatokat és a biokompatibilitási értékeléseket, azt mutatják, hogy az eszközök minden tervezési és szabályozási szabványnak megfelelnek. Bár ezekkel az eszközökkel kapcsolatban nem végeztek klinikai vizsgálatokat, ezt a szakirodalomból, a forgalomba hozatal utáni forrásokból és a korábbi eszközök használatából származó átfogó adatok igazolták. Összességében ezek a különböző adatforrások együttesen alátámasztják az eszközök biztonságosságát és hatékonyságát az EU MDR követelményeivel összhangban.</w:t>
      </w:r>
    </w:p>
    <w:p w14:paraId="78C9FC0E" w14:textId="77777777" w:rsidR="0032560E" w:rsidRPr="000D0499" w:rsidRDefault="0032560E" w:rsidP="001047FB">
      <w:pPr>
        <w:spacing w:after="0" w:afterAutospacing="0" w:line="228" w:lineRule="auto"/>
        <w:rPr>
          <w:rFonts w:eastAsia="Times New Roman" w:cs="Times New Roman"/>
          <w:szCs w:val="24"/>
          <w:lang w:val="hu"/>
        </w:rPr>
      </w:pPr>
    </w:p>
    <w:p w14:paraId="0F01E5AD" w14:textId="2BD461FF" w:rsidR="008745ED" w:rsidRPr="000D0499" w:rsidRDefault="008745ED" w:rsidP="001047FB">
      <w:pPr>
        <w:pStyle w:val="Heading1"/>
        <w:spacing w:line="228" w:lineRule="auto"/>
        <w:rPr>
          <w:rFonts w:cs="Times New Roman"/>
          <w:lang w:val="hu"/>
        </w:rPr>
      </w:pPr>
      <w:bookmarkStart w:id="75" w:name="_Toc222741478"/>
      <w:r>
        <w:rPr>
          <w:rFonts w:cs="Times New Roman"/>
          <w:bCs/>
          <w:lang w:val="hu"/>
        </w:rPr>
        <w:t>A klinikai teljesítmény és a biztonság átfogó összefoglalása</w:t>
      </w:r>
      <w:bookmarkEnd w:id="75"/>
      <w:r>
        <w:rPr>
          <w:rFonts w:cs="Times New Roman"/>
          <w:bCs/>
          <w:lang w:val="hu"/>
        </w:rPr>
        <w:t xml:space="preserve"> </w:t>
      </w:r>
    </w:p>
    <w:p w14:paraId="7C1B956B" w14:textId="77777777" w:rsidR="009977D7" w:rsidRPr="001047FB" w:rsidRDefault="009977D7" w:rsidP="001047FB">
      <w:pPr>
        <w:spacing w:after="0" w:afterAutospacing="0" w:line="228" w:lineRule="auto"/>
        <w:rPr>
          <w:rFonts w:eastAsia="Times New Roman" w:cs="Times New Roman"/>
          <w:iCs/>
          <w:sz w:val="18"/>
          <w:szCs w:val="18"/>
          <w:lang w:val="hu"/>
        </w:rPr>
      </w:pPr>
    </w:p>
    <w:p w14:paraId="068544DB" w14:textId="3D58CC93" w:rsidR="00D52DF8" w:rsidRPr="000D0499" w:rsidRDefault="00D52DF8" w:rsidP="001047FB">
      <w:pPr>
        <w:spacing w:after="0" w:afterAutospacing="0" w:line="228" w:lineRule="auto"/>
        <w:rPr>
          <w:rFonts w:eastAsia="Times New Roman" w:cs="Times New Roman"/>
          <w:iCs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eastAsia="Times New Roman" w:cs="Times New Roman"/>
          <w:szCs w:val="24"/>
          <w:lang w:val="hu"/>
        </w:rPr>
        <w:t xml:space="preserve"> készlet X9585730-0321-EU Rev A és CER-029 Rev B szabványai alapján az eszköz összességében kedvező klinikai teljesítménye és biztonságossági profilja megfelel a rendeltetésszerű használatára vonatkozó elvárásoknak.</w:t>
      </w:r>
    </w:p>
    <w:p w14:paraId="3508FD3D" w14:textId="77777777" w:rsidR="002E59B4" w:rsidRPr="001047FB" w:rsidRDefault="002E59B4" w:rsidP="001047FB">
      <w:pPr>
        <w:spacing w:after="0" w:afterAutospacing="0" w:line="228" w:lineRule="auto"/>
        <w:rPr>
          <w:rFonts w:eastAsia="Times New Roman" w:cs="Times New Roman"/>
          <w:iCs/>
          <w:sz w:val="16"/>
          <w:szCs w:val="16"/>
          <w:lang w:val="hu"/>
        </w:rPr>
      </w:pPr>
    </w:p>
    <w:p w14:paraId="0A303358" w14:textId="24357A0A" w:rsidR="00C361CA" w:rsidRPr="000D0499" w:rsidRDefault="005C642C" w:rsidP="001047FB">
      <w:pPr>
        <w:spacing w:after="0" w:afterAutospacing="0"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 xml:space="preserve">Az eszközt a kardiovaszkuláris rendszerben vagy üreges szervekben található </w:t>
      </w:r>
      <w:r>
        <w:rPr>
          <w:rStyle w:val="Strong"/>
          <w:rFonts w:cs="Times New Roman"/>
          <w:lang w:val="hu"/>
        </w:rPr>
        <w:t>idegentestek perkután eltávolítására és kezelésére</w:t>
      </w:r>
      <w:r>
        <w:rPr>
          <w:rFonts w:cs="Times New Roman"/>
          <w:lang w:val="hu"/>
        </w:rPr>
        <w:t xml:space="preserve"> tervezték. A legfontosabb klinikai előnyök közé tartozik a minimálisan invazív eltávolítás, a csökkent betegkockázat és a sebészeti alternatívákhoz képest alacsonyabb szövődményarány.</w:t>
      </w:r>
    </w:p>
    <w:p w14:paraId="0DE0B963" w14:textId="77777777" w:rsidR="005C642C" w:rsidRPr="001047FB" w:rsidRDefault="005C642C" w:rsidP="001047FB">
      <w:pPr>
        <w:spacing w:after="0" w:afterAutospacing="0" w:line="228" w:lineRule="auto"/>
        <w:rPr>
          <w:rFonts w:eastAsia="Times New Roman" w:cs="Times New Roman"/>
          <w:iCs/>
          <w:sz w:val="16"/>
          <w:szCs w:val="16"/>
          <w:lang w:val="hu"/>
        </w:rPr>
      </w:pPr>
    </w:p>
    <w:p w14:paraId="2DA4A118" w14:textId="58FE2B84" w:rsidR="00C97841" w:rsidRPr="000D0499" w:rsidRDefault="00B26297" w:rsidP="001047FB">
      <w:pPr>
        <w:spacing w:after="0" w:afterAutospacing="0" w:line="228" w:lineRule="auto"/>
        <w:rPr>
          <w:rFonts w:eastAsia="Times New Roman" w:cs="Times New Roman"/>
          <w:iCs/>
          <w:szCs w:val="24"/>
          <w:lang w:val="hu"/>
        </w:rPr>
      </w:pPr>
      <w:r>
        <w:rPr>
          <w:rFonts w:eastAsia="Times New Roman" w:cs="Times New Roman"/>
          <w:szCs w:val="24"/>
          <w:lang w:val="hu"/>
        </w:rPr>
        <w:t>A klinikai értékelés a következő eredménymutatókat határozza meg: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384"/>
      </w:tblGrid>
      <w:tr w:rsidR="00942C1E" w:rsidRPr="009461CC" w14:paraId="0839D18E" w14:textId="77777777" w:rsidTr="00607046">
        <w:trPr>
          <w:tblHeader/>
          <w:tblCellSpacing w:w="15" w:type="dxa"/>
          <w:jc w:val="center"/>
        </w:trPr>
        <w:tc>
          <w:tcPr>
            <w:tcW w:w="4971" w:type="pct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68930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Teljesítmény-mérőszámok</w:t>
            </w:r>
          </w:p>
        </w:tc>
      </w:tr>
      <w:tr w:rsidR="00607046" w:rsidRPr="009461CC" w14:paraId="609C186F" w14:textId="77777777" w:rsidTr="00607046">
        <w:trPr>
          <w:tblHeader/>
          <w:tblCellSpacing w:w="15" w:type="dxa"/>
          <w:jc w:val="center"/>
        </w:trPr>
        <w:tc>
          <w:tcPr>
            <w:tcW w:w="1443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8E345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Mutató</w:t>
            </w:r>
          </w:p>
        </w:tc>
        <w:tc>
          <w:tcPr>
            <w:tcW w:w="3514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A387C4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Meghatározás</w:t>
            </w:r>
          </w:p>
        </w:tc>
      </w:tr>
      <w:tr w:rsidR="00942C1E" w:rsidRPr="009461CC" w14:paraId="67F5D1CE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236EF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Műszaki siker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E25C25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hu"/>
              </w:rPr>
              <w:t>Idegentestek sikeres eltávolítása/manipulálása</w:t>
            </w:r>
          </w:p>
        </w:tc>
      </w:tr>
      <w:tr w:rsidR="00942C1E" w:rsidRPr="002A7624" w14:paraId="5EE8C36D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C7EA7EC" w14:textId="77777777" w:rsidR="00942C1E" w:rsidRPr="009461CC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Klinikai siker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1FCEBA5" w14:textId="77777777" w:rsidR="00942C1E" w:rsidRPr="001047FB" w:rsidRDefault="00942C1E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lang w:val="es-MX"/>
              </w:rPr>
            </w:pPr>
            <w:r>
              <w:rPr>
                <w:rFonts w:eastAsia="Times New Roman" w:cs="Times New Roman"/>
                <w:lang w:val="hu"/>
              </w:rPr>
              <w:t>Sikeres eltávolítás/manipuláció eljárási komplikációk nélkül</w:t>
            </w:r>
          </w:p>
        </w:tc>
      </w:tr>
    </w:tbl>
    <w:p w14:paraId="6CABCDF2" w14:textId="77777777" w:rsidR="004F7F77" w:rsidRPr="001047FB" w:rsidRDefault="004F7F77" w:rsidP="001047FB">
      <w:pPr>
        <w:spacing w:after="0" w:afterAutospacing="0" w:line="216" w:lineRule="auto"/>
        <w:rPr>
          <w:rFonts w:eastAsia="Times New Roman" w:cs="Times New Roman"/>
          <w:iCs/>
          <w:szCs w:val="24"/>
          <w:lang w:val="es-MX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7606"/>
      </w:tblGrid>
      <w:tr w:rsidR="00607046" w:rsidRPr="009461CC" w14:paraId="62F22A34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B79F3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Biztonsági intézkedések</w:t>
            </w:r>
          </w:p>
        </w:tc>
      </w:tr>
      <w:tr w:rsidR="00607046" w:rsidRPr="009461CC" w14:paraId="6CEF70FC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49FF4D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Mutató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D43B30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Meghatározás</w:t>
            </w:r>
          </w:p>
        </w:tc>
      </w:tr>
      <w:tr w:rsidR="00607046" w:rsidRPr="009461CC" w14:paraId="11F5FD97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CE5781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Eljárási szövődmények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FFAF53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hu"/>
              </w:rPr>
              <w:t>Beleértve a vérzést, perforációt, embóliát, fertőzést, allergiás reakciót és fájdalmat</w:t>
            </w:r>
          </w:p>
        </w:tc>
      </w:tr>
      <w:tr w:rsidR="00607046" w:rsidRPr="009461CC" w14:paraId="6CA744C3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0E35B1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hu"/>
              </w:rPr>
              <w:t>Teljes szövődményarány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D2E84BE" w14:textId="77777777" w:rsidR="00607046" w:rsidRPr="009461CC" w:rsidRDefault="00607046" w:rsidP="001047FB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hu"/>
              </w:rPr>
              <w:t>Az összes mellékhatás együttes aránya az eljárás alatt vagy után</w:t>
            </w:r>
          </w:p>
        </w:tc>
      </w:tr>
    </w:tbl>
    <w:p w14:paraId="4A64B2C8" w14:textId="77777777" w:rsidR="00607046" w:rsidRPr="001047FB" w:rsidRDefault="00607046" w:rsidP="00C97841">
      <w:pPr>
        <w:spacing w:after="0" w:afterAutospacing="0" w:line="240" w:lineRule="auto"/>
        <w:rPr>
          <w:rFonts w:eastAsia="Times New Roman" w:cs="Times New Roman"/>
          <w:iCs/>
          <w:sz w:val="18"/>
          <w:szCs w:val="18"/>
        </w:rPr>
      </w:pPr>
    </w:p>
    <w:p w14:paraId="5B675D80" w14:textId="118A648D" w:rsidR="00EE18FA" w:rsidRPr="001047FB" w:rsidRDefault="00050F24" w:rsidP="00050F24">
      <w:pPr>
        <w:spacing w:after="0" w:afterAutospacing="0" w:line="240" w:lineRule="auto"/>
        <w:rPr>
          <w:rFonts w:eastAsia="Times New Roman" w:cs="Times New Roman"/>
          <w:iCs/>
          <w:sz w:val="16"/>
          <w:szCs w:val="16"/>
        </w:rPr>
      </w:pPr>
      <w:r>
        <w:rPr>
          <w:rFonts w:eastAsia="Times New Roman" w:cs="Times New Roman"/>
          <w:szCs w:val="24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eastAsia="Times New Roman" w:cs="Times New Roman"/>
          <w:szCs w:val="24"/>
          <w:lang w:val="hu"/>
        </w:rPr>
        <w:t xml:space="preserve"> eredménymutatók sikerességi arányainak összefoglalása:</w:t>
      </w:r>
    </w:p>
    <w:p w14:paraId="6387EAAA" w14:textId="6A98A9F8" w:rsidR="00050F24" w:rsidRPr="000D0499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de-DE"/>
        </w:rPr>
      </w:pPr>
      <w:r>
        <w:rPr>
          <w:rFonts w:eastAsia="Times New Roman" w:cs="Times New Roman"/>
          <w:szCs w:val="24"/>
          <w:lang w:val="hu"/>
        </w:rPr>
        <w:t>A műszaki siker kiváló volt, 100%.</w:t>
      </w:r>
    </w:p>
    <w:p w14:paraId="70426807" w14:textId="6A68FCB6" w:rsidR="00050F24" w:rsidRPr="001047FB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  <w:r>
        <w:rPr>
          <w:rFonts w:eastAsia="Times New Roman" w:cs="Times New Roman"/>
          <w:szCs w:val="24"/>
          <w:lang w:val="hu"/>
        </w:rPr>
        <w:t>A klinikai siker 94,5% volt, ami valamivel a 97,4%-os küszöbérték alatt van.</w:t>
      </w:r>
    </w:p>
    <w:p w14:paraId="3E9DC071" w14:textId="055EE80D" w:rsidR="00050F24" w:rsidRPr="001047FB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  <w:r>
        <w:rPr>
          <w:rFonts w:eastAsia="Times New Roman" w:cs="Times New Roman"/>
          <w:szCs w:val="24"/>
          <w:lang w:val="hu"/>
        </w:rPr>
        <w:t>Az összesített szövődményarány, a perforáció/szövetkárosodás és a klinikai siker nem felelt meg az elfogadási kritériumoknak.</w:t>
      </w:r>
    </w:p>
    <w:p w14:paraId="44EC781B" w14:textId="7DA02325" w:rsidR="00050F24" w:rsidRPr="001047FB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  <w:r>
        <w:rPr>
          <w:rFonts w:eastAsia="Times New Roman" w:cs="Times New Roman"/>
          <w:szCs w:val="24"/>
          <w:lang w:val="hu"/>
        </w:rPr>
        <w:t>Az embólia, a fájdalom és a halálozási arány 0% volt, és megfelelt a kritériumoknak.</w:t>
      </w:r>
    </w:p>
    <w:p w14:paraId="05E37DDA" w14:textId="77777777" w:rsidR="00EE18FA" w:rsidRPr="001047FB" w:rsidRDefault="00EE18FA" w:rsidP="00EE18FA">
      <w:pPr>
        <w:pStyle w:val="ListParagraph"/>
        <w:spacing w:after="0" w:afterAutospacing="0" w:line="240" w:lineRule="auto"/>
        <w:rPr>
          <w:rFonts w:eastAsia="Times New Roman" w:cs="Times New Roman"/>
          <w:iCs/>
          <w:sz w:val="18"/>
          <w:szCs w:val="18"/>
          <w:lang w:val="es-MX"/>
        </w:rPr>
      </w:pPr>
    </w:p>
    <w:p w14:paraId="3F2FC7C2" w14:textId="2808A8DE" w:rsidR="00050F24" w:rsidRPr="001047FB" w:rsidRDefault="00050F24" w:rsidP="00EE18FA">
      <w:p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  <w:r>
        <w:rPr>
          <w:rFonts w:eastAsia="Times New Roman" w:cs="Times New Roman"/>
          <w:szCs w:val="24"/>
          <w:lang w:val="hu"/>
        </w:rPr>
        <w:t>Annak ellenére, hogy egyes biztonsági végpontok meghaladták a küszöbértékeket, az előny-kockázat profil kedvező maradt a magas szintű műszaki siker és az alacsony súlyosságú szövődmények miatt.</w:t>
      </w:r>
    </w:p>
    <w:p w14:paraId="2F8EAFF0" w14:textId="77777777" w:rsidR="00AA7F1D" w:rsidRPr="001047FB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</w:p>
    <w:p w14:paraId="7A0B3597" w14:textId="24813ED1" w:rsidR="00D47200" w:rsidRPr="001047FB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  <w:lang w:val="es-MX"/>
        </w:rPr>
      </w:pPr>
      <w:r>
        <w:rPr>
          <w:rFonts w:eastAsia="Times New Roman" w:cs="Times New Roman"/>
          <w:szCs w:val="24"/>
          <w:lang w:val="hu"/>
        </w:rPr>
        <w:t>Klinikai állítások a használati utasításban</w:t>
      </w:r>
      <w:r w:rsidR="00EB148F">
        <w:rPr>
          <w:rFonts w:eastAsia="Times New Roman" w:cs="Times New Roman"/>
          <w:szCs w:val="24"/>
          <w:lang w:val="hu"/>
        </w:rPr>
        <w:t xml:space="preserve"> (IFU)</w:t>
      </w:r>
      <w:r>
        <w:rPr>
          <w:rFonts w:eastAsia="Times New Roman" w:cs="Times New Roman"/>
          <w:szCs w:val="24"/>
          <w:lang w:val="hu"/>
        </w:rPr>
        <w:t xml:space="preserve"> és a marketinganyagokban</w:t>
      </w:r>
    </w:p>
    <w:p w14:paraId="19E8DAE4" w14:textId="05403A03" w:rsidR="00EE18FA" w:rsidRPr="001047FB" w:rsidRDefault="00C01A53" w:rsidP="00D52DF8">
      <w:pPr>
        <w:spacing w:after="0" w:afterAutospacing="0" w:line="240" w:lineRule="auto"/>
        <w:rPr>
          <w:rFonts w:cs="Times New Roman"/>
          <w:iCs/>
          <w:sz w:val="14"/>
          <w:szCs w:val="14"/>
          <w:lang w:val="es-MX"/>
        </w:rPr>
      </w:pPr>
      <w:r>
        <w:rPr>
          <w:rFonts w:cs="Times New Roman"/>
          <w:szCs w:val="24"/>
          <w:lang w:val="hu"/>
        </w:rPr>
        <w:t>A klinikai értékelés a következő állításokat támasztja alá:</w:t>
      </w:r>
    </w:p>
    <w:p w14:paraId="7925D059" w14:textId="1A5A89DA" w:rsidR="003859AF" w:rsidRPr="001047FB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es-MX"/>
        </w:rPr>
      </w:pPr>
      <w:r>
        <w:rPr>
          <w:rFonts w:cs="Times New Roman"/>
          <w:szCs w:val="24"/>
          <w:lang w:val="hu"/>
        </w:rPr>
        <w:t>Idegentestek perkután eltávolítása/manipulációja – A szakirodalomban 100%-os műszaki siker támasztja alá.</w:t>
      </w:r>
    </w:p>
    <w:p w14:paraId="3AB6E45D" w14:textId="783809AA" w:rsidR="003859AF" w:rsidRPr="001047FB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es-MX"/>
        </w:rPr>
      </w:pPr>
      <w:r>
        <w:rPr>
          <w:rFonts w:cs="Times New Roman"/>
          <w:szCs w:val="24"/>
          <w:lang w:val="hu"/>
        </w:rPr>
        <w:t>Alacsonyabb szövődményarány, mint a sebészeti beavatkozások esetén – Összehasonlító szakirodalom és a legmodernebb elemzések alátámasztják.</w:t>
      </w:r>
    </w:p>
    <w:p w14:paraId="15638B58" w14:textId="335CFE86" w:rsidR="003859AF" w:rsidRPr="001047FB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es-MX"/>
        </w:rPr>
      </w:pPr>
      <w:r>
        <w:rPr>
          <w:rFonts w:cs="Times New Roman"/>
          <w:szCs w:val="24"/>
          <w:lang w:val="hu"/>
        </w:rPr>
        <w:t>Kiegészítő eljárásokban történő alkalmazás (pl. fibrinhüvely eltávolítása, katéter áthelyezése) – Klinikai esettanulmányok és eljárási irányelvek alátámasztják.</w:t>
      </w:r>
    </w:p>
    <w:p w14:paraId="351D383E" w14:textId="7EB46C62" w:rsidR="00C01A53" w:rsidRPr="001047FB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es-MX"/>
        </w:rPr>
      </w:pPr>
      <w:r>
        <w:rPr>
          <w:rFonts w:cs="Times New Roman"/>
          <w:szCs w:val="24"/>
          <w:lang w:val="hu"/>
        </w:rPr>
        <w:t>Biztonságosan használható felnőtt populációkban – Forgalomba hozatalt követő felügyelet és szakirodalmi adatok alátámasztják.</w:t>
      </w:r>
    </w:p>
    <w:p w14:paraId="68D32F33" w14:textId="77777777" w:rsidR="005D424F" w:rsidRPr="001047FB" w:rsidRDefault="005D424F" w:rsidP="005D424F">
      <w:pPr>
        <w:spacing w:after="0" w:afterAutospacing="0" w:line="240" w:lineRule="auto"/>
        <w:rPr>
          <w:rFonts w:cs="Times New Roman"/>
          <w:iCs/>
          <w:sz w:val="16"/>
          <w:szCs w:val="16"/>
          <w:lang w:val="es-MX"/>
        </w:rPr>
      </w:pPr>
    </w:p>
    <w:p w14:paraId="76063689" w14:textId="3006D09D" w:rsidR="005D424F" w:rsidRPr="000D0499" w:rsidRDefault="005D424F" w:rsidP="005D424F">
      <w:pPr>
        <w:spacing w:after="0" w:afterAutospacing="0" w:line="240" w:lineRule="auto"/>
        <w:rPr>
          <w:rFonts w:cs="Times New Roman"/>
          <w:iCs/>
          <w:szCs w:val="24"/>
          <w:lang w:val="hu"/>
        </w:rPr>
      </w:pPr>
      <w:r>
        <w:rPr>
          <w:rFonts w:cs="Times New Roman"/>
          <w:szCs w:val="24"/>
          <w:lang w:val="hu"/>
        </w:rPr>
        <w:t>Az Atrieve vaszkuláris fogóhurkok kedvező előny-kockázat profilt mutatnak, erős klinikai teljesítménnyel és biztonságossággal, amit a szakirodalom, a vizsgálatok és a forgalomba hozatal utáni adatok is alátámasztanak. Megfelelnek a szabályozási szabványoknak, és alkalmasak a folyamatos klinikai használatra.</w:t>
      </w:r>
    </w:p>
    <w:p w14:paraId="653883C0" w14:textId="77777777" w:rsidR="003859AF" w:rsidRPr="001047FB" w:rsidRDefault="003859AF" w:rsidP="003859AF">
      <w:pPr>
        <w:spacing w:after="0" w:afterAutospacing="0" w:line="240" w:lineRule="auto"/>
        <w:rPr>
          <w:rFonts w:cs="Times New Roman"/>
          <w:iCs/>
          <w:sz w:val="16"/>
          <w:szCs w:val="16"/>
          <w:lang w:val="hu"/>
        </w:rPr>
      </w:pPr>
    </w:p>
    <w:p w14:paraId="6DCFA27A" w14:textId="12CF0A2D" w:rsidR="00C91927" w:rsidRPr="000D0499" w:rsidRDefault="008745ED" w:rsidP="00C91927">
      <w:pPr>
        <w:pStyle w:val="Heading1"/>
        <w:rPr>
          <w:rFonts w:cs="Times New Roman"/>
          <w:color w:val="auto"/>
          <w:lang w:val="hu"/>
        </w:rPr>
      </w:pPr>
      <w:bookmarkStart w:id="76" w:name="_Toc222741479"/>
      <w:r>
        <w:rPr>
          <w:rFonts w:cs="Times New Roman"/>
          <w:bCs/>
          <w:color w:val="auto"/>
          <w:lang w:val="hu"/>
        </w:rPr>
        <w:t>Folyamatban lévő vagy tervezett forgalomba hozatalt követő klinikai nyomon követés</w:t>
      </w:r>
      <w:bookmarkEnd w:id="76"/>
    </w:p>
    <w:p w14:paraId="494CEDC3" w14:textId="30F77DFB" w:rsidR="0094476E" w:rsidRPr="000D0499" w:rsidRDefault="003B4C77" w:rsidP="00C91927">
      <w:pPr>
        <w:spacing w:line="240" w:lineRule="auto"/>
        <w:rPr>
          <w:rFonts w:cs="Times New Roman"/>
          <w:highlight w:val="yellow"/>
          <w:lang w:val="hu"/>
        </w:rPr>
      </w:pPr>
      <w:r>
        <w:rPr>
          <w:rFonts w:cs="Times New Roman"/>
          <w:lang w:val="hu"/>
        </w:rPr>
        <w:t xml:space="preserve">Az Atrieve vaszkuláris </w:t>
      </w:r>
      <w:r w:rsidR="002A7624">
        <w:rPr>
          <w:rFonts w:cs="Times New Roman"/>
          <w:lang w:val="hu"/>
        </w:rPr>
        <w:t>Snare</w:t>
      </w:r>
      <w:r>
        <w:rPr>
          <w:rFonts w:cs="Times New Roman"/>
          <w:lang w:val="hu"/>
        </w:rPr>
        <w:t xml:space="preserve"> forgalomba hozatal utáni klinikai nyomon követését a PMCFP-029 Rev C szabványnak megfelelően, az MDR XIV. melléklet B. részének követelményeit követve végzik. A forgalomba hozatalt követő klinikai nyomon követési tevékenységek célja az eszköz biztonságosságának és teljesítményének </w:t>
      </w:r>
      <w:r w:rsidR="003E2B64">
        <w:rPr>
          <w:rFonts w:cs="Times New Roman"/>
          <w:lang w:val="hu"/>
        </w:rPr>
        <w:t xml:space="preserve">(PMCF) </w:t>
      </w:r>
      <w:r>
        <w:rPr>
          <w:rFonts w:cs="Times New Roman"/>
          <w:lang w:val="hu"/>
        </w:rPr>
        <w:t>proaktív megerősítése a rutin klinikai gyakorlatban, az esetlegesen felmerülő kockázatok azonosítása, valamint annak ellenőrzése, hogy az előny-kockázat profil továbbra is elfogadható-e.</w:t>
      </w:r>
    </w:p>
    <w:p w14:paraId="3A9AC42F" w14:textId="6BF50316" w:rsidR="00F01CD1" w:rsidRPr="00F01CD1" w:rsidRDefault="00E541DE" w:rsidP="001047FB">
      <w:pPr>
        <w:pStyle w:val="NormalWeb"/>
        <w:spacing w:after="0" w:afterAutospacing="0" w:line="228" w:lineRule="auto"/>
        <w:rPr>
          <w:lang w:val="hu"/>
        </w:rPr>
      </w:pPr>
      <w:r>
        <w:rPr>
          <w:rStyle w:val="Strong"/>
          <w:lang w:val="hu"/>
        </w:rPr>
        <w:t>Folyamatban lévő PMCF tevékenységek</w:t>
      </w:r>
      <w:r>
        <w:rPr>
          <w:lang w:val="hu"/>
        </w:rPr>
        <w:br/>
        <w:t>Az eszköz teljes élettartama során a következő folyamatban lévő tevékenységek elvégzése tervezett:</w:t>
      </w:r>
    </w:p>
    <w:p w14:paraId="15FC3A69" w14:textId="21A8CA98" w:rsidR="00E541DE" w:rsidRPr="000D0499" w:rsidRDefault="00DE3CC0" w:rsidP="001047FB">
      <w:pPr>
        <w:pStyle w:val="NormalWeb"/>
        <w:numPr>
          <w:ilvl w:val="0"/>
          <w:numId w:val="29"/>
        </w:numPr>
        <w:spacing w:before="0" w:beforeAutospacing="0" w:line="216" w:lineRule="auto"/>
        <w:rPr>
          <w:lang w:val="hu"/>
        </w:rPr>
      </w:pPr>
      <w:r>
        <w:rPr>
          <w:rStyle w:val="Strong"/>
          <w:b w:val="0"/>
          <w:bCs w:val="0"/>
          <w:lang w:val="hu"/>
        </w:rPr>
        <w:t>Éves szisztematikus szakirodalmi áttekintés:</w:t>
      </w:r>
      <w:r>
        <w:rPr>
          <w:lang w:val="hu"/>
        </w:rPr>
        <w:t xml:space="preserve"> A vaszkuláris </w:t>
      </w:r>
      <w:r w:rsidR="002A7624">
        <w:rPr>
          <w:lang w:val="hu"/>
        </w:rPr>
        <w:t>Snare-rel</w:t>
      </w:r>
      <w:r>
        <w:rPr>
          <w:lang w:val="hu"/>
        </w:rPr>
        <w:t xml:space="preserve"> és hasonló eszközökkel kapcsolatos publikált klinikai bizonyítékok strukturált áttekintését végzik el a biztonságossággal, a teljesítménnyel, a klinikai technikákkal vagy az újonnan felmerülő kockázatokkal kapcsolatos új információk azonosítása érdekében.</w:t>
      </w:r>
    </w:p>
    <w:p w14:paraId="08598FA3" w14:textId="6BDEE605" w:rsidR="00E541DE" w:rsidRPr="000D0499" w:rsidRDefault="00DE3CC0" w:rsidP="001047FB">
      <w:pPr>
        <w:pStyle w:val="NormalWeb"/>
        <w:numPr>
          <w:ilvl w:val="0"/>
          <w:numId w:val="29"/>
        </w:numPr>
        <w:spacing w:line="216" w:lineRule="auto"/>
        <w:rPr>
          <w:lang w:val="hu"/>
        </w:rPr>
      </w:pPr>
      <w:r>
        <w:rPr>
          <w:rStyle w:val="Strong"/>
          <w:b w:val="0"/>
          <w:bCs w:val="0"/>
          <w:lang w:val="hu"/>
        </w:rPr>
        <w:t>Éves legmodernebb</w:t>
      </w:r>
      <w:r>
        <w:rPr>
          <w:rStyle w:val="Strong"/>
          <w:lang w:val="hu"/>
        </w:rPr>
        <w:t xml:space="preserve"> </w:t>
      </w:r>
      <w:r>
        <w:rPr>
          <w:rStyle w:val="Strong"/>
          <w:b w:val="0"/>
          <w:bCs w:val="0"/>
          <w:lang w:val="hu"/>
        </w:rPr>
        <w:t>(SOA) felülvizsgálat:</w:t>
      </w:r>
      <w:r>
        <w:rPr>
          <w:lang w:val="hu"/>
        </w:rPr>
        <w:t xml:space="preserve"> A klinikai gyakorlati irányelvek, a nemzetközi szabványok és a versenytárs technológiák értékelését végzik el a jelenlegi klinikai és technikai gyakorlattal való folyamatos összhang biztosítása érdekében.</w:t>
      </w:r>
    </w:p>
    <w:p w14:paraId="6EE80A3F" w14:textId="77777777" w:rsidR="00E541DE" w:rsidRPr="000D0499" w:rsidRDefault="00E541DE" w:rsidP="001047FB">
      <w:pPr>
        <w:pStyle w:val="NormalWeb"/>
        <w:numPr>
          <w:ilvl w:val="0"/>
          <w:numId w:val="29"/>
        </w:numPr>
        <w:spacing w:line="216" w:lineRule="auto"/>
        <w:rPr>
          <w:lang w:val="hu"/>
        </w:rPr>
      </w:pPr>
      <w:r>
        <w:rPr>
          <w:rStyle w:val="Strong"/>
          <w:b w:val="0"/>
          <w:bCs w:val="0"/>
          <w:lang w:val="hu"/>
        </w:rPr>
        <w:t>Panasz- és mellékhatásadatok folyamatos felülvizsgálata:</w:t>
      </w:r>
      <w:r>
        <w:rPr>
          <w:lang w:val="hu"/>
        </w:rPr>
        <w:t xml:space="preserve"> Bár ez inkább egy PMS tevékenység, mintsem PMCF, a PMCF folyamatán belül értékelik a legfontosabb eredményeket annak megállapítására, hogy szükség van-e további klinikai utánkövetésre.</w:t>
      </w:r>
    </w:p>
    <w:p w14:paraId="39597E9A" w14:textId="6370FCD6" w:rsidR="009E1EBB" w:rsidRPr="000D0499" w:rsidRDefault="009E1EBB" w:rsidP="001047FB">
      <w:pPr>
        <w:pStyle w:val="NormalWeb"/>
        <w:spacing w:line="228" w:lineRule="auto"/>
        <w:rPr>
          <w:lang w:val="hu"/>
        </w:rPr>
      </w:pPr>
      <w:r>
        <w:rPr>
          <w:rStyle w:val="Strong"/>
          <w:lang w:val="hu"/>
        </w:rPr>
        <w:t>Tervezett PMCF tevékenységek</w:t>
      </w:r>
      <w:r>
        <w:rPr>
          <w:lang w:val="hu"/>
        </w:rPr>
        <w:br/>
        <w:t xml:space="preserve">Az Atrieve vaszkuláris </w:t>
      </w:r>
      <w:r w:rsidR="002A7624">
        <w:rPr>
          <w:lang w:val="hu"/>
        </w:rPr>
        <w:t>Snare</w:t>
      </w:r>
      <w:r>
        <w:rPr>
          <w:lang w:val="hu"/>
        </w:rPr>
        <w:t xml:space="preserve"> készlettel kapcsolatos célzott, valós bizonyítékok gyűjtése érdekében a következő tevékenységet tervezzük:</w:t>
      </w:r>
    </w:p>
    <w:p w14:paraId="395AA027" w14:textId="77777777" w:rsidR="009E1EBB" w:rsidRPr="000D0499" w:rsidRDefault="009E1EBB" w:rsidP="001047FB">
      <w:pPr>
        <w:pStyle w:val="NormalWeb"/>
        <w:numPr>
          <w:ilvl w:val="0"/>
          <w:numId w:val="32"/>
        </w:numPr>
        <w:spacing w:line="216" w:lineRule="auto"/>
        <w:rPr>
          <w:lang w:val="hu"/>
        </w:rPr>
      </w:pPr>
      <w:r>
        <w:rPr>
          <w:rStyle w:val="Strong"/>
          <w:lang w:val="hu"/>
        </w:rPr>
        <w:lastRenderedPageBreak/>
        <w:t>PMCF orvosfelmérés:</w:t>
      </w:r>
      <w:r>
        <w:rPr>
          <w:lang w:val="hu"/>
        </w:rPr>
        <w:br/>
        <w:t>Egy strukturált felmérést fognak végezni a klinikai felhasználók körében, hogy felmérjék az eszközzel kapcsolatos tapasztalataikat, felmérjék annak teljesítményét a rutin gyakorlatban, és azonosítsák a megfigyelt szövődményeket vagy váratlan eseményeket. A felmérés eredményeit elemezni fogják, és beépítik a PMCF értékelő jelentésébe. Az eredmények alapján döntenek majd a további PMCF tevékenységek szükségességéről, illetve a Klinikai értékelő jelentés (CER) és a Kockázatkezelési jelentés (RMR) frissítéséről.</w:t>
      </w:r>
    </w:p>
    <w:p w14:paraId="1DED8B40" w14:textId="00A092DC" w:rsidR="00DE0007" w:rsidRPr="000D0499" w:rsidRDefault="00DE0007" w:rsidP="001047FB">
      <w:pPr>
        <w:pStyle w:val="NormalWeb"/>
        <w:spacing w:line="228" w:lineRule="auto"/>
        <w:rPr>
          <w:lang w:val="hu"/>
        </w:rPr>
      </w:pPr>
      <w:r>
        <w:rPr>
          <w:rStyle w:val="Strong"/>
          <w:lang w:val="hu"/>
        </w:rPr>
        <w:t>A PMCF megközelítés indoklása</w:t>
      </w:r>
      <w:r>
        <w:rPr>
          <w:lang w:val="hu"/>
        </w:rPr>
        <w:br/>
        <w:t xml:space="preserve">A jelenlegi klinikai értékelés, a szakirodalmi bizonyítékok és a forgalomba hozatal utáni tapasztalatok alapján nem azonosítottak olyan új vagy újonnan felmerülő kockázatokat, amelyek eszközspecifikus klinikai vizsgálatot tennének szükségessé. A meglévő PMCF tevékenységek, az éves szakirodalom és a célzott orvosi visszajelzésekkel alátámasztott SOA felülvizsgálatok elegendőnek tekinthetők annak megerősítésére, hogy ez a jól bevált, III. osztályú, örökölt Atrieve vaszkuláris </w:t>
      </w:r>
      <w:r w:rsidR="002A7624">
        <w:rPr>
          <w:lang w:val="hu"/>
        </w:rPr>
        <w:t>Snare</w:t>
      </w:r>
      <w:r>
        <w:rPr>
          <w:lang w:val="hu"/>
        </w:rPr>
        <w:t xml:space="preserve"> készlet folyamatosan biztonságos és teljesítőképes.</w:t>
      </w:r>
    </w:p>
    <w:p w14:paraId="3DA3C9CA" w14:textId="77777777" w:rsidR="005B4422" w:rsidRPr="000D0499" w:rsidRDefault="005B4422" w:rsidP="001047FB">
      <w:pPr>
        <w:pStyle w:val="NormalWeb"/>
        <w:spacing w:before="0" w:beforeAutospacing="0" w:after="0" w:afterAutospacing="0" w:line="228" w:lineRule="auto"/>
        <w:rPr>
          <w:lang w:val="hu"/>
        </w:rPr>
      </w:pPr>
      <w:r>
        <w:rPr>
          <w:rStyle w:val="Strong"/>
          <w:lang w:val="hu"/>
        </w:rPr>
        <w:t>PMCF jelentéstétel</w:t>
      </w:r>
    </w:p>
    <w:p w14:paraId="5C389055" w14:textId="14E4D114" w:rsidR="0094476E" w:rsidRPr="000D0499" w:rsidRDefault="00B04139" w:rsidP="001047FB">
      <w:pPr>
        <w:pStyle w:val="NormalWeb"/>
        <w:spacing w:before="0" w:beforeAutospacing="0" w:after="0" w:afterAutospacing="0" w:line="228" w:lineRule="auto"/>
        <w:rPr>
          <w:lang w:val="hu"/>
        </w:rPr>
      </w:pPr>
      <w:r>
        <w:rPr>
          <w:lang w:val="hu"/>
        </w:rPr>
        <w:t>A PMCF jelentést meghatározott időközönként, valamint minden alkalommal elkészítik, amikor új információ válik elérhetővé, amely befolyásolhatja az előny-kockázat arányt. Minden PMCF eredmény beépül a Klinikai értékelő jelentésbe (CER), a Kockázatkezelési jelentésbe (RMR) és az egyéb forgalomba hozatal utáni folyamatokba, szükség szerint.</w:t>
      </w:r>
    </w:p>
    <w:p w14:paraId="09D946B7" w14:textId="77777777" w:rsidR="007002E4" w:rsidRPr="000D0499" w:rsidRDefault="007002E4" w:rsidP="001047FB">
      <w:pPr>
        <w:pStyle w:val="NormalWeb"/>
        <w:spacing w:before="0" w:beforeAutospacing="0" w:after="0" w:afterAutospacing="0" w:line="228" w:lineRule="auto"/>
        <w:rPr>
          <w:lang w:val="hu"/>
        </w:rPr>
      </w:pPr>
    </w:p>
    <w:p w14:paraId="748C3FE5" w14:textId="1D19292C" w:rsidR="00760400" w:rsidRPr="009461CC" w:rsidRDefault="00760400" w:rsidP="001047FB">
      <w:pPr>
        <w:pStyle w:val="Heading1"/>
        <w:numPr>
          <w:ilvl w:val="0"/>
          <w:numId w:val="2"/>
        </w:numPr>
        <w:spacing w:line="228" w:lineRule="auto"/>
        <w:rPr>
          <w:rFonts w:cs="Times New Roman"/>
        </w:rPr>
      </w:pPr>
      <w:bookmarkStart w:id="77" w:name="_Toc222741480"/>
      <w:r>
        <w:rPr>
          <w:rFonts w:cs="Times New Roman"/>
          <w:bCs/>
          <w:lang w:val="hu"/>
        </w:rPr>
        <w:t>Lehetséges diagnosztikai vagy terápiás alternatívák</w:t>
      </w:r>
      <w:bookmarkEnd w:id="77"/>
      <w:r>
        <w:rPr>
          <w:rFonts w:cs="Times New Roman"/>
          <w:bCs/>
          <w:lang w:val="hu"/>
        </w:rPr>
        <w:t xml:space="preserve"> </w:t>
      </w:r>
    </w:p>
    <w:p w14:paraId="60C316BA" w14:textId="4177FF86" w:rsidR="00042B91" w:rsidRPr="000D0499" w:rsidRDefault="008373C6" w:rsidP="001047FB">
      <w:pPr>
        <w:spacing w:line="228" w:lineRule="auto"/>
        <w:rPr>
          <w:rFonts w:cs="Times New Roman"/>
          <w:lang w:val="hu"/>
        </w:rPr>
      </w:pPr>
      <w:r>
        <w:rPr>
          <w:rFonts w:cs="Times New Roman"/>
          <w:lang w:val="hu"/>
        </w:rPr>
        <w:t>A CER-029 Rev B szabvány három fő alternatívát határoz meg az idegentest (FB) eltávolítására a kardiovaszkuláris rendszerből. Konzervatív kezelés ajánlott tünetmentes vagy magas kockázatú sebészeti betegeknél, szoros monitorozásra és képalkotásra támaszkodva, ha a beavatkozás nagyobb kockázatot jelenthet. A minimálisan invazív technikák az előnyben részesített megközelítések, a hurokhurkok, különösen a hattyúnyak fogóhurkok széles körben használatosak mind standard, mind összetett eltávolításokhoz. A fogók pontos fogást biztosítanak, és alkalmasak nehéz esetekre, például törött vagy beágyazott eszközökhöz. A sebészeti eltávolítás, mint például a thoracotomia vagy a sternotomia, invazív jellege és a betegekre jelentett magasabb kockázat miatt végső megoldás. Összességében az endovaszkuláris eltávolítás továbbra is a standard ellátás, a kezelést a beteg állapotához és az idegentest jellemzőihez igazítva.</w:t>
      </w:r>
    </w:p>
    <w:p w14:paraId="2CDE6FBF" w14:textId="77777777" w:rsidR="00042B91" w:rsidRPr="000D0499" w:rsidRDefault="00042B91" w:rsidP="001047FB">
      <w:pPr>
        <w:pStyle w:val="Heading1"/>
        <w:numPr>
          <w:ilvl w:val="0"/>
          <w:numId w:val="2"/>
        </w:numPr>
        <w:spacing w:line="228" w:lineRule="auto"/>
        <w:rPr>
          <w:rFonts w:cs="Times New Roman"/>
          <w:lang w:val="hu"/>
        </w:rPr>
      </w:pPr>
      <w:bookmarkStart w:id="78" w:name="_Toc222741481"/>
      <w:r>
        <w:rPr>
          <w:rFonts w:cs="Times New Roman"/>
          <w:bCs/>
          <w:lang w:val="hu"/>
        </w:rPr>
        <w:t>Javasolt profil és képzés a felhasználók számára</w:t>
      </w:r>
      <w:bookmarkEnd w:id="78"/>
    </w:p>
    <w:p w14:paraId="35173865" w14:textId="0C72FD3E" w:rsidR="00042B91" w:rsidRPr="000D0499" w:rsidRDefault="00A5239F" w:rsidP="001047FB">
      <w:pPr>
        <w:spacing w:after="0" w:afterAutospacing="0" w:line="228" w:lineRule="auto"/>
        <w:rPr>
          <w:rFonts w:eastAsia="Calibri" w:cs="Times New Roman"/>
          <w:szCs w:val="24"/>
          <w:lang w:val="hu"/>
        </w:rPr>
      </w:pPr>
      <w:r>
        <w:rPr>
          <w:rFonts w:eastAsia="Calibri" w:cs="Times New Roman"/>
          <w:szCs w:val="24"/>
          <w:lang w:val="hu"/>
        </w:rPr>
        <w:t>A termék orvosi szakemberek általi használatra készült, és kizárólag szakképzett, az eljárásban jártas személyzet használhatja.</w:t>
      </w:r>
    </w:p>
    <w:p w14:paraId="21A7D581" w14:textId="77777777" w:rsidR="00A5239F" w:rsidRPr="000D0499" w:rsidRDefault="00A5239F" w:rsidP="001047FB">
      <w:pPr>
        <w:spacing w:after="0" w:afterAutospacing="0" w:line="228" w:lineRule="auto"/>
        <w:rPr>
          <w:rFonts w:cs="Times New Roman"/>
          <w:i/>
          <w:color w:val="FF0000"/>
          <w:highlight w:val="yellow"/>
          <w:lang w:val="hu"/>
        </w:rPr>
      </w:pPr>
    </w:p>
    <w:p w14:paraId="7848B753" w14:textId="692785D6" w:rsidR="0037316E" w:rsidRPr="009461CC" w:rsidRDefault="00760400" w:rsidP="001047FB">
      <w:pPr>
        <w:pStyle w:val="Heading1"/>
        <w:numPr>
          <w:ilvl w:val="0"/>
          <w:numId w:val="2"/>
        </w:numPr>
        <w:spacing w:line="228" w:lineRule="auto"/>
        <w:rPr>
          <w:rFonts w:cs="Times New Roman"/>
        </w:rPr>
      </w:pPr>
      <w:bookmarkStart w:id="79" w:name="_Toc222741482"/>
      <w:r>
        <w:rPr>
          <w:rFonts w:cs="Times New Roman"/>
          <w:bCs/>
          <w:lang w:val="hu"/>
        </w:rPr>
        <w:t>Harmonizált szabványok / általános előírások</w:t>
      </w:r>
      <w:bookmarkEnd w:id="79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2336"/>
        <w:gridCol w:w="8008"/>
      </w:tblGrid>
      <w:tr w:rsidR="0094168A" w:rsidRPr="009461CC" w14:paraId="04F3E487" w14:textId="77777777" w:rsidTr="00293453">
        <w:trPr>
          <w:tblHeader/>
        </w:trPr>
        <w:tc>
          <w:tcPr>
            <w:tcW w:w="1129" w:type="pct"/>
          </w:tcPr>
          <w:p w14:paraId="5EEB168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Argon megfelelőségi dátum/verzió</w:t>
            </w:r>
          </w:p>
        </w:tc>
        <w:tc>
          <w:tcPr>
            <w:tcW w:w="3871" w:type="pct"/>
          </w:tcPr>
          <w:p w14:paraId="7BCD103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Szabványok címe</w:t>
            </w:r>
          </w:p>
        </w:tc>
      </w:tr>
      <w:tr w:rsidR="0094168A" w:rsidRPr="009461CC" w14:paraId="67124770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B92BAB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Címkézés</w:t>
            </w:r>
          </w:p>
        </w:tc>
      </w:tr>
      <w:tr w:rsidR="0094168A" w:rsidRPr="009461CC" w14:paraId="25DF072C" w14:textId="77777777" w:rsidTr="00293453">
        <w:tc>
          <w:tcPr>
            <w:tcW w:w="1129" w:type="pct"/>
          </w:tcPr>
          <w:p w14:paraId="434B73A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EN ISO 15223-1:2021</w:t>
            </w:r>
          </w:p>
        </w:tc>
        <w:tc>
          <w:tcPr>
            <w:tcW w:w="3871" w:type="pct"/>
          </w:tcPr>
          <w:p w14:paraId="40A15B1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Orvostechnikai eszközök - Orvostechnikai eszközökkel használható szimbólumok. </w:t>
            </w:r>
          </w:p>
          <w:p w14:paraId="093121E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címkék, címkézés és biztosítandó információk - 1. rész: Általános követelmények. </w:t>
            </w:r>
          </w:p>
          <w:p w14:paraId="3CEE87D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94168A" w:rsidRPr="009461CC" w14:paraId="13723641" w14:textId="77777777" w:rsidTr="00293453">
        <w:tc>
          <w:tcPr>
            <w:tcW w:w="1129" w:type="pct"/>
          </w:tcPr>
          <w:p w14:paraId="7822ED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lastRenderedPageBreak/>
              <w:t>EN ISO 20417:2021</w:t>
            </w:r>
          </w:p>
        </w:tc>
        <w:tc>
          <w:tcPr>
            <w:tcW w:w="3871" w:type="pct"/>
          </w:tcPr>
          <w:p w14:paraId="6EF6F71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Orvostechnikai eszközökhöz mellékelt terminológia, szimbólumok és információk: A gyártó által az orvostechnikai eszközökhöz mellékelt információk</w:t>
            </w:r>
          </w:p>
        </w:tc>
      </w:tr>
      <w:tr w:rsidR="0094168A" w:rsidRPr="009461CC" w14:paraId="26B8C057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F9809B2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Általános szabványok – Sterilizálás</w:t>
            </w:r>
          </w:p>
        </w:tc>
      </w:tr>
      <w:tr w:rsidR="0094168A" w:rsidRPr="009461CC" w14:paraId="7C28E0D3" w14:textId="77777777" w:rsidTr="00293453">
        <w:tc>
          <w:tcPr>
            <w:tcW w:w="1129" w:type="pct"/>
          </w:tcPr>
          <w:p w14:paraId="0416000A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ISO 10555-1:2013</w:t>
            </w:r>
          </w:p>
        </w:tc>
        <w:tc>
          <w:tcPr>
            <w:tcW w:w="3871" w:type="pct"/>
          </w:tcPr>
          <w:p w14:paraId="5B0C265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Intravaszkuláris katéterek – steril, egyszer használatos katéterek – 1. rész: Általános feltételek</w:t>
            </w:r>
          </w:p>
        </w:tc>
      </w:tr>
      <w:tr w:rsidR="0094168A" w:rsidRPr="009461CC" w14:paraId="088E27B4" w14:textId="77777777" w:rsidTr="00293453">
        <w:tc>
          <w:tcPr>
            <w:tcW w:w="1129" w:type="pct"/>
          </w:tcPr>
          <w:p w14:paraId="4746087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556-1:2024</w:t>
            </w:r>
          </w:p>
        </w:tc>
        <w:tc>
          <w:tcPr>
            <w:tcW w:w="3871" w:type="pct"/>
          </w:tcPr>
          <w:p w14:paraId="64BED8C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Orvostechnikai eszközök sterilizálása. Az orvostechnikai eszközök STERIL jelölésének követelményei. A végsterilizált orvostechnikai eszközökre vonatkozó követelmények</w:t>
            </w:r>
          </w:p>
        </w:tc>
      </w:tr>
      <w:tr w:rsidR="0094168A" w:rsidRPr="009461CC" w14:paraId="4DEE0525" w14:textId="77777777" w:rsidTr="00293453">
        <w:tc>
          <w:tcPr>
            <w:tcW w:w="1129" w:type="pct"/>
          </w:tcPr>
          <w:p w14:paraId="5095D1B9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ISO 11135:2019</w:t>
            </w:r>
          </w:p>
        </w:tc>
        <w:tc>
          <w:tcPr>
            <w:tcW w:w="3871" w:type="pct"/>
          </w:tcPr>
          <w:p w14:paraId="1E9B7BE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Egészségügyi termékek sterilizálása – Etilén-oxid – 1. rész: Orvostechnikai eszközök sterilizálási folyamatának fejlesztési, validálási és rutin-ellenőrzési követelményei</w:t>
            </w:r>
          </w:p>
        </w:tc>
      </w:tr>
      <w:tr w:rsidR="0094168A" w:rsidRPr="009461CC" w14:paraId="6B89F042" w14:textId="77777777" w:rsidTr="00293453">
        <w:tc>
          <w:tcPr>
            <w:tcW w:w="1129" w:type="pct"/>
          </w:tcPr>
          <w:p w14:paraId="3F4832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AAMI TIR28:2016</w:t>
            </w:r>
          </w:p>
          <w:p w14:paraId="4FBEE0AF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68BE6733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Termékátvétel és folyamategyenértékűség az etilén-oxid sterilizáláshoz</w:t>
            </w:r>
          </w:p>
        </w:tc>
      </w:tr>
      <w:tr w:rsidR="0094168A" w:rsidRPr="009461CC" w14:paraId="1E1CCCD6" w14:textId="77777777" w:rsidTr="00293453">
        <w:tc>
          <w:tcPr>
            <w:tcW w:w="1129" w:type="pct"/>
          </w:tcPr>
          <w:p w14:paraId="25D300E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ISO 14644-1:2015</w:t>
            </w:r>
          </w:p>
        </w:tc>
        <w:tc>
          <w:tcPr>
            <w:tcW w:w="3871" w:type="pct"/>
          </w:tcPr>
          <w:p w14:paraId="2AD73BC5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A levegőtisztaság osztályozása, tiszta helyiségek és a kapcsolódó szabályozott környezetek. 1. rész: A levegő tisztaságának osztályozása</w:t>
            </w:r>
          </w:p>
        </w:tc>
      </w:tr>
      <w:tr w:rsidR="0094168A" w:rsidRPr="009461CC" w14:paraId="27E7EE41" w14:textId="77777777" w:rsidTr="00293453">
        <w:trPr>
          <w:trHeight w:val="1097"/>
        </w:trPr>
        <w:tc>
          <w:tcPr>
            <w:tcW w:w="1129" w:type="pct"/>
          </w:tcPr>
          <w:p w14:paraId="51EAE02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ISO 14644-2:2015</w:t>
            </w:r>
          </w:p>
        </w:tc>
        <w:tc>
          <w:tcPr>
            <w:tcW w:w="3871" w:type="pct"/>
          </w:tcPr>
          <w:p w14:paraId="3AA6B4D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Tisztaterek és kapcsolódó szabályozott környezetek - 2. rész: A tisztatér állapotának ellenőrzése. </w:t>
            </w:r>
          </w:p>
          <w:p w14:paraId="2873EF6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a levegő tisztaságával kapcsolatos teljesítmény részecske szerint. </w:t>
            </w:r>
          </w:p>
          <w:p w14:paraId="02B2FED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koncentráció</w:t>
            </w:r>
          </w:p>
        </w:tc>
      </w:tr>
      <w:tr w:rsidR="0094168A" w:rsidRPr="009461CC" w14:paraId="0A4BF260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D2A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EN ISO 11737-1:2018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B8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Orvostechnikai eszközök sterilizálása. Mikrobiológiai módszerek. 1. rész: A termékeken lévő mikroorganizmus-populációk meghatározása</w:t>
            </w:r>
          </w:p>
        </w:tc>
      </w:tr>
      <w:tr w:rsidR="0094168A" w:rsidRPr="009461CC" w14:paraId="79153AFF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3E9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EN ISO 10993-7:2022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C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Orvostechnikai eszközök biológiai értékelése. Az etilén-oxid-sterilizálásból visszamaradó anyagok</w:t>
            </w:r>
          </w:p>
        </w:tc>
      </w:tr>
      <w:tr w:rsidR="0094168A" w:rsidRPr="009461CC" w14:paraId="255576C7" w14:textId="77777777" w:rsidTr="00293453">
        <w:tc>
          <w:tcPr>
            <w:tcW w:w="1129" w:type="pct"/>
          </w:tcPr>
          <w:p w14:paraId="3E8552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NSI/AAMI ST72:2019</w:t>
            </w:r>
          </w:p>
        </w:tc>
        <w:tc>
          <w:tcPr>
            <w:tcW w:w="3871" w:type="pct"/>
          </w:tcPr>
          <w:p w14:paraId="1BB261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Bakteriális endotoxinok tesztje</w:t>
            </w:r>
          </w:p>
        </w:tc>
      </w:tr>
      <w:tr w:rsidR="0094168A" w:rsidRPr="009461CC" w14:paraId="404997E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ABA833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Általános szabványok – Minőségbiztosítási rendszerek</w:t>
            </w:r>
          </w:p>
        </w:tc>
      </w:tr>
      <w:tr w:rsidR="0094168A" w:rsidRPr="009461CC" w14:paraId="63A55C82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A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EN ISO 13485:2016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B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hu"/>
              </w:rPr>
              <w:t>Orvostechnikai eszközök. Minőségirányítási rendszerek. Szabályozási célú követelmények</w:t>
            </w:r>
          </w:p>
        </w:tc>
      </w:tr>
      <w:tr w:rsidR="0094168A" w:rsidRPr="009461CC" w14:paraId="387B175B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9DAC31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Kockázatkezelés</w:t>
            </w:r>
          </w:p>
        </w:tc>
      </w:tr>
      <w:tr w:rsidR="0094168A" w:rsidRPr="009461CC" w14:paraId="75307B89" w14:textId="77777777" w:rsidTr="00293453">
        <w:tc>
          <w:tcPr>
            <w:tcW w:w="1129" w:type="pct"/>
          </w:tcPr>
          <w:p w14:paraId="653BDB4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ISO 14971:2019</w:t>
            </w:r>
          </w:p>
        </w:tc>
        <w:tc>
          <w:tcPr>
            <w:tcW w:w="3871" w:type="pct"/>
          </w:tcPr>
          <w:p w14:paraId="4457BE6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Orvostechnikai eszközök – A kockázatirányítás alkalmazása orvostechnikai eszközökre</w:t>
            </w:r>
          </w:p>
        </w:tc>
      </w:tr>
      <w:tr w:rsidR="0094168A" w:rsidRPr="009461CC" w14:paraId="0412F728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0003C37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hu"/>
              </w:rPr>
              <w:t>Biológiai biztonság</w:t>
            </w:r>
          </w:p>
        </w:tc>
      </w:tr>
      <w:tr w:rsidR="0094168A" w:rsidRPr="009461CC" w14:paraId="4EC2D85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9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10993-1:2020 + LC:2021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02E8D" w14:textId="77777777" w:rsidR="0094168A" w:rsidRPr="009461CC" w:rsidRDefault="0094168A" w:rsidP="00293453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1. rész: </w:t>
            </w:r>
          </w:p>
          <w:p w14:paraId="1D869305" w14:textId="77777777" w:rsidR="0094168A" w:rsidRPr="009461CC" w:rsidRDefault="0094168A" w:rsidP="00293453">
            <w:pPr>
              <w:tabs>
                <w:tab w:val="left" w:pos="1320"/>
              </w:tabs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Értékelés és tesztelés  </w:t>
            </w:r>
          </w:p>
        </w:tc>
      </w:tr>
      <w:tr w:rsidR="0094168A" w:rsidRPr="009461CC" w14:paraId="3496F1C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4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10993-3:2014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F9B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3. rész: Genotoxicitási, karcinogenitási és reproduktív toxicitási vizsgálatok </w:t>
            </w:r>
          </w:p>
        </w:tc>
      </w:tr>
      <w:tr w:rsidR="0094168A" w:rsidRPr="009461CC" w14:paraId="5B12C58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356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10993-4:2017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4D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értékelése. – 4. rész: A vérrel való kölcsönhatások vizsgálatainak kiválasztása </w:t>
            </w:r>
          </w:p>
        </w:tc>
      </w:tr>
      <w:tr w:rsidR="0094168A" w:rsidRPr="009461CC" w14:paraId="6B4C18F9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AA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10993-5:2009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B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5. rész: In vitro citotoxicitási vizsgálatok </w:t>
            </w:r>
          </w:p>
        </w:tc>
      </w:tr>
      <w:tr w:rsidR="0094168A" w:rsidRPr="009461CC" w14:paraId="0C8F61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6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10993-10:2013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A3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10. rész: Irritáció és bőrszenzibilizáció vizsgálata </w:t>
            </w:r>
          </w:p>
        </w:tc>
      </w:tr>
      <w:tr w:rsidR="0094168A" w:rsidRPr="009461CC" w14:paraId="0E6AC70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75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10993-11:2018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9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11. rész: Szisztémás toxicitási vizsgálatok </w:t>
            </w:r>
          </w:p>
        </w:tc>
      </w:tr>
      <w:tr w:rsidR="0094168A" w:rsidRPr="009461CC" w14:paraId="4DA537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A3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10993-12:2021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3A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Orvostechnikai eszközök biológiai értékelése – 12. rész: Minta-előkészítés és referenciaanyagok </w:t>
            </w:r>
          </w:p>
        </w:tc>
      </w:tr>
      <w:tr w:rsidR="00586415" w:rsidRPr="009461CC" w14:paraId="5BDB3E6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CB5" w14:textId="75B11B14" w:rsidR="00586415" w:rsidRPr="009461CC" w:rsidRDefault="00522664" w:rsidP="00586415">
            <w:pPr>
              <w:spacing w:after="0" w:afterAutospacing="0"/>
              <w:rPr>
                <w:rFonts w:eastAsia="Arial"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10993-17:2023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5B5F" w14:textId="1691BD78" w:rsidR="00586415" w:rsidRPr="009461CC" w:rsidRDefault="00586415" w:rsidP="00586415">
            <w:pPr>
              <w:spacing w:after="0" w:afterAutospacing="0"/>
              <w:rPr>
                <w:rFonts w:eastAsia="Arial"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Orvostechnikai eszközök alkotórészeinek toxikológiai kockázatértékelése</w:t>
            </w:r>
          </w:p>
        </w:tc>
      </w:tr>
      <w:tr w:rsidR="00586415" w:rsidRPr="009461CC" w14:paraId="14855AA5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81D3BA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hu"/>
              </w:rPr>
              <w:t>Klinikai értékelés</w:t>
            </w:r>
          </w:p>
        </w:tc>
      </w:tr>
      <w:tr w:rsidR="00586415" w:rsidRPr="009461CC" w14:paraId="1F26EC64" w14:textId="77777777" w:rsidTr="00293453">
        <w:tc>
          <w:tcPr>
            <w:tcW w:w="1129" w:type="pct"/>
          </w:tcPr>
          <w:p w14:paraId="5AF3269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lastRenderedPageBreak/>
              <w:t>MEDDEV 2.7/1 Rev4</w:t>
            </w:r>
          </w:p>
        </w:tc>
        <w:tc>
          <w:tcPr>
            <w:tcW w:w="3871" w:type="pct"/>
          </w:tcPr>
          <w:p w14:paraId="3D1D112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Klinikai értékelés: Útmutató gyártók és bejelentett szervezetek számára</w:t>
            </w:r>
          </w:p>
        </w:tc>
      </w:tr>
      <w:tr w:rsidR="00586415" w:rsidRPr="009461CC" w14:paraId="59A5C57A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3347842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hu"/>
              </w:rPr>
              <w:t>Tervezési ellenőrzés</w:t>
            </w:r>
          </w:p>
        </w:tc>
      </w:tr>
      <w:tr w:rsidR="00586415" w:rsidRPr="009461CC" w14:paraId="54F49ECD" w14:textId="77777777" w:rsidTr="00293453">
        <w:tc>
          <w:tcPr>
            <w:tcW w:w="1129" w:type="pct"/>
          </w:tcPr>
          <w:p w14:paraId="4795B61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EN ISO 14971</w:t>
            </w:r>
          </w:p>
        </w:tc>
        <w:tc>
          <w:tcPr>
            <w:tcW w:w="3871" w:type="pct"/>
          </w:tcPr>
          <w:p w14:paraId="55771886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Orvostechnikai eszközök – A kockázatirányítás alkalmazása orvostechnikai eszközökre</w:t>
            </w:r>
          </w:p>
        </w:tc>
      </w:tr>
      <w:tr w:rsidR="00586415" w:rsidRPr="009461CC" w14:paraId="48F71F50" w14:textId="77777777" w:rsidTr="00293453">
        <w:tc>
          <w:tcPr>
            <w:tcW w:w="1129" w:type="pct"/>
          </w:tcPr>
          <w:p w14:paraId="477CFB4F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20C1E19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586415" w:rsidRPr="009461CC" w14:paraId="0064DEC6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4B791D4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Használhatóság</w:t>
            </w:r>
          </w:p>
        </w:tc>
      </w:tr>
      <w:tr w:rsidR="00586415" w:rsidRPr="009461CC" w14:paraId="29A23DD2" w14:textId="77777777" w:rsidTr="00293453">
        <w:tc>
          <w:tcPr>
            <w:tcW w:w="1129" w:type="pct"/>
          </w:tcPr>
          <w:p w14:paraId="38C30B5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IEC 62366-1:2015 és</w:t>
            </w:r>
          </w:p>
          <w:p w14:paraId="2D964E3D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IEC 62366-1:2015/ COR1:2016 szabvány</w:t>
            </w:r>
          </w:p>
        </w:tc>
        <w:tc>
          <w:tcPr>
            <w:tcW w:w="3871" w:type="pct"/>
          </w:tcPr>
          <w:p w14:paraId="7A444F47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Orvostechnikai eszközök – A használhatósági tervezés alkalmazása orvostechnikai eszközökön</w:t>
            </w:r>
          </w:p>
        </w:tc>
      </w:tr>
      <w:tr w:rsidR="00586415" w:rsidRPr="009461CC" w14:paraId="075E02B3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02A71D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Csomagolás</w:t>
            </w:r>
          </w:p>
        </w:tc>
      </w:tr>
      <w:tr w:rsidR="00586415" w:rsidRPr="009461CC" w14:paraId="0144C9E3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C5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11607-1:2020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F92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Végsterilizált orvostechnikai eszközök csomagolása. 1. rész: Az anyagok, a sterilgát-rendszerek és a csomagolórendszerek követelményei. </w:t>
            </w:r>
          </w:p>
        </w:tc>
      </w:tr>
      <w:tr w:rsidR="00586415" w:rsidRPr="009461CC" w14:paraId="32D78976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628" w14:textId="77777777" w:rsidR="00586415" w:rsidRPr="009461CC" w:rsidRDefault="00586415" w:rsidP="00586415">
            <w:pPr>
              <w:spacing w:after="16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11607-2:2020</w:t>
            </w:r>
          </w:p>
          <w:p w14:paraId="2A1BCB5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1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Végsterilizált orvostechnikai eszközök csomagolása. 2. rész: A formázási, lezárási és összeállítási folyamatok validálási követelményei </w:t>
            </w:r>
          </w:p>
        </w:tc>
      </w:tr>
      <w:tr w:rsidR="00586415" w:rsidRPr="009461CC" w14:paraId="1D891E6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A1D" w14:textId="77777777" w:rsidR="00586415" w:rsidRPr="009461CC" w:rsidRDefault="00586415" w:rsidP="00586415">
            <w:pPr>
              <w:spacing w:after="14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>EN ISO 2233:2001</w:t>
            </w:r>
          </w:p>
          <w:p w14:paraId="3F44F0A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63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Csomagolás -- Teljes, megtöltött szállítási csomagok és egységrakományok -- Vizsgálati előkészítés </w:t>
            </w:r>
          </w:p>
        </w:tc>
      </w:tr>
      <w:tr w:rsidR="00586415" w:rsidRPr="009461CC" w14:paraId="7DFBA78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0C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4">
              <w:r>
                <w:rPr>
                  <w:rFonts w:eastAsia="Arial" w:cs="Times New Roman"/>
                  <w:sz w:val="22"/>
                  <w:lang w:val="hu"/>
                </w:rPr>
                <w:t xml:space="preserve">ASTM D4169 </w:t>
              </w:r>
            </w:hyperlink>
            <w:r>
              <w:rPr>
                <w:rFonts w:eastAsia="Arial" w:cs="Times New Roman"/>
                <w:sz w:val="22"/>
                <w:lang w:val="hu"/>
              </w:rPr>
              <w:t>:2022</w:t>
            </w:r>
            <w:hyperlink r:id="rId15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60F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Szállítókonténerek és rendszerek teljesítményvizsgálatának szabványos gyakorlata - </w:t>
            </w:r>
          </w:p>
        </w:tc>
      </w:tr>
      <w:tr w:rsidR="00586415" w:rsidRPr="009461CC" w14:paraId="1A9015D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C0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6">
              <w:r>
                <w:rPr>
                  <w:rFonts w:eastAsia="Arial" w:cs="Times New Roman"/>
                  <w:sz w:val="22"/>
                  <w:lang w:val="hu"/>
                </w:rPr>
                <w:t xml:space="preserve">ASTM F2096 </w:t>
              </w:r>
            </w:hyperlink>
            <w:hyperlink r:id="rId17">
              <w:r>
                <w:rPr>
                  <w:rFonts w:eastAsia="Arial" w:cs="Times New Roman"/>
                  <w:sz w:val="22"/>
                  <w:lang w:val="hu"/>
                </w:rPr>
                <w:t xml:space="preserve">– </w:t>
              </w:r>
            </w:hyperlink>
            <w:r>
              <w:rPr>
                <w:rFonts w:eastAsia="Arial" w:cs="Times New Roman"/>
                <w:sz w:val="22"/>
                <w:lang w:val="hu"/>
              </w:rPr>
              <w:t>20</w:t>
            </w:r>
            <w:hyperlink r:id="rId18">
              <w:r>
                <w:rPr>
                  <w:rFonts w:eastAsia="Arial" w:cs="Times New Roman"/>
                  <w:sz w:val="22"/>
                  <w:lang w:val="hu"/>
                </w:rPr>
                <w:t xml:space="preserve">11 (R2019) </w:t>
              </w:r>
            </w:hyperlink>
            <w:hyperlink r:id="rId19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4E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Standard vizsgálati módszer a durva szivárgások kimutatására </w:t>
            </w:r>
          </w:p>
          <w:p w14:paraId="403EB0FF" w14:textId="77777777" w:rsidR="00586415" w:rsidRPr="009461CC" w:rsidRDefault="00586415" w:rsidP="00586415">
            <w:pPr>
              <w:spacing w:after="16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Orvosi csomagolás belső nyomással (buborékpróba) </w:t>
            </w:r>
          </w:p>
          <w:p w14:paraId="401902E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- ASTM F 2096-11 (2019) </w:t>
            </w:r>
          </w:p>
        </w:tc>
      </w:tr>
      <w:tr w:rsidR="00586415" w:rsidRPr="002305F3" w14:paraId="6A8F5AF4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3B2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0">
              <w:r>
                <w:rPr>
                  <w:rFonts w:eastAsia="Arial" w:cs="Times New Roman"/>
                  <w:sz w:val="22"/>
                  <w:lang w:val="hu"/>
                </w:rPr>
                <w:t xml:space="preserve">ASTM F1929 </w:t>
              </w:r>
            </w:hyperlink>
            <w:hyperlink r:id="rId21">
              <w:r>
                <w:rPr>
                  <w:rFonts w:eastAsia="Arial" w:cs="Times New Roman"/>
                  <w:sz w:val="22"/>
                  <w:lang w:val="hu"/>
                </w:rPr>
                <w:t xml:space="preserve">- </w:t>
              </w:r>
            </w:hyperlink>
            <w:hyperlink r:id="rId22">
              <w:r>
                <w:rPr>
                  <w:rFonts w:eastAsia="Arial" w:cs="Times New Roman"/>
                  <w:sz w:val="22"/>
                  <w:lang w:val="hu"/>
                </w:rPr>
                <w:t xml:space="preserve">15 </w:t>
              </w:r>
            </w:hyperlink>
            <w:hyperlink r:id="rId23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47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Standard vizsgálati módszer a tömítés szivárgásának kimutatására porózus anyagokban </w:t>
            </w:r>
          </w:p>
          <w:p w14:paraId="1449B41C" w14:textId="77777777" w:rsidR="00586415" w:rsidRPr="000D0499" w:rsidRDefault="00586415" w:rsidP="00586415">
            <w:pPr>
              <w:spacing w:after="0" w:afterAutospacing="0"/>
              <w:rPr>
                <w:rFonts w:cs="Times New Roman"/>
                <w:sz w:val="22"/>
                <w:lang w:val="pt-BR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Orvosi csomagolás festékpenetrációval - ASTM F 1929 </w:t>
            </w:r>
          </w:p>
        </w:tc>
      </w:tr>
      <w:tr w:rsidR="00586415" w:rsidRPr="009461CC" w14:paraId="5231BAAE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9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4">
              <w:r>
                <w:rPr>
                  <w:rFonts w:eastAsia="Arial" w:cs="Times New Roman"/>
                  <w:sz w:val="22"/>
                  <w:lang w:val="hu"/>
                </w:rPr>
                <w:t xml:space="preserve">ASTM F88 / F88M </w:t>
              </w:r>
            </w:hyperlink>
            <w:hyperlink r:id="rId25">
              <w:r>
                <w:rPr>
                  <w:rFonts w:eastAsia="Arial" w:cs="Times New Roman"/>
                  <w:sz w:val="22"/>
                  <w:lang w:val="hu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hu"/>
              </w:rPr>
              <w:t>2021</w:t>
            </w:r>
            <w:hyperlink r:id="rId26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AF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Szabványos vizsgálati módszer rugalmas záróanyagok tömítési szilárdságára - ASTM F88 </w:t>
            </w:r>
          </w:p>
        </w:tc>
      </w:tr>
      <w:tr w:rsidR="00586415" w:rsidRPr="009461CC" w14:paraId="08E5E70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F8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7">
              <w:r>
                <w:rPr>
                  <w:rFonts w:eastAsia="Arial" w:cs="Times New Roman"/>
                  <w:sz w:val="22"/>
                  <w:lang w:val="hu"/>
                </w:rPr>
                <w:t xml:space="preserve">ASTM F1980 </w:t>
              </w:r>
            </w:hyperlink>
            <w:hyperlink r:id="rId28">
              <w:r>
                <w:rPr>
                  <w:rFonts w:eastAsia="Arial" w:cs="Times New Roman"/>
                  <w:sz w:val="22"/>
                  <w:lang w:val="hu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hu"/>
              </w:rPr>
              <w:t>2021</w:t>
            </w:r>
            <w:hyperlink r:id="rId29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  <w:hyperlink r:id="rId30">
              <w:r>
                <w:rPr>
                  <w:rFonts w:eastAsia="Arial" w:cs="Times New Roman"/>
                  <w:sz w:val="22"/>
                  <w:lang w:val="hu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4AF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hu"/>
              </w:rPr>
              <w:t xml:space="preserve">Standard útmutató orvostechnikai eszközök steril zárórendszereinek gyorsított öregítéséhez - ASTM F1980 </w:t>
            </w:r>
          </w:p>
        </w:tc>
      </w:tr>
      <w:tr w:rsidR="00586415" w:rsidRPr="009461CC" w14:paraId="0F76587E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6DCCB7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Forgalomba hozatalt követő klinikai nyomon követés</w:t>
            </w:r>
          </w:p>
        </w:tc>
      </w:tr>
      <w:tr w:rsidR="00586415" w:rsidRPr="009461CC" w14:paraId="72BDA171" w14:textId="77777777" w:rsidTr="00293453">
        <w:tc>
          <w:tcPr>
            <w:tcW w:w="1129" w:type="pct"/>
          </w:tcPr>
          <w:p w14:paraId="4A2D9F8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MEDDEV 2.12/2 Rev2</w:t>
            </w:r>
          </w:p>
        </w:tc>
        <w:tc>
          <w:tcPr>
            <w:tcW w:w="3871" w:type="pct"/>
          </w:tcPr>
          <w:p w14:paraId="534E025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Forgalomba hozatalt követő klinikai nyomon követési vizsgálatok</w:t>
            </w:r>
          </w:p>
        </w:tc>
      </w:tr>
      <w:tr w:rsidR="00586415" w:rsidRPr="009461CC" w14:paraId="1CA6A5F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FE76F53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Vigilancia</w:t>
            </w:r>
          </w:p>
        </w:tc>
      </w:tr>
      <w:tr w:rsidR="00586415" w:rsidRPr="009461CC" w14:paraId="577ABEC8" w14:textId="77777777" w:rsidTr="00293453">
        <w:tc>
          <w:tcPr>
            <w:tcW w:w="1129" w:type="pct"/>
          </w:tcPr>
          <w:p w14:paraId="403A7E8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MEDDEV 2.12/1 Rev8</w:t>
            </w:r>
          </w:p>
        </w:tc>
        <w:tc>
          <w:tcPr>
            <w:tcW w:w="3871" w:type="pct"/>
          </w:tcPr>
          <w:p w14:paraId="1F13D90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Az orvostechnikai eszközök vigilancia-rendszerére vonatkozó irányelvek</w:t>
            </w:r>
          </w:p>
        </w:tc>
      </w:tr>
    </w:tbl>
    <w:p w14:paraId="6F757B16" w14:textId="77777777" w:rsidR="00601F87" w:rsidRPr="009461CC" w:rsidRDefault="00601F87" w:rsidP="000A23CB">
      <w:pPr>
        <w:spacing w:after="0" w:afterAutospacing="0" w:line="240" w:lineRule="auto"/>
        <w:rPr>
          <w:rFonts w:cs="Times New Roman"/>
        </w:rPr>
      </w:pPr>
    </w:p>
    <w:p w14:paraId="438059D7" w14:textId="77777777" w:rsidR="00601F87" w:rsidRPr="009461CC" w:rsidRDefault="00601F87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80" w:name="_Toc181362715"/>
      <w:bookmarkStart w:id="81" w:name="_Toc222741483"/>
      <w:r>
        <w:rPr>
          <w:rFonts w:cs="Times New Roman"/>
          <w:bCs/>
          <w:lang w:val="hu"/>
        </w:rPr>
        <w:t>Korábbi felülvizsgálatok</w:t>
      </w:r>
      <w:bookmarkEnd w:id="80"/>
      <w:bookmarkEnd w:id="8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3"/>
        <w:gridCol w:w="1402"/>
        <w:gridCol w:w="4011"/>
        <w:gridCol w:w="3504"/>
      </w:tblGrid>
      <w:tr w:rsidR="00601F87" w:rsidRPr="002305F3" w14:paraId="5B6BFC55" w14:textId="77777777" w:rsidTr="001047FB">
        <w:tc>
          <w:tcPr>
            <w:tcW w:w="725" w:type="pct"/>
          </w:tcPr>
          <w:p w14:paraId="2E035377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Felülvizsgálat</w:t>
            </w:r>
          </w:p>
        </w:tc>
        <w:tc>
          <w:tcPr>
            <w:tcW w:w="672" w:type="pct"/>
          </w:tcPr>
          <w:p w14:paraId="50A5C536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Kelt</w:t>
            </w:r>
          </w:p>
        </w:tc>
        <w:tc>
          <w:tcPr>
            <w:tcW w:w="1923" w:type="pct"/>
          </w:tcPr>
          <w:p w14:paraId="028B7F5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A változtatás leírása</w:t>
            </w:r>
          </w:p>
        </w:tc>
        <w:tc>
          <w:tcPr>
            <w:tcW w:w="1680" w:type="pct"/>
          </w:tcPr>
          <w:p w14:paraId="3C9FD99C" w14:textId="77777777" w:rsidR="00601F87" w:rsidRPr="000D0499" w:rsidRDefault="00601F87" w:rsidP="00293453">
            <w:pPr>
              <w:spacing w:after="0" w:afterAutospacing="0"/>
              <w:rPr>
                <w:rFonts w:cs="Times New Roman"/>
                <w:b/>
                <w:sz w:val="22"/>
                <w:lang w:val="pt-BR"/>
              </w:rPr>
            </w:pPr>
            <w:r>
              <w:rPr>
                <w:rFonts w:cs="Times New Roman"/>
                <w:b/>
                <w:bCs/>
                <w:sz w:val="22"/>
                <w:lang w:val="hu"/>
              </w:rPr>
              <w:t>A bejelentett szervezet validálta a felülvizsgálatot?</w:t>
            </w:r>
          </w:p>
        </w:tc>
      </w:tr>
      <w:tr w:rsidR="00601F87" w:rsidRPr="009461CC" w14:paraId="16EC10C7" w14:textId="77777777" w:rsidTr="001047FB">
        <w:tc>
          <w:tcPr>
            <w:tcW w:w="725" w:type="pct"/>
          </w:tcPr>
          <w:p w14:paraId="58BC1E5F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A</w:t>
            </w:r>
          </w:p>
        </w:tc>
        <w:tc>
          <w:tcPr>
            <w:tcW w:w="672" w:type="pct"/>
          </w:tcPr>
          <w:p w14:paraId="6A81A9AF" w14:textId="71A1E241" w:rsidR="00601F87" w:rsidRPr="009461CC" w:rsidRDefault="002069F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2022. május 22.</w:t>
            </w:r>
          </w:p>
        </w:tc>
        <w:tc>
          <w:tcPr>
            <w:tcW w:w="1923" w:type="pct"/>
          </w:tcPr>
          <w:p w14:paraId="0B577D70" w14:textId="77777777" w:rsidR="00601F87" w:rsidRPr="000D0499" w:rsidRDefault="00601F87" w:rsidP="00293453">
            <w:pPr>
              <w:spacing w:after="0" w:afterAutospacing="0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hu"/>
              </w:rPr>
              <w:t>Első belső kiadás – A BSI nem validálta</w:t>
            </w:r>
          </w:p>
        </w:tc>
        <w:tc>
          <w:tcPr>
            <w:tcW w:w="1680" w:type="pct"/>
          </w:tcPr>
          <w:p w14:paraId="3673E384" w14:textId="77777777" w:rsidR="00601F87" w:rsidRPr="009461CC" w:rsidRDefault="00000000" w:rsidP="0029345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-216212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6EE6">
                  <w:rPr>
                    <w:rFonts w:ascii="Segoe UI Symbol" w:eastAsia="MS Gothic" w:hAnsi="Segoe UI Symbol" w:cs="Segoe UI Symbol"/>
                    <w:sz w:val="22"/>
                    <w:lang w:val="hu"/>
                  </w:rPr>
                  <w:t>☒</w:t>
                </w:r>
              </w:sdtContent>
            </w:sdt>
            <w:r w:rsidR="00596EE6">
              <w:rPr>
                <w:rFonts w:eastAsia="MS Gothic"/>
                <w:sz w:val="22"/>
                <w:lang w:val="hu"/>
              </w:rPr>
              <w:t xml:space="preserve"> Csak belső használatra</w:t>
            </w:r>
          </w:p>
        </w:tc>
      </w:tr>
      <w:tr w:rsidR="00601F87" w:rsidRPr="009461CC" w14:paraId="253ED939" w14:textId="77777777" w:rsidTr="001047FB">
        <w:tc>
          <w:tcPr>
            <w:tcW w:w="725" w:type="pct"/>
          </w:tcPr>
          <w:p w14:paraId="794C6341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B </w:t>
            </w:r>
          </w:p>
        </w:tc>
        <w:tc>
          <w:tcPr>
            <w:tcW w:w="672" w:type="pct"/>
          </w:tcPr>
          <w:p w14:paraId="4E93CA05" w14:textId="47A5412E" w:rsidR="00601F87" w:rsidRPr="009461CC" w:rsidRDefault="0062476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2025. december 15. </w:t>
            </w:r>
          </w:p>
          <w:p w14:paraId="76ECF0BB" w14:textId="21F4F941" w:rsidR="00601F87" w:rsidRPr="009461CC" w:rsidRDefault="00601F87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</w:p>
        </w:tc>
        <w:tc>
          <w:tcPr>
            <w:tcW w:w="1923" w:type="pct"/>
          </w:tcPr>
          <w:p w14:paraId="7ADC2C3E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Első benyújtás a BSI-nek felülvizsgálatra</w:t>
            </w:r>
          </w:p>
          <w:p w14:paraId="17842BBC" w14:textId="53FA9776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 </w:t>
            </w:r>
          </w:p>
        </w:tc>
        <w:tc>
          <w:tcPr>
            <w:tcW w:w="1680" w:type="pct"/>
          </w:tcPr>
          <w:p w14:paraId="0FC9FC92" w14:textId="465431A0" w:rsidR="006D6EA3" w:rsidRPr="009461CC" w:rsidRDefault="00000000" w:rsidP="006D6EA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12503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6EE6">
                  <w:rPr>
                    <w:rFonts w:ascii="Segoe UI Symbol" w:eastAsia="MS Gothic" w:hAnsi="Segoe UI Symbol" w:cs="Segoe UI Symbol"/>
                    <w:sz w:val="22"/>
                    <w:lang w:val="hu"/>
                  </w:rPr>
                  <w:t>☒</w:t>
                </w:r>
              </w:sdtContent>
            </w:sdt>
            <w:r w:rsidR="00596EE6">
              <w:rPr>
                <w:rFonts w:eastAsia="MS Gothic"/>
                <w:sz w:val="22"/>
                <w:lang w:val="hu"/>
              </w:rPr>
              <w:t xml:space="preserve"> Igen </w:t>
            </w:r>
          </w:p>
          <w:p w14:paraId="52EB2E13" w14:textId="77777777" w:rsidR="006D6EA3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 xml:space="preserve">Érvényesítés nyelve: </w:t>
            </w:r>
          </w:p>
          <w:p w14:paraId="293F45BE" w14:textId="789551FE" w:rsidR="00CA46B0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hu"/>
              </w:rPr>
              <w:t>Angol</w:t>
            </w:r>
          </w:p>
          <w:p w14:paraId="2C6B2388" w14:textId="37AD15FE" w:rsidR="00601F87" w:rsidRPr="009461CC" w:rsidRDefault="006D6EA3" w:rsidP="006D6EA3">
            <w:pPr>
              <w:spacing w:after="0" w:afterAutospacing="0"/>
              <w:rPr>
                <w:rFonts w:cs="Times New Roman"/>
                <w:sz w:val="22"/>
                <w:highlight w:val="yellow"/>
              </w:rPr>
            </w:pPr>
            <w:r>
              <w:rPr>
                <w:rFonts w:ascii="Segoe UI Symbol" w:hAnsi="Segoe UI Symbol"/>
                <w:sz w:val="22"/>
                <w:lang w:val="hu"/>
              </w:rPr>
              <w:t>☐</w:t>
            </w:r>
            <w:r>
              <w:rPr>
                <w:sz w:val="22"/>
                <w:lang w:val="hu"/>
              </w:rPr>
              <w:t xml:space="preserve"> Nem (csak IIa osztályú vagy egyes IIb osztályú eszközökre vonatkozik, amelyek esetében az SSCP-t a bejelentett szervezet </w:t>
            </w:r>
            <w:r w:rsidR="008263A3">
              <w:rPr>
                <w:sz w:val="22"/>
                <w:lang w:val="hu"/>
              </w:rPr>
              <w:t xml:space="preserve">(NB) </w:t>
            </w:r>
            <w:r>
              <w:rPr>
                <w:sz w:val="22"/>
                <w:lang w:val="hu"/>
              </w:rPr>
              <w:t>még nem validálta)</w:t>
            </w:r>
          </w:p>
        </w:tc>
      </w:tr>
    </w:tbl>
    <w:p w14:paraId="05B94FC3" w14:textId="73ABFCCD" w:rsidR="00601F87" w:rsidRPr="009461CC" w:rsidRDefault="00601F87" w:rsidP="00601F87">
      <w:pPr>
        <w:tabs>
          <w:tab w:val="left" w:pos="3633"/>
        </w:tabs>
        <w:rPr>
          <w:rFonts w:cs="Times New Roman"/>
        </w:rPr>
      </w:pPr>
    </w:p>
    <w:sectPr w:rsidR="00601F87" w:rsidRPr="009461CC" w:rsidSect="008018FA">
      <w:headerReference w:type="default" r:id="rId31"/>
      <w:footerReference w:type="default" r:id="rId32"/>
      <w:pgSz w:w="12240" w:h="15840"/>
      <w:pgMar w:top="1800" w:right="72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2228" w14:textId="77777777" w:rsidR="00C97F79" w:rsidRDefault="00C97F79" w:rsidP="009855C3">
      <w:r>
        <w:separator/>
      </w:r>
    </w:p>
  </w:endnote>
  <w:endnote w:type="continuationSeparator" w:id="0">
    <w:p w14:paraId="7F29A605" w14:textId="77777777" w:rsidR="00C97F79" w:rsidRDefault="00C97F79" w:rsidP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G Times 12p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D42" w14:textId="6BB303DF" w:rsidR="00BE3D15" w:rsidRPr="00F44E82" w:rsidRDefault="003036AD" w:rsidP="009855C3">
    <w:pPr>
      <w:pStyle w:val="Footer"/>
      <w:rPr>
        <w:szCs w:val="24"/>
      </w:rPr>
    </w:pPr>
    <w:r>
      <w:rPr>
        <w:b/>
        <w:bCs/>
        <w:sz w:val="18"/>
        <w:szCs w:val="18"/>
        <w:lang w:val="hu"/>
      </w:rPr>
      <w:t xml:space="preserve">CAQ-QA-025-F1 </w:t>
    </w:r>
    <w:r>
      <w:rPr>
        <w:b/>
        <w:bCs/>
        <w:sz w:val="18"/>
        <w:szCs w:val="18"/>
        <w:lang w:val="hu"/>
      </w:rPr>
      <w:t>Rev G: Biztonságossági és klinikai teljesítmény összefoglalása (SSCP)</w:t>
    </w:r>
    <w:r>
      <w:rPr>
        <w:lang w:val="hu"/>
      </w:rPr>
      <w:t xml:space="preserve"> </w:t>
    </w:r>
    <w:r>
      <w:rPr>
        <w:lang w:val="hu"/>
      </w:rPr>
      <w:tab/>
      <w:t xml:space="preserve">Oldal </w:t>
    </w:r>
    <w:r>
      <w:rPr>
        <w:lang w:val="hu"/>
      </w:rPr>
      <w:fldChar w:fldCharType="begin"/>
    </w:r>
    <w:r>
      <w:rPr>
        <w:lang w:val="hu"/>
      </w:rPr>
      <w:instrText xml:space="preserve"> PAGE  \* Arabic </w:instrText>
    </w:r>
    <w:r>
      <w:rPr>
        <w:lang w:val="hu"/>
      </w:rPr>
      <w:fldChar w:fldCharType="separate"/>
    </w:r>
    <w:r>
      <w:rPr>
        <w:lang w:val="hu"/>
      </w:rPr>
      <w:t>0</w:t>
    </w:r>
    <w:r>
      <w:rPr>
        <w:lang w:val="hu"/>
      </w:rPr>
      <w:fldChar w:fldCharType="end"/>
    </w:r>
    <w:r>
      <w:rPr>
        <w:lang w:val="hu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rPr>
        <w:lang w:val="hu"/>
      </w:rPr>
      <w:t>12</w:t>
    </w:r>
    <w:r>
      <w:rPr>
        <w:lang w:val="hu"/>
      </w:rPr>
      <w:fldChar w:fldCharType="end"/>
    </w:r>
    <w:r>
      <w:rPr>
        <w:lang w:val="hu"/>
      </w:rPr>
      <w:t xml:space="preserve"> </w:t>
    </w:r>
    <w:r>
      <w:rPr>
        <w:lang w:val="hu"/>
      </w:rPr>
      <w:tab/>
    </w:r>
    <w:r>
      <w:rPr>
        <w:lang w:val="h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DEE1" w14:textId="77777777" w:rsidR="00C97F79" w:rsidRDefault="00C97F79" w:rsidP="009855C3">
      <w:r>
        <w:separator/>
      </w:r>
    </w:p>
  </w:footnote>
  <w:footnote w:type="continuationSeparator" w:id="0">
    <w:p w14:paraId="751D8443" w14:textId="77777777" w:rsidR="00C97F79" w:rsidRDefault="00C97F79" w:rsidP="0098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7350"/>
    </w:tblGrid>
    <w:tr w:rsidR="00B62140" w14:paraId="7E46E4C7" w14:textId="77777777" w:rsidTr="00B62140">
      <w:tc>
        <w:tcPr>
          <w:tcW w:w="3080" w:type="dxa"/>
        </w:tcPr>
        <w:p w14:paraId="184F2588" w14:textId="6EABB2E0" w:rsidR="00B62140" w:rsidRDefault="00B62140" w:rsidP="00B62140">
          <w:pPr>
            <w:pStyle w:val="Header"/>
            <w:jc w:val="left"/>
          </w:pPr>
          <w:r>
            <w:rPr>
              <w:noProof/>
              <w:lang w:val="hu"/>
            </w:rPr>
            <w:drawing>
              <wp:inline distT="0" distB="0" distL="0" distR="0" wp14:anchorId="4BFA3582" wp14:editId="165F9D90">
                <wp:extent cx="1016000" cy="63500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14:paraId="6E8300D8" w14:textId="7A70FCBF" w:rsidR="005450DC" w:rsidRPr="005450DC" w:rsidRDefault="005450DC" w:rsidP="005450DC">
          <w:pPr>
            <w:spacing w:after="0" w:afterAutospacing="0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hu"/>
            </w:rPr>
            <w:t>A biztonságosságról és a klinikai teljesítőképességről szóló összefoglaló (SSCP)</w:t>
          </w:r>
        </w:p>
        <w:p w14:paraId="3BB3B2B1" w14:textId="0B2068B6" w:rsidR="009F5769" w:rsidRPr="005450DC" w:rsidRDefault="009F5769" w:rsidP="009F5769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hu"/>
            </w:rPr>
            <w:t xml:space="preserve">SSCP-0006: </w:t>
          </w:r>
          <w:bookmarkStart w:id="82" w:name="_Hlk196721157"/>
          <w:r>
            <w:rPr>
              <w:rFonts w:ascii="Arial" w:hAnsi="Arial" w:cs="Arial"/>
              <w:sz w:val="18"/>
              <w:szCs w:val="18"/>
              <w:lang w:val="hu"/>
            </w:rPr>
            <w:t xml:space="preserve">Atrieve vaszkuláris </w:t>
          </w:r>
          <w:r w:rsidR="002A7624" w:rsidRPr="006D41ED">
            <w:rPr>
              <w:rFonts w:asciiTheme="minorBidi" w:hAnsiTheme="minorBidi"/>
              <w:sz w:val="18"/>
              <w:szCs w:val="16"/>
              <w:lang w:val="hu"/>
            </w:rPr>
            <w:t>Snare</w:t>
          </w:r>
          <w:r>
            <w:rPr>
              <w:rFonts w:ascii="Arial" w:hAnsi="Arial" w:cs="Arial"/>
              <w:sz w:val="18"/>
              <w:szCs w:val="18"/>
              <w:lang w:val="hu"/>
            </w:rPr>
            <w:t xml:space="preserve"> készlet</w:t>
          </w:r>
          <w:bookmarkEnd w:id="82"/>
        </w:p>
        <w:p w14:paraId="32066318" w14:textId="5996CDC6" w:rsidR="005450DC" w:rsidRPr="005450DC" w:rsidRDefault="005450DC" w:rsidP="005450DC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"/>
            </w:rPr>
            <w:t>Verzió: B</w:t>
          </w:r>
        </w:p>
        <w:p w14:paraId="2F5F8390" w14:textId="0ABFBBD1" w:rsidR="005450DC" w:rsidRPr="00B62140" w:rsidRDefault="005450DC" w:rsidP="005450DC">
          <w:pPr>
            <w:pStyle w:val="Header"/>
            <w:jc w:val="left"/>
            <w:rPr>
              <w:rFonts w:ascii="Arial" w:hAnsi="Arial" w:cs="Arial"/>
              <w:sz w:val="18"/>
            </w:rPr>
          </w:pPr>
          <w:r>
            <w:rPr>
              <w:rFonts w:ascii="Calibri" w:eastAsiaTheme="minorHAnsi" w:hAnsi="Calibri" w:cs="Calibri"/>
              <w:sz w:val="18"/>
              <w:szCs w:val="18"/>
              <w:lang w:val="hu"/>
            </w:rPr>
            <w:t>Argon helyszín: minden telephely</w:t>
          </w:r>
        </w:p>
      </w:tc>
    </w:tr>
  </w:tbl>
  <w:p w14:paraId="0BD58B4F" w14:textId="7DA38D57" w:rsidR="00B62140" w:rsidRDefault="00B62140" w:rsidP="00B6214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6"/>
    <w:multiLevelType w:val="hybridMultilevel"/>
    <w:tmpl w:val="DA0C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77569"/>
    <w:multiLevelType w:val="hybridMultilevel"/>
    <w:tmpl w:val="15B4E1B2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42F"/>
    <w:multiLevelType w:val="multilevel"/>
    <w:tmpl w:val="47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021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37B14"/>
    <w:multiLevelType w:val="hybridMultilevel"/>
    <w:tmpl w:val="DD1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A27"/>
    <w:multiLevelType w:val="hybridMultilevel"/>
    <w:tmpl w:val="CA6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A05"/>
    <w:multiLevelType w:val="hybridMultilevel"/>
    <w:tmpl w:val="FEA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6D5"/>
    <w:multiLevelType w:val="multilevel"/>
    <w:tmpl w:val="3D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4DA"/>
    <w:multiLevelType w:val="hybridMultilevel"/>
    <w:tmpl w:val="412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29F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574"/>
    <w:multiLevelType w:val="hybridMultilevel"/>
    <w:tmpl w:val="1DF48DB6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951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2A0"/>
    <w:multiLevelType w:val="hybridMultilevel"/>
    <w:tmpl w:val="DD72E76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DC3F5B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C1CC7"/>
    <w:multiLevelType w:val="multilevel"/>
    <w:tmpl w:val="19D2CB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Heading1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F33BF6"/>
    <w:multiLevelType w:val="hybridMultilevel"/>
    <w:tmpl w:val="5A40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B7D64"/>
    <w:multiLevelType w:val="multilevel"/>
    <w:tmpl w:val="7B2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A37D2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F27DD"/>
    <w:multiLevelType w:val="multilevel"/>
    <w:tmpl w:val="1CA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615"/>
    <w:multiLevelType w:val="hybridMultilevel"/>
    <w:tmpl w:val="39B8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8342CC"/>
    <w:multiLevelType w:val="hybridMultilevel"/>
    <w:tmpl w:val="D3948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B39D6"/>
    <w:multiLevelType w:val="hybridMultilevel"/>
    <w:tmpl w:val="726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3C02"/>
    <w:multiLevelType w:val="multilevel"/>
    <w:tmpl w:val="75F0F646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2866B7F"/>
    <w:multiLevelType w:val="hybridMultilevel"/>
    <w:tmpl w:val="0D6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CD0"/>
    <w:multiLevelType w:val="hybridMultilevel"/>
    <w:tmpl w:val="57DCF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8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224B"/>
    <w:multiLevelType w:val="multilevel"/>
    <w:tmpl w:val="8E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C4F74"/>
    <w:multiLevelType w:val="hybridMultilevel"/>
    <w:tmpl w:val="C85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6B5D"/>
    <w:multiLevelType w:val="multilevel"/>
    <w:tmpl w:val="1C2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14B8E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0477"/>
    <w:multiLevelType w:val="hybridMultilevel"/>
    <w:tmpl w:val="E6F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7167"/>
    <w:multiLevelType w:val="hybridMultilevel"/>
    <w:tmpl w:val="980EE75C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F75"/>
    <w:multiLevelType w:val="multilevel"/>
    <w:tmpl w:val="30B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404917">
    <w:abstractNumId w:val="22"/>
  </w:num>
  <w:num w:numId="2" w16cid:durableId="3945040">
    <w:abstractNumId w:val="14"/>
  </w:num>
  <w:num w:numId="3" w16cid:durableId="447236227">
    <w:abstractNumId w:val="19"/>
  </w:num>
  <w:num w:numId="4" w16cid:durableId="885216542">
    <w:abstractNumId w:val="6"/>
  </w:num>
  <w:num w:numId="5" w16cid:durableId="1444111200">
    <w:abstractNumId w:val="12"/>
  </w:num>
  <w:num w:numId="6" w16cid:durableId="1748652485">
    <w:abstractNumId w:val="21"/>
  </w:num>
  <w:num w:numId="7" w16cid:durableId="1570649289">
    <w:abstractNumId w:val="23"/>
  </w:num>
  <w:num w:numId="8" w16cid:durableId="132335205">
    <w:abstractNumId w:val="0"/>
  </w:num>
  <w:num w:numId="9" w16cid:durableId="1910653763">
    <w:abstractNumId w:val="15"/>
  </w:num>
  <w:num w:numId="10" w16cid:durableId="778254870">
    <w:abstractNumId w:val="24"/>
  </w:num>
  <w:num w:numId="11" w16cid:durableId="139006189">
    <w:abstractNumId w:val="25"/>
  </w:num>
  <w:num w:numId="12" w16cid:durableId="1480423389">
    <w:abstractNumId w:val="16"/>
  </w:num>
  <w:num w:numId="13" w16cid:durableId="217205692">
    <w:abstractNumId w:val="3"/>
  </w:num>
  <w:num w:numId="14" w16cid:durableId="1721200157">
    <w:abstractNumId w:val="9"/>
  </w:num>
  <w:num w:numId="15" w16cid:durableId="1291857849">
    <w:abstractNumId w:val="17"/>
  </w:num>
  <w:num w:numId="16" w16cid:durableId="609240581">
    <w:abstractNumId w:val="28"/>
  </w:num>
  <w:num w:numId="17" w16cid:durableId="139421943">
    <w:abstractNumId w:val="13"/>
  </w:num>
  <w:num w:numId="18" w16cid:durableId="1940680697">
    <w:abstractNumId w:val="11"/>
  </w:num>
  <w:num w:numId="19" w16cid:durableId="621234540">
    <w:abstractNumId w:val="31"/>
  </w:num>
  <w:num w:numId="20" w16cid:durableId="1083137420">
    <w:abstractNumId w:val="27"/>
  </w:num>
  <w:num w:numId="21" w16cid:durableId="1724794389">
    <w:abstractNumId w:val="4"/>
  </w:num>
  <w:num w:numId="22" w16cid:durableId="2105223425">
    <w:abstractNumId w:val="8"/>
  </w:num>
  <w:num w:numId="23" w16cid:durableId="647437261">
    <w:abstractNumId w:val="20"/>
  </w:num>
  <w:num w:numId="24" w16cid:durableId="1169446226">
    <w:abstractNumId w:val="26"/>
  </w:num>
  <w:num w:numId="25" w16cid:durableId="1695426206">
    <w:abstractNumId w:val="5"/>
  </w:num>
  <w:num w:numId="26" w16cid:durableId="1055741339">
    <w:abstractNumId w:val="10"/>
  </w:num>
  <w:num w:numId="27" w16cid:durableId="164251041">
    <w:abstractNumId w:val="30"/>
  </w:num>
  <w:num w:numId="28" w16cid:durableId="415513047">
    <w:abstractNumId w:val="1"/>
  </w:num>
  <w:num w:numId="29" w16cid:durableId="650789743">
    <w:abstractNumId w:val="7"/>
  </w:num>
  <w:num w:numId="30" w16cid:durableId="1236668946">
    <w:abstractNumId w:val="18"/>
  </w:num>
  <w:num w:numId="31" w16cid:durableId="663093709">
    <w:abstractNumId w:val="29"/>
  </w:num>
  <w:num w:numId="32" w16cid:durableId="127732595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AA"/>
    <w:rsid w:val="00006459"/>
    <w:rsid w:val="00011045"/>
    <w:rsid w:val="00012E12"/>
    <w:rsid w:val="000167B6"/>
    <w:rsid w:val="00017BF4"/>
    <w:rsid w:val="00021D6F"/>
    <w:rsid w:val="00021E83"/>
    <w:rsid w:val="0002755B"/>
    <w:rsid w:val="00034879"/>
    <w:rsid w:val="000379B4"/>
    <w:rsid w:val="00042B91"/>
    <w:rsid w:val="00047250"/>
    <w:rsid w:val="00050F24"/>
    <w:rsid w:val="0005411A"/>
    <w:rsid w:val="00057D5B"/>
    <w:rsid w:val="000628F7"/>
    <w:rsid w:val="00063367"/>
    <w:rsid w:val="00076AE4"/>
    <w:rsid w:val="00076F70"/>
    <w:rsid w:val="000774DD"/>
    <w:rsid w:val="000857E5"/>
    <w:rsid w:val="000920E7"/>
    <w:rsid w:val="000975C6"/>
    <w:rsid w:val="000A1236"/>
    <w:rsid w:val="000A23CB"/>
    <w:rsid w:val="000A25FA"/>
    <w:rsid w:val="000A5EBD"/>
    <w:rsid w:val="000A6E93"/>
    <w:rsid w:val="000B3E80"/>
    <w:rsid w:val="000B6CF0"/>
    <w:rsid w:val="000C41AC"/>
    <w:rsid w:val="000C5F93"/>
    <w:rsid w:val="000C633A"/>
    <w:rsid w:val="000C7AF6"/>
    <w:rsid w:val="000D0499"/>
    <w:rsid w:val="000D2F57"/>
    <w:rsid w:val="000D5406"/>
    <w:rsid w:val="000D7B59"/>
    <w:rsid w:val="000E39A6"/>
    <w:rsid w:val="000F0AC2"/>
    <w:rsid w:val="000F0DCC"/>
    <w:rsid w:val="000F4DF1"/>
    <w:rsid w:val="001035F0"/>
    <w:rsid w:val="00103AF7"/>
    <w:rsid w:val="001047FB"/>
    <w:rsid w:val="00113A33"/>
    <w:rsid w:val="001209D7"/>
    <w:rsid w:val="00120DD8"/>
    <w:rsid w:val="00122999"/>
    <w:rsid w:val="00125511"/>
    <w:rsid w:val="00125D9F"/>
    <w:rsid w:val="00142B70"/>
    <w:rsid w:val="00142D15"/>
    <w:rsid w:val="001440E1"/>
    <w:rsid w:val="001475A8"/>
    <w:rsid w:val="00151F01"/>
    <w:rsid w:val="001533A4"/>
    <w:rsid w:val="00154AAA"/>
    <w:rsid w:val="00155220"/>
    <w:rsid w:val="0015690A"/>
    <w:rsid w:val="00156CF3"/>
    <w:rsid w:val="00162917"/>
    <w:rsid w:val="00162923"/>
    <w:rsid w:val="00165A00"/>
    <w:rsid w:val="001861C6"/>
    <w:rsid w:val="00187CF5"/>
    <w:rsid w:val="001919D6"/>
    <w:rsid w:val="00191ED2"/>
    <w:rsid w:val="001A3916"/>
    <w:rsid w:val="001A7EA5"/>
    <w:rsid w:val="001B4005"/>
    <w:rsid w:val="001B6D13"/>
    <w:rsid w:val="001C43C6"/>
    <w:rsid w:val="001D1887"/>
    <w:rsid w:val="001E5AFF"/>
    <w:rsid w:val="001E6921"/>
    <w:rsid w:val="001E7A0E"/>
    <w:rsid w:val="001F4798"/>
    <w:rsid w:val="001F48BA"/>
    <w:rsid w:val="001F5B3B"/>
    <w:rsid w:val="00201156"/>
    <w:rsid w:val="002069F1"/>
    <w:rsid w:val="00207A7C"/>
    <w:rsid w:val="00210ACA"/>
    <w:rsid w:val="00210E41"/>
    <w:rsid w:val="00214E2F"/>
    <w:rsid w:val="0021589A"/>
    <w:rsid w:val="0022033C"/>
    <w:rsid w:val="00221CEF"/>
    <w:rsid w:val="00226C45"/>
    <w:rsid w:val="002277B9"/>
    <w:rsid w:val="00230011"/>
    <w:rsid w:val="002305F3"/>
    <w:rsid w:val="002351E5"/>
    <w:rsid w:val="00235AAE"/>
    <w:rsid w:val="00236A30"/>
    <w:rsid w:val="00237870"/>
    <w:rsid w:val="00242075"/>
    <w:rsid w:val="00243417"/>
    <w:rsid w:val="002538C9"/>
    <w:rsid w:val="00257EE2"/>
    <w:rsid w:val="002669BD"/>
    <w:rsid w:val="00272B97"/>
    <w:rsid w:val="00272DEA"/>
    <w:rsid w:val="00273413"/>
    <w:rsid w:val="00275A67"/>
    <w:rsid w:val="00277426"/>
    <w:rsid w:val="00280A53"/>
    <w:rsid w:val="00285CF5"/>
    <w:rsid w:val="00290AFE"/>
    <w:rsid w:val="002914F4"/>
    <w:rsid w:val="00291A3E"/>
    <w:rsid w:val="00297A62"/>
    <w:rsid w:val="002A1AF1"/>
    <w:rsid w:val="002A24E8"/>
    <w:rsid w:val="002A75DC"/>
    <w:rsid w:val="002A7624"/>
    <w:rsid w:val="002B2F38"/>
    <w:rsid w:val="002C3D81"/>
    <w:rsid w:val="002C56AF"/>
    <w:rsid w:val="002D4833"/>
    <w:rsid w:val="002D4C43"/>
    <w:rsid w:val="002D6103"/>
    <w:rsid w:val="002D6725"/>
    <w:rsid w:val="002E59B4"/>
    <w:rsid w:val="002F199B"/>
    <w:rsid w:val="002F2571"/>
    <w:rsid w:val="002F344E"/>
    <w:rsid w:val="002F37BF"/>
    <w:rsid w:val="002F39DB"/>
    <w:rsid w:val="00300E25"/>
    <w:rsid w:val="00300FC0"/>
    <w:rsid w:val="003036AD"/>
    <w:rsid w:val="003074B3"/>
    <w:rsid w:val="00314ACD"/>
    <w:rsid w:val="0032368A"/>
    <w:rsid w:val="0032560E"/>
    <w:rsid w:val="003326A4"/>
    <w:rsid w:val="00335020"/>
    <w:rsid w:val="00335181"/>
    <w:rsid w:val="0033663C"/>
    <w:rsid w:val="0034308B"/>
    <w:rsid w:val="003513E0"/>
    <w:rsid w:val="00354365"/>
    <w:rsid w:val="003663A1"/>
    <w:rsid w:val="0037316E"/>
    <w:rsid w:val="00375370"/>
    <w:rsid w:val="0037599D"/>
    <w:rsid w:val="00375CFE"/>
    <w:rsid w:val="00376A92"/>
    <w:rsid w:val="00380316"/>
    <w:rsid w:val="00383678"/>
    <w:rsid w:val="00384B21"/>
    <w:rsid w:val="003859AF"/>
    <w:rsid w:val="003859DA"/>
    <w:rsid w:val="00386F47"/>
    <w:rsid w:val="003912E5"/>
    <w:rsid w:val="00394151"/>
    <w:rsid w:val="003951DC"/>
    <w:rsid w:val="00395788"/>
    <w:rsid w:val="00395FDB"/>
    <w:rsid w:val="003966BD"/>
    <w:rsid w:val="00397AE0"/>
    <w:rsid w:val="003A26B9"/>
    <w:rsid w:val="003A3A2E"/>
    <w:rsid w:val="003A3DB1"/>
    <w:rsid w:val="003B4C77"/>
    <w:rsid w:val="003B5B28"/>
    <w:rsid w:val="003B70D7"/>
    <w:rsid w:val="003D4104"/>
    <w:rsid w:val="003D63DA"/>
    <w:rsid w:val="003E2B64"/>
    <w:rsid w:val="003E5476"/>
    <w:rsid w:val="003F2EB4"/>
    <w:rsid w:val="003F3F3C"/>
    <w:rsid w:val="003F5F86"/>
    <w:rsid w:val="004065D7"/>
    <w:rsid w:val="004235A7"/>
    <w:rsid w:val="004263BF"/>
    <w:rsid w:val="004271F2"/>
    <w:rsid w:val="0043056A"/>
    <w:rsid w:val="004329F3"/>
    <w:rsid w:val="00433305"/>
    <w:rsid w:val="00441215"/>
    <w:rsid w:val="0044138A"/>
    <w:rsid w:val="00442087"/>
    <w:rsid w:val="004430BE"/>
    <w:rsid w:val="00446152"/>
    <w:rsid w:val="004466ED"/>
    <w:rsid w:val="00453251"/>
    <w:rsid w:val="00453B44"/>
    <w:rsid w:val="00454296"/>
    <w:rsid w:val="004553D9"/>
    <w:rsid w:val="00465F4B"/>
    <w:rsid w:val="00466071"/>
    <w:rsid w:val="00466981"/>
    <w:rsid w:val="004673EB"/>
    <w:rsid w:val="004714F7"/>
    <w:rsid w:val="00472F06"/>
    <w:rsid w:val="00474E2A"/>
    <w:rsid w:val="00475E00"/>
    <w:rsid w:val="0047648B"/>
    <w:rsid w:val="00476A48"/>
    <w:rsid w:val="00481A9E"/>
    <w:rsid w:val="0048338B"/>
    <w:rsid w:val="00483CA4"/>
    <w:rsid w:val="004846A6"/>
    <w:rsid w:val="00490703"/>
    <w:rsid w:val="0049079D"/>
    <w:rsid w:val="00490B97"/>
    <w:rsid w:val="0049275B"/>
    <w:rsid w:val="00493B5B"/>
    <w:rsid w:val="00495F6C"/>
    <w:rsid w:val="004A0035"/>
    <w:rsid w:val="004A2596"/>
    <w:rsid w:val="004A4063"/>
    <w:rsid w:val="004A4D87"/>
    <w:rsid w:val="004B30A3"/>
    <w:rsid w:val="004B4929"/>
    <w:rsid w:val="004C0D7F"/>
    <w:rsid w:val="004C12F0"/>
    <w:rsid w:val="004C73EF"/>
    <w:rsid w:val="004D77A4"/>
    <w:rsid w:val="004D7A94"/>
    <w:rsid w:val="004E24F8"/>
    <w:rsid w:val="004E28F8"/>
    <w:rsid w:val="004E397F"/>
    <w:rsid w:val="004E3C57"/>
    <w:rsid w:val="004E6C1C"/>
    <w:rsid w:val="004F01A5"/>
    <w:rsid w:val="004F26D9"/>
    <w:rsid w:val="004F2CB7"/>
    <w:rsid w:val="004F3CA9"/>
    <w:rsid w:val="004F5057"/>
    <w:rsid w:val="004F7F77"/>
    <w:rsid w:val="005010E4"/>
    <w:rsid w:val="005063EA"/>
    <w:rsid w:val="005072B8"/>
    <w:rsid w:val="005104CC"/>
    <w:rsid w:val="0051131D"/>
    <w:rsid w:val="00511B41"/>
    <w:rsid w:val="0051305A"/>
    <w:rsid w:val="00516D79"/>
    <w:rsid w:val="00522664"/>
    <w:rsid w:val="00524D41"/>
    <w:rsid w:val="00525377"/>
    <w:rsid w:val="005257E7"/>
    <w:rsid w:val="0052695A"/>
    <w:rsid w:val="00533C0A"/>
    <w:rsid w:val="00536EDE"/>
    <w:rsid w:val="00540616"/>
    <w:rsid w:val="005439FC"/>
    <w:rsid w:val="005450DC"/>
    <w:rsid w:val="00547018"/>
    <w:rsid w:val="00547353"/>
    <w:rsid w:val="00550F97"/>
    <w:rsid w:val="0055697A"/>
    <w:rsid w:val="00560A40"/>
    <w:rsid w:val="00563107"/>
    <w:rsid w:val="005647F4"/>
    <w:rsid w:val="00567FF4"/>
    <w:rsid w:val="00570454"/>
    <w:rsid w:val="00575EE3"/>
    <w:rsid w:val="00577A16"/>
    <w:rsid w:val="00580274"/>
    <w:rsid w:val="0058041F"/>
    <w:rsid w:val="005808F2"/>
    <w:rsid w:val="00582286"/>
    <w:rsid w:val="005842F3"/>
    <w:rsid w:val="00586415"/>
    <w:rsid w:val="00595963"/>
    <w:rsid w:val="00596EE6"/>
    <w:rsid w:val="005A1E4B"/>
    <w:rsid w:val="005A23F3"/>
    <w:rsid w:val="005A310B"/>
    <w:rsid w:val="005A3D4F"/>
    <w:rsid w:val="005A48D7"/>
    <w:rsid w:val="005A5584"/>
    <w:rsid w:val="005A6AE9"/>
    <w:rsid w:val="005B3E76"/>
    <w:rsid w:val="005B4422"/>
    <w:rsid w:val="005C642C"/>
    <w:rsid w:val="005C6A90"/>
    <w:rsid w:val="005D00E4"/>
    <w:rsid w:val="005D04DF"/>
    <w:rsid w:val="005D3210"/>
    <w:rsid w:val="005D41AF"/>
    <w:rsid w:val="005D424F"/>
    <w:rsid w:val="005D4A52"/>
    <w:rsid w:val="005D7627"/>
    <w:rsid w:val="005D7D43"/>
    <w:rsid w:val="005E76F6"/>
    <w:rsid w:val="005F1F10"/>
    <w:rsid w:val="005F2B16"/>
    <w:rsid w:val="00601F73"/>
    <w:rsid w:val="00601F87"/>
    <w:rsid w:val="00602115"/>
    <w:rsid w:val="006027B7"/>
    <w:rsid w:val="00607046"/>
    <w:rsid w:val="00612216"/>
    <w:rsid w:val="00612BE6"/>
    <w:rsid w:val="00614E9F"/>
    <w:rsid w:val="00616ADF"/>
    <w:rsid w:val="00620D8F"/>
    <w:rsid w:val="00622C5B"/>
    <w:rsid w:val="00623CC6"/>
    <w:rsid w:val="00624761"/>
    <w:rsid w:val="006266F5"/>
    <w:rsid w:val="00634E28"/>
    <w:rsid w:val="00647A09"/>
    <w:rsid w:val="0065086A"/>
    <w:rsid w:val="006517A0"/>
    <w:rsid w:val="006524A2"/>
    <w:rsid w:val="00674185"/>
    <w:rsid w:val="00683D4A"/>
    <w:rsid w:val="00686D39"/>
    <w:rsid w:val="00692CDD"/>
    <w:rsid w:val="0069398D"/>
    <w:rsid w:val="006962F2"/>
    <w:rsid w:val="00696541"/>
    <w:rsid w:val="006A4B34"/>
    <w:rsid w:val="006A5C21"/>
    <w:rsid w:val="006B14EA"/>
    <w:rsid w:val="006B2504"/>
    <w:rsid w:val="006B3C71"/>
    <w:rsid w:val="006C1385"/>
    <w:rsid w:val="006C2B68"/>
    <w:rsid w:val="006C66D0"/>
    <w:rsid w:val="006D00F2"/>
    <w:rsid w:val="006D0CBE"/>
    <w:rsid w:val="006D29A6"/>
    <w:rsid w:val="006D41ED"/>
    <w:rsid w:val="006D6EA3"/>
    <w:rsid w:val="006D7D1C"/>
    <w:rsid w:val="006E0847"/>
    <w:rsid w:val="006E4BCB"/>
    <w:rsid w:val="006E55CB"/>
    <w:rsid w:val="006F0810"/>
    <w:rsid w:val="006F0D7E"/>
    <w:rsid w:val="006F12B6"/>
    <w:rsid w:val="006F1D9B"/>
    <w:rsid w:val="006F2D64"/>
    <w:rsid w:val="006F76E2"/>
    <w:rsid w:val="006F7FE6"/>
    <w:rsid w:val="007002E4"/>
    <w:rsid w:val="00706757"/>
    <w:rsid w:val="007076C9"/>
    <w:rsid w:val="00710948"/>
    <w:rsid w:val="00710EE4"/>
    <w:rsid w:val="00713233"/>
    <w:rsid w:val="0071436C"/>
    <w:rsid w:val="00716E6B"/>
    <w:rsid w:val="00717248"/>
    <w:rsid w:val="00720869"/>
    <w:rsid w:val="00723AC2"/>
    <w:rsid w:val="00725BB8"/>
    <w:rsid w:val="007263BF"/>
    <w:rsid w:val="0073263C"/>
    <w:rsid w:val="007349B0"/>
    <w:rsid w:val="007354A2"/>
    <w:rsid w:val="00736211"/>
    <w:rsid w:val="0073680D"/>
    <w:rsid w:val="00737E50"/>
    <w:rsid w:val="00740900"/>
    <w:rsid w:val="0074262E"/>
    <w:rsid w:val="00744702"/>
    <w:rsid w:val="0075662C"/>
    <w:rsid w:val="00757131"/>
    <w:rsid w:val="00760400"/>
    <w:rsid w:val="00761873"/>
    <w:rsid w:val="007618AC"/>
    <w:rsid w:val="00762212"/>
    <w:rsid w:val="00763272"/>
    <w:rsid w:val="007646E7"/>
    <w:rsid w:val="00765B21"/>
    <w:rsid w:val="00770C94"/>
    <w:rsid w:val="00771CF6"/>
    <w:rsid w:val="0077387D"/>
    <w:rsid w:val="00773B3B"/>
    <w:rsid w:val="00775E6F"/>
    <w:rsid w:val="00780A59"/>
    <w:rsid w:val="007811AA"/>
    <w:rsid w:val="007867EE"/>
    <w:rsid w:val="00790BF0"/>
    <w:rsid w:val="00790C23"/>
    <w:rsid w:val="007A1221"/>
    <w:rsid w:val="007A2AD5"/>
    <w:rsid w:val="007A47F1"/>
    <w:rsid w:val="007A5226"/>
    <w:rsid w:val="007B0F04"/>
    <w:rsid w:val="007B2D5F"/>
    <w:rsid w:val="007B72EE"/>
    <w:rsid w:val="007C7E15"/>
    <w:rsid w:val="007D5088"/>
    <w:rsid w:val="007D708F"/>
    <w:rsid w:val="007F42BD"/>
    <w:rsid w:val="008002AB"/>
    <w:rsid w:val="008018FA"/>
    <w:rsid w:val="0080432B"/>
    <w:rsid w:val="00804949"/>
    <w:rsid w:val="00805DD8"/>
    <w:rsid w:val="008103FA"/>
    <w:rsid w:val="008170F8"/>
    <w:rsid w:val="008263A3"/>
    <w:rsid w:val="0083288A"/>
    <w:rsid w:val="00832C94"/>
    <w:rsid w:val="00832EBC"/>
    <w:rsid w:val="008373C6"/>
    <w:rsid w:val="0084795E"/>
    <w:rsid w:val="00864E1E"/>
    <w:rsid w:val="00873051"/>
    <w:rsid w:val="008735FE"/>
    <w:rsid w:val="0087371C"/>
    <w:rsid w:val="008745ED"/>
    <w:rsid w:val="00874EDF"/>
    <w:rsid w:val="00882C64"/>
    <w:rsid w:val="0088793A"/>
    <w:rsid w:val="00887E5D"/>
    <w:rsid w:val="00894B7F"/>
    <w:rsid w:val="008A15B7"/>
    <w:rsid w:val="008A210D"/>
    <w:rsid w:val="008B0C3D"/>
    <w:rsid w:val="008B13A5"/>
    <w:rsid w:val="008B1BA9"/>
    <w:rsid w:val="008B3CB9"/>
    <w:rsid w:val="008B667F"/>
    <w:rsid w:val="008C2DA2"/>
    <w:rsid w:val="008C5C2C"/>
    <w:rsid w:val="008C7295"/>
    <w:rsid w:val="008C7623"/>
    <w:rsid w:val="008C78ED"/>
    <w:rsid w:val="008D7F1C"/>
    <w:rsid w:val="008E0695"/>
    <w:rsid w:val="008F6E85"/>
    <w:rsid w:val="00900933"/>
    <w:rsid w:val="0090367B"/>
    <w:rsid w:val="00905F56"/>
    <w:rsid w:val="00914027"/>
    <w:rsid w:val="009140CD"/>
    <w:rsid w:val="009214EC"/>
    <w:rsid w:val="009224DD"/>
    <w:rsid w:val="00922F95"/>
    <w:rsid w:val="00923982"/>
    <w:rsid w:val="00923DA5"/>
    <w:rsid w:val="00924CA5"/>
    <w:rsid w:val="00930F2F"/>
    <w:rsid w:val="009337D8"/>
    <w:rsid w:val="00934A5D"/>
    <w:rsid w:val="00941292"/>
    <w:rsid w:val="0094168A"/>
    <w:rsid w:val="00941D63"/>
    <w:rsid w:val="00942C1E"/>
    <w:rsid w:val="0094476E"/>
    <w:rsid w:val="009456AE"/>
    <w:rsid w:val="009461CC"/>
    <w:rsid w:val="00953A7F"/>
    <w:rsid w:val="009645C9"/>
    <w:rsid w:val="00966ED8"/>
    <w:rsid w:val="009709B4"/>
    <w:rsid w:val="00970F10"/>
    <w:rsid w:val="00971960"/>
    <w:rsid w:val="00972802"/>
    <w:rsid w:val="00976460"/>
    <w:rsid w:val="00976960"/>
    <w:rsid w:val="00981AFC"/>
    <w:rsid w:val="00982459"/>
    <w:rsid w:val="00982823"/>
    <w:rsid w:val="00982903"/>
    <w:rsid w:val="009855C3"/>
    <w:rsid w:val="00987307"/>
    <w:rsid w:val="00987743"/>
    <w:rsid w:val="00990872"/>
    <w:rsid w:val="00994DB9"/>
    <w:rsid w:val="009964D2"/>
    <w:rsid w:val="009977D7"/>
    <w:rsid w:val="009A1AED"/>
    <w:rsid w:val="009A1FF8"/>
    <w:rsid w:val="009A5F24"/>
    <w:rsid w:val="009B4453"/>
    <w:rsid w:val="009B569A"/>
    <w:rsid w:val="009B7C1D"/>
    <w:rsid w:val="009C4FD5"/>
    <w:rsid w:val="009D19D6"/>
    <w:rsid w:val="009D3291"/>
    <w:rsid w:val="009D54C6"/>
    <w:rsid w:val="009D6FE2"/>
    <w:rsid w:val="009D7E33"/>
    <w:rsid w:val="009E10C6"/>
    <w:rsid w:val="009E1EBB"/>
    <w:rsid w:val="009E4BE1"/>
    <w:rsid w:val="009F1498"/>
    <w:rsid w:val="009F1998"/>
    <w:rsid w:val="009F1BD0"/>
    <w:rsid w:val="009F282F"/>
    <w:rsid w:val="009F2A57"/>
    <w:rsid w:val="009F319A"/>
    <w:rsid w:val="009F4223"/>
    <w:rsid w:val="009F51B0"/>
    <w:rsid w:val="009F5769"/>
    <w:rsid w:val="009F78EE"/>
    <w:rsid w:val="00A00853"/>
    <w:rsid w:val="00A0129F"/>
    <w:rsid w:val="00A02A54"/>
    <w:rsid w:val="00A030DC"/>
    <w:rsid w:val="00A03A91"/>
    <w:rsid w:val="00A05360"/>
    <w:rsid w:val="00A06EA0"/>
    <w:rsid w:val="00A12C5D"/>
    <w:rsid w:val="00A2055A"/>
    <w:rsid w:val="00A24C7B"/>
    <w:rsid w:val="00A25FCE"/>
    <w:rsid w:val="00A30F54"/>
    <w:rsid w:val="00A36237"/>
    <w:rsid w:val="00A3639B"/>
    <w:rsid w:val="00A44D21"/>
    <w:rsid w:val="00A4616A"/>
    <w:rsid w:val="00A5239F"/>
    <w:rsid w:val="00A538EF"/>
    <w:rsid w:val="00A553FC"/>
    <w:rsid w:val="00A56D87"/>
    <w:rsid w:val="00A570BF"/>
    <w:rsid w:val="00A57182"/>
    <w:rsid w:val="00A603C9"/>
    <w:rsid w:val="00A62721"/>
    <w:rsid w:val="00A62AA4"/>
    <w:rsid w:val="00A80721"/>
    <w:rsid w:val="00A8284F"/>
    <w:rsid w:val="00A8483B"/>
    <w:rsid w:val="00A8663C"/>
    <w:rsid w:val="00A86CBA"/>
    <w:rsid w:val="00A90A1C"/>
    <w:rsid w:val="00A95910"/>
    <w:rsid w:val="00AA2E04"/>
    <w:rsid w:val="00AA3502"/>
    <w:rsid w:val="00AA3694"/>
    <w:rsid w:val="00AA7F1D"/>
    <w:rsid w:val="00AB04FB"/>
    <w:rsid w:val="00AC1EE8"/>
    <w:rsid w:val="00AC53BA"/>
    <w:rsid w:val="00AC7864"/>
    <w:rsid w:val="00AD0542"/>
    <w:rsid w:val="00AD355F"/>
    <w:rsid w:val="00AD3C62"/>
    <w:rsid w:val="00AD4A16"/>
    <w:rsid w:val="00AE212B"/>
    <w:rsid w:val="00AE2B73"/>
    <w:rsid w:val="00AE5A46"/>
    <w:rsid w:val="00AF2584"/>
    <w:rsid w:val="00B0012D"/>
    <w:rsid w:val="00B01620"/>
    <w:rsid w:val="00B0256A"/>
    <w:rsid w:val="00B04139"/>
    <w:rsid w:val="00B06F88"/>
    <w:rsid w:val="00B07777"/>
    <w:rsid w:val="00B1087D"/>
    <w:rsid w:val="00B11A66"/>
    <w:rsid w:val="00B15E55"/>
    <w:rsid w:val="00B16AB3"/>
    <w:rsid w:val="00B17CC3"/>
    <w:rsid w:val="00B26297"/>
    <w:rsid w:val="00B343C2"/>
    <w:rsid w:val="00B37A72"/>
    <w:rsid w:val="00B407B6"/>
    <w:rsid w:val="00B459A4"/>
    <w:rsid w:val="00B62140"/>
    <w:rsid w:val="00B66253"/>
    <w:rsid w:val="00B67432"/>
    <w:rsid w:val="00B7112F"/>
    <w:rsid w:val="00B714A8"/>
    <w:rsid w:val="00B7247B"/>
    <w:rsid w:val="00B73BEA"/>
    <w:rsid w:val="00B763A0"/>
    <w:rsid w:val="00B82FB3"/>
    <w:rsid w:val="00B8570A"/>
    <w:rsid w:val="00B8696D"/>
    <w:rsid w:val="00B9692A"/>
    <w:rsid w:val="00BA7D3E"/>
    <w:rsid w:val="00BB10A1"/>
    <w:rsid w:val="00BB36B1"/>
    <w:rsid w:val="00BB79B1"/>
    <w:rsid w:val="00BC0CE0"/>
    <w:rsid w:val="00BC3DD7"/>
    <w:rsid w:val="00BD1913"/>
    <w:rsid w:val="00BD7F46"/>
    <w:rsid w:val="00BE0727"/>
    <w:rsid w:val="00BE09C5"/>
    <w:rsid w:val="00BE3D15"/>
    <w:rsid w:val="00BE7E3B"/>
    <w:rsid w:val="00BF53FD"/>
    <w:rsid w:val="00BF7DE6"/>
    <w:rsid w:val="00C00243"/>
    <w:rsid w:val="00C01A53"/>
    <w:rsid w:val="00C0200E"/>
    <w:rsid w:val="00C02BC0"/>
    <w:rsid w:val="00C134BC"/>
    <w:rsid w:val="00C13612"/>
    <w:rsid w:val="00C1549E"/>
    <w:rsid w:val="00C16423"/>
    <w:rsid w:val="00C16D85"/>
    <w:rsid w:val="00C3050A"/>
    <w:rsid w:val="00C361CA"/>
    <w:rsid w:val="00C3745E"/>
    <w:rsid w:val="00C46C3A"/>
    <w:rsid w:val="00C47B0F"/>
    <w:rsid w:val="00C56109"/>
    <w:rsid w:val="00C6261A"/>
    <w:rsid w:val="00C64987"/>
    <w:rsid w:val="00C64AB4"/>
    <w:rsid w:val="00C673A6"/>
    <w:rsid w:val="00C706D6"/>
    <w:rsid w:val="00C70884"/>
    <w:rsid w:val="00C76698"/>
    <w:rsid w:val="00C824D9"/>
    <w:rsid w:val="00C82528"/>
    <w:rsid w:val="00C83032"/>
    <w:rsid w:val="00C91927"/>
    <w:rsid w:val="00C94CB5"/>
    <w:rsid w:val="00C97841"/>
    <w:rsid w:val="00C97F79"/>
    <w:rsid w:val="00CA2472"/>
    <w:rsid w:val="00CA46B0"/>
    <w:rsid w:val="00CA7832"/>
    <w:rsid w:val="00CB0F1E"/>
    <w:rsid w:val="00CB7CB0"/>
    <w:rsid w:val="00CC0372"/>
    <w:rsid w:val="00CD129C"/>
    <w:rsid w:val="00CD6594"/>
    <w:rsid w:val="00CD6EF2"/>
    <w:rsid w:val="00CD76E0"/>
    <w:rsid w:val="00CE3EA4"/>
    <w:rsid w:val="00CE6144"/>
    <w:rsid w:val="00CE7154"/>
    <w:rsid w:val="00CF0AF4"/>
    <w:rsid w:val="00CF6BEB"/>
    <w:rsid w:val="00CF7C5F"/>
    <w:rsid w:val="00D0560B"/>
    <w:rsid w:val="00D104AC"/>
    <w:rsid w:val="00D14601"/>
    <w:rsid w:val="00D15BBE"/>
    <w:rsid w:val="00D16500"/>
    <w:rsid w:val="00D20FA4"/>
    <w:rsid w:val="00D23267"/>
    <w:rsid w:val="00D23846"/>
    <w:rsid w:val="00D24167"/>
    <w:rsid w:val="00D26121"/>
    <w:rsid w:val="00D26B0D"/>
    <w:rsid w:val="00D35E63"/>
    <w:rsid w:val="00D42481"/>
    <w:rsid w:val="00D4289F"/>
    <w:rsid w:val="00D47200"/>
    <w:rsid w:val="00D479C6"/>
    <w:rsid w:val="00D52DF8"/>
    <w:rsid w:val="00D558E5"/>
    <w:rsid w:val="00D56C82"/>
    <w:rsid w:val="00D600D7"/>
    <w:rsid w:val="00D62E8E"/>
    <w:rsid w:val="00D63EAA"/>
    <w:rsid w:val="00D64EA5"/>
    <w:rsid w:val="00D75384"/>
    <w:rsid w:val="00D75D87"/>
    <w:rsid w:val="00D760D8"/>
    <w:rsid w:val="00D82C89"/>
    <w:rsid w:val="00D91CDB"/>
    <w:rsid w:val="00D94089"/>
    <w:rsid w:val="00D96F6A"/>
    <w:rsid w:val="00D979CC"/>
    <w:rsid w:val="00DA4404"/>
    <w:rsid w:val="00DA5FD1"/>
    <w:rsid w:val="00DA6381"/>
    <w:rsid w:val="00DB020C"/>
    <w:rsid w:val="00DB582A"/>
    <w:rsid w:val="00DB74A8"/>
    <w:rsid w:val="00DD13F4"/>
    <w:rsid w:val="00DD54B4"/>
    <w:rsid w:val="00DD6305"/>
    <w:rsid w:val="00DE0007"/>
    <w:rsid w:val="00DE2118"/>
    <w:rsid w:val="00DE3CC0"/>
    <w:rsid w:val="00DE6313"/>
    <w:rsid w:val="00DE6327"/>
    <w:rsid w:val="00DE7FD7"/>
    <w:rsid w:val="00DF0617"/>
    <w:rsid w:val="00DF62DC"/>
    <w:rsid w:val="00E03D31"/>
    <w:rsid w:val="00E11D92"/>
    <w:rsid w:val="00E1442F"/>
    <w:rsid w:val="00E14C97"/>
    <w:rsid w:val="00E213E0"/>
    <w:rsid w:val="00E23984"/>
    <w:rsid w:val="00E269CF"/>
    <w:rsid w:val="00E3060B"/>
    <w:rsid w:val="00E3332E"/>
    <w:rsid w:val="00E352B4"/>
    <w:rsid w:val="00E407A5"/>
    <w:rsid w:val="00E409AE"/>
    <w:rsid w:val="00E41C44"/>
    <w:rsid w:val="00E45A40"/>
    <w:rsid w:val="00E46137"/>
    <w:rsid w:val="00E529DC"/>
    <w:rsid w:val="00E535E2"/>
    <w:rsid w:val="00E541DE"/>
    <w:rsid w:val="00E7114E"/>
    <w:rsid w:val="00E714ED"/>
    <w:rsid w:val="00E818B5"/>
    <w:rsid w:val="00E86C52"/>
    <w:rsid w:val="00E87974"/>
    <w:rsid w:val="00E91403"/>
    <w:rsid w:val="00E950A1"/>
    <w:rsid w:val="00E9587C"/>
    <w:rsid w:val="00EA0589"/>
    <w:rsid w:val="00EA2539"/>
    <w:rsid w:val="00EA2A12"/>
    <w:rsid w:val="00EA34B1"/>
    <w:rsid w:val="00EA386A"/>
    <w:rsid w:val="00EA3F04"/>
    <w:rsid w:val="00EB148F"/>
    <w:rsid w:val="00EB3CE1"/>
    <w:rsid w:val="00EB4EEE"/>
    <w:rsid w:val="00EB5323"/>
    <w:rsid w:val="00EB55F4"/>
    <w:rsid w:val="00EC009B"/>
    <w:rsid w:val="00EC0A5C"/>
    <w:rsid w:val="00EC0F3C"/>
    <w:rsid w:val="00ED17D6"/>
    <w:rsid w:val="00ED2006"/>
    <w:rsid w:val="00ED2C52"/>
    <w:rsid w:val="00ED57DD"/>
    <w:rsid w:val="00ED6077"/>
    <w:rsid w:val="00ED60E5"/>
    <w:rsid w:val="00EE18FA"/>
    <w:rsid w:val="00EE3541"/>
    <w:rsid w:val="00EF2775"/>
    <w:rsid w:val="00F01CD1"/>
    <w:rsid w:val="00F0588E"/>
    <w:rsid w:val="00F07DD1"/>
    <w:rsid w:val="00F12464"/>
    <w:rsid w:val="00F12AB9"/>
    <w:rsid w:val="00F153C6"/>
    <w:rsid w:val="00F1562A"/>
    <w:rsid w:val="00F1569C"/>
    <w:rsid w:val="00F20DD6"/>
    <w:rsid w:val="00F24AE3"/>
    <w:rsid w:val="00F32C32"/>
    <w:rsid w:val="00F332F1"/>
    <w:rsid w:val="00F343C3"/>
    <w:rsid w:val="00F347FB"/>
    <w:rsid w:val="00F3731D"/>
    <w:rsid w:val="00F37F87"/>
    <w:rsid w:val="00F44E82"/>
    <w:rsid w:val="00F50045"/>
    <w:rsid w:val="00F501B1"/>
    <w:rsid w:val="00F56303"/>
    <w:rsid w:val="00F604C9"/>
    <w:rsid w:val="00F63689"/>
    <w:rsid w:val="00F66077"/>
    <w:rsid w:val="00F66E1F"/>
    <w:rsid w:val="00F67A0E"/>
    <w:rsid w:val="00F67D06"/>
    <w:rsid w:val="00F7558C"/>
    <w:rsid w:val="00F761EC"/>
    <w:rsid w:val="00F86E3F"/>
    <w:rsid w:val="00F9112F"/>
    <w:rsid w:val="00F933E3"/>
    <w:rsid w:val="00FA1D26"/>
    <w:rsid w:val="00FB05F7"/>
    <w:rsid w:val="00FB0A38"/>
    <w:rsid w:val="00FB14AD"/>
    <w:rsid w:val="00FB1FDD"/>
    <w:rsid w:val="00FB59FD"/>
    <w:rsid w:val="00FC419D"/>
    <w:rsid w:val="00FC52C8"/>
    <w:rsid w:val="00FC5667"/>
    <w:rsid w:val="00FC6DBB"/>
    <w:rsid w:val="00FD0ECB"/>
    <w:rsid w:val="00FE191E"/>
    <w:rsid w:val="00FE3112"/>
    <w:rsid w:val="00FE4230"/>
    <w:rsid w:val="00FE5B73"/>
    <w:rsid w:val="00FE659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14C6"/>
  <w15:chartTrackingRefBased/>
  <w15:docId w15:val="{EC7DA20C-9F38-4A81-966B-D50D5F5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3"/>
    <w:pPr>
      <w:spacing w:after="100" w:afterAutospacing="1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91"/>
    <w:pPr>
      <w:numPr>
        <w:ilvl w:val="1"/>
        <w:numId w:val="2"/>
      </w:numPr>
      <w:spacing w:after="0" w:afterAutospacing="0" w:line="240" w:lineRule="auto"/>
      <w:ind w:left="792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5C3"/>
    <w:pPr>
      <w:numPr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810"/>
    <w:pPr>
      <w:keepNext/>
      <w:keepLines/>
      <w:numPr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5411A"/>
    <w:pPr>
      <w:keepNext/>
      <w:spacing w:after="120" w:line="240" w:lineRule="auto"/>
      <w:jc w:val="center"/>
      <w:outlineLvl w:val="6"/>
    </w:pPr>
    <w:rPr>
      <w:rFonts w:eastAsia="Times New Roman" w:cs="Times New Roman"/>
      <w:b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1,Bullet,Title 1,List Paragraph1,Trust List Numbering"/>
    <w:basedOn w:val="Normal"/>
    <w:link w:val="ListParagraphChar"/>
    <w:uiPriority w:val="34"/>
    <w:qFormat/>
    <w:rsid w:val="007811A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5411A"/>
    <w:rPr>
      <w:rFonts w:ascii="Times New Roman" w:eastAsia="Times New Roman" w:hAnsi="Times New Roman" w:cs="Times New Roman"/>
      <w:b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05411A"/>
    <w:pPr>
      <w:widowControl w:val="0"/>
      <w:tabs>
        <w:tab w:val="center" w:pos="4153"/>
        <w:tab w:val="right" w:pos="8306"/>
      </w:tabs>
      <w:spacing w:after="120" w:line="240" w:lineRule="auto"/>
      <w:jc w:val="both"/>
    </w:pPr>
    <w:rPr>
      <w:rFonts w:ascii="CG Times 12pt" w:eastAsia="Times New Roman" w:hAnsi="CG Times 12pt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5411A"/>
    <w:rPr>
      <w:rFonts w:ascii="CG Times 12pt" w:eastAsia="Times New Roman" w:hAnsi="CG Times 12pt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05411A"/>
    <w:pPr>
      <w:spacing w:after="120" w:line="240" w:lineRule="auto"/>
      <w:jc w:val="center"/>
    </w:pPr>
    <w:rPr>
      <w:rFonts w:eastAsia="Times New Roman" w:cs="Times New Roman"/>
      <w:b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05411A"/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Hyperlink">
    <w:name w:val="Hyperlink"/>
    <w:uiPriority w:val="99"/>
    <w:rsid w:val="006F081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2B91"/>
    <w:rPr>
      <w:rFonts w:ascii="Times New Roman" w:hAnsi="Times New Roman"/>
      <w:b/>
      <w:color w:val="000000" w:themeColor="text1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0810"/>
    <w:pPr>
      <w:spacing w:after="120"/>
      <w:outlineLvl w:val="9"/>
    </w:pPr>
    <w:rPr>
      <w:rFonts w:ascii="Calibri Light" w:eastAsia="MS Gothic" w:hAnsi="Calibri Light" w:cs="Times New Roman"/>
      <w:color w:val="2E74B5"/>
    </w:rPr>
  </w:style>
  <w:style w:type="paragraph" w:styleId="TOC3">
    <w:name w:val="toc 3"/>
    <w:basedOn w:val="Normal"/>
    <w:next w:val="Normal"/>
    <w:autoRedefine/>
    <w:uiPriority w:val="39"/>
    <w:rsid w:val="006F0810"/>
    <w:pPr>
      <w:tabs>
        <w:tab w:val="left" w:pos="1080"/>
        <w:tab w:val="right" w:leader="dot" w:pos="9629"/>
      </w:tabs>
      <w:spacing w:line="240" w:lineRule="auto"/>
      <w:ind w:left="400"/>
      <w:jc w:val="both"/>
    </w:pPr>
    <w:rPr>
      <w:rFonts w:eastAsia="Times New Roman" w:cs="Times New Roman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A2055A"/>
    <w:pPr>
      <w:tabs>
        <w:tab w:val="left" w:pos="660"/>
        <w:tab w:val="right" w:leader="dot" w:pos="9350"/>
      </w:tabs>
      <w:spacing w:after="0" w:afterAutospacing="0" w:line="240" w:lineRule="auto"/>
      <w:ind w:left="720" w:right="1710" w:hanging="720"/>
      <w:jc w:val="both"/>
    </w:pPr>
    <w:rPr>
      <w:rFonts w:eastAsia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0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0810"/>
  </w:style>
  <w:style w:type="table" w:styleId="TableGrid">
    <w:name w:val="Table Grid"/>
    <w:basedOn w:val="TableNormal"/>
    <w:uiPriority w:val="39"/>
    <w:qFormat/>
    <w:rsid w:val="006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55C3"/>
    <w:rPr>
      <w:rFonts w:ascii="Times New Roman" w:hAnsi="Times New Roman"/>
      <w:b/>
      <w:color w:val="000000" w:themeColor="text1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0810"/>
    <w:rPr>
      <w:rFonts w:asciiTheme="majorHAnsi" w:eastAsiaTheme="majorEastAsia" w:hAnsiTheme="majorHAnsi" w:cstheme="majorBidi"/>
      <w:color w:val="2F5496" w:themeColor="accent1" w:themeShade="BF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11A66"/>
    <w:pPr>
      <w:ind w:left="220"/>
    </w:pPr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paragraph" w:customStyle="1" w:styleId="paragraph">
    <w:name w:val="paragraph"/>
    <w:basedOn w:val="Normal"/>
    <w:rsid w:val="000D2F57"/>
    <w:pPr>
      <w:spacing w:before="100" w:before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0D2F57"/>
  </w:style>
  <w:style w:type="character" w:customStyle="1" w:styleId="eop">
    <w:name w:val="eop"/>
    <w:basedOn w:val="DefaultParagraphFont"/>
    <w:rsid w:val="000D2F57"/>
  </w:style>
  <w:style w:type="character" w:customStyle="1" w:styleId="spellingerror">
    <w:name w:val="spellingerror"/>
    <w:basedOn w:val="DefaultParagraphFont"/>
    <w:rsid w:val="000D2F57"/>
  </w:style>
  <w:style w:type="paragraph" w:styleId="Revision">
    <w:name w:val="Revision"/>
    <w:hidden/>
    <w:uiPriority w:val="99"/>
    <w:semiHidden/>
    <w:rsid w:val="00A2055A"/>
    <w:pPr>
      <w:spacing w:after="0" w:line="240" w:lineRule="auto"/>
    </w:pPr>
    <w:rPr>
      <w:rFonts w:ascii="Times New Roman" w:hAnsi="Times New Roman"/>
      <w:sz w:val="24"/>
      <w:lang w:eastAsia="en-GB"/>
    </w:rPr>
  </w:style>
  <w:style w:type="paragraph" w:customStyle="1" w:styleId="TableHeading-Font10">
    <w:name w:val="Table Heading-Font 10"/>
    <w:next w:val="Normal"/>
    <w:link w:val="TableHeading-Font10Char"/>
    <w:qFormat/>
    <w:rsid w:val="00AC1EE8"/>
    <w:pPr>
      <w:keepNext/>
      <w:keepLines/>
      <w:tabs>
        <w:tab w:val="left" w:pos="1440"/>
      </w:tabs>
      <w:spacing w:before="80" w:after="80" w:line="200" w:lineRule="exact"/>
      <w:jc w:val="center"/>
    </w:pPr>
    <w:rPr>
      <w:rFonts w:ascii="Arial" w:hAnsi="Arial" w:cs="Arial"/>
      <w:b/>
      <w:bCs/>
      <w:kern w:val="32"/>
      <w:sz w:val="20"/>
      <w:szCs w:val="20"/>
    </w:rPr>
  </w:style>
  <w:style w:type="character" w:customStyle="1" w:styleId="TableHeading-Font10Char">
    <w:name w:val="Table Heading-Font 10 Char"/>
    <w:link w:val="TableHeading-Font10"/>
    <w:rsid w:val="00AC1EE8"/>
    <w:rPr>
      <w:rFonts w:ascii="Arial" w:hAnsi="Arial" w:cs="Arial"/>
      <w:b/>
      <w:bCs/>
      <w:kern w:val="32"/>
      <w:sz w:val="20"/>
      <w:szCs w:val="20"/>
    </w:rPr>
  </w:style>
  <w:style w:type="paragraph" w:customStyle="1" w:styleId="TableTextLeft">
    <w:name w:val="Table Text Left"/>
    <w:basedOn w:val="Normal"/>
    <w:link w:val="TableTextLeftChar"/>
    <w:qFormat/>
    <w:rsid w:val="00AC1EE8"/>
    <w:pPr>
      <w:spacing w:before="40" w:after="40" w:afterAutospacing="0" w:line="240" w:lineRule="auto"/>
    </w:pPr>
    <w:rPr>
      <w:rFonts w:ascii="Arial" w:eastAsia="Arial Unicode MS" w:hAnsi="Arial" w:cs="Arial"/>
      <w:iCs/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C1EE8"/>
    <w:rPr>
      <w:rFonts w:ascii="Arial" w:eastAsia="Arial Unicode MS" w:hAnsi="Arial" w:cs="Arial"/>
      <w:i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75D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D87"/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23"/>
    <w:pPr>
      <w:widowControl w:val="0"/>
      <w:autoSpaceDE w:val="0"/>
      <w:autoSpaceDN w:val="0"/>
      <w:spacing w:after="0" w:afterAutospacing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23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9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B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T1BodyTextI1">
    <w:name w:val="BT1: Body Text I1"/>
    <w:basedOn w:val="BodyText"/>
    <w:link w:val="BT1BodyTextI1Char"/>
    <w:qFormat/>
    <w:rsid w:val="00476A48"/>
    <w:pPr>
      <w:spacing w:before="240" w:after="0" w:afterAutospacing="0" w:line="240" w:lineRule="auto"/>
      <w:jc w:val="both"/>
    </w:pPr>
    <w:rPr>
      <w:rFonts w:ascii="Arial" w:eastAsia="Calibri" w:hAnsi="Arial" w:cs="Arial"/>
      <w:iCs/>
      <w:sz w:val="22"/>
      <w:lang w:eastAsia="en-US"/>
    </w:rPr>
  </w:style>
  <w:style w:type="character" w:customStyle="1" w:styleId="BT1BodyTextI1Char">
    <w:name w:val="BT1: Body Text I1 Char"/>
    <w:basedOn w:val="DefaultParagraphFont"/>
    <w:link w:val="BT1BodyTextI1"/>
    <w:locked/>
    <w:rsid w:val="00476A48"/>
    <w:rPr>
      <w:rFonts w:ascii="Arial" w:eastAsia="Calibri" w:hAnsi="Arial" w:cs="Arial"/>
      <w:iCs/>
    </w:rPr>
  </w:style>
  <w:style w:type="character" w:customStyle="1" w:styleId="ListParagraphChar">
    <w:name w:val="List Paragraph Char"/>
    <w:aliases w:val="Bullet List Char,Bullet List Paragraph Char,Bullet 1 Char,Bullet Char,Title 1 Char,List Paragraph1 Char,Trust List Numbering Char"/>
    <w:link w:val="ListParagraph"/>
    <w:uiPriority w:val="34"/>
    <w:locked/>
    <w:rsid w:val="00EA2539"/>
    <w:rPr>
      <w:rFonts w:ascii="Times New Roman" w:hAnsi="Times New Roman"/>
      <w:sz w:val="24"/>
      <w:lang w:eastAsia="en-GB"/>
    </w:rPr>
  </w:style>
  <w:style w:type="paragraph" w:styleId="Caption">
    <w:name w:val="caption"/>
    <w:aliases w:val="Footnote,Times Roman 10 bold,Char2,Char Char Char Char,Top Caption,1 Tbl Titles,Table Caption,Figure Caption,cerCAPTION,Pg1Title,Char Char Char + Arial,Left,Before:  6 pt,Caption Char1 Char,Fig Tittle,Caption Table, Char Char Char Char,Caption_m"/>
    <w:next w:val="Normal"/>
    <w:link w:val="CaptionChar"/>
    <w:qFormat/>
    <w:rsid w:val="00ED6077"/>
    <w:pPr>
      <w:keepNext/>
      <w:spacing w:before="240" w:after="240" w:line="240" w:lineRule="auto"/>
      <w:ind w:left="1411" w:hanging="1411"/>
    </w:pPr>
    <w:rPr>
      <w:rFonts w:ascii="Arial" w:eastAsia="Times New Roman" w:hAnsi="Arial" w:cs="Arial"/>
      <w:b/>
      <w:bCs/>
      <w:lang w:val="en-AU"/>
    </w:rPr>
  </w:style>
  <w:style w:type="character" w:customStyle="1" w:styleId="CaptionChar">
    <w:name w:val="Caption Char"/>
    <w:aliases w:val="Footnote Char,Times Roman 10 bold Char,Char2 Char,Char Char Char Char Char,Top Caption Char,1 Tbl Titles Char,Table Caption Char,Figure Caption Char,cerCAPTION Char,Pg1Title Char,Char Char Char + Arial Char,Left Char,Before:  6 pt Char"/>
    <w:link w:val="Caption"/>
    <w:qFormat/>
    <w:rsid w:val="00ED6077"/>
    <w:rPr>
      <w:rFonts w:ascii="Arial" w:eastAsia="Times New Roman" w:hAnsi="Arial" w:cs="Arial"/>
      <w:b/>
      <w:bCs/>
      <w:lang w:val="en-AU"/>
    </w:rPr>
  </w:style>
  <w:style w:type="paragraph" w:customStyle="1" w:styleId="Tablefootnotetext">
    <w:name w:val="Table footnote text"/>
    <w:basedOn w:val="Normal"/>
    <w:qFormat/>
    <w:locked/>
    <w:rsid w:val="00ED6077"/>
    <w:pPr>
      <w:spacing w:before="40" w:after="0" w:afterAutospacing="0" w:line="240" w:lineRule="auto"/>
      <w:jc w:val="both"/>
    </w:pPr>
    <w:rPr>
      <w:rFonts w:ascii="Arial" w:eastAsia="Times New Roman" w:hAnsi="Arial" w:cs="Times New Roman"/>
      <w:sz w:val="18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11D92"/>
    <w:pPr>
      <w:spacing w:before="100" w:before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11D92"/>
    <w:rPr>
      <w:b/>
      <w:bCs/>
    </w:rPr>
  </w:style>
  <w:style w:type="paragraph" w:customStyle="1" w:styleId="pf0">
    <w:name w:val="pf0"/>
    <w:basedOn w:val="Normal"/>
    <w:rsid w:val="003B70D7"/>
    <w:pPr>
      <w:spacing w:before="100" w:beforeAutospacing="1" w:line="240" w:lineRule="auto"/>
    </w:pPr>
    <w:rPr>
      <w:rFonts w:eastAsia="Times New Roman" w:cs="Times New Roman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99"/>
    <w:pPr>
      <w:widowControl/>
      <w:autoSpaceDE/>
      <w:autoSpaceDN/>
      <w:spacing w:after="100" w:afterAutospacing="1"/>
    </w:pPr>
    <w:rPr>
      <w:rFonts w:ascii="Times New Roman" w:eastAsiaTheme="minorHAnsi" w:hAnsi="Times New Roman" w:cstheme="minorBid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99"/>
    <w:rPr>
      <w:rFonts w:ascii="Times New Roman" w:eastAsia="Arial" w:hAnsi="Times New Roman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5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7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igroup.com" TargetMode="External"/><Relationship Id="rId18" Type="http://schemas.openxmlformats.org/officeDocument/2006/relationships/hyperlink" Target="https://www.astm.org/Standards/F2096.htm" TargetMode="External"/><Relationship Id="rId26" Type="http://schemas.openxmlformats.org/officeDocument/2006/relationships/hyperlink" Target="https://www.astm.org/Standards/F8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stm.org/Standards/F1929.ht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ergoVigilance@ul.com" TargetMode="External"/><Relationship Id="rId17" Type="http://schemas.openxmlformats.org/officeDocument/2006/relationships/hyperlink" Target="https://www.astm.org/Standards/F2096.htm" TargetMode="External"/><Relationship Id="rId25" Type="http://schemas.openxmlformats.org/officeDocument/2006/relationships/hyperlink" Target="https://www.astm.org/Standards/F88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stm.org/Standards/F2096.htm" TargetMode="External"/><Relationship Id="rId20" Type="http://schemas.openxmlformats.org/officeDocument/2006/relationships/hyperlink" Target="https://www.astm.org/Standards/F1929.htm" TargetMode="External"/><Relationship Id="rId29" Type="http://schemas.openxmlformats.org/officeDocument/2006/relationships/hyperlink" Target="https://www.astm.org/Standards/F198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Compliance@argonmedical.com" TargetMode="External"/><Relationship Id="rId24" Type="http://schemas.openxmlformats.org/officeDocument/2006/relationships/hyperlink" Target="https://www.astm.org/Standards/F88.ht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stm.org/Standards/D4169.htm" TargetMode="External"/><Relationship Id="rId23" Type="http://schemas.openxmlformats.org/officeDocument/2006/relationships/hyperlink" Target="https://www.astm.org/Standards/F1929.htm" TargetMode="External"/><Relationship Id="rId28" Type="http://schemas.openxmlformats.org/officeDocument/2006/relationships/hyperlink" Target="https://www.astm.org/Standards/F1980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stm.org/Standards/F209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m.org/Standards/D4169.htm" TargetMode="External"/><Relationship Id="rId22" Type="http://schemas.openxmlformats.org/officeDocument/2006/relationships/hyperlink" Target="https://www.astm.org/Standards/F1929.htm" TargetMode="External"/><Relationship Id="rId27" Type="http://schemas.openxmlformats.org/officeDocument/2006/relationships/hyperlink" Target="https://www.astm.org/Standards/F1980.htm" TargetMode="External"/><Relationship Id="rId30" Type="http://schemas.openxmlformats.org/officeDocument/2006/relationships/hyperlink" Target="https://www.astm.org/Standards/F1980.htm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98320-5229-49fa-b545-1146fcc196c3">X6KQWXAJUN6C-1856867172-302</_dlc_DocId>
    <_dlc_DocIdUrl xmlns="98998320-5229-49fa-b545-1146fcc196c3">
      <Url>https://argonmedical.sharepoint.com/Quality/PME/_layouts/15/DocIdRedir.aspx?ID=X6KQWXAJUN6C-1856867172-302</Url>
      <Description>X6KQWXAJUN6C-1856867172-302</Description>
    </_dlc_DocIdUrl>
    <SharedWithUsers xmlns="533d7803-0b09-441b-8841-a7d5d61164fa">
      <UserInfo>
        <DisplayName>Nneoma Oparah</DisplayName>
        <AccountId>317</AccountId>
        <AccountType/>
      </UserInfo>
      <UserInfo>
        <DisplayName>Gedaa Hassan</DisplayName>
        <AccountId>752</AccountId>
        <AccountType/>
      </UserInfo>
      <UserInfo>
        <DisplayName>Nadira Lotus</DisplayName>
        <AccountId>672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5168FB229E64BB02D823972441852" ma:contentTypeVersion="8" ma:contentTypeDescription="Create a new document." ma:contentTypeScope="" ma:versionID="930cde1784db80892a686ca36e180a82">
  <xsd:schema xmlns:xsd="http://www.w3.org/2001/XMLSchema" xmlns:xs="http://www.w3.org/2001/XMLSchema" xmlns:p="http://schemas.microsoft.com/office/2006/metadata/properties" xmlns:ns1="http://schemas.microsoft.com/sharepoint/v3" xmlns:ns2="98998320-5229-49fa-b545-1146fcc196c3" xmlns:ns3="7df48557-8e40-41cc-b42f-0234d1441c26" xmlns:ns4="533d7803-0b09-441b-8841-a7d5d61164fa" targetNamespace="http://schemas.microsoft.com/office/2006/metadata/properties" ma:root="true" ma:fieldsID="a2decff7a4d88684e1e04d71338e4e58" ns1:_="" ns2:_="" ns3:_="" ns4:_="">
    <xsd:import namespace="http://schemas.microsoft.com/sharepoint/v3"/>
    <xsd:import namespace="98998320-5229-49fa-b545-1146fcc196c3"/>
    <xsd:import namespace="7df48557-8e40-41cc-b42f-0234d1441c26"/>
    <xsd:import namespace="533d7803-0b09-441b-8841-a7d5d6116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8320-5229-49fa-b545-1146fcc19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8557-8e40-41cc-b42f-0234d144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7803-0b09-441b-8841-a7d5d6116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D0B19-D938-4802-9383-28F654A630FD}">
  <ds:schemaRefs>
    <ds:schemaRef ds:uri="http://schemas.microsoft.com/office/2006/metadata/properties"/>
    <ds:schemaRef ds:uri="http://schemas.microsoft.com/office/infopath/2007/PartnerControls"/>
    <ds:schemaRef ds:uri="98998320-5229-49fa-b545-1146fcc196c3"/>
    <ds:schemaRef ds:uri="533d7803-0b09-441b-8841-a7d5d61164f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7BDF46-C2A2-49C5-B0CE-B782C57F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36AD9-7C49-4C9F-8758-EEFFA6AB49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1F52C6-68E5-4D12-B750-4728A895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998320-5229-49fa-b545-1146fcc196c3"/>
    <ds:schemaRef ds:uri="7df48557-8e40-41cc-b42f-0234d1441c26"/>
    <ds:schemaRef ds:uri="533d7803-0b09-441b-8841-a7d5d6116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Gedaa Hassan</dc:creator>
  <cp:keywords/>
  <dc:description/>
  <cp:lastModifiedBy>Pablo Lopez</cp:lastModifiedBy>
  <cp:revision>7</cp:revision>
  <cp:lastPrinted>2026-02-23T12:17:00Z</cp:lastPrinted>
  <dcterms:created xsi:type="dcterms:W3CDTF">2026-02-25T16:25:00Z</dcterms:created>
  <dcterms:modified xsi:type="dcterms:W3CDTF">2026-02-25T21:41:00Z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0x010100A845168FB229E64BB02D823972441852</vt:lpwstr>
  </property>
  <property fmtid="{D5CDD505-2E9C-101B-9397-08002B2CF9AE}" pid="3" name="_dlc_DocIdItemGuid">
    <vt:lpwstr>449f7a72-25d5-43c5-bfd7-104e0d46ffec</vt:lpwstr>
  </property>
</Properties>
</file>