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B8D4" w14:textId="7140A925" w:rsidR="0005411A" w:rsidRPr="009461CC" w:rsidRDefault="0005411A" w:rsidP="00042B91">
      <w:pPr>
        <w:pStyle w:val="BodyText3"/>
        <w:spacing w:after="0" w:afterAutospacing="0"/>
        <w:rPr>
          <w:sz w:val="24"/>
        </w:rPr>
      </w:pPr>
    </w:p>
    <w:p w14:paraId="2D72A510" w14:textId="58A5ED92" w:rsidR="0005411A" w:rsidRPr="009461CC" w:rsidRDefault="00E91403" w:rsidP="00042B91">
      <w:pPr>
        <w:pStyle w:val="BodyText3"/>
        <w:spacing w:after="0" w:afterAutospacing="0"/>
      </w:pPr>
      <w:r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0C8B7" wp14:editId="0E54D40E">
                <wp:simplePos x="0" y="0"/>
                <wp:positionH relativeFrom="column">
                  <wp:posOffset>-191262</wp:posOffset>
                </wp:positionH>
                <wp:positionV relativeFrom="paragraph">
                  <wp:posOffset>68961</wp:posOffset>
                </wp:positionV>
                <wp:extent cx="6448425" cy="1291590"/>
                <wp:effectExtent l="25400" t="25400" r="41275" b="419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C1F47" w14:textId="77777777" w:rsidR="0005411A" w:rsidRPr="0070587B" w:rsidRDefault="006F0810" w:rsidP="006D00F2">
                            <w:pPr>
                              <w:pStyle w:val="Heading7"/>
                              <w:spacing w:after="0" w:afterAutospacing="0"/>
                              <w:rPr>
                                <w:sz w:val="32"/>
                                <w:szCs w:val="32"/>
                                <w:lang w:val="it-IT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lang w:val="it-IT"/>
                              </w:rPr>
                              <w:t>RIEPILOGO DELLA SICUREZZA E DELLE PRESTAZIONI CLINICHE (SSCP)</w:t>
                            </w:r>
                          </w:p>
                          <w:p w14:paraId="0E1996B2" w14:textId="77777777" w:rsidR="005D4A52" w:rsidRPr="0070587B" w:rsidRDefault="005D4A52" w:rsidP="006D00F2">
                            <w:pPr>
                              <w:pStyle w:val="Heading7"/>
                              <w:spacing w:after="0" w:afterAutospacing="0"/>
                              <w:rPr>
                                <w:sz w:val="32"/>
                                <w:szCs w:val="32"/>
                                <w:lang w:val="it-IT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lang w:val="it-IT"/>
                              </w:rPr>
                              <w:t>SSCP-0006</w:t>
                            </w:r>
                          </w:p>
                          <w:p w14:paraId="06B6F153" w14:textId="787D33F8" w:rsidR="005D4A52" w:rsidRPr="0070587B" w:rsidRDefault="00F1569C" w:rsidP="006D00F2">
                            <w:pPr>
                              <w:pStyle w:val="Heading7"/>
                              <w:spacing w:after="0" w:afterAutospacing="0"/>
                              <w:rPr>
                                <w:sz w:val="32"/>
                                <w:szCs w:val="32"/>
                                <w:lang w:val="it-IT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Kit per </w:t>
                            </w:r>
                            <w:r w:rsidR="004816EB">
                              <w:rPr>
                                <w:bCs/>
                                <w:sz w:val="32"/>
                                <w:szCs w:val="32"/>
                                <w:lang w:val="it-IT"/>
                              </w:rPr>
                              <w:t>Snare</w:t>
                            </w:r>
                            <w:r>
                              <w:rPr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 vascolare Atrieve</w:t>
                            </w:r>
                            <w:r>
                              <w:rPr>
                                <w:bCs/>
                                <w:sz w:val="32"/>
                                <w:szCs w:val="32"/>
                                <w:vertAlign w:val="superscript"/>
                                <w:lang w:val="it-IT"/>
                              </w:rPr>
                              <w:t>TM</w:t>
                            </w:r>
                          </w:p>
                          <w:p w14:paraId="3354BBA5" w14:textId="08AF297F" w:rsidR="005D4A52" w:rsidRPr="005B469C" w:rsidRDefault="005D4A52" w:rsidP="006D00F2">
                            <w:pPr>
                              <w:spacing w:after="0" w:afterAutospacing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DHF-82248</w:t>
                            </w:r>
                          </w:p>
                          <w:p w14:paraId="3CF39942" w14:textId="77777777" w:rsidR="0005411A" w:rsidRPr="00267292" w:rsidRDefault="0005411A" w:rsidP="009855C3"/>
                          <w:p w14:paraId="684B57C2" w14:textId="77777777" w:rsidR="0005411A" w:rsidRPr="00267292" w:rsidRDefault="0005411A" w:rsidP="009855C3">
                            <w:r>
                              <w:rPr>
                                <w:lang w:val="it-IT"/>
                              </w:rPr>
                              <w:t>[DATA]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0C8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05pt;margin-top:5.45pt;width:507.75pt;height:10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" strokeweight="4.5pt">
                <v:stroke linestyle="thinThick"/>
                <v:textbox>
                  <w:txbxContent>
                    <w:p w14:paraId="488C1F47" w14:textId="77777777" w:rsidR="0005411A" w:rsidRPr="0070587B" w:rsidRDefault="006F0810" w:rsidP="006D00F2">
                      <w:pPr>
                        <w:pStyle w:val="Heading7"/>
                        <w:spacing w:after="0" w:afterAutospacing="0"/>
                        <w:rPr>
                          <w:sz w:val="32"/>
                          <w:szCs w:val="32"/>
                          <w:lang w:val="it-IT"/>
                        </w:rPr>
                      </w:pPr>
                      <w:r>
                        <w:rPr>
                          <w:bCs/>
                          <w:sz w:val="32"/>
                          <w:szCs w:val="32"/>
                          <w:lang w:val="it-IT"/>
                        </w:rPr>
                        <w:t>RIEPILOGO DELLA SICUREZZA E DELLE PRESTAZIONI CLINICHE (SSCP)</w:t>
                      </w:r>
                    </w:p>
                    <w:p w14:paraId="0E1996B2" w14:textId="77777777" w:rsidR="005D4A52" w:rsidRPr="0070587B" w:rsidRDefault="005D4A52" w:rsidP="006D00F2">
                      <w:pPr>
                        <w:pStyle w:val="Heading7"/>
                        <w:spacing w:after="0" w:afterAutospacing="0"/>
                        <w:rPr>
                          <w:sz w:val="32"/>
                          <w:szCs w:val="32"/>
                          <w:lang w:val="it-IT"/>
                        </w:rPr>
                      </w:pPr>
                      <w:r>
                        <w:rPr>
                          <w:bCs/>
                          <w:sz w:val="32"/>
                          <w:szCs w:val="32"/>
                          <w:lang w:val="it-IT"/>
                        </w:rPr>
                        <w:t>SSCP-0006</w:t>
                      </w:r>
                    </w:p>
                    <w:p w14:paraId="06B6F153" w14:textId="787D33F8" w:rsidR="005D4A52" w:rsidRPr="0070587B" w:rsidRDefault="00F1569C" w:rsidP="006D00F2">
                      <w:pPr>
                        <w:pStyle w:val="Heading7"/>
                        <w:spacing w:after="0" w:afterAutospacing="0"/>
                        <w:rPr>
                          <w:sz w:val="32"/>
                          <w:szCs w:val="32"/>
                          <w:lang w:val="it-IT"/>
                        </w:rPr>
                      </w:pPr>
                      <w:r>
                        <w:rPr>
                          <w:bCs/>
                          <w:sz w:val="32"/>
                          <w:szCs w:val="32"/>
                          <w:lang w:val="it-IT"/>
                        </w:rPr>
                        <w:t xml:space="preserve">Kit per </w:t>
                      </w:r>
                      <w:r w:rsidR="004816EB">
                        <w:rPr>
                          <w:bCs/>
                          <w:sz w:val="32"/>
                          <w:szCs w:val="32"/>
                          <w:lang w:val="it-IT"/>
                        </w:rPr>
                        <w:t>Snare</w:t>
                      </w:r>
                      <w:r>
                        <w:rPr>
                          <w:bCs/>
                          <w:sz w:val="32"/>
                          <w:szCs w:val="32"/>
                          <w:lang w:val="it-IT"/>
                        </w:rPr>
                        <w:t xml:space="preserve"> vascolare Atrieve</w:t>
                      </w:r>
                      <w:r>
                        <w:rPr>
                          <w:bCs/>
                          <w:sz w:val="32"/>
                          <w:szCs w:val="32"/>
                          <w:vertAlign w:val="superscript"/>
                          <w:lang w:val="it-IT"/>
                        </w:rPr>
                        <w:t>TM</w:t>
                      </w:r>
                    </w:p>
                    <w:p w14:paraId="3354BBA5" w14:textId="08AF297F" w:rsidR="005D4A52" w:rsidRPr="005B469C" w:rsidRDefault="005D4A52" w:rsidP="006D00F2">
                      <w:pPr>
                        <w:spacing w:after="0" w:afterAutospacing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it-IT"/>
                        </w:rPr>
                        <w:t>DHF-82248</w:t>
                      </w:r>
                    </w:p>
                    <w:p w14:paraId="3CF39942" w14:textId="77777777" w:rsidR="0005411A" w:rsidRPr="00267292" w:rsidRDefault="0005411A" w:rsidP="009855C3"/>
                    <w:p w14:paraId="684B57C2" w14:textId="77777777" w:rsidR="0005411A" w:rsidRPr="00267292" w:rsidRDefault="0005411A" w:rsidP="009855C3">
                      <w:r>
                        <w:rPr>
                          <w:lang w:val="it-IT"/>
                        </w:rPr>
                        <w:t>[DATA]</w:t>
                      </w:r>
                    </w:p>
                  </w:txbxContent>
                </v:textbox>
              </v:shape>
            </w:pict>
          </mc:Fallback>
        </mc:AlternateContent>
      </w:r>
    </w:p>
    <w:p w14:paraId="22332CC2" w14:textId="77777777" w:rsidR="0005411A" w:rsidRPr="009461CC" w:rsidRDefault="0005411A" w:rsidP="00042B91">
      <w:pPr>
        <w:pStyle w:val="BodyText3"/>
        <w:spacing w:after="0" w:afterAutospacing="0"/>
      </w:pPr>
    </w:p>
    <w:p w14:paraId="2048CF11" w14:textId="77777777" w:rsidR="0005411A" w:rsidRPr="009461CC" w:rsidRDefault="0005411A" w:rsidP="00042B91">
      <w:pPr>
        <w:pStyle w:val="BodyText3"/>
        <w:spacing w:after="0" w:afterAutospacing="0"/>
      </w:pPr>
    </w:p>
    <w:p w14:paraId="243C88AF" w14:textId="77777777" w:rsidR="0005411A" w:rsidRPr="009461CC" w:rsidRDefault="0005411A" w:rsidP="00042B91">
      <w:pPr>
        <w:pStyle w:val="BodyText3"/>
        <w:spacing w:after="0" w:afterAutospacing="0"/>
      </w:pPr>
    </w:p>
    <w:p w14:paraId="41545C51" w14:textId="2690A02B" w:rsidR="0005411A" w:rsidRPr="009461CC" w:rsidRDefault="0005411A" w:rsidP="00042B91">
      <w:pPr>
        <w:spacing w:after="0" w:afterAutospacing="0" w:line="240" w:lineRule="auto"/>
        <w:rPr>
          <w:rFonts w:cs="Times New Roman"/>
        </w:rPr>
      </w:pPr>
    </w:p>
    <w:p w14:paraId="155D5FB3" w14:textId="51695512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50F16F2D" w14:textId="5942F0CE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781CF868" w14:textId="0A72AB5D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7525C55B" w14:textId="09737261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2CF7AE6F" w14:textId="1272C31A" w:rsidR="00E91403" w:rsidRPr="009461CC" w:rsidRDefault="00E91403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it-IT"/>
        </w:rPr>
        <w:t>Per la pubblicazione in Eudamed</w:t>
      </w:r>
    </w:p>
    <w:p w14:paraId="57B38593" w14:textId="77777777" w:rsidR="00E91403" w:rsidRPr="009461CC" w:rsidRDefault="00E91403" w:rsidP="00042B91">
      <w:pPr>
        <w:spacing w:after="0" w:afterAutospacing="0" w:line="240" w:lineRule="auto"/>
        <w:rPr>
          <w:rFonts w:cs="Times New Roman"/>
        </w:rPr>
      </w:pPr>
    </w:p>
    <w:tbl>
      <w:tblPr>
        <w:tblW w:w="9949" w:type="dxa"/>
        <w:tblInd w:w="-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56"/>
        <w:gridCol w:w="2137"/>
        <w:gridCol w:w="6556"/>
      </w:tblGrid>
      <w:tr w:rsidR="00E91403" w:rsidRPr="009461CC" w14:paraId="481127A2" w14:textId="77777777" w:rsidTr="00E91403">
        <w:tc>
          <w:tcPr>
            <w:tcW w:w="1125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164CC73A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it-IT"/>
              </w:rPr>
              <w:t>RUOLO</w:t>
            </w:r>
          </w:p>
        </w:tc>
        <w:tc>
          <w:tcPr>
            <w:tcW w:w="1305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1A83C01C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it-IT"/>
              </w:rPr>
              <w:t>DIPARTIMENTO</w:t>
            </w:r>
          </w:p>
        </w:tc>
        <w:tc>
          <w:tcPr>
            <w:tcW w:w="7519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4B6DA2F3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it-IT"/>
              </w:rPr>
              <w:t>NOME/QUALIFICA</w:t>
            </w:r>
          </w:p>
        </w:tc>
      </w:tr>
      <w:tr w:rsidR="006E0847" w:rsidRPr="0070587B" w14:paraId="45F6CF0D" w14:textId="77777777" w:rsidTr="008E1D43">
        <w:trPr>
          <w:trHeight w:val="582"/>
        </w:trPr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14:paraId="552A4625" w14:textId="77777777" w:rsidR="006E0847" w:rsidRPr="009461CC" w:rsidRDefault="006E0847" w:rsidP="006E084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it-IT"/>
              </w:rPr>
              <w:t>Preparato da</w:t>
            </w:r>
          </w:p>
        </w:tc>
        <w:tc>
          <w:tcPr>
            <w:tcW w:w="1305" w:type="dxa"/>
            <w:tcBorders>
              <w:top w:val="double" w:sz="4" w:space="0" w:color="auto"/>
            </w:tcBorders>
          </w:tcPr>
          <w:p w14:paraId="51D1E08B" w14:textId="5374772E" w:rsidR="006E0847" w:rsidRPr="009461CC" w:rsidRDefault="006E0847" w:rsidP="006E08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t-IT"/>
              </w:rPr>
              <w:t>Affari normativi</w:t>
            </w:r>
          </w:p>
        </w:tc>
        <w:tc>
          <w:tcPr>
            <w:tcW w:w="7519" w:type="dxa"/>
            <w:tcBorders>
              <w:top w:val="double" w:sz="4" w:space="0" w:color="auto"/>
            </w:tcBorders>
          </w:tcPr>
          <w:p w14:paraId="360D10DB" w14:textId="77777777" w:rsidR="006E0847" w:rsidRPr="0070587B" w:rsidRDefault="006E0847" w:rsidP="006E0847">
            <w:pPr>
              <w:spacing w:after="0" w:afterAutospacing="0"/>
              <w:jc w:val="center"/>
              <w:rPr>
                <w:rFonts w:cs="Times New Roman"/>
                <w:szCs w:val="24"/>
                <w:lang w:val="it-IT"/>
              </w:rPr>
            </w:pPr>
            <w:r>
              <w:rPr>
                <w:rFonts w:cs="Times New Roman"/>
                <w:szCs w:val="24"/>
                <w:lang w:val="it-IT"/>
              </w:rPr>
              <w:t>Nadira Lotus</w:t>
            </w:r>
          </w:p>
          <w:p w14:paraId="7BA00BEF" w14:textId="2E4C5FAD" w:rsidR="006E0847" w:rsidRPr="0070587B" w:rsidRDefault="006E0847" w:rsidP="006E0847">
            <w:pPr>
              <w:jc w:val="center"/>
              <w:rPr>
                <w:rFonts w:cs="Times New Roman"/>
                <w:szCs w:val="24"/>
                <w:lang w:val="it-IT"/>
              </w:rPr>
            </w:pPr>
            <w:r>
              <w:rPr>
                <w:rFonts w:cs="Times New Roman"/>
                <w:szCs w:val="24"/>
                <w:lang w:val="it-IT"/>
              </w:rPr>
              <w:t>Responsabile del Controllo postcommercializzazione</w:t>
            </w:r>
          </w:p>
        </w:tc>
      </w:tr>
    </w:tbl>
    <w:p w14:paraId="45EA3393" w14:textId="77777777" w:rsidR="00E91403" w:rsidRPr="0070587B" w:rsidRDefault="00E91403" w:rsidP="00E91403">
      <w:pPr>
        <w:jc w:val="center"/>
        <w:rPr>
          <w:rFonts w:cs="Times New Roman"/>
          <w:b/>
          <w:lang w:val="it-IT"/>
        </w:rPr>
      </w:pPr>
    </w:p>
    <w:p w14:paraId="3ADE6C89" w14:textId="0496458B" w:rsidR="00E91403" w:rsidRPr="0070587B" w:rsidRDefault="00E91403" w:rsidP="00E91403">
      <w:pPr>
        <w:tabs>
          <w:tab w:val="center" w:pos="5220"/>
          <w:tab w:val="right" w:pos="10440"/>
        </w:tabs>
        <w:rPr>
          <w:rFonts w:cs="Times New Roman"/>
          <w:b/>
          <w:lang w:val="it-IT"/>
        </w:rPr>
      </w:pPr>
      <w:r>
        <w:rPr>
          <w:rFonts w:cs="Times New Roman"/>
          <w:lang w:val="it-IT"/>
        </w:rPr>
        <w:tab/>
      </w:r>
      <w:r>
        <w:rPr>
          <w:rFonts w:cs="Times New Roman"/>
          <w:b/>
          <w:bCs/>
          <w:lang w:val="it-IT"/>
        </w:rPr>
        <w:t>Pagina di autorizzazione alla firma</w:t>
      </w:r>
      <w:r>
        <w:rPr>
          <w:rFonts w:cs="Times New Roman"/>
          <w:lang w:val="it-IT"/>
        </w:rPr>
        <w:tab/>
      </w:r>
    </w:p>
    <w:p w14:paraId="01F684E3" w14:textId="77777777" w:rsidR="00E91403" w:rsidRPr="0070587B" w:rsidRDefault="00E91403" w:rsidP="00E91403">
      <w:pPr>
        <w:spacing w:after="60"/>
        <w:ind w:right="274"/>
        <w:rPr>
          <w:rFonts w:cs="Times New Roman"/>
          <w:sz w:val="20"/>
          <w:szCs w:val="20"/>
          <w:lang w:val="it-IT"/>
        </w:rPr>
      </w:pPr>
      <w:r>
        <w:rPr>
          <w:rFonts w:cs="Times New Roman"/>
          <w:sz w:val="20"/>
          <w:szCs w:val="20"/>
          <w:lang w:val="it-IT"/>
        </w:rPr>
        <w:t>Il presente documento deve essere esaminato e approvato da tutti gli individui menzionati di seguito o dai relativi rappresentanti autorizzati.</w:t>
      </w:r>
    </w:p>
    <w:tbl>
      <w:tblPr>
        <w:tblW w:w="9949" w:type="dxa"/>
        <w:tblInd w:w="-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56"/>
        <w:gridCol w:w="2137"/>
        <w:gridCol w:w="6156"/>
      </w:tblGrid>
      <w:tr w:rsidR="00E91403" w:rsidRPr="009461CC" w14:paraId="0DB197AA" w14:textId="77777777" w:rsidTr="00E91403">
        <w:trPr>
          <w:trHeight w:val="279"/>
        </w:trPr>
        <w:tc>
          <w:tcPr>
            <w:tcW w:w="1125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6954A605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it-IT"/>
              </w:rPr>
              <w:t>RUOLO</w:t>
            </w:r>
          </w:p>
        </w:tc>
        <w:tc>
          <w:tcPr>
            <w:tcW w:w="1305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6F71F870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it-IT"/>
              </w:rPr>
              <w:t>DIPARTIMENTO</w:t>
            </w:r>
          </w:p>
        </w:tc>
        <w:tc>
          <w:tcPr>
            <w:tcW w:w="7519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0254E3BE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it-IT"/>
              </w:rPr>
              <w:t>NOME/QUALIFICA</w:t>
            </w:r>
          </w:p>
        </w:tc>
      </w:tr>
      <w:tr w:rsidR="00386F47" w:rsidRPr="0070587B" w14:paraId="658FB919" w14:textId="77777777" w:rsidTr="00E91403">
        <w:trPr>
          <w:trHeight w:val="606"/>
        </w:trPr>
        <w:tc>
          <w:tcPr>
            <w:tcW w:w="1125" w:type="dxa"/>
            <w:vAlign w:val="center"/>
          </w:tcPr>
          <w:p w14:paraId="41D60951" w14:textId="77777777" w:rsidR="00386F47" w:rsidRPr="009461CC" w:rsidRDefault="00386F47" w:rsidP="00386F4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it-IT"/>
              </w:rPr>
              <w:t>Approvazione</w:t>
            </w:r>
          </w:p>
        </w:tc>
        <w:tc>
          <w:tcPr>
            <w:tcW w:w="1305" w:type="dxa"/>
            <w:vAlign w:val="center"/>
          </w:tcPr>
          <w:p w14:paraId="4B304E07" w14:textId="2D98EABD" w:rsidR="00386F47" w:rsidRPr="009461CC" w:rsidRDefault="00386F47" w:rsidP="00386F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t-IT"/>
              </w:rPr>
              <w:t>Affari clinici</w:t>
            </w:r>
          </w:p>
        </w:tc>
        <w:tc>
          <w:tcPr>
            <w:tcW w:w="7519" w:type="dxa"/>
            <w:vAlign w:val="center"/>
          </w:tcPr>
          <w:p w14:paraId="613876EC" w14:textId="77777777" w:rsidR="00386F47" w:rsidRPr="0070587B" w:rsidRDefault="00386F47" w:rsidP="00386F47">
            <w:pPr>
              <w:spacing w:after="0" w:afterAutospacing="0"/>
              <w:jc w:val="center"/>
              <w:rPr>
                <w:rFonts w:cs="Times New Roman"/>
                <w:szCs w:val="24"/>
                <w:lang w:val="it-IT"/>
              </w:rPr>
            </w:pPr>
            <w:r>
              <w:rPr>
                <w:rFonts w:cs="Times New Roman"/>
                <w:szCs w:val="24"/>
                <w:lang w:val="it-IT"/>
              </w:rPr>
              <w:t>Daniel Carr</w:t>
            </w:r>
          </w:p>
          <w:p w14:paraId="172E4813" w14:textId="2E4F9175" w:rsidR="00386F47" w:rsidRPr="0070587B" w:rsidRDefault="00E03D31" w:rsidP="00386F47">
            <w:pPr>
              <w:jc w:val="center"/>
              <w:rPr>
                <w:rFonts w:cs="Times New Roman"/>
                <w:szCs w:val="24"/>
                <w:lang w:val="it-IT"/>
              </w:rPr>
            </w:pPr>
            <w:r>
              <w:rPr>
                <w:rFonts w:cs="Times New Roman"/>
                <w:szCs w:val="24"/>
                <w:lang w:val="it-IT"/>
              </w:rPr>
              <w:t>Direttore senior, Affari clinici</w:t>
            </w:r>
          </w:p>
        </w:tc>
      </w:tr>
      <w:tr w:rsidR="00386F47" w:rsidRPr="0070587B" w14:paraId="526E9923" w14:textId="77777777" w:rsidTr="00E91403">
        <w:trPr>
          <w:trHeight w:val="624"/>
        </w:trPr>
        <w:tc>
          <w:tcPr>
            <w:tcW w:w="1125" w:type="dxa"/>
            <w:vAlign w:val="center"/>
          </w:tcPr>
          <w:p w14:paraId="55BCD6C3" w14:textId="77777777" w:rsidR="00386F47" w:rsidRPr="009461CC" w:rsidRDefault="00386F47" w:rsidP="00386F4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it-IT"/>
              </w:rPr>
              <w:t>Approvazione</w:t>
            </w:r>
          </w:p>
        </w:tc>
        <w:tc>
          <w:tcPr>
            <w:tcW w:w="1305" w:type="dxa"/>
            <w:vAlign w:val="center"/>
          </w:tcPr>
          <w:p w14:paraId="4887D925" w14:textId="1B032CD4" w:rsidR="00386F47" w:rsidRPr="009461CC" w:rsidRDefault="00386F47" w:rsidP="00386F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t-IT"/>
              </w:rPr>
              <w:t xml:space="preserve">Qualità </w:t>
            </w:r>
          </w:p>
        </w:tc>
        <w:tc>
          <w:tcPr>
            <w:tcW w:w="7519" w:type="dxa"/>
            <w:vAlign w:val="center"/>
          </w:tcPr>
          <w:p w14:paraId="3D954801" w14:textId="77777777" w:rsidR="00F07DD1" w:rsidRPr="0070587B" w:rsidRDefault="00F07DD1" w:rsidP="004065D7">
            <w:pPr>
              <w:spacing w:after="0" w:afterAutospacing="0"/>
              <w:jc w:val="center"/>
              <w:rPr>
                <w:rFonts w:cs="Times New Roman"/>
                <w:szCs w:val="24"/>
                <w:lang w:val="it-IT"/>
              </w:rPr>
            </w:pPr>
            <w:r>
              <w:rPr>
                <w:rFonts w:cs="Times New Roman"/>
                <w:szCs w:val="24"/>
                <w:lang w:val="it-IT"/>
              </w:rPr>
              <w:t xml:space="preserve">James Stephens </w:t>
            </w:r>
          </w:p>
          <w:p w14:paraId="1EA24645" w14:textId="5BC698A1" w:rsidR="00386F47" w:rsidRPr="0070587B" w:rsidRDefault="00547353" w:rsidP="004065D7">
            <w:pPr>
              <w:spacing w:after="0" w:afterAutospacing="0"/>
              <w:jc w:val="center"/>
              <w:rPr>
                <w:rFonts w:cs="Times New Roman"/>
                <w:szCs w:val="24"/>
                <w:lang w:val="it-IT"/>
              </w:rPr>
            </w:pPr>
            <w:r>
              <w:rPr>
                <w:rFonts w:cs="Times New Roman"/>
                <w:szCs w:val="24"/>
                <w:lang w:val="it-IT"/>
              </w:rPr>
              <w:t>Direttore senior, Operazioni Qualità</w:t>
            </w:r>
          </w:p>
        </w:tc>
      </w:tr>
      <w:tr w:rsidR="00386F47" w:rsidRPr="0070587B" w14:paraId="01329AB2" w14:textId="77777777" w:rsidTr="00E91403">
        <w:trPr>
          <w:trHeight w:val="624"/>
        </w:trPr>
        <w:tc>
          <w:tcPr>
            <w:tcW w:w="1125" w:type="dxa"/>
            <w:vAlign w:val="center"/>
          </w:tcPr>
          <w:p w14:paraId="77F5A5E8" w14:textId="77777777" w:rsidR="00386F47" w:rsidRPr="009461CC" w:rsidRDefault="00386F47" w:rsidP="00386F4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it-IT"/>
              </w:rPr>
              <w:t>Approvazione</w:t>
            </w:r>
          </w:p>
        </w:tc>
        <w:tc>
          <w:tcPr>
            <w:tcW w:w="1305" w:type="dxa"/>
            <w:vAlign w:val="center"/>
          </w:tcPr>
          <w:p w14:paraId="25EABF73" w14:textId="63DB84E6" w:rsidR="00386F47" w:rsidRPr="009461CC" w:rsidRDefault="00386F47" w:rsidP="00386F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t-IT"/>
              </w:rPr>
              <w:t xml:space="preserve">Regolamentazione </w:t>
            </w:r>
          </w:p>
        </w:tc>
        <w:tc>
          <w:tcPr>
            <w:tcW w:w="7519" w:type="dxa"/>
            <w:vAlign w:val="center"/>
          </w:tcPr>
          <w:p w14:paraId="7676555E" w14:textId="77777777" w:rsidR="00386F47" w:rsidRPr="0070587B" w:rsidRDefault="00386F47" w:rsidP="00386F47">
            <w:pPr>
              <w:spacing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val="it-IT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val="it-IT"/>
              </w:rPr>
              <w:t>Scott Bishop</w:t>
            </w:r>
          </w:p>
          <w:p w14:paraId="39BF7685" w14:textId="4DD9DE97" w:rsidR="00386F47" w:rsidRPr="0070587B" w:rsidRDefault="00E950A1" w:rsidP="00386F47">
            <w:pPr>
              <w:jc w:val="center"/>
              <w:rPr>
                <w:rFonts w:cs="Times New Roman"/>
                <w:szCs w:val="24"/>
                <w:lang w:val="it-IT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val="it-IT"/>
              </w:rPr>
              <w:t>Vicepresidente, RA globale e QA</w:t>
            </w:r>
          </w:p>
        </w:tc>
      </w:tr>
    </w:tbl>
    <w:p w14:paraId="51DA0A01" w14:textId="5402C604" w:rsidR="00E91403" w:rsidRPr="009461CC" w:rsidRDefault="00E91403" w:rsidP="00E91403">
      <w:pPr>
        <w:jc w:val="center"/>
        <w:rPr>
          <w:rFonts w:cs="Times New Roman"/>
          <w:b/>
        </w:rPr>
      </w:pPr>
      <w:r>
        <w:rPr>
          <w:rFonts w:cs="Times New Roman"/>
          <w:b/>
          <w:bCs/>
          <w:lang w:val="it-IT"/>
        </w:rPr>
        <w:t>Cronologia delle revisioni</w:t>
      </w:r>
    </w:p>
    <w:tbl>
      <w:tblPr>
        <w:tblW w:w="97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13"/>
        <w:gridCol w:w="1310"/>
        <w:gridCol w:w="1141"/>
        <w:gridCol w:w="4357"/>
        <w:gridCol w:w="1766"/>
      </w:tblGrid>
      <w:tr w:rsidR="00E91403" w:rsidRPr="009461CC" w14:paraId="38F29FD4" w14:textId="77777777" w:rsidTr="00740900">
        <w:tc>
          <w:tcPr>
            <w:tcW w:w="1214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34BEB815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it-IT"/>
              </w:rPr>
              <w:t>Revisione</w:t>
            </w:r>
          </w:p>
        </w:tc>
        <w:tc>
          <w:tcPr>
            <w:tcW w:w="1128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13A8D0CD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it-IT"/>
              </w:rPr>
              <w:t>Data</w:t>
            </w:r>
          </w:p>
        </w:tc>
        <w:tc>
          <w:tcPr>
            <w:tcW w:w="1150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4E5F13C6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it-IT"/>
              </w:rPr>
              <w:t>Sezioni</w:t>
            </w:r>
          </w:p>
        </w:tc>
        <w:tc>
          <w:tcPr>
            <w:tcW w:w="4496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308681D3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it-IT"/>
              </w:rPr>
              <w:t>Descrizione della revisione</w:t>
            </w:r>
          </w:p>
        </w:tc>
        <w:tc>
          <w:tcPr>
            <w:tcW w:w="1799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332F4EE6" w14:textId="77777777" w:rsidR="00E91403" w:rsidRPr="009461CC" w:rsidRDefault="00E91403" w:rsidP="00842611">
            <w:pPr>
              <w:tabs>
                <w:tab w:val="left" w:pos="465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it-IT"/>
              </w:rPr>
              <w:t>N. richiesta di modifica</w:t>
            </w:r>
          </w:p>
        </w:tc>
      </w:tr>
      <w:tr w:rsidR="00740900" w:rsidRPr="009461CC" w14:paraId="47D66140" w14:textId="77777777" w:rsidTr="00740900">
        <w:tc>
          <w:tcPr>
            <w:tcW w:w="1214" w:type="dxa"/>
            <w:tcBorders>
              <w:top w:val="double" w:sz="4" w:space="0" w:color="auto"/>
              <w:bottom w:val="single" w:sz="4" w:space="0" w:color="auto"/>
            </w:tcBorders>
          </w:tcPr>
          <w:p w14:paraId="4EEA4C6D" w14:textId="5A95910B" w:rsidR="00740900" w:rsidRPr="009461CC" w:rsidRDefault="00740900" w:rsidP="0074090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t-IT"/>
              </w:rPr>
              <w:t>A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</w:tcPr>
          <w:p w14:paraId="0D82C539" w14:textId="6206AFE6" w:rsidR="00740900" w:rsidRPr="009461CC" w:rsidRDefault="00740900" w:rsidP="0074090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t-IT"/>
              </w:rPr>
              <w:t>22/05/2022</w:t>
            </w:r>
          </w:p>
        </w:tc>
        <w:tc>
          <w:tcPr>
            <w:tcW w:w="1150" w:type="dxa"/>
            <w:tcBorders>
              <w:top w:val="double" w:sz="4" w:space="0" w:color="auto"/>
              <w:bottom w:val="single" w:sz="4" w:space="0" w:color="auto"/>
            </w:tcBorders>
          </w:tcPr>
          <w:p w14:paraId="6CD4C417" w14:textId="536D40E4" w:rsidR="00740900" w:rsidRPr="009461CC" w:rsidRDefault="00740900" w:rsidP="0074090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t-IT"/>
              </w:rPr>
              <w:t>Tutti</w:t>
            </w:r>
          </w:p>
        </w:tc>
        <w:tc>
          <w:tcPr>
            <w:tcW w:w="4496" w:type="dxa"/>
            <w:tcBorders>
              <w:top w:val="double" w:sz="4" w:space="0" w:color="auto"/>
              <w:bottom w:val="single" w:sz="4" w:space="0" w:color="auto"/>
            </w:tcBorders>
          </w:tcPr>
          <w:p w14:paraId="3973A2E3" w14:textId="3D8B33BA" w:rsidR="00740900" w:rsidRPr="009461CC" w:rsidRDefault="00740900" w:rsidP="007409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t-IT"/>
              </w:rPr>
              <w:t>Rapporto iniziale solo per uso interno</w:t>
            </w:r>
          </w:p>
        </w:tc>
        <w:tc>
          <w:tcPr>
            <w:tcW w:w="1799" w:type="dxa"/>
            <w:tcBorders>
              <w:top w:val="double" w:sz="4" w:space="0" w:color="auto"/>
              <w:bottom w:val="single" w:sz="4" w:space="0" w:color="auto"/>
            </w:tcBorders>
          </w:tcPr>
          <w:p w14:paraId="243CB41C" w14:textId="62833BA2" w:rsidR="00740900" w:rsidRPr="009461CC" w:rsidRDefault="00740900" w:rsidP="007409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t-IT"/>
              </w:rPr>
              <w:t>N/D</w:t>
            </w:r>
          </w:p>
        </w:tc>
      </w:tr>
      <w:tr w:rsidR="00923982" w:rsidRPr="009461CC" w14:paraId="495D8A1C" w14:textId="77777777" w:rsidTr="00740900">
        <w:tc>
          <w:tcPr>
            <w:tcW w:w="1214" w:type="dxa"/>
            <w:tcBorders>
              <w:top w:val="single" w:sz="4" w:space="0" w:color="auto"/>
              <w:bottom w:val="single" w:sz="12" w:space="0" w:color="auto"/>
            </w:tcBorders>
          </w:tcPr>
          <w:p w14:paraId="065DAE3E" w14:textId="16DC1CE4" w:rsidR="00923982" w:rsidRPr="009461CC" w:rsidRDefault="00923982" w:rsidP="009239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t-IT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12" w:space="0" w:color="auto"/>
            </w:tcBorders>
          </w:tcPr>
          <w:p w14:paraId="52F239C5" w14:textId="69AD5128" w:rsidR="00923982" w:rsidRPr="009461CC" w:rsidRDefault="006F76E2" w:rsidP="009239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t-IT"/>
              </w:rPr>
              <w:t>15/12/2025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12" w:space="0" w:color="auto"/>
            </w:tcBorders>
          </w:tcPr>
          <w:p w14:paraId="319F0BB7" w14:textId="488E18A0" w:rsidR="00923982" w:rsidRPr="009461CC" w:rsidRDefault="00923982" w:rsidP="009239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t-IT"/>
              </w:rPr>
              <w:t>Tutti</w:t>
            </w:r>
          </w:p>
        </w:tc>
        <w:tc>
          <w:tcPr>
            <w:tcW w:w="4496" w:type="dxa"/>
            <w:tcBorders>
              <w:top w:val="single" w:sz="4" w:space="0" w:color="auto"/>
              <w:bottom w:val="single" w:sz="12" w:space="0" w:color="auto"/>
            </w:tcBorders>
          </w:tcPr>
          <w:p w14:paraId="3D913A75" w14:textId="09B5D375" w:rsidR="00923982" w:rsidRPr="009461CC" w:rsidRDefault="0080432B" w:rsidP="0092398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t-IT"/>
              </w:rPr>
              <w:t>Presentazione dell'MDR UE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12" w:space="0" w:color="auto"/>
            </w:tcBorders>
          </w:tcPr>
          <w:p w14:paraId="077C5F38" w14:textId="76003B93" w:rsidR="00923982" w:rsidRPr="009461CC" w:rsidRDefault="008735FE" w:rsidP="0092398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it-IT"/>
              </w:rPr>
              <w:t>07919</w:t>
            </w:r>
          </w:p>
        </w:tc>
      </w:tr>
    </w:tbl>
    <w:p w14:paraId="5C951A98" w14:textId="6A651DC3" w:rsidR="0005411A" w:rsidRPr="009461CC" w:rsidRDefault="00E91403" w:rsidP="00E91403">
      <w:pPr>
        <w:jc w:val="center"/>
        <w:rPr>
          <w:rFonts w:cs="Times New Roman"/>
        </w:rPr>
      </w:pPr>
      <w:r>
        <w:rPr>
          <w:rFonts w:cs="Times New Roman"/>
          <w:i/>
          <w:iCs/>
          <w:lang w:val="it-IT"/>
        </w:rPr>
        <w:t>Nota: le approvazioni verranno acquisite tramite la richiesta di modifica associata.</w:t>
      </w:r>
    </w:p>
    <w:p w14:paraId="700C8B5F" w14:textId="34A53550" w:rsidR="006F0810" w:rsidRPr="009461CC" w:rsidRDefault="0005411A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szCs w:val="24"/>
          <w:lang w:val="it-IT"/>
        </w:rPr>
        <w:br w:type="page"/>
      </w:r>
      <w:r>
        <w:rPr>
          <w:rFonts w:cs="Times New Roman"/>
          <w:lang w:val="it-IT"/>
        </w:rPr>
        <w:lastRenderedPageBreak/>
        <w:t>Indice</w:t>
      </w:r>
    </w:p>
    <w:p w14:paraId="225F771D" w14:textId="372E78B4" w:rsidR="0070587B" w:rsidRDefault="006F0810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r>
        <w:rPr>
          <w:lang w:val="it-IT"/>
        </w:rPr>
        <w:fldChar w:fldCharType="begin"/>
      </w:r>
      <w:r>
        <w:instrText xml:space="preserve"> TOC \o "1-3" \h \z \u </w:instrText>
      </w:r>
      <w:r>
        <w:fldChar w:fldCharType="separate"/>
      </w:r>
      <w:hyperlink w:anchor="_Toc222741484" w:history="1">
        <w:r w:rsidR="0070587B" w:rsidRPr="00E5181A">
          <w:rPr>
            <w:rStyle w:val="Hyperlink"/>
            <w:noProof/>
          </w:rPr>
          <w:t>1.</w:t>
        </w:r>
        <w:r w:rsidR="0070587B"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="0070587B" w:rsidRPr="00E5181A">
          <w:rPr>
            <w:rStyle w:val="Hyperlink"/>
            <w:bCs/>
            <w:noProof/>
            <w:lang w:val="it-IT"/>
          </w:rPr>
          <w:t>Campo di applicazione del presente Riepilogo della sicurezza e delle prestazioni cliniche (SSCP):</w:t>
        </w:r>
        <w:r w:rsidR="0070587B">
          <w:rPr>
            <w:noProof/>
            <w:webHidden/>
          </w:rPr>
          <w:tab/>
        </w:r>
        <w:r w:rsidR="0070587B">
          <w:rPr>
            <w:noProof/>
            <w:webHidden/>
          </w:rPr>
          <w:fldChar w:fldCharType="begin"/>
        </w:r>
        <w:r w:rsidR="0070587B">
          <w:rPr>
            <w:noProof/>
            <w:webHidden/>
          </w:rPr>
          <w:instrText xml:space="preserve"> PAGEREF _Toc222741484 \h </w:instrText>
        </w:r>
        <w:r w:rsidR="0070587B">
          <w:rPr>
            <w:noProof/>
            <w:webHidden/>
          </w:rPr>
        </w:r>
        <w:r w:rsidR="0070587B"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3</w:t>
        </w:r>
        <w:r w:rsidR="0070587B">
          <w:rPr>
            <w:noProof/>
            <w:webHidden/>
          </w:rPr>
          <w:fldChar w:fldCharType="end"/>
        </w:r>
      </w:hyperlink>
    </w:p>
    <w:p w14:paraId="43695F23" w14:textId="1DDF7B2B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85" w:history="1">
        <w:r w:rsidRPr="00E5181A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Nome commerciale del dispositivo: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73A61F" w14:textId="00A6EACD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86" w:history="1">
        <w:r w:rsidRPr="00E5181A">
          <w:rPr>
            <w:rStyle w:val="Hyperlink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Descrizione del dispositivo, UDI-DI di base e classificazione UE: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BB8B606" w14:textId="3E0807B4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87" w:history="1">
        <w:r w:rsidRPr="00E5181A">
          <w:rPr>
            <w:rStyle w:val="Hyperlink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Anno in cui è stato rilasciato il primo certificato (CE) relativo al dispositivo: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82BD7F3" w14:textId="3B900822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88" w:history="1">
        <w:r w:rsidRPr="00E5181A">
          <w:rPr>
            <w:rStyle w:val="Hyperlink"/>
            <w:noProof/>
          </w:rPr>
          <w:t>1.4.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Nome, indirizzo e SRN del produttore: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0861F8" w14:textId="29E5999B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89" w:history="1">
        <w:r w:rsidRPr="00E5181A">
          <w:rPr>
            <w:rStyle w:val="Hyperlink"/>
            <w:noProof/>
          </w:rPr>
          <w:t>1.5.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Nome del rappresentante autorizzato e SRN: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DA30EA8" w14:textId="6079C750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90" w:history="1">
        <w:r w:rsidRPr="00E5181A">
          <w:rPr>
            <w:rStyle w:val="Hyperlink"/>
            <w:noProof/>
          </w:rPr>
          <w:t>1.6.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Nome e numero di identificazione unico dell’organismo notificato: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3761946" w14:textId="43A10B2B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91" w:history="1">
        <w:r w:rsidRPr="00E5181A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Uso previsto/Scopo del dispositivo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4B46EE4" w14:textId="00B6CF59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92" w:history="1">
        <w:r w:rsidRPr="00E5181A">
          <w:rPr>
            <w:rStyle w:val="Hyperlink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Scopo previsto/Indicazioni per l'uso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90F0036" w14:textId="4627DBD5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93" w:history="1">
        <w:r w:rsidRPr="00E5181A">
          <w:rPr>
            <w:rStyle w:val="Hyperlink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Indicazioni per l'uso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F87FA39" w14:textId="06AED48B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94" w:history="1">
        <w:r w:rsidRPr="00E5181A">
          <w:rPr>
            <w:rStyle w:val="Hyperlink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Popolazione destinataria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E97380C" w14:textId="6EB6F22C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95" w:history="1">
        <w:r w:rsidRPr="00E5181A">
          <w:rPr>
            <w:rStyle w:val="Hyperlink"/>
            <w:noProof/>
          </w:rPr>
          <w:t>2.4.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Controindicazioni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4DE7F2" w14:textId="62B1E3FB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96" w:history="1">
        <w:r w:rsidRPr="00E5181A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Descrizione del dispositivo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9C8029B" w14:textId="2B999378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97" w:history="1">
        <w:r w:rsidRPr="00E5181A">
          <w:rPr>
            <w:rStyle w:val="Hyperlink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Descrizione del dispositivo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18F065" w14:textId="53777B15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98" w:history="1">
        <w:r w:rsidRPr="00E5181A">
          <w:rPr>
            <w:rStyle w:val="Hyperlink"/>
            <w:noProof/>
          </w:rPr>
          <w:t>3.2.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Varianti precedenti e relative differenze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CCAFE61" w14:textId="52DD0979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499" w:history="1">
        <w:r w:rsidRPr="00E5181A">
          <w:rPr>
            <w:rStyle w:val="Hyperlink"/>
            <w:noProof/>
          </w:rPr>
          <w:t>3.3.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Accessori, dispositivi compatibili e altri prodotti utilizzati in combinazione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28D7EBE" w14:textId="05B45A37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00" w:history="1">
        <w:r w:rsidRPr="00E5181A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Rischi e avvertenze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9441F01" w14:textId="54C60E97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01" w:history="1">
        <w:r w:rsidRPr="00E5181A">
          <w:rPr>
            <w:rStyle w:val="Hyperlink"/>
            <w:noProof/>
          </w:rPr>
          <w:t>4.1.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Rischi residui ed effetti collaterali indesiderati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5665D5A" w14:textId="741218F0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02" w:history="1">
        <w:r w:rsidRPr="00E5181A">
          <w:rPr>
            <w:rStyle w:val="Hyperlink"/>
            <w:noProof/>
          </w:rPr>
          <w:t>4.2.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Avvertenze e precauzioni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318266F" w14:textId="25516E87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03" w:history="1">
        <w:r w:rsidRPr="00E5181A">
          <w:rPr>
            <w:rStyle w:val="Hyperlink"/>
            <w:noProof/>
          </w:rPr>
          <w:t>4.3.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Altri aspetti rilevanti della sicurezza, tra cui un riepilogo di eventuali azioni pratiche correttive per la sicurezza (FSCA, tra cui FSN) se pertinente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087108B" w14:textId="588A7D3A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04" w:history="1">
        <w:r w:rsidRPr="00E5181A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Riepilogo della valutazione clinica e del followup clinico postcommercializzazione (PMCF)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8928262" w14:textId="2AFCBDE3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05" w:history="1">
        <w:r w:rsidRPr="00E5181A">
          <w:rPr>
            <w:rStyle w:val="Hyperlink"/>
            <w:noProof/>
          </w:rPr>
          <w:t>5.1.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Riepilogo dei dati clinici relativi al dispositivo equivalente, se pertinente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7A0CAEF" w14:textId="480A2FAB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06" w:history="1">
        <w:r w:rsidRPr="00E5181A">
          <w:rPr>
            <w:rStyle w:val="Hyperlink"/>
            <w:noProof/>
          </w:rPr>
          <w:t>5.2.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Riepilogo dei dati clinici dalle indagini condotte sul dispositivo prima della marcatura CE, se pertinente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E960ACA" w14:textId="528BD9C8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07" w:history="1">
        <w:r w:rsidRPr="00E5181A">
          <w:rPr>
            <w:rStyle w:val="Hyperlink"/>
            <w:noProof/>
          </w:rPr>
          <w:t>5.3.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Riepilogo dei dati clinici da altre fonti, se pertinente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D28CAA9" w14:textId="4C35754A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08" w:history="1">
        <w:r w:rsidRPr="00E5181A">
          <w:rPr>
            <w:rStyle w:val="Hyperlink"/>
            <w:noProof/>
          </w:rPr>
          <w:t>5.4.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Sintesi generale della prestazione clinica e della sicurezza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0F3A915" w14:textId="1964516A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09" w:history="1">
        <w:r w:rsidRPr="00E5181A">
          <w:rPr>
            <w:rStyle w:val="Hyperlink"/>
            <w:noProof/>
          </w:rPr>
          <w:t>5.5.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Follow-up clinico post-vendita in corso o pianificato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EAA75DA" w14:textId="24CFA65B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10" w:history="1">
        <w:r w:rsidRPr="00E5181A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Possibili alternative diagnostiche o terapeutiche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C780343" w14:textId="6B4D2A98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11" w:history="1">
        <w:r w:rsidRPr="00E5181A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Profilo e formazione suggeriti per gli utilizzatori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321FDBB" w14:textId="52165ED0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12" w:history="1">
        <w:r w:rsidRPr="00E5181A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Norme armonizzate/Specifiche comuni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A0FA0FC" w14:textId="1AA00DAC" w:rsidR="0070587B" w:rsidRDefault="0070587B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513" w:history="1">
        <w:r w:rsidRPr="00E5181A"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E5181A">
          <w:rPr>
            <w:rStyle w:val="Hyperlink"/>
            <w:bCs/>
            <w:noProof/>
            <w:lang w:val="it-IT"/>
          </w:rPr>
          <w:t>Cronologia delle revisioni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B1255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9D6E5E3" w14:textId="549FCA46" w:rsidR="006F0810" w:rsidRPr="009461CC" w:rsidRDefault="006F0810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</w:rPr>
        <w:fldChar w:fldCharType="end"/>
      </w:r>
    </w:p>
    <w:p w14:paraId="343DF155" w14:textId="77777777" w:rsidR="006F0810" w:rsidRPr="009461CC" w:rsidRDefault="006F0810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it-IT"/>
        </w:rPr>
        <w:br w:type="page"/>
      </w:r>
    </w:p>
    <w:p w14:paraId="453DC774" w14:textId="77777777" w:rsidR="00221CEF" w:rsidRPr="009461CC" w:rsidRDefault="00221CEF" w:rsidP="00042B91">
      <w:pPr>
        <w:pStyle w:val="Heading7"/>
        <w:spacing w:after="0" w:afterAutospacing="0"/>
      </w:pPr>
      <w:r>
        <w:rPr>
          <w:bCs/>
          <w:lang w:val="it-IT"/>
        </w:rPr>
        <w:lastRenderedPageBreak/>
        <w:t>Riepilogo della sicurezza e delle prestazioni cliniche</w:t>
      </w:r>
    </w:p>
    <w:p w14:paraId="2D567C3A" w14:textId="4D6B7954" w:rsidR="00221CEF" w:rsidRPr="009461CC" w:rsidRDefault="00221CEF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it-IT"/>
        </w:rPr>
        <w:t>Il presente Riepilogo della sicurezza e delle prestazioni cliniche (SSCP) si pone come obiettivo rendere accessibile un riepilogo aggiornato degli aspetti principali della sicurezza e delle prestazioni cliniche del dispositivo.</w:t>
      </w:r>
    </w:p>
    <w:p w14:paraId="549AF428" w14:textId="35F6904C" w:rsidR="00221CEF" w:rsidRPr="009461CC" w:rsidRDefault="00221CEF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it-IT"/>
        </w:rPr>
        <w:t>L’SSCP non intende sostituire le Istruzioni per l’uso in quanto documento principale volto a garantire l’uso sicuro del dispositivo, né intende presentare suggerimenti diagnostici o terapeutici agli utilizzatori o ai pazienti destinatari.</w:t>
      </w:r>
    </w:p>
    <w:p w14:paraId="6E1D4297" w14:textId="77777777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57958E5A" w14:textId="739089BF" w:rsidR="00221CEF" w:rsidRPr="009461CC" w:rsidRDefault="00221CEF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it-IT"/>
        </w:rPr>
        <w:t>Le seguenti informazioni sono destinate agli utenti/operatori sanitari.</w:t>
      </w:r>
    </w:p>
    <w:p w14:paraId="18A77BED" w14:textId="77777777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6E5276B4" w14:textId="2AFD9220" w:rsidR="00042B91" w:rsidRPr="009461CC" w:rsidRDefault="006F0810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0" w:name="_Toc222741484"/>
      <w:r>
        <w:rPr>
          <w:rFonts w:cs="Times New Roman"/>
          <w:bCs/>
          <w:lang w:val="it-IT"/>
        </w:rPr>
        <w:t>Campo di applicazione del presente Riepilogo della sicurezza e delle prestazioni cliniche (SSCP):</w:t>
      </w:r>
      <w:bookmarkEnd w:id="0"/>
    </w:p>
    <w:p w14:paraId="5CDBAEA3" w14:textId="77777777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45E5BCB2" w14:textId="6E901CD2" w:rsidR="00AA2E04" w:rsidRPr="009461CC" w:rsidRDefault="00221CEF" w:rsidP="00042B91">
      <w:pPr>
        <w:pStyle w:val="Heading1"/>
        <w:rPr>
          <w:rFonts w:cs="Times New Roman"/>
        </w:rPr>
      </w:pPr>
      <w:bookmarkStart w:id="1" w:name="_Toc222741485"/>
      <w:r>
        <w:rPr>
          <w:rFonts w:cs="Times New Roman"/>
          <w:bCs/>
          <w:lang w:val="it-IT"/>
        </w:rPr>
        <w:t>Nome commerciale del dispositivo:</w:t>
      </w:r>
      <w:bookmarkEnd w:id="1"/>
      <w:r>
        <w:rPr>
          <w:rFonts w:cs="Times New Roman"/>
          <w:bCs/>
          <w:lang w:val="it-IT"/>
        </w:rPr>
        <w:t xml:space="preserve"> </w:t>
      </w:r>
    </w:p>
    <w:p w14:paraId="29AE9E59" w14:textId="1A5F14B3" w:rsidR="00042B91" w:rsidRPr="009461CC" w:rsidRDefault="00982459" w:rsidP="001E6921">
      <w:pPr>
        <w:spacing w:after="0" w:afterAutospacing="0" w:line="240" w:lineRule="auto"/>
        <w:ind w:left="792"/>
        <w:rPr>
          <w:rFonts w:cs="Times New Roman"/>
        </w:rPr>
      </w:pPr>
      <w:r>
        <w:rPr>
          <w:rFonts w:cs="Times New Roman"/>
          <w:lang w:val="it-IT"/>
        </w:rPr>
        <w:t>Kit per</w:t>
      </w:r>
      <w:r w:rsidR="0027538E">
        <w:rPr>
          <w:rFonts w:cs="Times New Roman"/>
          <w:lang w:val="it-IT"/>
        </w:rPr>
        <w:t xml:space="preserve"> Snare</w:t>
      </w:r>
      <w:r>
        <w:rPr>
          <w:rFonts w:cs="Times New Roman"/>
          <w:lang w:val="it-IT"/>
        </w:rPr>
        <w:t xml:space="preserve"> vascolare Atrieve</w:t>
      </w:r>
    </w:p>
    <w:p w14:paraId="6E4554A3" w14:textId="77777777" w:rsidR="00982459" w:rsidRPr="009461CC" w:rsidRDefault="00982459" w:rsidP="00042B91">
      <w:pPr>
        <w:spacing w:after="0" w:afterAutospacing="0" w:line="240" w:lineRule="auto"/>
        <w:rPr>
          <w:rFonts w:cs="Times New Roman"/>
        </w:rPr>
      </w:pPr>
    </w:p>
    <w:p w14:paraId="7E6E8DB0" w14:textId="23280863" w:rsidR="00221CEF" w:rsidRPr="009461CC" w:rsidRDefault="00221CEF" w:rsidP="00042B91">
      <w:pPr>
        <w:pStyle w:val="Heading1"/>
        <w:rPr>
          <w:rFonts w:cs="Times New Roman"/>
        </w:rPr>
      </w:pPr>
      <w:bookmarkStart w:id="2" w:name="_Toc222741486"/>
      <w:r>
        <w:rPr>
          <w:rFonts w:cs="Times New Roman"/>
          <w:bCs/>
          <w:lang w:val="it-IT"/>
        </w:rPr>
        <w:t>Descrizione del dispositivo, UDI-DI di base e classificazione UE: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0"/>
        <w:gridCol w:w="1736"/>
        <w:gridCol w:w="1335"/>
        <w:gridCol w:w="1259"/>
        <w:gridCol w:w="2400"/>
      </w:tblGrid>
      <w:tr w:rsidR="006266F5" w:rsidRPr="009461CC" w14:paraId="77A15E5D" w14:textId="77777777" w:rsidTr="00536EDE">
        <w:tc>
          <w:tcPr>
            <w:tcW w:w="3795" w:type="dxa"/>
            <w:shd w:val="clear" w:color="auto" w:fill="E7E6E6" w:themeFill="background2"/>
          </w:tcPr>
          <w:p w14:paraId="6089AC65" w14:textId="5ACA6E64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it-IT"/>
              </w:rPr>
              <w:t>Nome e descrizione del dispositivo</w:t>
            </w:r>
          </w:p>
        </w:tc>
        <w:tc>
          <w:tcPr>
            <w:tcW w:w="1603" w:type="dxa"/>
            <w:shd w:val="clear" w:color="auto" w:fill="E7E6E6" w:themeFill="background2"/>
          </w:tcPr>
          <w:p w14:paraId="18959F52" w14:textId="108D25E1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it-IT"/>
              </w:rPr>
              <w:t>Classificazione</w:t>
            </w:r>
          </w:p>
        </w:tc>
        <w:tc>
          <w:tcPr>
            <w:tcW w:w="1350" w:type="dxa"/>
            <w:shd w:val="clear" w:color="auto" w:fill="E7E6E6" w:themeFill="background2"/>
          </w:tcPr>
          <w:p w14:paraId="1CA77B88" w14:textId="5CBB4D69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it-IT"/>
              </w:rPr>
              <w:t>Codice GMDN</w:t>
            </w:r>
          </w:p>
        </w:tc>
        <w:tc>
          <w:tcPr>
            <w:tcW w:w="1266" w:type="dxa"/>
            <w:shd w:val="clear" w:color="auto" w:fill="E7E6E6" w:themeFill="background2"/>
          </w:tcPr>
          <w:p w14:paraId="603AC5E7" w14:textId="64E6761C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it-IT"/>
              </w:rPr>
              <w:t>EMDN</w:t>
            </w:r>
          </w:p>
        </w:tc>
        <w:tc>
          <w:tcPr>
            <w:tcW w:w="2416" w:type="dxa"/>
            <w:shd w:val="clear" w:color="auto" w:fill="E7E6E6" w:themeFill="background2"/>
          </w:tcPr>
          <w:p w14:paraId="49C72348" w14:textId="0CB79C70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it-IT"/>
              </w:rPr>
              <w:t>UDI-DI di base</w:t>
            </w:r>
          </w:p>
        </w:tc>
      </w:tr>
      <w:tr w:rsidR="006266F5" w:rsidRPr="009461CC" w14:paraId="72288A12" w14:textId="77777777" w:rsidTr="006266F5">
        <w:tc>
          <w:tcPr>
            <w:tcW w:w="3795" w:type="dxa"/>
          </w:tcPr>
          <w:p w14:paraId="04AE147E" w14:textId="7EE11115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 xml:space="preserve">Kit per </w:t>
            </w:r>
            <w:r w:rsidR="0027538E">
              <w:rPr>
                <w:rFonts w:cs="Times New Roman"/>
                <w:lang w:val="it-IT"/>
              </w:rPr>
              <w:t>Snare</w:t>
            </w:r>
            <w:r>
              <w:rPr>
                <w:rFonts w:cs="Times New Roman"/>
                <w:lang w:val="it-IT"/>
              </w:rPr>
              <w:t xml:space="preserve"> vascolare Atrieve™, ansa da 6-10 mm di diametro x 120 cm, catetere 6F x 100 cm</w:t>
            </w:r>
          </w:p>
        </w:tc>
        <w:tc>
          <w:tcPr>
            <w:tcW w:w="1603" w:type="dxa"/>
            <w:vMerge w:val="restart"/>
          </w:tcPr>
          <w:p w14:paraId="016CD4E1" w14:textId="205743A9" w:rsidR="006266F5" w:rsidRPr="009461CC" w:rsidRDefault="00BA7D3E" w:rsidP="00D241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Classe III</w:t>
            </w:r>
          </w:p>
        </w:tc>
        <w:tc>
          <w:tcPr>
            <w:tcW w:w="1350" w:type="dxa"/>
            <w:vMerge w:val="restart"/>
          </w:tcPr>
          <w:p w14:paraId="2554DF3F" w14:textId="217E32BA" w:rsidR="006266F5" w:rsidRPr="009461CC" w:rsidRDefault="006266F5" w:rsidP="00D241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17927</w:t>
            </w:r>
          </w:p>
        </w:tc>
        <w:tc>
          <w:tcPr>
            <w:tcW w:w="1266" w:type="dxa"/>
            <w:vMerge w:val="restart"/>
          </w:tcPr>
          <w:p w14:paraId="44053393" w14:textId="5F7E5816" w:rsidR="006266F5" w:rsidRPr="009461CC" w:rsidRDefault="006266F5" w:rsidP="00D241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C019005</w:t>
            </w:r>
          </w:p>
        </w:tc>
        <w:tc>
          <w:tcPr>
            <w:tcW w:w="2416" w:type="dxa"/>
            <w:vMerge w:val="restart"/>
          </w:tcPr>
          <w:p w14:paraId="16987761" w14:textId="1464A232" w:rsidR="006266F5" w:rsidRPr="009461CC" w:rsidRDefault="006266F5" w:rsidP="00D241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088633329000132</w:t>
            </w:r>
          </w:p>
        </w:tc>
      </w:tr>
      <w:tr w:rsidR="006266F5" w:rsidRPr="009461CC" w14:paraId="674985B4" w14:textId="77777777" w:rsidTr="006266F5">
        <w:tc>
          <w:tcPr>
            <w:tcW w:w="3795" w:type="dxa"/>
          </w:tcPr>
          <w:p w14:paraId="1845B978" w14:textId="706A1A12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Kit per</w:t>
            </w:r>
            <w:r w:rsidR="0027538E">
              <w:rPr>
                <w:rFonts w:cs="Times New Roman"/>
                <w:lang w:val="it-IT"/>
              </w:rPr>
              <w:t xml:space="preserve"> </w:t>
            </w:r>
            <w:r w:rsidR="0027538E">
              <w:rPr>
                <w:rFonts w:cs="Times New Roman"/>
                <w:lang w:val="it-IT"/>
              </w:rPr>
              <w:t>Snare</w:t>
            </w:r>
            <w:r>
              <w:rPr>
                <w:rFonts w:cs="Times New Roman"/>
                <w:lang w:val="it-IT"/>
              </w:rPr>
              <w:t xml:space="preserve"> vascolare Atrieve™, ansa da 9-15 mm di diametro x 120 cm, catetere 6F x 100 cm </w:t>
            </w:r>
          </w:p>
        </w:tc>
        <w:tc>
          <w:tcPr>
            <w:tcW w:w="1603" w:type="dxa"/>
            <w:vMerge/>
          </w:tcPr>
          <w:p w14:paraId="0F2DCD20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45E8FDD8" w14:textId="4AADF8C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266" w:type="dxa"/>
            <w:vMerge/>
          </w:tcPr>
          <w:p w14:paraId="165F2BBA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416" w:type="dxa"/>
            <w:vMerge/>
          </w:tcPr>
          <w:p w14:paraId="5C1D3365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1B0B0E25" w14:textId="77777777" w:rsidTr="006266F5">
        <w:tc>
          <w:tcPr>
            <w:tcW w:w="3795" w:type="dxa"/>
          </w:tcPr>
          <w:p w14:paraId="0A9B2655" w14:textId="553AB8B0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Kit per</w:t>
            </w:r>
            <w:r w:rsidR="0027538E">
              <w:rPr>
                <w:rFonts w:cs="Times New Roman"/>
                <w:lang w:val="it-IT"/>
              </w:rPr>
              <w:t xml:space="preserve"> </w:t>
            </w:r>
            <w:r w:rsidR="0027538E">
              <w:rPr>
                <w:rFonts w:cs="Times New Roman"/>
                <w:lang w:val="it-IT"/>
              </w:rPr>
              <w:t>Snare</w:t>
            </w:r>
            <w:r>
              <w:rPr>
                <w:rFonts w:cs="Times New Roman"/>
                <w:lang w:val="it-IT"/>
              </w:rPr>
              <w:t xml:space="preserve"> vascolare Atrieve™, ansa da 12-20 mm di diametro x 120 cm, catetere 6F x 100 cm </w:t>
            </w:r>
          </w:p>
        </w:tc>
        <w:tc>
          <w:tcPr>
            <w:tcW w:w="1603" w:type="dxa"/>
            <w:vMerge/>
          </w:tcPr>
          <w:p w14:paraId="4F42F09B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7D1A397B" w14:textId="2F1838AC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266" w:type="dxa"/>
            <w:vMerge/>
          </w:tcPr>
          <w:p w14:paraId="721C2322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416" w:type="dxa"/>
            <w:vMerge/>
          </w:tcPr>
          <w:p w14:paraId="3C7CCE81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06B07953" w14:textId="77777777" w:rsidTr="006266F5">
        <w:tc>
          <w:tcPr>
            <w:tcW w:w="3795" w:type="dxa"/>
          </w:tcPr>
          <w:p w14:paraId="122A6EC5" w14:textId="27D64514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Kit per</w:t>
            </w:r>
            <w:r w:rsidR="0027538E">
              <w:rPr>
                <w:rFonts w:cs="Times New Roman"/>
                <w:lang w:val="it-IT"/>
              </w:rPr>
              <w:t xml:space="preserve"> </w:t>
            </w:r>
            <w:r w:rsidR="0027538E">
              <w:rPr>
                <w:rFonts w:cs="Times New Roman"/>
                <w:lang w:val="it-IT"/>
              </w:rPr>
              <w:t>Snare</w:t>
            </w:r>
            <w:r>
              <w:rPr>
                <w:rFonts w:cs="Times New Roman"/>
                <w:lang w:val="it-IT"/>
              </w:rPr>
              <w:t xml:space="preserve"> vascolare Atrieve™, ansa da 18-30 mm di diametro x 120 cm, catetere da 7F x 100 cm </w:t>
            </w:r>
          </w:p>
        </w:tc>
        <w:tc>
          <w:tcPr>
            <w:tcW w:w="1603" w:type="dxa"/>
            <w:vMerge/>
          </w:tcPr>
          <w:p w14:paraId="1913C875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00E8406E" w14:textId="7131A855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266" w:type="dxa"/>
            <w:vMerge/>
          </w:tcPr>
          <w:p w14:paraId="68FC6CAA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416" w:type="dxa"/>
            <w:vMerge/>
          </w:tcPr>
          <w:p w14:paraId="36E19225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70E2EDC2" w14:textId="77777777" w:rsidTr="006266F5">
        <w:tc>
          <w:tcPr>
            <w:tcW w:w="3795" w:type="dxa"/>
          </w:tcPr>
          <w:p w14:paraId="3B2B1D80" w14:textId="71931D90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Kit per</w:t>
            </w:r>
            <w:r w:rsidR="0027538E">
              <w:rPr>
                <w:rFonts w:cs="Times New Roman"/>
                <w:lang w:val="it-IT"/>
              </w:rPr>
              <w:t xml:space="preserve"> </w:t>
            </w:r>
            <w:r w:rsidR="0027538E">
              <w:rPr>
                <w:rFonts w:cs="Times New Roman"/>
                <w:lang w:val="it-IT"/>
              </w:rPr>
              <w:t>Snare</w:t>
            </w:r>
            <w:r>
              <w:rPr>
                <w:rFonts w:cs="Times New Roman"/>
                <w:lang w:val="it-IT"/>
              </w:rPr>
              <w:t xml:space="preserve"> vascolare Atrieve™, ansa da 27-45 mm di diametro x 120 cm, catetere 7F x 100 cm</w:t>
            </w:r>
          </w:p>
        </w:tc>
        <w:tc>
          <w:tcPr>
            <w:tcW w:w="1603" w:type="dxa"/>
            <w:vMerge/>
          </w:tcPr>
          <w:p w14:paraId="5D298385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001781C2" w14:textId="46419622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266" w:type="dxa"/>
            <w:vMerge/>
          </w:tcPr>
          <w:p w14:paraId="20D9A32E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416" w:type="dxa"/>
            <w:vMerge/>
          </w:tcPr>
          <w:p w14:paraId="5855DBED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7E3403A6" w14:textId="77777777" w:rsidTr="006266F5">
        <w:tc>
          <w:tcPr>
            <w:tcW w:w="3795" w:type="dxa"/>
          </w:tcPr>
          <w:p w14:paraId="675708BF" w14:textId="2E4AFD87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Kit per</w:t>
            </w:r>
            <w:r w:rsidR="0027538E">
              <w:rPr>
                <w:rFonts w:cs="Times New Roman"/>
                <w:lang w:val="it-IT"/>
              </w:rPr>
              <w:t xml:space="preserve"> </w:t>
            </w:r>
            <w:r w:rsidR="0027538E">
              <w:rPr>
                <w:rFonts w:cs="Times New Roman"/>
                <w:lang w:val="it-IT"/>
              </w:rPr>
              <w:t>Snare</w:t>
            </w:r>
            <w:r>
              <w:rPr>
                <w:rFonts w:cs="Times New Roman"/>
                <w:lang w:val="it-IT"/>
              </w:rPr>
              <w:t xml:space="preserve"> vascolare Atrieve™, ansa da 2-4 mm di diametro x 175 cm, catetere da 3,2 F x 150 cm </w:t>
            </w:r>
          </w:p>
        </w:tc>
        <w:tc>
          <w:tcPr>
            <w:tcW w:w="1603" w:type="dxa"/>
            <w:vMerge/>
          </w:tcPr>
          <w:p w14:paraId="4005AAE7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10F77F80" w14:textId="1EEE88E0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266" w:type="dxa"/>
            <w:vMerge/>
          </w:tcPr>
          <w:p w14:paraId="01E30B80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416" w:type="dxa"/>
            <w:vMerge/>
          </w:tcPr>
          <w:p w14:paraId="7E3CD13D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163BEE28" w14:textId="77777777" w:rsidTr="006266F5">
        <w:tc>
          <w:tcPr>
            <w:tcW w:w="3795" w:type="dxa"/>
          </w:tcPr>
          <w:p w14:paraId="2C7CFD34" w14:textId="7D46C1BA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Kit per</w:t>
            </w:r>
            <w:r w:rsidR="0027538E">
              <w:rPr>
                <w:rFonts w:cs="Times New Roman"/>
                <w:lang w:val="it-IT"/>
              </w:rPr>
              <w:t xml:space="preserve"> </w:t>
            </w:r>
            <w:r w:rsidR="0027538E">
              <w:rPr>
                <w:rFonts w:cs="Times New Roman"/>
                <w:lang w:val="it-IT"/>
              </w:rPr>
              <w:t>Snare</w:t>
            </w:r>
            <w:r>
              <w:rPr>
                <w:rFonts w:cs="Times New Roman"/>
                <w:lang w:val="it-IT"/>
              </w:rPr>
              <w:t xml:space="preserve"> vascolare Atrieve™, ansa da 4-8 mm di diametro x 175 cm, catetere da 3,2 F x 150 cm</w:t>
            </w:r>
          </w:p>
        </w:tc>
        <w:tc>
          <w:tcPr>
            <w:tcW w:w="1603" w:type="dxa"/>
            <w:vMerge/>
          </w:tcPr>
          <w:p w14:paraId="796C4314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520A7E25" w14:textId="5F41C696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266" w:type="dxa"/>
            <w:vMerge/>
          </w:tcPr>
          <w:p w14:paraId="77962B81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416" w:type="dxa"/>
            <w:vMerge/>
          </w:tcPr>
          <w:p w14:paraId="570FDA70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</w:tbl>
    <w:p w14:paraId="2DAE4D4B" w14:textId="77777777" w:rsidR="00AA2E04" w:rsidRPr="009461CC" w:rsidRDefault="00AA2E04" w:rsidP="00AA3694">
      <w:pPr>
        <w:pStyle w:val="Heading1"/>
        <w:numPr>
          <w:ilvl w:val="0"/>
          <w:numId w:val="0"/>
        </w:numPr>
        <w:rPr>
          <w:rFonts w:cs="Times New Roman"/>
        </w:rPr>
      </w:pPr>
    </w:p>
    <w:p w14:paraId="4B18C73D" w14:textId="72C79B52" w:rsidR="009855C3" w:rsidRPr="009461CC" w:rsidRDefault="009855C3" w:rsidP="00042B91">
      <w:pPr>
        <w:pStyle w:val="Heading1"/>
        <w:rPr>
          <w:rFonts w:cs="Times New Roman"/>
        </w:rPr>
      </w:pPr>
      <w:bookmarkStart w:id="3" w:name="_Toc222741487"/>
      <w:r>
        <w:rPr>
          <w:rFonts w:cs="Times New Roman"/>
          <w:bCs/>
          <w:lang w:val="it-IT"/>
        </w:rPr>
        <w:t>Anno in cui è stato rilasciato il primo certificato (CE) relativo al dispositivo:</w:t>
      </w:r>
      <w:bookmarkEnd w:id="3"/>
      <w:r>
        <w:rPr>
          <w:rFonts w:cs="Times New Roman"/>
          <w:bCs/>
          <w:lang w:val="it-IT"/>
        </w:rPr>
        <w:t xml:space="preserve"> </w:t>
      </w:r>
    </w:p>
    <w:p w14:paraId="76BA3EF9" w14:textId="131F8D33" w:rsidR="00713233" w:rsidRPr="009461CC" w:rsidRDefault="00780A59" w:rsidP="00E714ED">
      <w:pPr>
        <w:spacing w:after="0" w:afterAutospacing="0" w:line="240" w:lineRule="auto"/>
        <w:ind w:left="792"/>
        <w:rPr>
          <w:rFonts w:cs="Times New Roman"/>
        </w:rPr>
      </w:pPr>
      <w:r>
        <w:rPr>
          <w:rFonts w:cs="Times New Roman"/>
          <w:lang w:val="it-IT"/>
        </w:rPr>
        <w:t>Il kit per</w:t>
      </w:r>
      <w:r w:rsidR="0027538E" w:rsidRPr="0027538E">
        <w:rPr>
          <w:rFonts w:cs="Times New Roman"/>
          <w:lang w:val="it-IT"/>
        </w:rPr>
        <w:t xml:space="preserve"> </w:t>
      </w:r>
      <w:r w:rsidR="0027538E">
        <w:rPr>
          <w:rFonts w:cs="Times New Roman"/>
          <w:lang w:val="it-IT"/>
        </w:rPr>
        <w:t>Snare</w:t>
      </w:r>
      <w:r>
        <w:rPr>
          <w:rFonts w:cs="Times New Roman"/>
          <w:lang w:val="it-IT"/>
        </w:rPr>
        <w:t xml:space="preserve"> vascolare Atrieve ha ricevuto il marchio CE (CE 608298) nel 2010 ai sensi della direttiva MDD </w:t>
      </w:r>
    </w:p>
    <w:p w14:paraId="6B157940" w14:textId="77777777" w:rsidR="00FE78AD" w:rsidRPr="009461CC" w:rsidRDefault="00FE78AD" w:rsidP="00E714ED">
      <w:pPr>
        <w:spacing w:after="0" w:afterAutospacing="0" w:line="240" w:lineRule="auto"/>
        <w:ind w:left="792"/>
        <w:rPr>
          <w:rFonts w:cs="Times New Roman"/>
        </w:rPr>
      </w:pPr>
    </w:p>
    <w:p w14:paraId="7DB260B7" w14:textId="77777777" w:rsidR="00FE78AD" w:rsidRPr="009461CC" w:rsidRDefault="00FE78AD" w:rsidP="00E714ED">
      <w:pPr>
        <w:spacing w:after="0" w:afterAutospacing="0" w:line="240" w:lineRule="auto"/>
        <w:ind w:left="792"/>
        <w:rPr>
          <w:rFonts w:cs="Times New Roman"/>
        </w:rPr>
      </w:pPr>
    </w:p>
    <w:p w14:paraId="79EE515A" w14:textId="77777777" w:rsidR="00FE78AD" w:rsidRPr="009461CC" w:rsidRDefault="00FE78AD" w:rsidP="00E714ED">
      <w:pPr>
        <w:spacing w:after="0" w:afterAutospacing="0" w:line="240" w:lineRule="auto"/>
        <w:ind w:left="792"/>
        <w:rPr>
          <w:rFonts w:cs="Times New Roman"/>
        </w:rPr>
      </w:pPr>
    </w:p>
    <w:p w14:paraId="234B8791" w14:textId="77777777" w:rsidR="005C6A90" w:rsidRPr="009461CC" w:rsidRDefault="005C6A90" w:rsidP="00E714ED">
      <w:pPr>
        <w:spacing w:after="0" w:afterAutospacing="0" w:line="240" w:lineRule="auto"/>
        <w:ind w:left="792"/>
        <w:rPr>
          <w:rFonts w:cs="Times New Roman"/>
        </w:rPr>
      </w:pPr>
    </w:p>
    <w:p w14:paraId="10A04209" w14:textId="75FC9DEC" w:rsidR="009855C3" w:rsidRPr="009461CC" w:rsidRDefault="009855C3" w:rsidP="00042B91">
      <w:pPr>
        <w:pStyle w:val="Heading1"/>
        <w:rPr>
          <w:rFonts w:cs="Times New Roman"/>
        </w:rPr>
      </w:pPr>
      <w:r>
        <w:rPr>
          <w:rFonts w:cs="Times New Roman"/>
          <w:bCs/>
          <w:lang w:val="it-IT"/>
        </w:rPr>
        <w:t xml:space="preserve"> </w:t>
      </w:r>
      <w:bookmarkStart w:id="4" w:name="_Toc222741488"/>
      <w:r>
        <w:rPr>
          <w:rFonts w:cs="Times New Roman"/>
          <w:bCs/>
          <w:lang w:val="it-IT"/>
        </w:rPr>
        <w:t>Nome, indirizzo e SRN del produttore:</w:t>
      </w:r>
      <w:bookmarkEnd w:id="4"/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675"/>
        <w:gridCol w:w="5755"/>
      </w:tblGrid>
      <w:tr w:rsidR="00493B5B" w:rsidRPr="009461CC" w14:paraId="49C995E4" w14:textId="77777777" w:rsidTr="00272DEA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DB8134E" w14:textId="77777777" w:rsidR="00493B5B" w:rsidRPr="009461CC" w:rsidRDefault="00493B5B" w:rsidP="00AA3694">
            <w:pPr>
              <w:spacing w:after="0" w:afterAutospacing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it-IT"/>
              </w:rPr>
              <w:t>Informazioni sul produttore</w:t>
            </w:r>
          </w:p>
        </w:tc>
      </w:tr>
      <w:tr w:rsidR="00493B5B" w:rsidRPr="009461CC" w14:paraId="49F686BA" w14:textId="77777777" w:rsidTr="00272DEA">
        <w:trPr>
          <w:trHeight w:val="489"/>
        </w:trPr>
        <w:tc>
          <w:tcPr>
            <w:tcW w:w="2241" w:type="pct"/>
          </w:tcPr>
          <w:p w14:paraId="55881DB9" w14:textId="77777777" w:rsidR="00493B5B" w:rsidRPr="009461CC" w:rsidRDefault="00493B5B" w:rsidP="00AA3694">
            <w:pPr>
              <w:spacing w:after="0" w:afterAutospacing="0"/>
              <w:jc w:val="both"/>
              <w:rPr>
                <w:spacing w:val="-5"/>
                <w:szCs w:val="24"/>
              </w:rPr>
            </w:pPr>
            <w:r>
              <w:rPr>
                <w:szCs w:val="24"/>
                <w:lang w:val="it-IT"/>
              </w:rPr>
              <w:t>Numero di serie del produttore: US-MF-000002324</w:t>
            </w:r>
          </w:p>
        </w:tc>
        <w:tc>
          <w:tcPr>
            <w:tcW w:w="2759" w:type="pct"/>
          </w:tcPr>
          <w:p w14:paraId="61E93080" w14:textId="77777777" w:rsidR="00493B5B" w:rsidRPr="009461CC" w:rsidRDefault="00493B5B" w:rsidP="00AA3694">
            <w:pPr>
              <w:spacing w:after="0" w:afterAutospacing="0"/>
              <w:rPr>
                <w:szCs w:val="24"/>
              </w:rPr>
            </w:pPr>
            <w:r>
              <w:rPr>
                <w:szCs w:val="24"/>
                <w:lang w:val="it-IT"/>
              </w:rPr>
              <w:t>Nome del produttore: Argon Medical Devices, Inc.</w:t>
            </w:r>
          </w:p>
        </w:tc>
      </w:tr>
      <w:tr w:rsidR="00493B5B" w:rsidRPr="009461CC" w14:paraId="03F91594" w14:textId="77777777" w:rsidTr="00272DEA">
        <w:trPr>
          <w:trHeight w:val="525"/>
        </w:trPr>
        <w:tc>
          <w:tcPr>
            <w:tcW w:w="2241" w:type="pct"/>
          </w:tcPr>
          <w:p w14:paraId="119B5A73" w14:textId="77777777" w:rsidR="00493B5B" w:rsidRPr="009461CC" w:rsidRDefault="00493B5B" w:rsidP="00AA3694">
            <w:pPr>
              <w:spacing w:after="0" w:afterAutospacing="0"/>
              <w:jc w:val="both"/>
              <w:rPr>
                <w:spacing w:val="-2"/>
                <w:szCs w:val="24"/>
              </w:rPr>
            </w:pPr>
            <w:r>
              <w:rPr>
                <w:szCs w:val="24"/>
                <w:lang w:val="it-IT"/>
              </w:rPr>
              <w:t>Nome e cognome del referente: Scott Bishop</w:t>
            </w:r>
          </w:p>
        </w:tc>
        <w:tc>
          <w:tcPr>
            <w:tcW w:w="2759" w:type="pct"/>
          </w:tcPr>
          <w:p w14:paraId="0FE9AF31" w14:textId="77777777" w:rsidR="00493B5B" w:rsidRPr="009461CC" w:rsidRDefault="00493B5B" w:rsidP="00AA3694">
            <w:pPr>
              <w:widowControl w:val="0"/>
              <w:autoSpaceDE w:val="0"/>
              <w:autoSpaceDN w:val="0"/>
              <w:spacing w:before="42"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it-IT"/>
              </w:rPr>
              <w:t>E-mail:</w:t>
            </w:r>
            <w:r>
              <w:rPr>
                <w:sz w:val="22"/>
                <w:lang w:val="it-IT"/>
              </w:rPr>
              <w:t xml:space="preserve"> </w:t>
            </w:r>
            <w:hyperlink r:id="rId11" w:history="1">
              <w:r>
                <w:rPr>
                  <w:color w:val="0563C1"/>
                  <w:szCs w:val="24"/>
                  <w:u w:val="single"/>
                  <w:lang w:val="it-IT"/>
                </w:rPr>
                <w:t>RegCompliance@argonmedical.com</w:t>
              </w:r>
            </w:hyperlink>
          </w:p>
          <w:p w14:paraId="12F2B43C" w14:textId="77777777" w:rsidR="00493B5B" w:rsidRPr="009461CC" w:rsidRDefault="00493B5B" w:rsidP="00AA3694">
            <w:pPr>
              <w:spacing w:after="0" w:afterAutospacing="0"/>
              <w:rPr>
                <w:szCs w:val="24"/>
              </w:rPr>
            </w:pPr>
          </w:p>
        </w:tc>
      </w:tr>
      <w:tr w:rsidR="00493B5B" w:rsidRPr="009461CC" w14:paraId="075079C3" w14:textId="77777777" w:rsidTr="00272DEA">
        <w:trPr>
          <w:trHeight w:val="525"/>
        </w:trPr>
        <w:tc>
          <w:tcPr>
            <w:tcW w:w="2241" w:type="pct"/>
          </w:tcPr>
          <w:p w14:paraId="05BD6F97" w14:textId="77777777" w:rsidR="00493B5B" w:rsidRPr="009461CC" w:rsidRDefault="00493B5B" w:rsidP="00AA3694">
            <w:pPr>
              <w:widowControl w:val="0"/>
              <w:autoSpaceDE w:val="0"/>
              <w:autoSpaceDN w:val="0"/>
              <w:spacing w:before="42"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it-IT"/>
              </w:rPr>
              <w:t>Numero di telefono: 903.675.9321</w:t>
            </w:r>
          </w:p>
        </w:tc>
        <w:tc>
          <w:tcPr>
            <w:tcW w:w="2759" w:type="pct"/>
          </w:tcPr>
          <w:p w14:paraId="260E0D3D" w14:textId="77777777" w:rsidR="001533A4" w:rsidRPr="009461CC" w:rsidRDefault="001533A4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it-IT"/>
              </w:rPr>
              <w:t>Indirizzo:</w:t>
            </w:r>
          </w:p>
          <w:p w14:paraId="041EA64B" w14:textId="77777777" w:rsidR="001533A4" w:rsidRPr="009461CC" w:rsidRDefault="001533A4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it-IT"/>
              </w:rPr>
              <w:t>1445 Flat Creek Road.</w:t>
            </w:r>
          </w:p>
          <w:p w14:paraId="26DE4983" w14:textId="77777777" w:rsidR="001533A4" w:rsidRPr="009461CC" w:rsidRDefault="001533A4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it-IT"/>
              </w:rPr>
              <w:t>Athens, Texas 75751</w:t>
            </w:r>
          </w:p>
          <w:p w14:paraId="586DCCA3" w14:textId="38B6FE42" w:rsidR="00493B5B" w:rsidRPr="009461CC" w:rsidRDefault="001533A4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it-IT"/>
              </w:rPr>
              <w:t>Stati Uniti d’America</w:t>
            </w:r>
          </w:p>
        </w:tc>
      </w:tr>
    </w:tbl>
    <w:p w14:paraId="2E5002E8" w14:textId="77777777" w:rsidR="00D20FA4" w:rsidRPr="009461CC" w:rsidRDefault="00D20FA4" w:rsidP="00042B91">
      <w:pPr>
        <w:spacing w:after="0" w:afterAutospacing="0" w:line="240" w:lineRule="auto"/>
        <w:ind w:left="1440"/>
        <w:rPr>
          <w:rFonts w:cs="Times New Roman"/>
        </w:rPr>
      </w:pPr>
    </w:p>
    <w:p w14:paraId="1CFB1B57" w14:textId="4BD4E170" w:rsidR="009855C3" w:rsidRPr="009461CC" w:rsidRDefault="00887E5D" w:rsidP="00AA3694">
      <w:pPr>
        <w:pStyle w:val="Heading1"/>
        <w:rPr>
          <w:rFonts w:cs="Times New Roman"/>
        </w:rPr>
      </w:pPr>
      <w:bookmarkStart w:id="5" w:name="_Toc222741489"/>
      <w:r>
        <w:rPr>
          <w:rFonts w:cs="Times New Roman"/>
          <w:bCs/>
          <w:lang w:val="it-IT"/>
        </w:rPr>
        <w:t>Nome del rappresentante autorizzato e SRN:</w:t>
      </w:r>
      <w:bookmarkEnd w:id="5"/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4675"/>
        <w:gridCol w:w="5755"/>
      </w:tblGrid>
      <w:tr w:rsidR="008A210D" w:rsidRPr="009461CC" w14:paraId="5389928F" w14:textId="77777777" w:rsidTr="00272DEA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FB4BB7C" w14:textId="77777777" w:rsidR="008A210D" w:rsidRPr="009461CC" w:rsidRDefault="008A210D" w:rsidP="008A210D">
            <w:pPr>
              <w:spacing w:after="0" w:afterAutospacing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it-IT"/>
              </w:rPr>
              <w:t>Informazioni sul rappresentante autorizzato</w:t>
            </w:r>
          </w:p>
        </w:tc>
      </w:tr>
      <w:tr w:rsidR="008A210D" w:rsidRPr="009461CC" w14:paraId="486856D5" w14:textId="77777777" w:rsidTr="00272DEA">
        <w:trPr>
          <w:trHeight w:val="489"/>
        </w:trPr>
        <w:tc>
          <w:tcPr>
            <w:tcW w:w="2241" w:type="pct"/>
          </w:tcPr>
          <w:p w14:paraId="5FC8645E" w14:textId="77777777" w:rsidR="008A210D" w:rsidRPr="009461CC" w:rsidRDefault="008A210D" w:rsidP="008A210D">
            <w:pPr>
              <w:spacing w:after="0" w:afterAutospacing="0"/>
              <w:jc w:val="both"/>
              <w:rPr>
                <w:spacing w:val="-5"/>
                <w:szCs w:val="24"/>
              </w:rPr>
            </w:pPr>
            <w:r>
              <w:rPr>
                <w:szCs w:val="24"/>
                <w:lang w:val="it-IT"/>
              </w:rPr>
              <w:t>N. di serie: NL-AR-000000116</w:t>
            </w:r>
          </w:p>
        </w:tc>
        <w:tc>
          <w:tcPr>
            <w:tcW w:w="2759" w:type="pct"/>
          </w:tcPr>
          <w:p w14:paraId="25BF63FC" w14:textId="77777777" w:rsidR="008A210D" w:rsidRPr="009461CC" w:rsidRDefault="008A210D" w:rsidP="008A210D">
            <w:pPr>
              <w:widowControl w:val="0"/>
              <w:autoSpaceDE w:val="0"/>
              <w:autoSpaceDN w:val="0"/>
              <w:spacing w:before="119" w:after="0" w:afterAutospacing="0"/>
              <w:rPr>
                <w:bCs/>
                <w:szCs w:val="24"/>
              </w:rPr>
            </w:pPr>
            <w:r>
              <w:rPr>
                <w:szCs w:val="24"/>
                <w:lang w:val="it-IT"/>
              </w:rPr>
              <w:t>Nome dell'organizzazione rappresentativa autorizzata:</w:t>
            </w:r>
          </w:p>
          <w:p w14:paraId="3A6B7B5C" w14:textId="77777777" w:rsidR="008A210D" w:rsidRPr="009461CC" w:rsidRDefault="008A210D" w:rsidP="008A210D">
            <w:pPr>
              <w:spacing w:after="0" w:afterAutospacing="0"/>
              <w:rPr>
                <w:szCs w:val="24"/>
              </w:rPr>
            </w:pPr>
            <w:r>
              <w:rPr>
                <w:szCs w:val="24"/>
                <w:lang w:val="it-IT"/>
              </w:rPr>
              <w:t>Emergo Europe</w:t>
            </w:r>
          </w:p>
        </w:tc>
      </w:tr>
      <w:tr w:rsidR="008A210D" w:rsidRPr="009461CC" w14:paraId="7AE34B46" w14:textId="77777777" w:rsidTr="00272DEA">
        <w:trPr>
          <w:trHeight w:val="525"/>
        </w:trPr>
        <w:tc>
          <w:tcPr>
            <w:tcW w:w="2241" w:type="pct"/>
          </w:tcPr>
          <w:p w14:paraId="65D7FE1F" w14:textId="77777777" w:rsidR="008A210D" w:rsidRPr="009461CC" w:rsidRDefault="008A210D" w:rsidP="008A210D">
            <w:pPr>
              <w:spacing w:after="0" w:afterAutospacing="0"/>
              <w:jc w:val="both"/>
              <w:rPr>
                <w:spacing w:val="-2"/>
                <w:szCs w:val="24"/>
              </w:rPr>
            </w:pPr>
            <w:r>
              <w:rPr>
                <w:szCs w:val="24"/>
                <w:lang w:val="it-IT"/>
              </w:rPr>
              <w:t>Informazioni di contatto: Team di vigilanza</w:t>
            </w:r>
          </w:p>
        </w:tc>
        <w:tc>
          <w:tcPr>
            <w:tcW w:w="2759" w:type="pct"/>
          </w:tcPr>
          <w:p w14:paraId="2A3CD5D0" w14:textId="77777777" w:rsidR="008A210D" w:rsidRPr="009461CC" w:rsidRDefault="008A210D" w:rsidP="008A210D">
            <w:pPr>
              <w:widowControl w:val="0"/>
              <w:autoSpaceDE w:val="0"/>
              <w:autoSpaceDN w:val="0"/>
              <w:spacing w:before="39"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it-IT"/>
              </w:rPr>
              <w:t xml:space="preserve">E-mail: </w:t>
            </w:r>
            <w:hyperlink r:id="rId12" w:history="1">
              <w:r>
                <w:rPr>
                  <w:color w:val="0563C1"/>
                  <w:szCs w:val="24"/>
                  <w:u w:val="single"/>
                  <w:lang w:val="it-IT"/>
                </w:rPr>
                <w:t>EmergoVigilance@ul.com</w:t>
              </w:r>
            </w:hyperlink>
          </w:p>
        </w:tc>
      </w:tr>
      <w:tr w:rsidR="008A210D" w:rsidRPr="009461CC" w14:paraId="0CB481FF" w14:textId="77777777" w:rsidTr="00272DEA">
        <w:trPr>
          <w:trHeight w:val="525"/>
        </w:trPr>
        <w:tc>
          <w:tcPr>
            <w:tcW w:w="2241" w:type="pct"/>
          </w:tcPr>
          <w:p w14:paraId="3652CFB2" w14:textId="77777777" w:rsidR="008A210D" w:rsidRPr="009461CC" w:rsidRDefault="008A210D" w:rsidP="008A210D">
            <w:pPr>
              <w:widowControl w:val="0"/>
              <w:autoSpaceDE w:val="0"/>
              <w:autoSpaceDN w:val="0"/>
              <w:spacing w:before="42"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it-IT"/>
              </w:rPr>
              <w:t>Numero di telefono: +31.70.345.8570</w:t>
            </w:r>
          </w:p>
          <w:p w14:paraId="7CCBBDE7" w14:textId="739E5D21" w:rsidR="00A603C9" w:rsidRPr="009461CC" w:rsidRDefault="00A603C9" w:rsidP="008A210D">
            <w:pPr>
              <w:widowControl w:val="0"/>
              <w:autoSpaceDE w:val="0"/>
              <w:autoSpaceDN w:val="0"/>
              <w:spacing w:before="42" w:after="0" w:afterAutospacing="0"/>
              <w:rPr>
                <w:spacing w:val="-2"/>
                <w:szCs w:val="24"/>
              </w:rPr>
            </w:pPr>
            <w:r>
              <w:rPr>
                <w:color w:val="000000"/>
                <w:szCs w:val="24"/>
                <w:lang w:val="it-IT"/>
              </w:rPr>
              <w:t>Fax: +31 (0)70 346 7299</w:t>
            </w:r>
          </w:p>
        </w:tc>
        <w:tc>
          <w:tcPr>
            <w:tcW w:w="2759" w:type="pct"/>
          </w:tcPr>
          <w:p w14:paraId="2F414254" w14:textId="77777777" w:rsidR="008A210D" w:rsidRPr="009461CC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it-IT"/>
              </w:rPr>
              <w:t>Indirizzo</w:t>
            </w:r>
          </w:p>
          <w:p w14:paraId="759A4A48" w14:textId="77777777" w:rsidR="008A210D" w:rsidRPr="009461CC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it-IT"/>
              </w:rPr>
              <w:t>Numero civico e nome:</w:t>
            </w:r>
            <w:r>
              <w:rPr>
                <w:sz w:val="22"/>
                <w:lang w:val="it-IT"/>
              </w:rPr>
              <w:t xml:space="preserve"> 60 </w:t>
            </w:r>
            <w:r>
              <w:rPr>
                <w:szCs w:val="24"/>
                <w:lang w:val="it-IT"/>
              </w:rPr>
              <w:t>Westervoortsedijk</w:t>
            </w:r>
          </w:p>
          <w:p w14:paraId="3B20AE15" w14:textId="77777777" w:rsidR="008A210D" w:rsidRPr="009461CC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it-IT"/>
              </w:rPr>
              <w:t>Città: Arnhem</w:t>
            </w:r>
          </w:p>
          <w:p w14:paraId="6FC33444" w14:textId="77777777" w:rsidR="008A210D" w:rsidRPr="009461CC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it-IT"/>
              </w:rPr>
              <w:t>Codice postale: 6827 AT</w:t>
            </w:r>
          </w:p>
          <w:p w14:paraId="2EB91056" w14:textId="77777777" w:rsidR="008A210D" w:rsidRPr="009461CC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it-IT"/>
              </w:rPr>
              <w:t>Paese: Paesi Bassi</w:t>
            </w:r>
          </w:p>
        </w:tc>
      </w:tr>
    </w:tbl>
    <w:p w14:paraId="1624A296" w14:textId="77777777" w:rsidR="009855C3" w:rsidRPr="009461CC" w:rsidRDefault="009855C3" w:rsidP="00042B91">
      <w:pPr>
        <w:spacing w:after="0" w:afterAutospacing="0" w:line="240" w:lineRule="auto"/>
        <w:ind w:left="1440"/>
        <w:rPr>
          <w:rFonts w:cs="Times New Roman"/>
        </w:rPr>
      </w:pPr>
    </w:p>
    <w:p w14:paraId="6CE36BA3" w14:textId="292AEF0B" w:rsidR="006517A0" w:rsidRPr="009461CC" w:rsidRDefault="009855C3" w:rsidP="003074B3">
      <w:pPr>
        <w:pStyle w:val="Heading1"/>
        <w:rPr>
          <w:rFonts w:cs="Times New Roman"/>
        </w:rPr>
      </w:pPr>
      <w:bookmarkStart w:id="6" w:name="_Toc222741490"/>
      <w:r>
        <w:rPr>
          <w:rFonts w:cs="Times New Roman"/>
          <w:bCs/>
          <w:lang w:val="it-IT"/>
        </w:rPr>
        <w:t>Nome e numero di identificazione unico dell’organismo notificato:</w:t>
      </w:r>
      <w:bookmarkEnd w:id="6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7"/>
        <w:gridCol w:w="6613"/>
      </w:tblGrid>
      <w:tr w:rsidR="003074B3" w:rsidRPr="009461CC" w14:paraId="7E457138" w14:textId="77777777" w:rsidTr="00272DEA">
        <w:trPr>
          <w:trHeight w:val="260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9932D80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it-IT"/>
              </w:rPr>
              <w:t>Organismo notificato</w:t>
            </w:r>
          </w:p>
        </w:tc>
      </w:tr>
      <w:tr w:rsidR="00272DEA" w:rsidRPr="009461CC" w14:paraId="0B814508" w14:textId="77777777" w:rsidTr="00272DEA">
        <w:trPr>
          <w:trHeight w:val="350"/>
          <w:jc w:val="center"/>
        </w:trPr>
        <w:tc>
          <w:tcPr>
            <w:tcW w:w="1830" w:type="pct"/>
          </w:tcPr>
          <w:p w14:paraId="49157CDC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it-IT"/>
              </w:rPr>
              <w:t>Nome:</w:t>
            </w:r>
          </w:p>
        </w:tc>
        <w:tc>
          <w:tcPr>
            <w:tcW w:w="3170" w:type="pct"/>
          </w:tcPr>
          <w:p w14:paraId="5863E627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cs="Times New Roman"/>
                <w:szCs w:val="24"/>
                <w:lang w:val="it-IT"/>
              </w:rPr>
              <w:t>The British Standards Institution (BSI) Group the Netherlands B.V.</w:t>
            </w:r>
          </w:p>
        </w:tc>
      </w:tr>
      <w:tr w:rsidR="003074B3" w:rsidRPr="009461CC" w14:paraId="65281175" w14:textId="77777777" w:rsidTr="009709B4">
        <w:trPr>
          <w:trHeight w:val="728"/>
          <w:jc w:val="center"/>
        </w:trPr>
        <w:tc>
          <w:tcPr>
            <w:tcW w:w="1830" w:type="pct"/>
          </w:tcPr>
          <w:p w14:paraId="7941F5BB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it-IT"/>
              </w:rPr>
              <w:t>Indirizzo:</w:t>
            </w:r>
          </w:p>
        </w:tc>
        <w:tc>
          <w:tcPr>
            <w:tcW w:w="3170" w:type="pct"/>
          </w:tcPr>
          <w:p w14:paraId="727CFF1E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it-IT"/>
              </w:rPr>
              <w:t>John M. Keynesplein 9</w:t>
            </w:r>
          </w:p>
          <w:p w14:paraId="4054093A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it-IT"/>
              </w:rPr>
              <w:t>1066 EP Amsterdam</w:t>
            </w:r>
          </w:p>
          <w:p w14:paraId="72F2BC20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it-IT"/>
              </w:rPr>
              <w:t xml:space="preserve"> Paesi Bassi</w:t>
            </w:r>
          </w:p>
        </w:tc>
      </w:tr>
      <w:tr w:rsidR="003074B3" w:rsidRPr="009461CC" w14:paraId="7A858549" w14:textId="77777777" w:rsidTr="00272DEA">
        <w:trPr>
          <w:trHeight w:val="351"/>
          <w:jc w:val="center"/>
        </w:trPr>
        <w:tc>
          <w:tcPr>
            <w:tcW w:w="1830" w:type="pct"/>
          </w:tcPr>
          <w:p w14:paraId="4D329CD4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it-IT"/>
              </w:rPr>
              <w:t>Sito Web:</w:t>
            </w:r>
          </w:p>
        </w:tc>
        <w:tc>
          <w:tcPr>
            <w:tcW w:w="3170" w:type="pct"/>
          </w:tcPr>
          <w:p w14:paraId="29B75D5D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contextualSpacing/>
              <w:rPr>
                <w:rFonts w:eastAsia="Times New Roman" w:cs="Times New Roman"/>
                <w:bCs/>
                <w:szCs w:val="24"/>
              </w:rPr>
            </w:pPr>
            <w:hyperlink r:id="rId13" w:history="1">
              <w:r>
                <w:rPr>
                  <w:rFonts w:eastAsia="Times New Roman" w:cs="Times New Roman"/>
                  <w:color w:val="0000FF"/>
                  <w:szCs w:val="24"/>
                  <w:u w:val="single"/>
                  <w:lang w:val="it-IT"/>
                </w:rPr>
                <w:t>www.bsigroup.com</w:t>
              </w:r>
            </w:hyperlink>
            <w:r>
              <w:rPr>
                <w:rFonts w:eastAsia="Times New Roman" w:cs="Times New Roman"/>
                <w:szCs w:val="24"/>
                <w:lang w:val="it-IT"/>
              </w:rPr>
              <w:t xml:space="preserve"> </w:t>
            </w:r>
          </w:p>
        </w:tc>
      </w:tr>
      <w:tr w:rsidR="003074B3" w:rsidRPr="009461CC" w14:paraId="242654B6" w14:textId="77777777" w:rsidTr="00272DEA">
        <w:trPr>
          <w:trHeight w:val="355"/>
          <w:jc w:val="center"/>
        </w:trPr>
        <w:tc>
          <w:tcPr>
            <w:tcW w:w="1830" w:type="pct"/>
          </w:tcPr>
          <w:p w14:paraId="6F572CD0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it-IT"/>
              </w:rPr>
              <w:t>Telefono:</w:t>
            </w:r>
          </w:p>
        </w:tc>
        <w:tc>
          <w:tcPr>
            <w:tcW w:w="3170" w:type="pct"/>
          </w:tcPr>
          <w:p w14:paraId="7E5F2BF5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it-IT"/>
              </w:rPr>
              <w:t>+31 (0)20 346 07 80</w:t>
            </w:r>
          </w:p>
        </w:tc>
      </w:tr>
      <w:tr w:rsidR="003074B3" w:rsidRPr="009461CC" w14:paraId="3445789F" w14:textId="77777777" w:rsidTr="00272DEA">
        <w:trPr>
          <w:trHeight w:val="355"/>
          <w:jc w:val="center"/>
        </w:trPr>
        <w:tc>
          <w:tcPr>
            <w:tcW w:w="1830" w:type="pct"/>
          </w:tcPr>
          <w:p w14:paraId="6D8C8396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it-IT"/>
              </w:rPr>
              <w:t>Fax:</w:t>
            </w:r>
          </w:p>
        </w:tc>
        <w:tc>
          <w:tcPr>
            <w:tcW w:w="3170" w:type="pct"/>
          </w:tcPr>
          <w:p w14:paraId="42A0F78B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it-IT"/>
              </w:rPr>
              <w:t>+31 (0)20 346 07 81</w:t>
            </w:r>
          </w:p>
        </w:tc>
      </w:tr>
      <w:tr w:rsidR="003074B3" w:rsidRPr="009461CC" w14:paraId="108563A6" w14:textId="77777777" w:rsidTr="00272DEA">
        <w:trPr>
          <w:trHeight w:val="323"/>
          <w:jc w:val="center"/>
        </w:trPr>
        <w:tc>
          <w:tcPr>
            <w:tcW w:w="1830" w:type="pct"/>
          </w:tcPr>
          <w:p w14:paraId="68313F88" w14:textId="77777777" w:rsidR="003074B3" w:rsidRPr="009461CC" w:rsidRDefault="003074B3" w:rsidP="00B066F7">
            <w:pPr>
              <w:tabs>
                <w:tab w:val="left" w:pos="3150"/>
              </w:tabs>
              <w:suppressAutoHyphens/>
              <w:spacing w:after="0" w:afterAutospacing="0" w:line="240" w:lineRule="exac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it-IT"/>
              </w:rPr>
              <w:t>Numero dell’organismo notificato:</w:t>
            </w:r>
            <w:r>
              <w:rPr>
                <w:rFonts w:eastAsia="Times New Roman" w:cs="Times New Roman"/>
                <w:szCs w:val="24"/>
                <w:lang w:val="it-IT"/>
              </w:rPr>
              <w:tab/>
            </w:r>
          </w:p>
        </w:tc>
        <w:tc>
          <w:tcPr>
            <w:tcW w:w="3170" w:type="pct"/>
          </w:tcPr>
          <w:p w14:paraId="445F2118" w14:textId="77777777" w:rsidR="003074B3" w:rsidRPr="009461CC" w:rsidRDefault="003074B3" w:rsidP="00B066F7">
            <w:pPr>
              <w:tabs>
                <w:tab w:val="left" w:pos="3150"/>
              </w:tabs>
              <w:suppressAutoHyphens/>
              <w:spacing w:after="0" w:afterAutospacing="0" w:line="240" w:lineRule="exact"/>
              <w:ind w:left="15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it-IT"/>
              </w:rPr>
              <w:t>2797</w:t>
            </w:r>
          </w:p>
        </w:tc>
      </w:tr>
    </w:tbl>
    <w:p w14:paraId="49CBA632" w14:textId="77777777" w:rsidR="005C6A90" w:rsidRPr="009461CC" w:rsidRDefault="005C6A90" w:rsidP="00042B91">
      <w:pPr>
        <w:spacing w:after="0" w:afterAutospacing="0" w:line="240" w:lineRule="auto"/>
        <w:rPr>
          <w:rFonts w:cs="Times New Roman"/>
        </w:rPr>
      </w:pPr>
    </w:p>
    <w:p w14:paraId="708F564C" w14:textId="58CA8111" w:rsidR="00AA2E04" w:rsidRPr="009461CC" w:rsidRDefault="00AA2E04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7" w:name="_Toc222741491"/>
      <w:r>
        <w:rPr>
          <w:rFonts w:cs="Times New Roman"/>
          <w:bCs/>
          <w:lang w:val="it-IT"/>
        </w:rPr>
        <w:t>Uso previsto/Scopo del dispositivo</w:t>
      </w:r>
      <w:bookmarkEnd w:id="7"/>
      <w:r>
        <w:rPr>
          <w:rFonts w:cs="Times New Roman"/>
          <w:bCs/>
          <w:lang w:val="it-IT"/>
        </w:rPr>
        <w:t xml:space="preserve"> </w:t>
      </w:r>
    </w:p>
    <w:p w14:paraId="48603D86" w14:textId="3BAB4A94" w:rsidR="00D104AC" w:rsidRPr="009461CC" w:rsidRDefault="00D104AC" w:rsidP="00FB0A38">
      <w:pPr>
        <w:spacing w:after="0" w:afterAutospacing="0"/>
        <w:ind w:left="360"/>
        <w:rPr>
          <w:rFonts w:cs="Times New Roman"/>
        </w:rPr>
      </w:pPr>
      <w:r>
        <w:rPr>
          <w:rFonts w:cs="Times New Roman"/>
          <w:lang w:val="it-IT"/>
        </w:rPr>
        <w:t>Riferimenti:</w:t>
      </w:r>
    </w:p>
    <w:p w14:paraId="5CC3EE9B" w14:textId="1A780D49" w:rsidR="00042B91" w:rsidRPr="009461CC" w:rsidRDefault="00FE5B73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it-IT"/>
        </w:rPr>
        <w:t>Numeri di riferimento: X9585730-0321-EU Rev A</w:t>
      </w:r>
    </w:p>
    <w:p w14:paraId="1254EE9F" w14:textId="77777777" w:rsidR="00FE5B73" w:rsidRPr="009461CC" w:rsidRDefault="00FE5B73" w:rsidP="00042B91">
      <w:pPr>
        <w:spacing w:after="0" w:afterAutospacing="0" w:line="240" w:lineRule="auto"/>
        <w:rPr>
          <w:rFonts w:cs="Times New Roman"/>
        </w:rPr>
      </w:pPr>
    </w:p>
    <w:p w14:paraId="39A6DB15" w14:textId="58ED6DAB" w:rsidR="006F0810" w:rsidRPr="009461CC" w:rsidRDefault="00B7112F" w:rsidP="00042B91">
      <w:pPr>
        <w:pStyle w:val="Heading1"/>
        <w:rPr>
          <w:rFonts w:cs="Times New Roman"/>
        </w:rPr>
      </w:pPr>
      <w:r>
        <w:rPr>
          <w:rFonts w:cs="Times New Roman"/>
          <w:bCs/>
          <w:lang w:val="it-IT"/>
        </w:rPr>
        <w:t xml:space="preserve"> </w:t>
      </w:r>
      <w:bookmarkStart w:id="8" w:name="_Toc222741492"/>
      <w:r>
        <w:rPr>
          <w:rFonts w:cs="Times New Roman"/>
          <w:bCs/>
          <w:lang w:val="it-IT"/>
        </w:rPr>
        <w:t>Scopo previsto/Indicazioni per l'uso</w:t>
      </w:r>
      <w:bookmarkEnd w:id="8"/>
    </w:p>
    <w:p w14:paraId="5F55F24F" w14:textId="20556298" w:rsidR="009B569A" w:rsidRPr="009461CC" w:rsidRDefault="00B82FB3" w:rsidP="00B82FB3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  <w:lang w:val="it-IT"/>
        </w:rPr>
        <w:t>Il kit è destinato all'uso nel sistema cardiovascolare o viscoso cavo per recuperare e manipolare oggetti estranei.</w:t>
      </w:r>
    </w:p>
    <w:p w14:paraId="0540FB4C" w14:textId="6BE36C7A" w:rsidR="006F0810" w:rsidRPr="009461CC" w:rsidRDefault="006F0810" w:rsidP="00042B91">
      <w:pPr>
        <w:pStyle w:val="Heading1"/>
        <w:rPr>
          <w:rFonts w:cs="Times New Roman"/>
        </w:rPr>
      </w:pPr>
      <w:bookmarkStart w:id="9" w:name="_Toc222741493"/>
      <w:r>
        <w:rPr>
          <w:rFonts w:cs="Times New Roman"/>
          <w:bCs/>
          <w:lang w:val="it-IT"/>
        </w:rPr>
        <w:t>Indicazioni per l'uso</w:t>
      </w:r>
      <w:bookmarkEnd w:id="9"/>
    </w:p>
    <w:p w14:paraId="24ADD508" w14:textId="77777777" w:rsidR="00235AAE" w:rsidRPr="009461CC" w:rsidRDefault="00235AAE" w:rsidP="00235AAE">
      <w:pPr>
        <w:widowControl w:val="0"/>
        <w:rPr>
          <w:rFonts w:cs="Times New Roman"/>
        </w:rPr>
      </w:pPr>
      <w:r>
        <w:rPr>
          <w:rFonts w:cs="Times New Roman"/>
          <w:lang w:val="it-IT"/>
        </w:rPr>
        <w:t>Il kit è destinato all'uso nel sistema cardiovascolare o viscoso cavo per recuperare e manipolare oggetti estranei. Le procedure di manipolazione includono il riposizionamento del catetere venoso a permanenza, lo stripping della guaina di fibrina del catetere venoso a permanenza e l'assistenza alla procedura di venipuntura con accesso venoso centrale.</w:t>
      </w:r>
    </w:p>
    <w:p w14:paraId="498EAE44" w14:textId="77777777" w:rsidR="00D20FA4" w:rsidRPr="009461CC" w:rsidRDefault="00D20FA4" w:rsidP="00042B91">
      <w:pPr>
        <w:pStyle w:val="Heading1"/>
        <w:rPr>
          <w:rFonts w:cs="Times New Roman"/>
        </w:rPr>
      </w:pPr>
      <w:bookmarkStart w:id="10" w:name="_Toc222741494"/>
      <w:r>
        <w:rPr>
          <w:rFonts w:cs="Times New Roman"/>
          <w:bCs/>
          <w:lang w:val="it-IT"/>
        </w:rPr>
        <w:t>Popolazione destinataria</w:t>
      </w:r>
      <w:bookmarkEnd w:id="10"/>
    </w:p>
    <w:p w14:paraId="099A3585" w14:textId="77777777" w:rsidR="003B70D7" w:rsidRPr="009461CC" w:rsidRDefault="003B70D7" w:rsidP="005A1E4B">
      <w:pPr>
        <w:pStyle w:val="pf0"/>
        <w:widowControl w:val="0"/>
        <w:spacing w:before="0" w:beforeAutospacing="0" w:after="0" w:afterAutospacing="0"/>
      </w:pPr>
      <w:r>
        <w:rPr>
          <w:lang w:val="it-IT"/>
        </w:rPr>
        <w:t>Pazienti adulti, compresi gli anziani, di qualsiasi genere, razza o etnia.</w:t>
      </w:r>
    </w:p>
    <w:p w14:paraId="3621B4F1" w14:textId="77777777" w:rsidR="003B70D7" w:rsidRPr="009461CC" w:rsidRDefault="003B70D7" w:rsidP="003B70D7">
      <w:pPr>
        <w:pStyle w:val="pf0"/>
        <w:widowControl w:val="0"/>
        <w:spacing w:before="0" w:beforeAutospacing="0" w:after="0" w:afterAutospacing="0"/>
      </w:pPr>
    </w:p>
    <w:p w14:paraId="28F544BD" w14:textId="4F93A450" w:rsidR="006F0810" w:rsidRPr="009461CC" w:rsidRDefault="006F0810" w:rsidP="00042B91">
      <w:pPr>
        <w:pStyle w:val="Heading1"/>
        <w:rPr>
          <w:rFonts w:cs="Times New Roman"/>
        </w:rPr>
      </w:pPr>
      <w:bookmarkStart w:id="11" w:name="_Toc222741495"/>
      <w:r>
        <w:rPr>
          <w:rFonts w:cs="Times New Roman"/>
          <w:bCs/>
          <w:lang w:val="it-IT"/>
        </w:rPr>
        <w:t>Controindicazioni</w:t>
      </w:r>
      <w:bookmarkEnd w:id="11"/>
    </w:p>
    <w:p w14:paraId="169E24EB" w14:textId="77777777" w:rsidR="00AA3502" w:rsidRPr="009461CC" w:rsidRDefault="00AA3502" w:rsidP="004A2596">
      <w:pPr>
        <w:pStyle w:val="ListParagraph"/>
        <w:numPr>
          <w:ilvl w:val="0"/>
          <w:numId w:val="31"/>
        </w:numPr>
        <w:spacing w:after="0" w:afterAutospacing="0" w:line="240" w:lineRule="auto"/>
        <w:jc w:val="both"/>
        <w:rPr>
          <w:rFonts w:eastAsia="Times New Roman" w:cs="Times New Roman"/>
        </w:rPr>
      </w:pPr>
      <w:r>
        <w:rPr>
          <w:rFonts w:cs="Times New Roman"/>
          <w:color w:val="000000"/>
          <w:lang w:val="it-IT"/>
        </w:rPr>
        <w:t>Questo dispositivo non è destinato alla rimozione di corpi estranei intrappolati dalla crescita dei tessuti</w:t>
      </w:r>
      <w:r>
        <w:rPr>
          <w:rFonts w:cs="Times New Roman"/>
          <w:color w:val="4472C4" w:themeColor="accent1"/>
          <w:lang w:val="it-IT"/>
        </w:rPr>
        <w:t>.</w:t>
      </w:r>
    </w:p>
    <w:p w14:paraId="4BFB00B8" w14:textId="77777777" w:rsidR="00AA3502" w:rsidRPr="009461CC" w:rsidRDefault="00AA3502" w:rsidP="004A2596">
      <w:pPr>
        <w:pStyle w:val="ListParagraph"/>
        <w:numPr>
          <w:ilvl w:val="0"/>
          <w:numId w:val="31"/>
        </w:numPr>
        <w:spacing w:after="0" w:afterAutospacing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lang w:val="it-IT"/>
        </w:rPr>
        <w:t>Il dispositivo non deve essere utilizzato per lo stripping della guaina di fibrina in presenza di difetti del setto o forame ovale pervio.</w:t>
      </w:r>
    </w:p>
    <w:p w14:paraId="77577945" w14:textId="77777777" w:rsidR="00AA3502" w:rsidRPr="009461CC" w:rsidRDefault="00AA3502" w:rsidP="004A2596">
      <w:pPr>
        <w:pStyle w:val="ListParagraph"/>
        <w:numPr>
          <w:ilvl w:val="0"/>
          <w:numId w:val="31"/>
        </w:numPr>
        <w:spacing w:after="0" w:afterAutospacing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lang w:val="it-IT"/>
        </w:rPr>
        <w:t>Questo dispositivo non è destinato alla rimozione di elettrocateteri di stimolazione impiantati.</w:t>
      </w:r>
    </w:p>
    <w:p w14:paraId="764D1032" w14:textId="77777777" w:rsidR="00761873" w:rsidRPr="009461CC" w:rsidRDefault="00761873" w:rsidP="00761873">
      <w:pPr>
        <w:pStyle w:val="ListParagraph"/>
        <w:spacing w:after="0" w:afterAutospacing="0"/>
        <w:ind w:left="1440"/>
        <w:rPr>
          <w:rFonts w:cs="Times New Roman"/>
        </w:rPr>
      </w:pPr>
    </w:p>
    <w:p w14:paraId="0A9D601E" w14:textId="53FB771D" w:rsidR="00760400" w:rsidRPr="009461CC" w:rsidRDefault="00D20FA4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12" w:name="_Toc222741496"/>
      <w:r>
        <w:rPr>
          <w:rFonts w:cs="Times New Roman"/>
          <w:bCs/>
          <w:lang w:val="it-IT"/>
        </w:rPr>
        <w:t>Descrizione del dispositivo</w:t>
      </w:r>
      <w:bookmarkEnd w:id="12"/>
    </w:p>
    <w:p w14:paraId="7115673A" w14:textId="77777777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33649869" w14:textId="52085753" w:rsidR="00D20FA4" w:rsidRPr="009461CC" w:rsidRDefault="00D20FA4" w:rsidP="00042B91">
      <w:pPr>
        <w:pStyle w:val="Heading1"/>
        <w:rPr>
          <w:rFonts w:cs="Times New Roman"/>
        </w:rPr>
      </w:pPr>
      <w:bookmarkStart w:id="13" w:name="_Toc222741497"/>
      <w:r>
        <w:rPr>
          <w:rFonts w:cs="Times New Roman"/>
          <w:bCs/>
          <w:lang w:val="it-IT"/>
        </w:rPr>
        <w:t>Descrizione del dispositivo</w:t>
      </w:r>
      <w:bookmarkEnd w:id="13"/>
      <w:r>
        <w:rPr>
          <w:rFonts w:cs="Times New Roman"/>
          <w:bCs/>
          <w:lang w:val="it-IT"/>
        </w:rPr>
        <w:t xml:space="preserve"> </w:t>
      </w:r>
    </w:p>
    <w:p w14:paraId="3DAFEC6E" w14:textId="7F382270" w:rsidR="00994DB9" w:rsidRPr="009461CC" w:rsidRDefault="00994DB9" w:rsidP="00994DB9">
      <w:pPr>
        <w:rPr>
          <w:rFonts w:cs="Times New Roman"/>
        </w:rPr>
      </w:pPr>
      <w:bookmarkStart w:id="14" w:name="_Hlk169187630"/>
      <w:r>
        <w:rPr>
          <w:rFonts w:cs="Times New Roman"/>
          <w:lang w:val="it-IT"/>
        </w:rPr>
        <w:t>Il kit per</w:t>
      </w:r>
      <w:r w:rsidR="0027538E" w:rsidRPr="0027538E">
        <w:rPr>
          <w:rFonts w:cs="Times New Roman"/>
          <w:lang w:val="it-IT"/>
        </w:rPr>
        <w:t xml:space="preserve"> </w:t>
      </w:r>
      <w:r w:rsidR="0027538E">
        <w:rPr>
          <w:rFonts w:cs="Times New Roman"/>
          <w:lang w:val="it-IT"/>
        </w:rPr>
        <w:t>Snare</w:t>
      </w:r>
      <w:r>
        <w:rPr>
          <w:rFonts w:cs="Times New Roman"/>
          <w:lang w:val="it-IT"/>
        </w:rPr>
        <w:t xml:space="preserve"> vascolare Atrieve™ è composto da un dispositivo ansa con tre anelli preformati realizzati in nitinol superelastico e platino. Gli anelli non sono intrecciati e possono scorrere l'uno rispetto all'altro. Gli anelli dell’ansa possono essere introdotti in un catetere di posizionamento senza il rischio di deformazione permanente del dispositivo. Il kit per</w:t>
      </w:r>
      <w:r w:rsidR="0027538E" w:rsidRPr="0027538E">
        <w:rPr>
          <w:rFonts w:cs="Times New Roman"/>
          <w:lang w:val="it-IT"/>
        </w:rPr>
        <w:t xml:space="preserve"> </w:t>
      </w:r>
      <w:r w:rsidR="0027538E">
        <w:rPr>
          <w:rFonts w:cs="Times New Roman"/>
          <w:lang w:val="it-IT"/>
        </w:rPr>
        <w:t>Snare</w:t>
      </w:r>
      <w:r>
        <w:rPr>
          <w:rFonts w:cs="Times New Roman"/>
          <w:lang w:val="it-IT"/>
        </w:rPr>
        <w:t xml:space="preserve"> vascolare Atrieve include inoltre un catetere di posizionamento, un'impugnatura dinamometrica e un introduttore. Il catetere di posizionamento è dotato di una banda di segnalazione radiopaca sulla punta distale. Il prodotto è confezionato in un supporto protettivo ad anello. Il dispositivo è monouso e fornito sterile (ossido di etilene) pronto all'uso.</w:t>
      </w:r>
    </w:p>
    <w:p w14:paraId="210E0750" w14:textId="62232745" w:rsidR="00994DB9" w:rsidRPr="009461CC" w:rsidRDefault="00994DB9" w:rsidP="00994DB9">
      <w:pPr>
        <w:rPr>
          <w:rFonts w:cs="Times New Roman"/>
        </w:rPr>
      </w:pPr>
      <w:r>
        <w:rPr>
          <w:rFonts w:cs="Times New Roman"/>
          <w:lang w:val="it-IT"/>
        </w:rPr>
        <w:t>Il kit per</w:t>
      </w:r>
      <w:r w:rsidR="0027538E" w:rsidRPr="0027538E">
        <w:t xml:space="preserve"> </w:t>
      </w:r>
      <w:r w:rsidR="0027538E" w:rsidRPr="0027538E">
        <w:rPr>
          <w:rFonts w:cs="Times New Roman"/>
          <w:lang w:val="it-IT"/>
        </w:rPr>
        <w:t>Snare</w:t>
      </w:r>
      <w:r>
        <w:rPr>
          <w:rFonts w:cs="Times New Roman"/>
          <w:lang w:val="it-IT"/>
        </w:rPr>
        <w:t xml:space="preserve"> vascolare Atrieve™ è disponibile nelle seguenti misure: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4"/>
        <w:gridCol w:w="2658"/>
        <w:gridCol w:w="2343"/>
        <w:gridCol w:w="2605"/>
      </w:tblGrid>
      <w:tr w:rsidR="00994DB9" w:rsidRPr="009461CC" w14:paraId="5ADE64F6" w14:textId="77777777" w:rsidTr="0022766F">
        <w:tc>
          <w:tcPr>
            <w:tcW w:w="1354" w:type="pct"/>
          </w:tcPr>
          <w:p w14:paraId="323B4940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Gamma di diametro dell’ansa</w:t>
            </w:r>
          </w:p>
        </w:tc>
        <w:tc>
          <w:tcPr>
            <w:tcW w:w="1274" w:type="pct"/>
          </w:tcPr>
          <w:p w14:paraId="2775F724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Lunghezza dell’ansa</w:t>
            </w:r>
          </w:p>
        </w:tc>
        <w:tc>
          <w:tcPr>
            <w:tcW w:w="1123" w:type="pct"/>
          </w:tcPr>
          <w:p w14:paraId="7396E037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Dimensioni del posizionamento</w:t>
            </w:r>
          </w:p>
        </w:tc>
        <w:tc>
          <w:tcPr>
            <w:tcW w:w="1250" w:type="pct"/>
          </w:tcPr>
          <w:p w14:paraId="7E248A66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Lunghezza del catetere</w:t>
            </w:r>
          </w:p>
        </w:tc>
      </w:tr>
      <w:tr w:rsidR="00994DB9" w:rsidRPr="009461CC" w14:paraId="41F89C56" w14:textId="77777777" w:rsidTr="0022766F">
        <w:tc>
          <w:tcPr>
            <w:tcW w:w="1354" w:type="pct"/>
          </w:tcPr>
          <w:p w14:paraId="20D41F97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2-4 millimetri</w:t>
            </w:r>
          </w:p>
        </w:tc>
        <w:tc>
          <w:tcPr>
            <w:tcW w:w="1274" w:type="pct"/>
          </w:tcPr>
          <w:p w14:paraId="04CC9EC1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175 cm</w:t>
            </w:r>
          </w:p>
        </w:tc>
        <w:tc>
          <w:tcPr>
            <w:tcW w:w="1123" w:type="pct"/>
          </w:tcPr>
          <w:p w14:paraId="38F2FCC0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3,2 gradi Fahrenheit</w:t>
            </w:r>
          </w:p>
        </w:tc>
        <w:tc>
          <w:tcPr>
            <w:tcW w:w="1250" w:type="pct"/>
          </w:tcPr>
          <w:p w14:paraId="5CD712C9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150 cm</w:t>
            </w:r>
          </w:p>
        </w:tc>
      </w:tr>
      <w:tr w:rsidR="00994DB9" w:rsidRPr="009461CC" w14:paraId="5428D0A0" w14:textId="77777777" w:rsidTr="0022766F">
        <w:tc>
          <w:tcPr>
            <w:tcW w:w="1354" w:type="pct"/>
          </w:tcPr>
          <w:p w14:paraId="7992579F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4-8 millimetri</w:t>
            </w:r>
          </w:p>
        </w:tc>
        <w:tc>
          <w:tcPr>
            <w:tcW w:w="1274" w:type="pct"/>
          </w:tcPr>
          <w:p w14:paraId="7E385A6E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175 cm</w:t>
            </w:r>
          </w:p>
        </w:tc>
        <w:tc>
          <w:tcPr>
            <w:tcW w:w="1123" w:type="pct"/>
          </w:tcPr>
          <w:p w14:paraId="52F22EE9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3,2 gradi Fahrenheit</w:t>
            </w:r>
          </w:p>
        </w:tc>
        <w:tc>
          <w:tcPr>
            <w:tcW w:w="1250" w:type="pct"/>
          </w:tcPr>
          <w:p w14:paraId="2FFE91B6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150 cm</w:t>
            </w:r>
          </w:p>
        </w:tc>
      </w:tr>
      <w:tr w:rsidR="00994DB9" w:rsidRPr="009461CC" w14:paraId="1CBE6E3D" w14:textId="77777777" w:rsidTr="0022766F">
        <w:tc>
          <w:tcPr>
            <w:tcW w:w="1354" w:type="pct"/>
          </w:tcPr>
          <w:p w14:paraId="3CD87E57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6-10 millimetri</w:t>
            </w:r>
          </w:p>
        </w:tc>
        <w:tc>
          <w:tcPr>
            <w:tcW w:w="1274" w:type="pct"/>
          </w:tcPr>
          <w:p w14:paraId="58739EE1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120 cm</w:t>
            </w:r>
          </w:p>
        </w:tc>
        <w:tc>
          <w:tcPr>
            <w:tcW w:w="1123" w:type="pct"/>
          </w:tcPr>
          <w:p w14:paraId="66A2FE52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6 F</w:t>
            </w:r>
          </w:p>
        </w:tc>
        <w:tc>
          <w:tcPr>
            <w:tcW w:w="1250" w:type="pct"/>
          </w:tcPr>
          <w:p w14:paraId="16036ECD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100 cm</w:t>
            </w:r>
          </w:p>
        </w:tc>
      </w:tr>
      <w:tr w:rsidR="00994DB9" w:rsidRPr="009461CC" w14:paraId="7137F3A0" w14:textId="77777777" w:rsidTr="0022766F">
        <w:tc>
          <w:tcPr>
            <w:tcW w:w="1354" w:type="pct"/>
          </w:tcPr>
          <w:p w14:paraId="5097E3BD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9-15 millimetri</w:t>
            </w:r>
          </w:p>
        </w:tc>
        <w:tc>
          <w:tcPr>
            <w:tcW w:w="1274" w:type="pct"/>
          </w:tcPr>
          <w:p w14:paraId="6E08B1BC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120 cm</w:t>
            </w:r>
          </w:p>
        </w:tc>
        <w:tc>
          <w:tcPr>
            <w:tcW w:w="1123" w:type="pct"/>
          </w:tcPr>
          <w:p w14:paraId="5E975E99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6 F</w:t>
            </w:r>
          </w:p>
        </w:tc>
        <w:tc>
          <w:tcPr>
            <w:tcW w:w="1250" w:type="pct"/>
          </w:tcPr>
          <w:p w14:paraId="70150399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100 cm</w:t>
            </w:r>
          </w:p>
        </w:tc>
      </w:tr>
      <w:tr w:rsidR="00994DB9" w:rsidRPr="009461CC" w14:paraId="6873E431" w14:textId="77777777" w:rsidTr="0022766F">
        <w:tc>
          <w:tcPr>
            <w:tcW w:w="1354" w:type="pct"/>
          </w:tcPr>
          <w:p w14:paraId="0A8A2276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12-20 millimetri</w:t>
            </w:r>
          </w:p>
        </w:tc>
        <w:tc>
          <w:tcPr>
            <w:tcW w:w="1274" w:type="pct"/>
          </w:tcPr>
          <w:p w14:paraId="7058BA8B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120 cm</w:t>
            </w:r>
          </w:p>
        </w:tc>
        <w:tc>
          <w:tcPr>
            <w:tcW w:w="1123" w:type="pct"/>
          </w:tcPr>
          <w:p w14:paraId="16F950BF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6 F</w:t>
            </w:r>
          </w:p>
        </w:tc>
        <w:tc>
          <w:tcPr>
            <w:tcW w:w="1250" w:type="pct"/>
          </w:tcPr>
          <w:p w14:paraId="759B78BD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100 cm</w:t>
            </w:r>
          </w:p>
        </w:tc>
      </w:tr>
      <w:tr w:rsidR="00994DB9" w:rsidRPr="009461CC" w14:paraId="52111BAB" w14:textId="77777777" w:rsidTr="0022766F">
        <w:tc>
          <w:tcPr>
            <w:tcW w:w="1354" w:type="pct"/>
          </w:tcPr>
          <w:p w14:paraId="41061D9E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18-30 millimetri</w:t>
            </w:r>
          </w:p>
        </w:tc>
        <w:tc>
          <w:tcPr>
            <w:tcW w:w="1274" w:type="pct"/>
          </w:tcPr>
          <w:p w14:paraId="22AB0CDE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120 cm</w:t>
            </w:r>
          </w:p>
        </w:tc>
        <w:tc>
          <w:tcPr>
            <w:tcW w:w="1123" w:type="pct"/>
          </w:tcPr>
          <w:p w14:paraId="17196BA8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7 F</w:t>
            </w:r>
          </w:p>
        </w:tc>
        <w:tc>
          <w:tcPr>
            <w:tcW w:w="1250" w:type="pct"/>
          </w:tcPr>
          <w:p w14:paraId="4543B8B0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100 cm</w:t>
            </w:r>
          </w:p>
        </w:tc>
      </w:tr>
      <w:tr w:rsidR="00994DB9" w:rsidRPr="009461CC" w14:paraId="3F7A77C7" w14:textId="77777777" w:rsidTr="0022766F">
        <w:tc>
          <w:tcPr>
            <w:tcW w:w="1354" w:type="pct"/>
          </w:tcPr>
          <w:p w14:paraId="755F3FE4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27-45 millimetri</w:t>
            </w:r>
          </w:p>
        </w:tc>
        <w:tc>
          <w:tcPr>
            <w:tcW w:w="1274" w:type="pct"/>
          </w:tcPr>
          <w:p w14:paraId="622306B0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120 cm</w:t>
            </w:r>
          </w:p>
        </w:tc>
        <w:tc>
          <w:tcPr>
            <w:tcW w:w="1123" w:type="pct"/>
          </w:tcPr>
          <w:p w14:paraId="74C46753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7 F</w:t>
            </w:r>
          </w:p>
        </w:tc>
        <w:tc>
          <w:tcPr>
            <w:tcW w:w="1250" w:type="pct"/>
          </w:tcPr>
          <w:p w14:paraId="2DBCCFBE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100 cm</w:t>
            </w:r>
          </w:p>
        </w:tc>
      </w:tr>
    </w:tbl>
    <w:p w14:paraId="5D27461E" w14:textId="77777777" w:rsidR="000F4DF1" w:rsidRPr="009461CC" w:rsidRDefault="000F4DF1" w:rsidP="00994DB9">
      <w:pPr>
        <w:rPr>
          <w:rFonts w:cs="Times New Roman"/>
        </w:rPr>
      </w:pPr>
    </w:p>
    <w:p w14:paraId="4C7769AE" w14:textId="77777777" w:rsidR="00D20FA4" w:rsidRPr="009461CC" w:rsidRDefault="00D20FA4" w:rsidP="00042B91">
      <w:pPr>
        <w:pStyle w:val="Heading1"/>
        <w:rPr>
          <w:rFonts w:cs="Times New Roman"/>
        </w:rPr>
      </w:pPr>
      <w:bookmarkStart w:id="15" w:name="_Toc222741498"/>
      <w:bookmarkEnd w:id="14"/>
      <w:r>
        <w:rPr>
          <w:rFonts w:cs="Times New Roman"/>
          <w:bCs/>
          <w:lang w:val="it-IT"/>
        </w:rPr>
        <w:t>Varianti precedenti e relative differenze</w:t>
      </w:r>
      <w:bookmarkEnd w:id="15"/>
    </w:p>
    <w:p w14:paraId="060329F5" w14:textId="3AA8BB73" w:rsidR="00042B91" w:rsidRPr="009461CC" w:rsidRDefault="009D7E33" w:rsidP="007B0F04">
      <w:pPr>
        <w:ind w:left="792"/>
        <w:rPr>
          <w:rFonts w:cs="Times New Roman"/>
        </w:rPr>
      </w:pPr>
      <w:r>
        <w:rPr>
          <w:rFonts w:cs="Times New Roman"/>
          <w:lang w:val="it-IT"/>
        </w:rPr>
        <w:t>Questa sezione non è disponibile (N/D).</w:t>
      </w:r>
    </w:p>
    <w:p w14:paraId="26363C05" w14:textId="77777777" w:rsidR="00760400" w:rsidRPr="009461CC" w:rsidRDefault="00760400" w:rsidP="00042B91">
      <w:pPr>
        <w:pStyle w:val="Heading1"/>
        <w:rPr>
          <w:rFonts w:cs="Times New Roman"/>
        </w:rPr>
      </w:pPr>
      <w:bookmarkStart w:id="16" w:name="_Toc222741499"/>
      <w:r>
        <w:rPr>
          <w:rFonts w:cs="Times New Roman"/>
          <w:bCs/>
          <w:lang w:val="it-IT"/>
        </w:rPr>
        <w:t>Accessori, dispositivi compatibili e altri prodotti utilizzati in combinazione</w:t>
      </w:r>
      <w:bookmarkEnd w:id="16"/>
    </w:p>
    <w:p w14:paraId="21F32064" w14:textId="64E73782" w:rsidR="00C02BC0" w:rsidRPr="009461CC" w:rsidRDefault="00C02BC0" w:rsidP="007B0F04">
      <w:pPr>
        <w:spacing w:after="0" w:afterAutospacing="0"/>
        <w:ind w:left="792"/>
        <w:rPr>
          <w:rFonts w:cs="Times New Roman"/>
        </w:rPr>
      </w:pPr>
      <w:r>
        <w:rPr>
          <w:rFonts w:cs="Times New Roman"/>
          <w:lang w:val="it-IT"/>
        </w:rPr>
        <w:t>Gli accessori del kit per</w:t>
      </w:r>
      <w:r w:rsidR="0027538E" w:rsidRPr="0027538E">
        <w:t xml:space="preserve"> </w:t>
      </w:r>
      <w:r w:rsidR="0027538E" w:rsidRPr="0027538E">
        <w:rPr>
          <w:rFonts w:cs="Times New Roman"/>
          <w:lang w:val="it-IT"/>
        </w:rPr>
        <w:t>Snare</w:t>
      </w:r>
      <w:r>
        <w:rPr>
          <w:rFonts w:cs="Times New Roman"/>
          <w:lang w:val="it-IT"/>
        </w:rPr>
        <w:t xml:space="preserve"> vascolare Atrieve includono il catetere di posizionamento, un introduttore e una maniglia di coppia (morsa a perno).</w:t>
      </w:r>
    </w:p>
    <w:p w14:paraId="17CCC4B6" w14:textId="77777777" w:rsidR="00042B91" w:rsidRPr="009461CC" w:rsidRDefault="00042B91" w:rsidP="00042B91">
      <w:pPr>
        <w:spacing w:after="0" w:afterAutospacing="0" w:line="240" w:lineRule="auto"/>
        <w:rPr>
          <w:rFonts w:cs="Times New Roman"/>
          <w:i/>
          <w:color w:val="FF0000"/>
        </w:rPr>
      </w:pPr>
    </w:p>
    <w:p w14:paraId="45C0A245" w14:textId="61A622A4" w:rsidR="008745ED" w:rsidRPr="009461CC" w:rsidRDefault="008745ED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17" w:name="_Toc222741500"/>
      <w:r>
        <w:rPr>
          <w:rFonts w:cs="Times New Roman"/>
          <w:bCs/>
          <w:lang w:val="it-IT"/>
        </w:rPr>
        <w:t>Rischi e avvertenze</w:t>
      </w:r>
      <w:bookmarkEnd w:id="17"/>
    </w:p>
    <w:p w14:paraId="3D8BE6E3" w14:textId="77777777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04F70349" w14:textId="6FD2DA8D" w:rsidR="008745ED" w:rsidRPr="009461CC" w:rsidRDefault="008745ED" w:rsidP="00042B91">
      <w:pPr>
        <w:pStyle w:val="Heading1"/>
        <w:rPr>
          <w:rFonts w:cs="Times New Roman"/>
        </w:rPr>
      </w:pPr>
      <w:bookmarkStart w:id="18" w:name="_Toc222741501"/>
      <w:r>
        <w:rPr>
          <w:rFonts w:cs="Times New Roman"/>
          <w:bCs/>
          <w:lang w:val="it-IT"/>
        </w:rPr>
        <w:t>Rischi residui ed effetti collaterali indesiderati</w:t>
      </w:r>
      <w:bookmarkEnd w:id="18"/>
    </w:p>
    <w:p w14:paraId="2F64097C" w14:textId="607FF4A5" w:rsidR="00D15BBE" w:rsidRPr="009461CC" w:rsidRDefault="00C64987" w:rsidP="008D7F1C">
      <w:pPr>
        <w:ind w:left="792"/>
        <w:rPr>
          <w:rFonts w:cs="Times New Roman"/>
        </w:rPr>
      </w:pPr>
      <w:r>
        <w:rPr>
          <w:rFonts w:cs="Times New Roman"/>
          <w:lang w:val="it-IT"/>
        </w:rPr>
        <w:t xml:space="preserve">In base a RMR-0011 Rev H è stato delineato il seguente profilo rischio-beneficio per il prodotto: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2086"/>
        <w:gridCol w:w="2416"/>
        <w:gridCol w:w="3555"/>
      </w:tblGrid>
      <w:tr w:rsidR="00453251" w:rsidRPr="009461CC" w14:paraId="15FC12E9" w14:textId="77777777" w:rsidTr="00453251">
        <w:trPr>
          <w:trHeight w:val="620"/>
        </w:trPr>
        <w:tc>
          <w:tcPr>
            <w:tcW w:w="1138" w:type="pct"/>
            <w:shd w:val="clear" w:color="auto" w:fill="BFBFBF"/>
            <w:vAlign w:val="center"/>
          </w:tcPr>
          <w:p w14:paraId="024816D8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t-IT"/>
              </w:rPr>
              <w:t>Risultato</w:t>
            </w:r>
            <w:bookmarkStart w:id="19" w:name="_Toc86391902"/>
            <w:bookmarkEnd w:id="19"/>
          </w:p>
        </w:tc>
        <w:tc>
          <w:tcPr>
            <w:tcW w:w="1000" w:type="pct"/>
            <w:shd w:val="clear" w:color="auto" w:fill="BFBFBF"/>
          </w:tcPr>
          <w:p w14:paraId="22A108AE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t-IT"/>
              </w:rPr>
              <w:t>SOA</w:t>
            </w:r>
            <w:r>
              <w:rPr>
                <w:rFonts w:ascii="Times New Roman" w:hAnsi="Times New Roman" w:cs="Times New Roman"/>
                <w:lang w:val="it-IT"/>
              </w:rPr>
              <w:br/>
              <w:t>Gamma complessiva</w:t>
            </w:r>
          </w:p>
        </w:tc>
        <w:tc>
          <w:tcPr>
            <w:tcW w:w="1158" w:type="pct"/>
            <w:shd w:val="clear" w:color="auto" w:fill="BFBFBF"/>
            <w:vAlign w:val="center"/>
          </w:tcPr>
          <w:p w14:paraId="16D6B523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t-IT"/>
              </w:rPr>
              <w:t>Dispositivo della concorrenza</w:t>
            </w:r>
          </w:p>
          <w:p w14:paraId="45EFB37E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t-IT"/>
              </w:rPr>
              <w:t>Gamma complessiva</w:t>
            </w:r>
            <w:bookmarkStart w:id="20" w:name="_Toc86391905"/>
            <w:bookmarkEnd w:id="20"/>
          </w:p>
        </w:tc>
        <w:tc>
          <w:tcPr>
            <w:tcW w:w="1704" w:type="pct"/>
            <w:shd w:val="clear" w:color="auto" w:fill="BFBFBF"/>
            <w:vAlign w:val="center"/>
          </w:tcPr>
          <w:p w14:paraId="17C5AFF5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t-IT"/>
              </w:rPr>
              <w:t>Criteri di accettazione</w:t>
            </w:r>
            <w:bookmarkStart w:id="21" w:name="_Toc86391906"/>
            <w:bookmarkEnd w:id="21"/>
          </w:p>
        </w:tc>
        <w:bookmarkStart w:id="22" w:name="_Toc86391907"/>
        <w:bookmarkEnd w:id="22"/>
      </w:tr>
      <w:tr w:rsidR="00453251" w:rsidRPr="009461CC" w14:paraId="5B41AE2D" w14:textId="77777777" w:rsidTr="00453251">
        <w:tc>
          <w:tcPr>
            <w:tcW w:w="5000" w:type="pct"/>
            <w:gridSpan w:val="4"/>
            <w:shd w:val="clear" w:color="auto" w:fill="D9D9D9"/>
          </w:tcPr>
          <w:p w14:paraId="026E445F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 w:val="0"/>
                <w:lang w:val="it-IT"/>
              </w:rPr>
              <w:t>Sicurezza</w:t>
            </w:r>
          </w:p>
        </w:tc>
      </w:tr>
      <w:tr w:rsidR="00453251" w:rsidRPr="009461CC" w14:paraId="2ECEC40D" w14:textId="77777777" w:rsidTr="00453251">
        <w:tc>
          <w:tcPr>
            <w:tcW w:w="1138" w:type="pct"/>
          </w:tcPr>
          <w:p w14:paraId="01C3E100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it-IT"/>
              </w:rPr>
              <w:t>Sanguinamento</w:t>
            </w:r>
            <w:bookmarkStart w:id="23" w:name="_Toc86391910"/>
            <w:bookmarkEnd w:id="23"/>
          </w:p>
        </w:tc>
        <w:tc>
          <w:tcPr>
            <w:tcW w:w="1000" w:type="pct"/>
            <w:vAlign w:val="center"/>
          </w:tcPr>
          <w:p w14:paraId="529B6FA7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it-IT"/>
              </w:rPr>
              <w:t>0-3%</w:t>
            </w:r>
          </w:p>
        </w:tc>
        <w:tc>
          <w:tcPr>
            <w:tcW w:w="1158" w:type="pct"/>
            <w:vAlign w:val="center"/>
          </w:tcPr>
          <w:p w14:paraId="30172B6B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24" w:name="_Toc86391913"/>
            <w:bookmarkStart w:id="25" w:name="_Toc86391911"/>
            <w:bookmarkEnd w:id="24"/>
            <w:bookmarkEnd w:id="25"/>
            <w:r>
              <w:rPr>
                <w:rFonts w:ascii="Times New Roman" w:hAnsi="Times New Roman" w:cs="Times New Roman"/>
                <w:iCs w:val="0"/>
                <w:lang w:val="it-IT"/>
              </w:rPr>
              <w:t>0-0,6%</w:t>
            </w:r>
          </w:p>
        </w:tc>
        <w:tc>
          <w:tcPr>
            <w:tcW w:w="1704" w:type="pct"/>
            <w:vAlign w:val="center"/>
          </w:tcPr>
          <w:p w14:paraId="03E978DF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bookmarkStart w:id="26" w:name="_Toc86391914"/>
            <w:bookmarkEnd w:id="26"/>
            <w:r>
              <w:rPr>
                <w:rFonts w:ascii="Times New Roman" w:hAnsi="Times New Roman" w:cs="Times New Roman"/>
                <w:iCs w:val="0"/>
                <w:lang w:val="it-IT"/>
              </w:rPr>
              <w:t xml:space="preserve">Tassi di sanguinamento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it-IT"/>
              </w:rPr>
              <w:t>inferiori al 3%</w:t>
            </w:r>
          </w:p>
        </w:tc>
        <w:bookmarkStart w:id="27" w:name="_Toc86391915"/>
        <w:bookmarkEnd w:id="27"/>
      </w:tr>
      <w:tr w:rsidR="00453251" w:rsidRPr="009461CC" w14:paraId="770200CA" w14:textId="77777777" w:rsidTr="00453251">
        <w:tc>
          <w:tcPr>
            <w:tcW w:w="1138" w:type="pct"/>
          </w:tcPr>
          <w:p w14:paraId="4D43F3AC" w14:textId="77777777" w:rsidR="00453251" w:rsidRPr="009461CC" w:rsidRDefault="00453251" w:rsidP="00AC7398">
            <w:pPr>
              <w:pStyle w:val="TableTextLeft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it-IT"/>
              </w:rPr>
              <w:t>Perforazione/danno tissutale</w:t>
            </w:r>
            <w:bookmarkStart w:id="28" w:name="_Toc86391916"/>
            <w:bookmarkEnd w:id="28"/>
          </w:p>
        </w:tc>
        <w:tc>
          <w:tcPr>
            <w:tcW w:w="1000" w:type="pct"/>
            <w:vAlign w:val="center"/>
          </w:tcPr>
          <w:p w14:paraId="42E7FC3B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it-IT"/>
              </w:rPr>
              <w:t>0-1,7%</w:t>
            </w:r>
          </w:p>
        </w:tc>
        <w:tc>
          <w:tcPr>
            <w:tcW w:w="1158" w:type="pct"/>
            <w:vAlign w:val="center"/>
          </w:tcPr>
          <w:p w14:paraId="58C428BE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29" w:name="_Toc86391919"/>
            <w:bookmarkStart w:id="30" w:name="_Toc86391917"/>
            <w:bookmarkEnd w:id="29"/>
            <w:bookmarkEnd w:id="30"/>
            <w:r>
              <w:rPr>
                <w:rFonts w:ascii="Times New Roman" w:hAnsi="Times New Roman" w:cs="Times New Roman"/>
                <w:iCs w:val="0"/>
                <w:lang w:val="it-IT"/>
              </w:rPr>
              <w:t>0-4,0%</w:t>
            </w:r>
          </w:p>
        </w:tc>
        <w:tc>
          <w:tcPr>
            <w:tcW w:w="1704" w:type="pct"/>
            <w:vAlign w:val="center"/>
          </w:tcPr>
          <w:p w14:paraId="785BDB89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31" w:name="_Toc86391920"/>
            <w:bookmarkEnd w:id="31"/>
            <w:r>
              <w:rPr>
                <w:rFonts w:ascii="Times New Roman" w:hAnsi="Times New Roman" w:cs="Times New Roman"/>
                <w:iCs w:val="0"/>
                <w:lang w:val="it-IT"/>
              </w:rPr>
              <w:t xml:space="preserve">Percentuali di perforazione/danno tissutale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it-IT"/>
              </w:rPr>
              <w:t>inferiori al 4%</w:t>
            </w:r>
          </w:p>
        </w:tc>
        <w:bookmarkStart w:id="32" w:name="_Toc86391921"/>
        <w:bookmarkEnd w:id="32"/>
      </w:tr>
      <w:tr w:rsidR="00453251" w:rsidRPr="009461CC" w14:paraId="3D17E0CA" w14:textId="77777777" w:rsidTr="00453251">
        <w:tc>
          <w:tcPr>
            <w:tcW w:w="1138" w:type="pct"/>
          </w:tcPr>
          <w:p w14:paraId="22E5467D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it-IT"/>
              </w:rPr>
              <w:t>Embolia gassosa</w:t>
            </w:r>
            <w:bookmarkStart w:id="33" w:name="_Toc86391922"/>
            <w:bookmarkEnd w:id="33"/>
          </w:p>
        </w:tc>
        <w:tc>
          <w:tcPr>
            <w:tcW w:w="1000" w:type="pct"/>
            <w:vAlign w:val="center"/>
          </w:tcPr>
          <w:p w14:paraId="50CDDBB0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it-IT"/>
              </w:rPr>
              <w:t>0 - 2,1%</w:t>
            </w:r>
          </w:p>
        </w:tc>
        <w:tc>
          <w:tcPr>
            <w:tcW w:w="1158" w:type="pct"/>
            <w:vAlign w:val="center"/>
          </w:tcPr>
          <w:p w14:paraId="0471C436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34" w:name="_Toc86391925"/>
            <w:bookmarkStart w:id="35" w:name="_Toc86391923"/>
            <w:bookmarkEnd w:id="34"/>
            <w:bookmarkEnd w:id="35"/>
            <w:r>
              <w:rPr>
                <w:rFonts w:ascii="Times New Roman" w:hAnsi="Times New Roman" w:cs="Times New Roman"/>
                <w:iCs w:val="0"/>
                <w:lang w:val="it-IT"/>
              </w:rPr>
              <w:t>0-0,6%</w:t>
            </w:r>
          </w:p>
        </w:tc>
        <w:tc>
          <w:tcPr>
            <w:tcW w:w="1704" w:type="pct"/>
            <w:vAlign w:val="center"/>
          </w:tcPr>
          <w:p w14:paraId="1B80F3DB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36" w:name="_Toc86391926"/>
            <w:bookmarkEnd w:id="36"/>
            <w:r>
              <w:rPr>
                <w:rFonts w:ascii="Times New Roman" w:hAnsi="Times New Roman" w:cs="Times New Roman"/>
                <w:iCs w:val="0"/>
                <w:lang w:val="it-IT"/>
              </w:rPr>
              <w:t xml:space="preserve">Embolia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it-IT"/>
              </w:rPr>
              <w:t>inferiore al 2,1%</w:t>
            </w:r>
          </w:p>
        </w:tc>
        <w:bookmarkStart w:id="37" w:name="_Toc86391927"/>
        <w:bookmarkEnd w:id="37"/>
      </w:tr>
      <w:tr w:rsidR="00453251" w:rsidRPr="009461CC" w14:paraId="33FEDA6C" w14:textId="77777777" w:rsidTr="00453251">
        <w:tc>
          <w:tcPr>
            <w:tcW w:w="1138" w:type="pct"/>
          </w:tcPr>
          <w:p w14:paraId="5817831E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it-IT"/>
              </w:rPr>
              <w:t>Infezione</w:t>
            </w:r>
            <w:bookmarkStart w:id="38" w:name="_Toc86391928"/>
            <w:bookmarkEnd w:id="38"/>
          </w:p>
        </w:tc>
        <w:tc>
          <w:tcPr>
            <w:tcW w:w="1000" w:type="pct"/>
            <w:vAlign w:val="center"/>
          </w:tcPr>
          <w:p w14:paraId="190DF8A8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it-IT"/>
              </w:rPr>
              <w:t>0%</w:t>
            </w:r>
          </w:p>
        </w:tc>
        <w:tc>
          <w:tcPr>
            <w:tcW w:w="1158" w:type="pct"/>
            <w:vAlign w:val="center"/>
          </w:tcPr>
          <w:p w14:paraId="480907F1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39" w:name="_Toc86391931"/>
            <w:bookmarkStart w:id="40" w:name="_Toc86391929"/>
            <w:bookmarkEnd w:id="39"/>
            <w:bookmarkEnd w:id="40"/>
            <w:r>
              <w:rPr>
                <w:rFonts w:ascii="Times New Roman" w:hAnsi="Times New Roman" w:cs="Times New Roman"/>
                <w:iCs w:val="0"/>
                <w:lang w:val="it-IT"/>
              </w:rPr>
              <w:t>0%</w:t>
            </w:r>
          </w:p>
        </w:tc>
        <w:tc>
          <w:tcPr>
            <w:tcW w:w="1704" w:type="pct"/>
            <w:vAlign w:val="center"/>
          </w:tcPr>
          <w:p w14:paraId="1D828A42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41" w:name="_Toc86391932"/>
            <w:bookmarkEnd w:id="41"/>
            <w:r>
              <w:rPr>
                <w:rFonts w:ascii="Times New Roman" w:hAnsi="Times New Roman" w:cs="Times New Roman"/>
                <w:iCs w:val="0"/>
                <w:lang w:val="it-IT"/>
              </w:rPr>
              <w:t xml:space="preserve">Infezione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it-IT"/>
              </w:rPr>
              <w:t>inferiore allo 0%</w:t>
            </w:r>
          </w:p>
        </w:tc>
        <w:bookmarkStart w:id="42" w:name="_Toc86391933"/>
        <w:bookmarkEnd w:id="42"/>
      </w:tr>
      <w:tr w:rsidR="00453251" w:rsidRPr="009461CC" w14:paraId="00F9D43C" w14:textId="77777777" w:rsidTr="00453251">
        <w:tc>
          <w:tcPr>
            <w:tcW w:w="1138" w:type="pct"/>
          </w:tcPr>
          <w:p w14:paraId="530E2FE9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it-IT"/>
              </w:rPr>
              <w:t>Reazione allergica</w:t>
            </w:r>
            <w:bookmarkStart w:id="43" w:name="_Toc86391934"/>
            <w:bookmarkEnd w:id="43"/>
          </w:p>
        </w:tc>
        <w:tc>
          <w:tcPr>
            <w:tcW w:w="1000" w:type="pct"/>
            <w:vAlign w:val="center"/>
          </w:tcPr>
          <w:p w14:paraId="6250CCD8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it-IT"/>
              </w:rPr>
              <w:t>0%</w:t>
            </w:r>
          </w:p>
        </w:tc>
        <w:tc>
          <w:tcPr>
            <w:tcW w:w="1158" w:type="pct"/>
            <w:vAlign w:val="center"/>
          </w:tcPr>
          <w:p w14:paraId="50CF5415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44" w:name="_Toc86391937"/>
            <w:bookmarkStart w:id="45" w:name="_Toc86391935"/>
            <w:bookmarkEnd w:id="44"/>
            <w:bookmarkEnd w:id="45"/>
            <w:r>
              <w:rPr>
                <w:rFonts w:ascii="Times New Roman" w:hAnsi="Times New Roman" w:cs="Times New Roman"/>
                <w:iCs w:val="0"/>
                <w:lang w:val="it-IT"/>
              </w:rPr>
              <w:t>0%</w:t>
            </w:r>
          </w:p>
        </w:tc>
        <w:tc>
          <w:tcPr>
            <w:tcW w:w="1704" w:type="pct"/>
            <w:vAlign w:val="center"/>
          </w:tcPr>
          <w:p w14:paraId="3CD98CC2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46" w:name="_Toc86391938"/>
            <w:bookmarkEnd w:id="46"/>
            <w:r>
              <w:rPr>
                <w:rFonts w:ascii="Times New Roman" w:hAnsi="Times New Roman" w:cs="Times New Roman"/>
                <w:iCs w:val="0"/>
                <w:lang w:val="it-IT"/>
              </w:rPr>
              <w:t xml:space="preserve">Reazione allergica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it-IT"/>
              </w:rPr>
              <w:t>inferiore allo 0%</w:t>
            </w:r>
          </w:p>
        </w:tc>
        <w:bookmarkStart w:id="47" w:name="_Toc86391939"/>
        <w:bookmarkEnd w:id="47"/>
      </w:tr>
      <w:tr w:rsidR="00453251" w:rsidRPr="009461CC" w14:paraId="027FF060" w14:textId="77777777" w:rsidTr="00453251">
        <w:trPr>
          <w:trHeight w:val="197"/>
        </w:trPr>
        <w:tc>
          <w:tcPr>
            <w:tcW w:w="1138" w:type="pct"/>
          </w:tcPr>
          <w:p w14:paraId="0B4FA88A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it-IT"/>
              </w:rPr>
              <w:t>Dolore</w:t>
            </w:r>
            <w:bookmarkStart w:id="48" w:name="_Toc86391940"/>
            <w:bookmarkEnd w:id="48"/>
          </w:p>
        </w:tc>
        <w:tc>
          <w:tcPr>
            <w:tcW w:w="1000" w:type="pct"/>
            <w:vAlign w:val="center"/>
          </w:tcPr>
          <w:p w14:paraId="0A016617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it-IT"/>
              </w:rPr>
              <w:t>0%</w:t>
            </w:r>
          </w:p>
        </w:tc>
        <w:tc>
          <w:tcPr>
            <w:tcW w:w="1158" w:type="pct"/>
            <w:vAlign w:val="center"/>
          </w:tcPr>
          <w:p w14:paraId="72B648EC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49" w:name="_Toc86391943"/>
            <w:bookmarkStart w:id="50" w:name="_Toc86391941"/>
            <w:bookmarkEnd w:id="49"/>
            <w:bookmarkEnd w:id="50"/>
            <w:r>
              <w:rPr>
                <w:rFonts w:ascii="Times New Roman" w:hAnsi="Times New Roman" w:cs="Times New Roman"/>
                <w:iCs w:val="0"/>
                <w:lang w:val="it-IT"/>
              </w:rPr>
              <w:t>0%</w:t>
            </w:r>
          </w:p>
        </w:tc>
        <w:tc>
          <w:tcPr>
            <w:tcW w:w="1704" w:type="pct"/>
            <w:vAlign w:val="center"/>
          </w:tcPr>
          <w:p w14:paraId="56186FA5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51" w:name="_Toc86391944"/>
            <w:bookmarkEnd w:id="51"/>
            <w:r>
              <w:rPr>
                <w:rFonts w:ascii="Times New Roman" w:hAnsi="Times New Roman" w:cs="Times New Roman"/>
                <w:iCs w:val="0"/>
                <w:lang w:val="it-IT"/>
              </w:rPr>
              <w:t xml:space="preserve">Dolore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it-IT"/>
              </w:rPr>
              <w:t>inferiore allo 0%</w:t>
            </w:r>
          </w:p>
        </w:tc>
        <w:bookmarkStart w:id="52" w:name="_Toc86391945"/>
        <w:bookmarkEnd w:id="52"/>
      </w:tr>
      <w:tr w:rsidR="00453251" w:rsidRPr="009461CC" w14:paraId="28252FD0" w14:textId="77777777" w:rsidTr="00453251">
        <w:tc>
          <w:tcPr>
            <w:tcW w:w="1138" w:type="pct"/>
          </w:tcPr>
          <w:p w14:paraId="013547C7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it-IT"/>
              </w:rPr>
              <w:t>Complicanze complessive</w:t>
            </w:r>
            <w:bookmarkStart w:id="53" w:name="_Toc86391946"/>
            <w:bookmarkEnd w:id="53"/>
          </w:p>
        </w:tc>
        <w:tc>
          <w:tcPr>
            <w:tcW w:w="1000" w:type="pct"/>
            <w:vAlign w:val="center"/>
          </w:tcPr>
          <w:p w14:paraId="740F59E9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it-IT"/>
              </w:rPr>
              <w:t>0-5,2%</w:t>
            </w:r>
          </w:p>
        </w:tc>
        <w:tc>
          <w:tcPr>
            <w:tcW w:w="1158" w:type="pct"/>
            <w:vAlign w:val="center"/>
          </w:tcPr>
          <w:p w14:paraId="0BF92E76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54" w:name="_Toc86391949"/>
            <w:bookmarkStart w:id="55" w:name="_Toc86391947"/>
            <w:bookmarkEnd w:id="54"/>
            <w:bookmarkEnd w:id="55"/>
            <w:r>
              <w:rPr>
                <w:rFonts w:ascii="Times New Roman" w:hAnsi="Times New Roman" w:cs="Times New Roman"/>
                <w:iCs w:val="0"/>
                <w:lang w:val="it-IT"/>
              </w:rPr>
              <w:t>0-4%</w:t>
            </w:r>
          </w:p>
        </w:tc>
        <w:tc>
          <w:tcPr>
            <w:tcW w:w="1704" w:type="pct"/>
            <w:vAlign w:val="center"/>
          </w:tcPr>
          <w:p w14:paraId="71781E09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bookmarkStart w:id="56" w:name="_Toc86391950"/>
            <w:bookmarkEnd w:id="56"/>
            <w:r>
              <w:rPr>
                <w:rFonts w:ascii="Times New Roman" w:hAnsi="Times New Roman" w:cs="Times New Roman"/>
                <w:iCs w:val="0"/>
                <w:lang w:val="it-IT"/>
              </w:rPr>
              <w:t xml:space="preserve">Complicanze complessive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it-IT"/>
              </w:rPr>
              <w:t>inferiori al 5,2%</w:t>
            </w:r>
          </w:p>
        </w:tc>
        <w:bookmarkStart w:id="57" w:name="_Toc86391951"/>
        <w:bookmarkEnd w:id="57"/>
      </w:tr>
      <w:tr w:rsidR="00453251" w:rsidRPr="009461CC" w14:paraId="0BC00479" w14:textId="77777777" w:rsidTr="00453251">
        <w:tc>
          <w:tcPr>
            <w:tcW w:w="5000" w:type="pct"/>
            <w:gridSpan w:val="4"/>
            <w:shd w:val="clear" w:color="auto" w:fill="D9D9D9"/>
            <w:vAlign w:val="center"/>
          </w:tcPr>
          <w:p w14:paraId="35A811CF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 w:val="0"/>
                <w:lang w:val="it-IT"/>
              </w:rPr>
              <w:t>Prestazioni</w:t>
            </w:r>
          </w:p>
        </w:tc>
      </w:tr>
      <w:tr w:rsidR="00453251" w:rsidRPr="009461CC" w14:paraId="6F720CB6" w14:textId="77777777" w:rsidTr="00453251">
        <w:tc>
          <w:tcPr>
            <w:tcW w:w="1138" w:type="pct"/>
            <w:vAlign w:val="center"/>
          </w:tcPr>
          <w:p w14:paraId="60785A5D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it-IT"/>
              </w:rPr>
              <w:t xml:space="preserve">Successo tecnico </w:t>
            </w:r>
            <w:bookmarkStart w:id="58" w:name="_Toc86391954"/>
            <w:bookmarkEnd w:id="58"/>
          </w:p>
        </w:tc>
        <w:tc>
          <w:tcPr>
            <w:tcW w:w="1000" w:type="pct"/>
            <w:vAlign w:val="center"/>
          </w:tcPr>
          <w:p w14:paraId="042F9BC6" w14:textId="77777777" w:rsidR="00453251" w:rsidRPr="009461CC" w:rsidDel="002D4462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it-IT"/>
              </w:rPr>
              <w:t>82,8–100%</w:t>
            </w:r>
          </w:p>
        </w:tc>
        <w:tc>
          <w:tcPr>
            <w:tcW w:w="1158" w:type="pct"/>
            <w:vAlign w:val="center"/>
          </w:tcPr>
          <w:p w14:paraId="3177A351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59" w:name="_Toc86391957"/>
            <w:bookmarkStart w:id="60" w:name="_Toc86391955"/>
            <w:bookmarkEnd w:id="59"/>
            <w:bookmarkEnd w:id="60"/>
            <w:r>
              <w:rPr>
                <w:rFonts w:ascii="Times New Roman" w:hAnsi="Times New Roman" w:cs="Times New Roman"/>
                <w:iCs w:val="0"/>
                <w:lang w:val="it-IT"/>
              </w:rPr>
              <w:t>82,0-100%</w:t>
            </w:r>
          </w:p>
        </w:tc>
        <w:tc>
          <w:tcPr>
            <w:tcW w:w="1704" w:type="pct"/>
            <w:vAlign w:val="center"/>
          </w:tcPr>
          <w:p w14:paraId="55C13098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bookmarkStart w:id="61" w:name="_Toc86391958"/>
            <w:bookmarkEnd w:id="61"/>
            <w:r>
              <w:rPr>
                <w:rFonts w:ascii="Times New Roman" w:hAnsi="Times New Roman" w:cs="Times New Roman"/>
                <w:iCs w:val="0"/>
                <w:lang w:val="it-IT"/>
              </w:rPr>
              <w:t xml:space="preserve">Successo tecnico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it-IT"/>
              </w:rPr>
              <w:t>superiore all'82,0%</w:t>
            </w:r>
          </w:p>
        </w:tc>
        <w:bookmarkStart w:id="62" w:name="_Toc86391959"/>
        <w:bookmarkEnd w:id="62"/>
      </w:tr>
      <w:tr w:rsidR="00453251" w:rsidRPr="009461CC" w14:paraId="4E839B51" w14:textId="77777777" w:rsidTr="00453251">
        <w:tc>
          <w:tcPr>
            <w:tcW w:w="1138" w:type="pct"/>
            <w:vAlign w:val="center"/>
          </w:tcPr>
          <w:p w14:paraId="055E85A0" w14:textId="77777777" w:rsidR="00453251" w:rsidRPr="009461CC" w:rsidRDefault="00453251" w:rsidP="00AC7398">
            <w:pPr>
              <w:pStyle w:val="TableTextLeft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it-IT"/>
              </w:rPr>
              <w:t xml:space="preserve">Successo clinico </w:t>
            </w:r>
            <w:bookmarkStart w:id="63" w:name="_Toc86391960"/>
            <w:bookmarkEnd w:id="63"/>
          </w:p>
        </w:tc>
        <w:tc>
          <w:tcPr>
            <w:tcW w:w="1000" w:type="pct"/>
            <w:vAlign w:val="center"/>
          </w:tcPr>
          <w:p w14:paraId="163906FF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it-IT"/>
              </w:rPr>
              <w:t>95,2-100%</w:t>
            </w:r>
          </w:p>
        </w:tc>
        <w:tc>
          <w:tcPr>
            <w:tcW w:w="1158" w:type="pct"/>
            <w:vAlign w:val="center"/>
          </w:tcPr>
          <w:p w14:paraId="24CE1D22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64" w:name="_Toc86391963"/>
            <w:bookmarkStart w:id="65" w:name="_Toc86391961"/>
            <w:bookmarkEnd w:id="64"/>
            <w:bookmarkEnd w:id="65"/>
            <w:r>
              <w:rPr>
                <w:rFonts w:ascii="Times New Roman" w:hAnsi="Times New Roman" w:cs="Times New Roman"/>
                <w:iCs w:val="0"/>
                <w:lang w:val="it-IT"/>
              </w:rPr>
              <w:t>92,3-100%</w:t>
            </w:r>
          </w:p>
        </w:tc>
        <w:tc>
          <w:tcPr>
            <w:tcW w:w="1704" w:type="pct"/>
            <w:vAlign w:val="center"/>
          </w:tcPr>
          <w:p w14:paraId="1240798C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bookmarkStart w:id="66" w:name="_Toc86391964"/>
            <w:bookmarkEnd w:id="66"/>
            <w:r>
              <w:rPr>
                <w:rFonts w:ascii="Times New Roman" w:hAnsi="Times New Roman" w:cs="Times New Roman"/>
                <w:iCs w:val="0"/>
                <w:lang w:val="it-IT"/>
              </w:rPr>
              <w:t xml:space="preserve">Successo clinico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it-IT"/>
              </w:rPr>
              <w:t>superiore al 92,3%</w:t>
            </w:r>
          </w:p>
        </w:tc>
        <w:bookmarkStart w:id="67" w:name="_Toc86391965"/>
        <w:bookmarkEnd w:id="67"/>
      </w:tr>
    </w:tbl>
    <w:p w14:paraId="47F3BE56" w14:textId="333D5F62" w:rsidR="00941D63" w:rsidRPr="009461CC" w:rsidRDefault="00941D63" w:rsidP="00941D63">
      <w:pPr>
        <w:spacing w:before="100" w:before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Il kit per</w:t>
      </w:r>
      <w:r w:rsidR="0027538E" w:rsidRPr="0027538E">
        <w:t xml:space="preserve"> </w:t>
      </w:r>
      <w:r w:rsidR="0027538E" w:rsidRPr="0027538E">
        <w:rPr>
          <w:rFonts w:eastAsia="Times New Roman" w:cs="Times New Roman"/>
          <w:szCs w:val="24"/>
          <w:lang w:val="it-IT"/>
        </w:rPr>
        <w:t>Snare</w:t>
      </w:r>
      <w:r>
        <w:rPr>
          <w:rFonts w:eastAsia="Times New Roman" w:cs="Times New Roman"/>
          <w:szCs w:val="24"/>
          <w:lang w:val="it-IT"/>
        </w:rPr>
        <w:t xml:space="preserve"> vascolare Atrieve presenta un profilo di rischio accettabile, senza rischi residui classificati come inaccettabili. I potenziali danni ai pazienti, quali emorragie, embolie, infezioni e danni ai tessuti, sono rari e rientrano nei tassi accettabili del settore. Le modalità di guasto più comuni, come il distacco di un componente o la resistenza del dispositivo, sono poco frequenti e ben controllate.</w:t>
      </w:r>
    </w:p>
    <w:p w14:paraId="6CD9B2F8" w14:textId="27B9DB44" w:rsidR="00941D63" w:rsidRPr="009461CC" w:rsidRDefault="00941D63" w:rsidP="00941D63">
      <w:pPr>
        <w:spacing w:before="100" w:before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Tutti i rischi identificati vengono affrontati tramite etichettatura, avvertenze e istruzioni per l'uso. Il rischio complessivo è paragonabile a quello dei trattamenti alternativi e i vantaggi del dispositivo, che consente il recupero sicuro e minimamente invasivo dei corpi estranei, superano i rischi. Durante il monitoraggio post-commercializzazione non sono stati identificati nuovi rischi.</w:t>
      </w:r>
    </w:p>
    <w:p w14:paraId="503092B6" w14:textId="15AAF628" w:rsidR="000F0AC2" w:rsidRPr="009461CC" w:rsidRDefault="008745ED" w:rsidP="001035F0">
      <w:pPr>
        <w:pStyle w:val="Heading1"/>
        <w:rPr>
          <w:rFonts w:cs="Times New Roman"/>
        </w:rPr>
      </w:pPr>
      <w:bookmarkStart w:id="68" w:name="_Toc222741502"/>
      <w:r>
        <w:rPr>
          <w:rFonts w:cs="Times New Roman"/>
          <w:bCs/>
          <w:lang w:val="it-IT"/>
        </w:rPr>
        <w:t>Avvertenze e precauzioni</w:t>
      </w:r>
      <w:bookmarkEnd w:id="68"/>
    </w:p>
    <w:p w14:paraId="3AFFFB2C" w14:textId="56B6C6C3" w:rsidR="00A030DC" w:rsidRPr="009461CC" w:rsidRDefault="00C64987" w:rsidP="006F12B6">
      <w:pPr>
        <w:spacing w:after="0" w:afterAutospacing="0" w:line="240" w:lineRule="auto"/>
        <w:ind w:left="792"/>
        <w:rPr>
          <w:rFonts w:cs="Times New Roman"/>
          <w:iCs/>
        </w:rPr>
      </w:pPr>
      <w:r>
        <w:rPr>
          <w:rFonts w:cs="Times New Roman"/>
          <w:lang w:val="it-IT"/>
        </w:rPr>
        <w:lastRenderedPageBreak/>
        <w:t>Riferimento IFU X9585730-0321-EU Rev A</w:t>
      </w:r>
    </w:p>
    <w:p w14:paraId="581EAB6F" w14:textId="38AC09C7" w:rsidR="0084795E" w:rsidRPr="009461CC" w:rsidRDefault="0084795E" w:rsidP="006F12B6">
      <w:pPr>
        <w:spacing w:after="0" w:afterAutospacing="0" w:line="240" w:lineRule="auto"/>
        <w:ind w:left="792"/>
        <w:rPr>
          <w:rFonts w:cs="Times New Roman"/>
          <w:b/>
          <w:bCs/>
          <w:iCs/>
        </w:rPr>
      </w:pPr>
      <w:r>
        <w:rPr>
          <w:rFonts w:cs="Times New Roman"/>
          <w:b/>
          <w:bCs/>
          <w:lang w:val="it-IT"/>
        </w:rPr>
        <w:t>Avvertenze:</w:t>
      </w:r>
    </w:p>
    <w:p w14:paraId="6D12BCC6" w14:textId="77777777" w:rsidR="00C13612" w:rsidRPr="009461CC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Questo dispositivo è stato progettato, testato e prodotto esclusivamente per uso singolo su un solo paziente. Il riutilizzo o il ritrattamento di questo dispositivo potrebbero causarne il guasto e conseguenti lesioni al paziente. Il ritrattamento e/o la risterilizzazione di questo dispositivo possono comportare il rischio di contaminazione e infezione del paziente. Non riutilizzare, ricondizionare o risterilizzare questo dispositivo.</w:t>
      </w:r>
    </w:p>
    <w:p w14:paraId="02E0F1FE" w14:textId="77777777" w:rsidR="00C13612" w:rsidRPr="009461CC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Ispezionare l'integrità della confezione prima dell'uso.</w:t>
      </w:r>
    </w:p>
    <w:p w14:paraId="0AB04CB5" w14:textId="77777777" w:rsidR="00C13612" w:rsidRPr="009461CC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Non utilizzare se la confezione è aperta o danneggiata o se è stata superata la data di scadenza.</w:t>
      </w:r>
    </w:p>
    <w:p w14:paraId="287B6E69" w14:textId="77777777" w:rsidR="00C13612" w:rsidRPr="009461CC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Non continuare l'utilizzo se uno qualsiasi dei componenti viene danneggiato durante la procedura.</w:t>
      </w:r>
    </w:p>
    <w:p w14:paraId="22477486" w14:textId="77777777" w:rsidR="00C13612" w:rsidRPr="009461CC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Il nitinol è una lega di nichel e titanio. Potrebbero verificarsi reazioni nei pazienti che mostrano sensibilità al nichel.</w:t>
      </w:r>
    </w:p>
    <w:p w14:paraId="2A4E00BA" w14:textId="77777777" w:rsidR="00C13612" w:rsidRPr="009461CC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Potrebbe verificarsi una possibile reazione nei pazienti che mostrano sensibilità al platino.</w:t>
      </w:r>
    </w:p>
    <w:p w14:paraId="0D7E98B5" w14:textId="77777777" w:rsidR="00C13612" w:rsidRPr="009461CC" w:rsidRDefault="00C13612" w:rsidP="00C13612">
      <w:pPr>
        <w:keepLines/>
        <w:numPr>
          <w:ilvl w:val="0"/>
          <w:numId w:val="22"/>
        </w:numPr>
        <w:autoSpaceDE w:val="0"/>
        <w:autoSpaceDN w:val="0"/>
        <w:adjustRightInd w:val="0"/>
        <w:spacing w:after="0" w:afterAutospacing="0" w:line="240" w:lineRule="auto"/>
        <w:ind w:left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Prestare attenzione quando si utilizza questo dispositivo per la rimozione di una guaina di fibrina di grandi dimensioni al fine di ridurre al minimo il rischio di embolia polmonare.</w:t>
      </w:r>
    </w:p>
    <w:p w14:paraId="4CB50B44" w14:textId="77777777" w:rsidR="00C13612" w:rsidRPr="009461CC" w:rsidRDefault="00C13612" w:rsidP="00C13612">
      <w:pPr>
        <w:keepLines/>
        <w:numPr>
          <w:ilvl w:val="0"/>
          <w:numId w:val="22"/>
        </w:numPr>
        <w:autoSpaceDE w:val="0"/>
        <w:autoSpaceDN w:val="0"/>
        <w:adjustRightInd w:val="0"/>
        <w:spacing w:after="0" w:afterAutospacing="0" w:line="240" w:lineRule="auto"/>
        <w:ind w:left="36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Durante alcune procedure può verificarsi sanguinamento attraverso il centro del catetere di erogazione. Può essere collegata al catetere di somministrazione una valvola emostatica (non inclusa) per ridurre l'emorragia secondo necessità o secondo il giudizio del medico.</w:t>
      </w:r>
    </w:p>
    <w:p w14:paraId="7C5DC59D" w14:textId="77777777" w:rsidR="0084795E" w:rsidRPr="009461CC" w:rsidRDefault="0084795E" w:rsidP="00FE6595">
      <w:pPr>
        <w:spacing w:after="0" w:afterAutospacing="0" w:line="240" w:lineRule="auto"/>
        <w:ind w:left="792"/>
        <w:rPr>
          <w:rFonts w:cs="Times New Roman"/>
          <w:iCs/>
        </w:rPr>
      </w:pPr>
    </w:p>
    <w:p w14:paraId="34731DB5" w14:textId="77777777" w:rsidR="0084795E" w:rsidRPr="009461CC" w:rsidRDefault="0084795E" w:rsidP="00FE6595">
      <w:pPr>
        <w:spacing w:after="0" w:afterAutospacing="0" w:line="240" w:lineRule="auto"/>
        <w:ind w:left="792"/>
        <w:rPr>
          <w:rFonts w:cs="Times New Roman"/>
          <w:b/>
          <w:bCs/>
          <w:iCs/>
        </w:rPr>
      </w:pPr>
      <w:r>
        <w:rPr>
          <w:rFonts w:cs="Times New Roman"/>
          <w:b/>
          <w:bCs/>
          <w:lang w:val="it-IT"/>
        </w:rPr>
        <w:t>Precauzioni:</w:t>
      </w:r>
    </w:p>
    <w:p w14:paraId="043EE8E1" w14:textId="77777777" w:rsidR="00533C0A" w:rsidRPr="009461CC" w:rsidRDefault="00533C0A" w:rsidP="00533C0A">
      <w:pPr>
        <w:numPr>
          <w:ilvl w:val="0"/>
          <w:numId w:val="23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Le forze di trazione applicate ai cateteri durante la rimozione della guaina di fibrina possono danneggiare, allungare o rompere i cateteri permanenti di diametro pari o inferiore a 6 French. Non esercitare una forza di trazione eccessiva quando si tenta di rimuovere la guaina di fibrina da cateteri di diametro pari o inferiore a 6 French.</w:t>
      </w:r>
    </w:p>
    <w:p w14:paraId="7C78A400" w14:textId="77777777" w:rsidR="00533C0A" w:rsidRPr="009461CC" w:rsidRDefault="00533C0A" w:rsidP="00533C0A">
      <w:pPr>
        <w:numPr>
          <w:ilvl w:val="0"/>
          <w:numId w:val="23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Non usare una forza eccessiva quando si manipola il catetere attraverso un introduttore.</w:t>
      </w:r>
    </w:p>
    <w:p w14:paraId="68E7CD6A" w14:textId="77777777" w:rsidR="009E4BE1" w:rsidRPr="009461CC" w:rsidRDefault="009E4BE1" w:rsidP="00DB582A">
      <w:pPr>
        <w:spacing w:after="0" w:afterAutospacing="0" w:line="240" w:lineRule="auto"/>
        <w:rPr>
          <w:rFonts w:cs="Times New Roman"/>
          <w:b/>
          <w:bCs/>
          <w:iCs/>
        </w:rPr>
      </w:pPr>
    </w:p>
    <w:p w14:paraId="1F2A8F23" w14:textId="7550D298" w:rsidR="00481A9E" w:rsidRPr="009461CC" w:rsidRDefault="00481A9E" w:rsidP="00481A9E">
      <w:pPr>
        <w:spacing w:after="120" w:afterAutospacing="0" w:line="240" w:lineRule="auto"/>
        <w:ind w:firstLine="720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bCs/>
          <w:szCs w:val="24"/>
          <w:lang w:val="it-IT"/>
        </w:rPr>
        <w:t xml:space="preserve">Rischi ed effetti collaterali </w:t>
      </w:r>
    </w:p>
    <w:p w14:paraId="3EC1F3BA" w14:textId="77777777" w:rsidR="00481A9E" w:rsidRPr="009461CC" w:rsidRDefault="00481A9E" w:rsidP="00481A9E">
      <w:pPr>
        <w:spacing w:after="120" w:afterAutospacing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Le possibili complicanze possono includere, a titolo esemplificativo ma non esaustivo:</w:t>
      </w:r>
    </w:p>
    <w:p w14:paraId="31B00162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Embolizzazione</w:t>
      </w:r>
    </w:p>
    <w:p w14:paraId="4831EC23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Ictus</w:t>
      </w:r>
    </w:p>
    <w:p w14:paraId="3E3CC4E5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Infarto miocardico (a seconda del posizionamento)</w:t>
      </w:r>
    </w:p>
    <w:p w14:paraId="3C5A584A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Embolia polmonare</w:t>
      </w:r>
    </w:p>
    <w:p w14:paraId="70F9D337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Perforazione dei vasi</w:t>
      </w:r>
    </w:p>
    <w:p w14:paraId="3B28D7FF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Intrappolamento del dispositivo</w:t>
      </w:r>
    </w:p>
    <w:p w14:paraId="33ABECFB" w14:textId="77777777" w:rsidR="00D558E5" w:rsidRPr="009461CC" w:rsidRDefault="00481A9E" w:rsidP="00D558E5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Sanguinamento/emorragia</w:t>
      </w:r>
    </w:p>
    <w:p w14:paraId="0A9BFD81" w14:textId="77777777" w:rsidR="00D558E5" w:rsidRPr="009461CC" w:rsidRDefault="00D558E5" w:rsidP="00D558E5">
      <w:pPr>
        <w:widowControl w:val="0"/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</w:p>
    <w:p w14:paraId="6EEBEC55" w14:textId="65AF2143" w:rsidR="00A80721" w:rsidRPr="009461CC" w:rsidRDefault="00A80721" w:rsidP="00D558E5">
      <w:pPr>
        <w:widowControl w:val="0"/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Benefici clinici.</w:t>
      </w:r>
    </w:p>
    <w:p w14:paraId="12CF44E5" w14:textId="4DF1EF1E" w:rsidR="00481A9E" w:rsidRPr="009461CC" w:rsidRDefault="00A80721" w:rsidP="00A80721">
      <w:pPr>
        <w:spacing w:after="120" w:afterAutospacing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La</w:t>
      </w:r>
      <w:r w:rsidR="0027538E" w:rsidRPr="0027538E">
        <w:t xml:space="preserve"> </w:t>
      </w:r>
      <w:r w:rsidR="0027538E" w:rsidRPr="0027538E">
        <w:rPr>
          <w:rFonts w:eastAsia="Times New Roman" w:cs="Times New Roman"/>
          <w:szCs w:val="24"/>
          <w:lang w:val="it-IT"/>
        </w:rPr>
        <w:t>Snare</w:t>
      </w:r>
      <w:r>
        <w:rPr>
          <w:rFonts w:eastAsia="Times New Roman" w:cs="Times New Roman"/>
          <w:szCs w:val="24"/>
          <w:lang w:val="it-IT"/>
        </w:rPr>
        <w:t xml:space="preserve"> vascolare Atrieve offre un vantaggio diretto al paziente, consentendo il recupero e la manipolazione percutanea di corpi estranei con minori complicazioni e rischi rispetto all'intervento chirurgico.</w:t>
      </w:r>
    </w:p>
    <w:p w14:paraId="5240AF40" w14:textId="3E5A2DE2" w:rsidR="00042B91" w:rsidRPr="009461CC" w:rsidRDefault="00BB36B1" w:rsidP="00A4616A">
      <w:pPr>
        <w:spacing w:after="0" w:afterAutospacing="0" w:line="240" w:lineRule="auto"/>
        <w:rPr>
          <w:rFonts w:cs="Times New Roman"/>
          <w:iCs/>
        </w:rPr>
      </w:pPr>
      <w:r>
        <w:rPr>
          <w:rFonts w:cs="Times New Roman"/>
          <w:lang w:val="it-IT"/>
        </w:rPr>
        <w:t>Durata/vita utile: transitoria (meno di 60 minuti)</w:t>
      </w:r>
    </w:p>
    <w:p w14:paraId="393C5ED9" w14:textId="77777777" w:rsidR="00E14C97" w:rsidRPr="009461CC" w:rsidRDefault="00E14C97" w:rsidP="00042B91">
      <w:pPr>
        <w:spacing w:after="0" w:afterAutospacing="0" w:line="240" w:lineRule="auto"/>
        <w:rPr>
          <w:rFonts w:cs="Times New Roman"/>
          <w:i/>
          <w:color w:val="FF0000"/>
        </w:rPr>
      </w:pPr>
    </w:p>
    <w:p w14:paraId="09A94B0F" w14:textId="4E664EE0" w:rsidR="00760400" w:rsidRPr="009461CC" w:rsidRDefault="008745ED" w:rsidP="00042B91">
      <w:pPr>
        <w:pStyle w:val="Heading1"/>
        <w:rPr>
          <w:rFonts w:cs="Times New Roman"/>
        </w:rPr>
      </w:pPr>
      <w:bookmarkStart w:id="69" w:name="_Toc222741503"/>
      <w:r>
        <w:rPr>
          <w:rFonts w:cs="Times New Roman"/>
          <w:bCs/>
          <w:lang w:val="it-IT"/>
        </w:rPr>
        <w:lastRenderedPageBreak/>
        <w:t>Altri aspetti rilevanti della sicurezza, tra cui un riepilogo di eventuali azioni pratiche correttive per la sicurezza (FSCA, tra cui FSN) se pertinente</w:t>
      </w:r>
      <w:bookmarkEnd w:id="69"/>
    </w:p>
    <w:p w14:paraId="65E21D1D" w14:textId="58A43005" w:rsidR="004F5057" w:rsidRPr="009461CC" w:rsidRDefault="00FC52C8" w:rsidP="001F48BA">
      <w:pPr>
        <w:rPr>
          <w:rFonts w:cs="Times New Roman"/>
        </w:rPr>
      </w:pPr>
      <w:r>
        <w:rPr>
          <w:rFonts w:cs="Times New Roman"/>
          <w:lang w:val="it-IT"/>
        </w:rPr>
        <w:t>Nel periodo di riferimento non sono state intraprese azioni correttive di sicurezza sul campo (FSCA) né sono stati effettuati richiami.</w:t>
      </w:r>
    </w:p>
    <w:p w14:paraId="21FC0F42" w14:textId="6F4CDE71" w:rsidR="008745ED" w:rsidRPr="009461CC" w:rsidRDefault="008745ED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70" w:name="_Toc222741504"/>
      <w:r>
        <w:rPr>
          <w:rFonts w:cs="Times New Roman"/>
          <w:bCs/>
          <w:lang w:val="it-IT"/>
        </w:rPr>
        <w:t>Riepilogo della valutazione clinica e del followup clinico postcommercializzazione (PMCF)</w:t>
      </w:r>
      <w:bookmarkEnd w:id="70"/>
    </w:p>
    <w:p w14:paraId="7CA310DE" w14:textId="21E62E9A" w:rsidR="00DA4404" w:rsidRPr="009461CC" w:rsidRDefault="00DA4404" w:rsidP="00DA4404">
      <w:pPr>
        <w:rPr>
          <w:rFonts w:cs="Times New Roman"/>
        </w:rPr>
      </w:pPr>
      <w:r>
        <w:rPr>
          <w:rFonts w:cs="Times New Roman"/>
          <w:lang w:val="it-IT"/>
        </w:rPr>
        <w:t>Il Rapporto di valutazione clinica (CER-029 Rev B) conferma che il kit per</w:t>
      </w:r>
      <w:r w:rsidR="0027538E" w:rsidRPr="0027538E">
        <w:t xml:space="preserve"> </w:t>
      </w:r>
      <w:r w:rsidR="0027538E" w:rsidRPr="0027538E">
        <w:rPr>
          <w:rFonts w:cs="Times New Roman"/>
          <w:lang w:val="it-IT"/>
        </w:rPr>
        <w:t>Snare</w:t>
      </w:r>
      <w:r>
        <w:rPr>
          <w:rFonts w:cs="Times New Roman"/>
          <w:lang w:val="it-IT"/>
        </w:rPr>
        <w:t xml:space="preserve"> vascolare Atrieve è clinicamente sicuro ed efficace per il recupero e la manipolazione di corpi estranei nel sistema cardiovascolare. Viene utilizzato principalmente da professionisti medici qualificati in procedure minimamente invasive.</w:t>
      </w:r>
    </w:p>
    <w:p w14:paraId="065C32D9" w14:textId="36044E92" w:rsidR="00DA4404" w:rsidRPr="009461CC" w:rsidRDefault="00DA4404" w:rsidP="00DA4404">
      <w:pPr>
        <w:rPr>
          <w:rFonts w:cs="Times New Roman"/>
        </w:rPr>
      </w:pPr>
      <w:r>
        <w:rPr>
          <w:rFonts w:cs="Times New Roman"/>
          <w:lang w:val="it-IT"/>
        </w:rPr>
        <w:t>La valutazione, basata sulla revisione della letteratura, sull'esperienza clinica e sui dati post-commercializzazione, evidenzia elevati tassi di successo tecnico e clinico. Complicanze quali sanguinamento, embolia, infezione o reazioni allergiche sono rare e rientrano nei limiti clinici accettabili.</w:t>
      </w:r>
    </w:p>
    <w:p w14:paraId="0DAD67AD" w14:textId="4FF5EA89" w:rsidR="00DA4404" w:rsidRPr="009461CC" w:rsidRDefault="00DA4404" w:rsidP="00DA4404">
      <w:pPr>
        <w:rPr>
          <w:rFonts w:cs="Times New Roman"/>
        </w:rPr>
      </w:pPr>
      <w:r>
        <w:rPr>
          <w:rFonts w:cs="Times New Roman"/>
          <w:lang w:val="it-IT"/>
        </w:rPr>
        <w:t>Non sono stati identificati nuovi problemi di sicurezza o rischi imprevisti. Il dispositivo offre prestazioni paragonabili a prodotti simili presenti sul mercato, mantenendo un profilo rischio-beneficio coerente.</w:t>
      </w:r>
    </w:p>
    <w:p w14:paraId="745B2F11" w14:textId="765C70EF" w:rsidR="00257EE2" w:rsidRPr="009461CC" w:rsidRDefault="00DA4404" w:rsidP="00DA4404">
      <w:pPr>
        <w:rPr>
          <w:rFonts w:cs="Times New Roman"/>
          <w:highlight w:val="yellow"/>
        </w:rPr>
      </w:pPr>
      <w:r>
        <w:rPr>
          <w:rFonts w:cs="Times New Roman"/>
          <w:lang w:val="it-IT"/>
        </w:rPr>
        <w:t>In conclusione, la</w:t>
      </w:r>
      <w:r w:rsidR="0027538E" w:rsidRPr="0027538E">
        <w:t xml:space="preserve"> </w:t>
      </w:r>
      <w:r w:rsidR="0027538E" w:rsidRPr="0027538E">
        <w:rPr>
          <w:rFonts w:cs="Times New Roman"/>
          <w:lang w:val="it-IT"/>
        </w:rPr>
        <w:t>Snare</w:t>
      </w:r>
      <w:r>
        <w:rPr>
          <w:rFonts w:cs="Times New Roman"/>
          <w:lang w:val="it-IT"/>
        </w:rPr>
        <w:t xml:space="preserve"> Atrieve dimostra prestazioni affidabili e un solido record di sicurezza, a supporto del suo utilizzo continuato in ambito clinico.</w:t>
      </w:r>
    </w:p>
    <w:p w14:paraId="491E112E" w14:textId="43F380B5" w:rsidR="005A5584" w:rsidRPr="009461CC" w:rsidRDefault="005A5584" w:rsidP="00300E25">
      <w:pPr>
        <w:rPr>
          <w:rFonts w:cs="Times New Roman"/>
        </w:rPr>
      </w:pPr>
      <w:r>
        <w:rPr>
          <w:rFonts w:cs="Times New Roman"/>
          <w:lang w:val="it-IT"/>
        </w:rPr>
        <w:t>Il piano di follow-up clinico post-commercializzazione (PMCFP) per Atrieve delinea un approccio strutturato per monitorarne la sicurezza e le prestazioni dopo l'immissione sul mercato. Questi dispositivi di Classe III vengono utilizzati per recuperare o manipolare corpi estranei nel sistema cardiovascolare e sono destinati all'uso temporaneo.</w:t>
      </w:r>
    </w:p>
    <w:p w14:paraId="72FE8271" w14:textId="5FE4B52E" w:rsidR="00042B91" w:rsidRPr="009461CC" w:rsidRDefault="005A5584" w:rsidP="00A8663C">
      <w:pPr>
        <w:rPr>
          <w:rFonts w:cs="Times New Roman"/>
        </w:rPr>
      </w:pPr>
      <w:r>
        <w:rPr>
          <w:rFonts w:cs="Times New Roman"/>
          <w:lang w:val="it-IT"/>
        </w:rPr>
        <w:t>Le attività del PMCF si basano su metodi generali, tra cui revisioni annuali della letteratura, monitoraggio del database degli eventi avversi (ad esempio, MAUDE) e analisi dei rapporti di sorveglianza post-commercializzazione. Questi sforzi mirano a confermare la sicurezza e l'efficacia in corso, a identificare i rischi emergenti e a rilevare l'uso off-label. Vengono inoltre esaminati i dati clinici di dispositivi simili per confrontare i risultati.</w:t>
      </w:r>
    </w:p>
    <w:p w14:paraId="33785C59" w14:textId="7AB0634B" w:rsidR="008745ED" w:rsidRPr="009461CC" w:rsidRDefault="008745ED" w:rsidP="00042B91">
      <w:pPr>
        <w:pStyle w:val="Heading1"/>
        <w:rPr>
          <w:rFonts w:cs="Times New Roman"/>
        </w:rPr>
      </w:pPr>
      <w:bookmarkStart w:id="71" w:name="_Toc222741505"/>
      <w:r>
        <w:rPr>
          <w:rFonts w:cs="Times New Roman"/>
          <w:bCs/>
          <w:lang w:val="it-IT"/>
        </w:rPr>
        <w:t>Riepilogo dei dati clinici relativi al dispositivo equivalente, se pertinente</w:t>
      </w:r>
      <w:bookmarkEnd w:id="71"/>
      <w:r>
        <w:rPr>
          <w:rFonts w:cs="Times New Roman"/>
          <w:bCs/>
          <w:lang w:val="it-IT"/>
        </w:rPr>
        <w:t xml:space="preserve"> </w:t>
      </w:r>
    </w:p>
    <w:p w14:paraId="62C65035" w14:textId="2ED3F324" w:rsidR="00B763A0" w:rsidRPr="009461CC" w:rsidRDefault="00F24AE3" w:rsidP="00511B41">
      <w:pPr>
        <w:ind w:firstLine="360"/>
        <w:rPr>
          <w:rFonts w:cs="Times New Roman"/>
        </w:rPr>
      </w:pPr>
      <w:r>
        <w:rPr>
          <w:rFonts w:cs="Times New Roman"/>
          <w:lang w:val="it-IT"/>
        </w:rPr>
        <w:t>Questa sezione non è disponibile (N/D).</w:t>
      </w:r>
    </w:p>
    <w:p w14:paraId="46CE7D79" w14:textId="2B10E133" w:rsidR="008745ED" w:rsidRPr="009461CC" w:rsidRDefault="008745ED" w:rsidP="00042B91">
      <w:pPr>
        <w:pStyle w:val="Heading1"/>
        <w:rPr>
          <w:rFonts w:cs="Times New Roman"/>
        </w:rPr>
      </w:pPr>
      <w:bookmarkStart w:id="72" w:name="_Toc222741506"/>
      <w:r>
        <w:rPr>
          <w:rFonts w:cs="Times New Roman"/>
          <w:bCs/>
          <w:lang w:val="it-IT"/>
        </w:rPr>
        <w:t>Riepilogo dei dati clinici dalle indagini condotte sul dispositivo prima della marcatura CE, se pertinente</w:t>
      </w:r>
      <w:bookmarkEnd w:id="72"/>
      <w:r>
        <w:rPr>
          <w:rFonts w:cs="Times New Roman"/>
          <w:bCs/>
          <w:lang w:val="it-IT"/>
        </w:rPr>
        <w:t xml:space="preserve"> </w:t>
      </w:r>
    </w:p>
    <w:p w14:paraId="27B7D18D" w14:textId="3346219F" w:rsidR="004846A6" w:rsidRPr="009461CC" w:rsidRDefault="00F604C9" w:rsidP="00F24AE3">
      <w:pPr>
        <w:ind w:left="360"/>
        <w:rPr>
          <w:rFonts w:cs="Times New Roman"/>
        </w:rPr>
      </w:pPr>
      <w:bookmarkStart w:id="73" w:name="_Hlk196514030"/>
      <w:r>
        <w:rPr>
          <w:rFonts w:cs="Times New Roman"/>
          <w:lang w:val="it-IT"/>
        </w:rPr>
        <w:t>Questa sezione non è disponibile (N/D).</w:t>
      </w:r>
    </w:p>
    <w:p w14:paraId="7A896071" w14:textId="00061818" w:rsidR="008745ED" w:rsidRPr="009461CC" w:rsidRDefault="008745ED" w:rsidP="00042B91">
      <w:pPr>
        <w:pStyle w:val="Heading1"/>
        <w:rPr>
          <w:rFonts w:cs="Times New Roman"/>
        </w:rPr>
      </w:pPr>
      <w:bookmarkStart w:id="74" w:name="_Toc222741507"/>
      <w:bookmarkEnd w:id="73"/>
      <w:r>
        <w:rPr>
          <w:rFonts w:cs="Times New Roman"/>
          <w:bCs/>
          <w:lang w:val="it-IT"/>
        </w:rPr>
        <w:t>Riepilogo dei dati clinici da altre fonti, se pertinente</w:t>
      </w:r>
      <w:bookmarkEnd w:id="74"/>
      <w:r>
        <w:rPr>
          <w:rFonts w:cs="Times New Roman"/>
          <w:bCs/>
          <w:lang w:val="it-IT"/>
        </w:rPr>
        <w:t xml:space="preserve"> </w:t>
      </w:r>
    </w:p>
    <w:p w14:paraId="3F1ED76E" w14:textId="5FADBA51" w:rsidR="006C2B68" w:rsidRPr="009461CC" w:rsidRDefault="0037599D" w:rsidP="004846A6">
      <w:pPr>
        <w:spacing w:before="100" w:before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CER-029 Rev B è supportato da una revisione completa di dati clinici esterni, tra cui:</w:t>
      </w:r>
    </w:p>
    <w:p w14:paraId="421058D0" w14:textId="26D1A572" w:rsidR="00FB1FDD" w:rsidRPr="009461CC" w:rsidRDefault="00FC5667" w:rsidP="004846A6">
      <w:pPr>
        <w:spacing w:before="100" w:beforeAutospacing="1" w:line="240" w:lineRule="auto"/>
        <w:rPr>
          <w:rFonts w:cs="Times New Roman"/>
        </w:rPr>
      </w:pPr>
      <w:r>
        <w:rPr>
          <w:rFonts w:cs="Times New Roman"/>
          <w:szCs w:val="24"/>
          <w:lang w:val="it-IT"/>
        </w:rPr>
        <w:lastRenderedPageBreak/>
        <w:t>Letteratura sullo stato dell'arte (SOA): una revisione sistematica di 579 articoli ha identificato 16 studi pertinenti su dispositivi e procedure simili. Questi studi hanno dimostrato elevati tassi di successo tecnico (≥91,2%) e bassi tassi di complicanze (≤1,1%), stabilendo parametri di riferimento per sicurezza e prestazioni.</w:t>
      </w:r>
      <w:r>
        <w:rPr>
          <w:rFonts w:cs="Times New Roman"/>
          <w:lang w:val="it-IT"/>
        </w:rPr>
        <w:t xml:space="preserve"> </w:t>
      </w:r>
    </w:p>
    <w:p w14:paraId="7C6B59FC" w14:textId="77777777" w:rsidR="00FB1FDD" w:rsidRPr="009461CC" w:rsidRDefault="00D23267" w:rsidP="004846A6">
      <w:pPr>
        <w:spacing w:before="100" w:beforeAutospacing="1" w:line="240" w:lineRule="auto"/>
        <w:rPr>
          <w:rFonts w:cs="Times New Roman"/>
        </w:rPr>
      </w:pPr>
      <w:r>
        <w:rPr>
          <w:rFonts w:cs="Times New Roman"/>
          <w:szCs w:val="24"/>
          <w:lang w:val="it-IT"/>
        </w:rPr>
        <w:t>Letteratura sui dispositivi della concorrenza: otto studi su dispositivi comparabili (ad esempio EN Snare, GooseNeck, CloverSnare) hanno confermato profili di sicurezza ed efficacia simili, rafforzando lo stato di cura standard dei lacci vascolari.</w:t>
      </w:r>
      <w:r>
        <w:rPr>
          <w:rFonts w:cs="Times New Roman"/>
          <w:lang w:val="it-IT"/>
        </w:rPr>
        <w:t xml:space="preserve"> </w:t>
      </w:r>
    </w:p>
    <w:p w14:paraId="2910073B" w14:textId="4049ACE7" w:rsidR="004846A6" w:rsidRPr="009461CC" w:rsidRDefault="009B4453" w:rsidP="004846A6">
      <w:pPr>
        <w:spacing w:before="100" w:before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Linee guida cliniche: le raccomandazioni delle società professionali (ad esempio, SIR, ESC, KDOQI) supportano l'uso di metodi di recupero percutanei, compresi i lacci, come trattamento di prima linea per la rimozione di corpi estranei nel sistema cardiovascolare.</w:t>
      </w:r>
    </w:p>
    <w:p w14:paraId="661EF380" w14:textId="29BB1CA1" w:rsidR="00516D79" w:rsidRPr="009461CC" w:rsidRDefault="00516D79" w:rsidP="004846A6">
      <w:pPr>
        <w:spacing w:before="100" w:before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Letteratura sul dispositivo in questione: tredici pubblicazioni (inclusi casi clinici e studi retrospettivi) su Atrieve hanno mostrato un successo tecnico del 100% e un successo clinico del 94,5%, con eventi avversi minimi. Alcune metriche delle prestazioni hanno avuto prestazioni leggermente inferiori rispetto ai benchmark SOA, ma sono rimaste entro intervalli clinici accettabili.</w:t>
      </w:r>
    </w:p>
    <w:p w14:paraId="66F22352" w14:textId="28F3CCF3" w:rsidR="004846A6" w:rsidRPr="009461CC" w:rsidRDefault="004846A6" w:rsidP="004846A6">
      <w:pPr>
        <w:spacing w:before="100" w:before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Inoltre, il rapporto integra i dati di sorveglianza post-commercializzazione (PMS) raccolti tramite piani di sorveglianza strutturati per il prodotto Atrieve. Ciò include il monitoraggio dei reclami e degli eventi avversi per un periodo di cinque anni, nonché le azioni correttive. Nonostante l'elevato volume di vendite globali, i dati PMS non hanno evidenziato tendenze emergenti in materia di sicurezza o rischi imprevisti, rafforzando i profili di sicurezza dei dispositivi in condizioni reali.</w:t>
      </w:r>
    </w:p>
    <w:p w14:paraId="6527D03E" w14:textId="73944EC6" w:rsidR="004846A6" w:rsidRPr="009461CC" w:rsidRDefault="004846A6" w:rsidP="004846A6">
      <w:pPr>
        <w:spacing w:before="100" w:before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it-IT"/>
        </w:rPr>
        <w:t>Infine, i dati non clinici, tra cui test di laboratorio e valutazioni di biocompatibilità, dimostrano che i dispositivi soddisfano tutti gli standard di progettazione e normativi. Sebbene non siano state condotte indagini cliniche per questi dispositivi, ciò è stato giustificato da dati esaustivi provenienti dalla letteratura, da fonti post-commercializzazione e dall'utilizzo di dispositivi legacy. Nel complesso, queste diverse fonti di dati supportano collettivamente la sicurezza e l'efficacia dei dispositivi in linea con i requisiti MDR dell'UE.</w:t>
      </w:r>
    </w:p>
    <w:p w14:paraId="0F01E5AD" w14:textId="2BD461FF" w:rsidR="008745ED" w:rsidRPr="009461CC" w:rsidRDefault="008745ED" w:rsidP="00042B91">
      <w:pPr>
        <w:pStyle w:val="Heading1"/>
        <w:rPr>
          <w:rFonts w:cs="Times New Roman"/>
        </w:rPr>
      </w:pPr>
      <w:bookmarkStart w:id="75" w:name="_Toc222741508"/>
      <w:r>
        <w:rPr>
          <w:rFonts w:cs="Times New Roman"/>
          <w:bCs/>
          <w:lang w:val="it-IT"/>
        </w:rPr>
        <w:t>Sintesi generale della prestazione clinica e della sicurezza</w:t>
      </w:r>
      <w:bookmarkEnd w:id="75"/>
      <w:r>
        <w:rPr>
          <w:rFonts w:cs="Times New Roman"/>
          <w:bCs/>
          <w:lang w:val="it-IT"/>
        </w:rPr>
        <w:t xml:space="preserve"> </w:t>
      </w:r>
    </w:p>
    <w:p w14:paraId="7C1B956B" w14:textId="77777777" w:rsidR="009977D7" w:rsidRPr="009461CC" w:rsidRDefault="009977D7" w:rsidP="00D52DF8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068544DB" w14:textId="10824598" w:rsidR="00D52DF8" w:rsidRPr="009461CC" w:rsidRDefault="00D52DF8" w:rsidP="00D52DF8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it-IT"/>
        </w:rPr>
        <w:t>Sulla base dei documenti X9585730-0321-EU Rev A e CER-029 Rev B per il kit per</w:t>
      </w:r>
      <w:r w:rsidR="0027538E" w:rsidRPr="0027538E">
        <w:t xml:space="preserve"> </w:t>
      </w:r>
      <w:r w:rsidR="0027538E" w:rsidRPr="0027538E">
        <w:rPr>
          <w:rFonts w:eastAsia="Times New Roman" w:cs="Times New Roman"/>
          <w:szCs w:val="24"/>
          <w:lang w:val="it-IT"/>
        </w:rPr>
        <w:t>Snare</w:t>
      </w:r>
      <w:r>
        <w:rPr>
          <w:rFonts w:eastAsia="Times New Roman" w:cs="Times New Roman"/>
          <w:szCs w:val="24"/>
          <w:lang w:val="it-IT"/>
        </w:rPr>
        <w:t xml:space="preserve"> vascolare Atrieve, le prestazioni cliniche complessive e il profilo di sicurezza del dispositivo sono favorevoli e coerenti con le aspettative per l'uso previsto.</w:t>
      </w:r>
    </w:p>
    <w:p w14:paraId="3508FD3D" w14:textId="77777777" w:rsidR="002E59B4" w:rsidRPr="009461CC" w:rsidRDefault="002E59B4" w:rsidP="00D52DF8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0A303358" w14:textId="24357A0A" w:rsidR="00C361CA" w:rsidRPr="009461CC" w:rsidRDefault="005C642C" w:rsidP="00C9784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it-IT"/>
        </w:rPr>
        <w:t xml:space="preserve">Il dispositivo è progettato per il </w:t>
      </w:r>
      <w:r>
        <w:rPr>
          <w:rStyle w:val="Strong"/>
          <w:rFonts w:cs="Times New Roman"/>
          <w:lang w:val="it-IT"/>
        </w:rPr>
        <w:t>recupero e la manipolazione percutanea di corpi estranei</w:t>
      </w:r>
      <w:r>
        <w:rPr>
          <w:rFonts w:cs="Times New Roman"/>
          <w:lang w:val="it-IT"/>
        </w:rPr>
        <w:t xml:space="preserve"> nel sistema cardiovascolare o viscoso cavo. I principali vantaggi clinici includono il recupero minimamente invasivo, la riduzione del rischio per il paziente e tassi di complicanze inferiori rispetto alle alternative chirurgiche.</w:t>
      </w:r>
    </w:p>
    <w:p w14:paraId="0DE0B963" w14:textId="77777777" w:rsidR="005C642C" w:rsidRPr="009461CC" w:rsidRDefault="005C642C" w:rsidP="00C97841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2DA4A118" w14:textId="58FE2B84" w:rsidR="00C97841" w:rsidRPr="009461CC" w:rsidRDefault="00B26297" w:rsidP="00C97841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it-IT"/>
        </w:rPr>
        <w:t>La valutazione clinica definisce le seguenti misure di esito: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6"/>
        <w:gridCol w:w="7384"/>
      </w:tblGrid>
      <w:tr w:rsidR="00942C1E" w:rsidRPr="009461CC" w14:paraId="0839D18E" w14:textId="77777777" w:rsidTr="00607046">
        <w:trPr>
          <w:tblHeader/>
          <w:tblCellSpacing w:w="15" w:type="dxa"/>
          <w:jc w:val="center"/>
        </w:trPr>
        <w:tc>
          <w:tcPr>
            <w:tcW w:w="4971" w:type="pct"/>
            <w:gridSpan w:val="2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5368930" w14:textId="77777777" w:rsidR="00942C1E" w:rsidRPr="009461CC" w:rsidRDefault="00942C1E" w:rsidP="004241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it-IT"/>
              </w:rPr>
              <w:lastRenderedPageBreak/>
              <w:t>Misure di prestazione</w:t>
            </w:r>
          </w:p>
        </w:tc>
      </w:tr>
      <w:tr w:rsidR="00607046" w:rsidRPr="009461CC" w14:paraId="609C186F" w14:textId="77777777" w:rsidTr="00607046">
        <w:trPr>
          <w:tblHeader/>
          <w:tblCellSpacing w:w="15" w:type="dxa"/>
          <w:jc w:val="center"/>
        </w:trPr>
        <w:tc>
          <w:tcPr>
            <w:tcW w:w="1443" w:type="pct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D28E345" w14:textId="77777777" w:rsidR="00942C1E" w:rsidRPr="009461CC" w:rsidRDefault="00942C1E" w:rsidP="004241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it-IT"/>
              </w:rPr>
              <w:t>Misura</w:t>
            </w:r>
          </w:p>
        </w:tc>
        <w:tc>
          <w:tcPr>
            <w:tcW w:w="3514" w:type="pct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4A387C4" w14:textId="77777777" w:rsidR="00942C1E" w:rsidRPr="009461CC" w:rsidRDefault="00942C1E" w:rsidP="004241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it-IT"/>
              </w:rPr>
              <w:t>Definizione</w:t>
            </w:r>
          </w:p>
        </w:tc>
      </w:tr>
      <w:tr w:rsidR="00942C1E" w:rsidRPr="009461CC" w14:paraId="67F5D1CE" w14:textId="77777777" w:rsidTr="00607046">
        <w:trPr>
          <w:tblCellSpacing w:w="15" w:type="dxa"/>
          <w:jc w:val="center"/>
        </w:trPr>
        <w:tc>
          <w:tcPr>
            <w:tcW w:w="1443" w:type="pct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F6236EF" w14:textId="77777777" w:rsidR="00942C1E" w:rsidRPr="009461CC" w:rsidRDefault="00942C1E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lang w:val="it-IT"/>
              </w:rPr>
              <w:t>Successo tecnico</w:t>
            </w:r>
          </w:p>
        </w:tc>
        <w:tc>
          <w:tcPr>
            <w:tcW w:w="3514" w:type="pct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5E25C25" w14:textId="77777777" w:rsidR="00942C1E" w:rsidRPr="009461CC" w:rsidRDefault="00942C1E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it-IT"/>
              </w:rPr>
              <w:t>Recupero/manipolazione di corpi estranei con successo</w:t>
            </w:r>
          </w:p>
        </w:tc>
      </w:tr>
      <w:tr w:rsidR="00942C1E" w:rsidRPr="009461CC" w14:paraId="5EE8C36D" w14:textId="77777777" w:rsidTr="00607046">
        <w:trPr>
          <w:tblCellSpacing w:w="15" w:type="dxa"/>
          <w:jc w:val="center"/>
        </w:trPr>
        <w:tc>
          <w:tcPr>
            <w:tcW w:w="1443" w:type="pct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5C7EA7EC" w14:textId="77777777" w:rsidR="00942C1E" w:rsidRPr="009461CC" w:rsidRDefault="00942C1E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lang w:val="it-IT"/>
              </w:rPr>
              <w:t>Successo clinico</w:t>
            </w:r>
          </w:p>
        </w:tc>
        <w:tc>
          <w:tcPr>
            <w:tcW w:w="3514" w:type="pct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01FCEBA5" w14:textId="77777777" w:rsidR="00942C1E" w:rsidRPr="009461CC" w:rsidRDefault="00942C1E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it-IT"/>
              </w:rPr>
              <w:t>Recupero/manipolazione riusciti senza complicanze procedurali</w:t>
            </w:r>
          </w:p>
        </w:tc>
      </w:tr>
    </w:tbl>
    <w:p w14:paraId="6CABCDF2" w14:textId="77777777" w:rsidR="004F7F77" w:rsidRPr="009461CC" w:rsidRDefault="004F7F77" w:rsidP="00C97841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8"/>
        <w:gridCol w:w="6702"/>
      </w:tblGrid>
      <w:tr w:rsidR="00607046" w:rsidRPr="009461CC" w14:paraId="62F22A34" w14:textId="77777777" w:rsidTr="004241EF">
        <w:trPr>
          <w:tblHeader/>
          <w:tblCellSpacing w:w="15" w:type="dxa"/>
          <w:jc w:val="center"/>
        </w:trPr>
        <w:tc>
          <w:tcPr>
            <w:tcW w:w="0" w:type="auto"/>
            <w:gridSpan w:val="2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42B79F3" w14:textId="77777777" w:rsidR="00607046" w:rsidRPr="009461CC" w:rsidRDefault="00607046" w:rsidP="006070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it-IT"/>
              </w:rPr>
              <w:t>Misure di sicurezza</w:t>
            </w:r>
          </w:p>
        </w:tc>
      </w:tr>
      <w:tr w:rsidR="00607046" w:rsidRPr="009461CC" w14:paraId="6CEF70FC" w14:textId="77777777" w:rsidTr="004241EF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F49FF4D" w14:textId="77777777" w:rsidR="00607046" w:rsidRPr="009461CC" w:rsidRDefault="00607046" w:rsidP="004241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it-IT"/>
              </w:rPr>
              <w:t>Misura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4D43B30" w14:textId="77777777" w:rsidR="00607046" w:rsidRPr="009461CC" w:rsidRDefault="00607046" w:rsidP="004241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it-IT"/>
              </w:rPr>
              <w:t>Definizione</w:t>
            </w:r>
          </w:p>
        </w:tc>
      </w:tr>
      <w:tr w:rsidR="00607046" w:rsidRPr="009461CC" w14:paraId="11F5FD97" w14:textId="77777777" w:rsidTr="004241EF">
        <w:trPr>
          <w:tblCellSpacing w:w="15" w:type="dxa"/>
          <w:jc w:val="center"/>
        </w:trPr>
        <w:tc>
          <w:tcPr>
            <w:tcW w:w="0" w:type="auto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8CE5781" w14:textId="77777777" w:rsidR="00607046" w:rsidRPr="009461CC" w:rsidRDefault="00607046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lang w:val="it-IT"/>
              </w:rPr>
              <w:t>Complicanze procedurali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EFFAF53" w14:textId="77777777" w:rsidR="00607046" w:rsidRPr="009461CC" w:rsidRDefault="00607046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it-IT"/>
              </w:rPr>
              <w:t>Include sanguinamento, perforazione, embolia, infezione, reazione allergica, dolore</w:t>
            </w:r>
          </w:p>
        </w:tc>
      </w:tr>
      <w:tr w:rsidR="00607046" w:rsidRPr="009461CC" w14:paraId="6CA744C3" w14:textId="77777777" w:rsidTr="004241EF">
        <w:trPr>
          <w:tblCellSpacing w:w="15" w:type="dxa"/>
          <w:jc w:val="center"/>
        </w:trPr>
        <w:tc>
          <w:tcPr>
            <w:tcW w:w="0" w:type="auto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250E35B1" w14:textId="77777777" w:rsidR="00607046" w:rsidRPr="009461CC" w:rsidRDefault="00607046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lang w:val="it-IT"/>
              </w:rPr>
              <w:t>Percentuale di complicanze complessive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2D2E84BE" w14:textId="77777777" w:rsidR="00607046" w:rsidRPr="009461CC" w:rsidRDefault="00607046" w:rsidP="004241E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it-IT"/>
              </w:rPr>
              <w:t>Tasso combinato di tutti gli eventi avversi durante o dopo la procedura</w:t>
            </w:r>
          </w:p>
        </w:tc>
      </w:tr>
    </w:tbl>
    <w:p w14:paraId="4A64B2C8" w14:textId="77777777" w:rsidR="00607046" w:rsidRPr="009461CC" w:rsidRDefault="00607046" w:rsidP="00C97841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10E95C55" w14:textId="35E4246E" w:rsidR="00050F24" w:rsidRPr="009461CC" w:rsidRDefault="00050F24" w:rsidP="00050F24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it-IT"/>
        </w:rPr>
        <w:t>Riepilogo dei tassi di successo per le misure di esito dell'ansa vascolare Atrieve:</w:t>
      </w:r>
    </w:p>
    <w:p w14:paraId="5B675D80" w14:textId="77777777" w:rsidR="00EE18FA" w:rsidRPr="009461CC" w:rsidRDefault="00EE18FA" w:rsidP="00050F24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6387EAAA" w14:textId="6A98A9F8" w:rsidR="00050F24" w:rsidRPr="009461CC" w:rsidRDefault="00050F24" w:rsidP="00050F24">
      <w:pPr>
        <w:pStyle w:val="ListParagraph"/>
        <w:numPr>
          <w:ilvl w:val="0"/>
          <w:numId w:val="27"/>
        </w:num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it-IT"/>
        </w:rPr>
        <w:t>Il successo tecnico è stato eccellente, pari al 100%.</w:t>
      </w:r>
    </w:p>
    <w:p w14:paraId="70426807" w14:textId="6A68FCB6" w:rsidR="00050F24" w:rsidRPr="009461CC" w:rsidRDefault="00050F24" w:rsidP="00050F24">
      <w:pPr>
        <w:pStyle w:val="ListParagraph"/>
        <w:numPr>
          <w:ilvl w:val="0"/>
          <w:numId w:val="27"/>
        </w:num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it-IT"/>
        </w:rPr>
        <w:t>Il successo clinico è stato del 94,5%, leggermente al di sotto della soglia del 97,4%.</w:t>
      </w:r>
    </w:p>
    <w:p w14:paraId="3E9DC071" w14:textId="055EE80D" w:rsidR="00050F24" w:rsidRPr="009461CC" w:rsidRDefault="00050F24" w:rsidP="00050F24">
      <w:pPr>
        <w:pStyle w:val="ListParagraph"/>
        <w:numPr>
          <w:ilvl w:val="0"/>
          <w:numId w:val="27"/>
        </w:num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it-IT"/>
        </w:rPr>
        <w:t>Il tasso complessivo di complicanze, la perforazione/danno tissutale e il successo clinico non hanno soddisfatto i criteri di accettazione.</w:t>
      </w:r>
    </w:p>
    <w:p w14:paraId="44EC781B" w14:textId="7DA02325" w:rsidR="00050F24" w:rsidRPr="009461CC" w:rsidRDefault="00050F24" w:rsidP="00050F24">
      <w:pPr>
        <w:pStyle w:val="ListParagraph"/>
        <w:numPr>
          <w:ilvl w:val="0"/>
          <w:numId w:val="27"/>
        </w:num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it-IT"/>
        </w:rPr>
        <w:t>I tassi di embolia, dolore e mortalità erano pari allo 0% e soddisfacevano i criteri.</w:t>
      </w:r>
    </w:p>
    <w:p w14:paraId="05E37DDA" w14:textId="77777777" w:rsidR="00EE18FA" w:rsidRPr="009461CC" w:rsidRDefault="00EE18FA" w:rsidP="00EE18FA">
      <w:pPr>
        <w:pStyle w:val="ListParagraph"/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3F2FC7C2" w14:textId="2808A8DE" w:rsidR="00050F24" w:rsidRPr="009461CC" w:rsidRDefault="00050F24" w:rsidP="00EE18FA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it-IT"/>
        </w:rPr>
        <w:t>Nonostante alcuni parametri di sicurezza abbiano superato le soglie, il profilo beneficio-rischio è rimasto favorevole grazie all'elevato successo tecnico e alle complicazioni di bassa gravità.</w:t>
      </w:r>
    </w:p>
    <w:p w14:paraId="2F8EAFF0" w14:textId="77777777" w:rsidR="00AA7F1D" w:rsidRPr="009461CC" w:rsidRDefault="00AA7F1D" w:rsidP="00D47200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7A0B3597" w14:textId="24A6D6E4" w:rsidR="00D47200" w:rsidRPr="009461CC" w:rsidRDefault="00AA7F1D" w:rsidP="00D47200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it-IT"/>
        </w:rPr>
        <w:t>Affermazioni cliniche nelle istruzioni per l'uso e nei materiali di marketing</w:t>
      </w:r>
    </w:p>
    <w:p w14:paraId="7DADA029" w14:textId="6C6ECAD3" w:rsidR="001F48BA" w:rsidRPr="009461CC" w:rsidRDefault="00C01A53" w:rsidP="00D52DF8">
      <w:pPr>
        <w:spacing w:after="0" w:afterAutospacing="0" w:line="240" w:lineRule="auto"/>
        <w:rPr>
          <w:rFonts w:cs="Times New Roman"/>
          <w:iCs/>
          <w:szCs w:val="24"/>
        </w:rPr>
      </w:pPr>
      <w:r>
        <w:rPr>
          <w:rFonts w:cs="Times New Roman"/>
          <w:szCs w:val="24"/>
          <w:lang w:val="it-IT"/>
        </w:rPr>
        <w:t>Le seguenti affermazioni sono supportate dalla valutazione clinica:</w:t>
      </w:r>
    </w:p>
    <w:p w14:paraId="19E8DAE4" w14:textId="77777777" w:rsidR="00EE18FA" w:rsidRPr="009461CC" w:rsidRDefault="00EE18FA" w:rsidP="00D52DF8">
      <w:pPr>
        <w:spacing w:after="0" w:afterAutospacing="0" w:line="240" w:lineRule="auto"/>
        <w:rPr>
          <w:rFonts w:cs="Times New Roman"/>
          <w:iCs/>
          <w:szCs w:val="24"/>
        </w:rPr>
      </w:pPr>
    </w:p>
    <w:p w14:paraId="7925D059" w14:textId="1A5A89DA" w:rsidR="003859AF" w:rsidRPr="009461CC" w:rsidRDefault="003859AF" w:rsidP="003859AF">
      <w:pPr>
        <w:pStyle w:val="ListParagraph"/>
        <w:numPr>
          <w:ilvl w:val="0"/>
          <w:numId w:val="28"/>
        </w:numPr>
        <w:spacing w:after="0" w:afterAutospacing="0" w:line="240" w:lineRule="auto"/>
        <w:rPr>
          <w:rFonts w:cs="Times New Roman"/>
          <w:iCs/>
          <w:szCs w:val="24"/>
        </w:rPr>
      </w:pPr>
      <w:r>
        <w:rPr>
          <w:rFonts w:cs="Times New Roman"/>
          <w:szCs w:val="24"/>
          <w:lang w:val="it-IT"/>
        </w:rPr>
        <w:t>Recupero/manipolazione percutanea di corpi estranei – Supportato dal 100% di successo tecnico in letteratura.</w:t>
      </w:r>
    </w:p>
    <w:p w14:paraId="3AB6E45D" w14:textId="783809AA" w:rsidR="003859AF" w:rsidRPr="009461CC" w:rsidRDefault="003859AF" w:rsidP="003859AF">
      <w:pPr>
        <w:pStyle w:val="ListParagraph"/>
        <w:numPr>
          <w:ilvl w:val="0"/>
          <w:numId w:val="28"/>
        </w:numPr>
        <w:spacing w:after="0" w:afterAutospacing="0" w:line="240" w:lineRule="auto"/>
        <w:rPr>
          <w:rFonts w:cs="Times New Roman"/>
          <w:iCs/>
          <w:szCs w:val="24"/>
        </w:rPr>
      </w:pPr>
      <w:r>
        <w:rPr>
          <w:rFonts w:cs="Times New Roman"/>
          <w:szCs w:val="24"/>
          <w:lang w:val="it-IT"/>
        </w:rPr>
        <w:t>Tassi di complicanze inferiori rispetto all'intervento chirurgico – Supportati dalla letteratura comparata e da analisi all'avanguardia.</w:t>
      </w:r>
    </w:p>
    <w:p w14:paraId="15638B58" w14:textId="335CFE86" w:rsidR="003859AF" w:rsidRPr="009461CC" w:rsidRDefault="003859AF" w:rsidP="003859AF">
      <w:pPr>
        <w:pStyle w:val="ListParagraph"/>
        <w:numPr>
          <w:ilvl w:val="0"/>
          <w:numId w:val="28"/>
        </w:numPr>
        <w:spacing w:after="0" w:afterAutospacing="0" w:line="240" w:lineRule="auto"/>
        <w:rPr>
          <w:rFonts w:cs="Times New Roman"/>
          <w:iCs/>
          <w:szCs w:val="24"/>
        </w:rPr>
      </w:pPr>
      <w:r>
        <w:rPr>
          <w:rFonts w:cs="Times New Roman"/>
          <w:szCs w:val="24"/>
          <w:lang w:val="it-IT"/>
        </w:rPr>
        <w:t>Utilizzo in procedure aggiuntive (ad esempio, stripping della guaina di fibrina, riposizionamento del catetere) – Supportato da resoconti di casi clinici e linee guida procedurali.</w:t>
      </w:r>
    </w:p>
    <w:p w14:paraId="351D383E" w14:textId="7EB46C62" w:rsidR="00C01A53" w:rsidRPr="009461CC" w:rsidRDefault="003859AF" w:rsidP="003859AF">
      <w:pPr>
        <w:pStyle w:val="ListParagraph"/>
        <w:numPr>
          <w:ilvl w:val="0"/>
          <w:numId w:val="28"/>
        </w:numPr>
        <w:spacing w:after="0" w:afterAutospacing="0" w:line="240" w:lineRule="auto"/>
        <w:rPr>
          <w:rFonts w:cs="Times New Roman"/>
          <w:iCs/>
          <w:szCs w:val="24"/>
        </w:rPr>
      </w:pPr>
      <w:r>
        <w:rPr>
          <w:rFonts w:cs="Times New Roman"/>
          <w:szCs w:val="24"/>
          <w:lang w:val="it-IT"/>
        </w:rPr>
        <w:t>Sicuro per l'uso nella popolazione adulta – Supportato da dati di sorveglianza post-commercializzazione e dalla letteratura.</w:t>
      </w:r>
    </w:p>
    <w:p w14:paraId="68D32F33" w14:textId="77777777" w:rsidR="005D424F" w:rsidRPr="009461CC" w:rsidRDefault="005D424F" w:rsidP="005D424F">
      <w:pPr>
        <w:spacing w:after="0" w:afterAutospacing="0" w:line="240" w:lineRule="auto"/>
        <w:rPr>
          <w:rFonts w:cs="Times New Roman"/>
          <w:iCs/>
          <w:szCs w:val="24"/>
        </w:rPr>
      </w:pPr>
    </w:p>
    <w:p w14:paraId="76063689" w14:textId="52013FBD" w:rsidR="005D424F" w:rsidRPr="009461CC" w:rsidRDefault="005D424F" w:rsidP="005D424F">
      <w:pPr>
        <w:spacing w:after="0" w:afterAutospacing="0" w:line="240" w:lineRule="auto"/>
        <w:rPr>
          <w:rFonts w:cs="Times New Roman"/>
          <w:iCs/>
          <w:szCs w:val="24"/>
        </w:rPr>
      </w:pPr>
      <w:r>
        <w:rPr>
          <w:rFonts w:cs="Times New Roman"/>
          <w:szCs w:val="24"/>
          <w:lang w:val="it-IT"/>
        </w:rPr>
        <w:lastRenderedPageBreak/>
        <w:t>Il kit per</w:t>
      </w:r>
      <w:r w:rsidR="0027538E" w:rsidRPr="0027538E">
        <w:t xml:space="preserve"> </w:t>
      </w:r>
      <w:r w:rsidR="0027538E" w:rsidRPr="0027538E">
        <w:rPr>
          <w:rFonts w:cs="Times New Roman"/>
          <w:szCs w:val="24"/>
          <w:lang w:val="it-IT"/>
        </w:rPr>
        <w:t>Snare</w:t>
      </w:r>
      <w:r>
        <w:rPr>
          <w:rFonts w:cs="Times New Roman"/>
          <w:szCs w:val="24"/>
          <w:lang w:val="it-IT"/>
        </w:rPr>
        <w:t xml:space="preserve"> vascolare Atrieve dimostra un profilo rischio-beneficio favorevole, con ottime prestazioni cliniche e una sicurezza supportata dalla letteratura, dai test e dai dati post-commercializzazione. Sono conformi agli standard normativi e adatti all'uso clinico continuato.</w:t>
      </w:r>
    </w:p>
    <w:p w14:paraId="653883C0" w14:textId="77777777" w:rsidR="003859AF" w:rsidRPr="009461CC" w:rsidRDefault="003859AF" w:rsidP="003859AF">
      <w:pPr>
        <w:spacing w:after="0" w:afterAutospacing="0" w:line="240" w:lineRule="auto"/>
        <w:rPr>
          <w:rFonts w:cs="Times New Roman"/>
          <w:iCs/>
          <w:szCs w:val="24"/>
        </w:rPr>
      </w:pPr>
    </w:p>
    <w:p w14:paraId="6DCFA27A" w14:textId="12CF0A2D" w:rsidR="00C91927" w:rsidRPr="009461CC" w:rsidRDefault="008745ED" w:rsidP="00C91927">
      <w:pPr>
        <w:pStyle w:val="Heading1"/>
        <w:rPr>
          <w:rFonts w:cs="Times New Roman"/>
          <w:color w:val="auto"/>
        </w:rPr>
      </w:pPr>
      <w:bookmarkStart w:id="76" w:name="_Toc222741509"/>
      <w:r>
        <w:rPr>
          <w:rFonts w:cs="Times New Roman"/>
          <w:bCs/>
          <w:color w:val="auto"/>
          <w:lang w:val="it-IT"/>
        </w:rPr>
        <w:t>Follow-up clinico post-vendita in corso o pianificato</w:t>
      </w:r>
      <w:bookmarkEnd w:id="76"/>
    </w:p>
    <w:p w14:paraId="494CEDC3" w14:textId="38420D05" w:rsidR="0094476E" w:rsidRPr="009461CC" w:rsidRDefault="003B4C77" w:rsidP="00C91927">
      <w:pPr>
        <w:spacing w:line="240" w:lineRule="auto"/>
        <w:rPr>
          <w:rFonts w:cs="Times New Roman"/>
          <w:highlight w:val="yellow"/>
        </w:rPr>
      </w:pPr>
      <w:r>
        <w:rPr>
          <w:rFonts w:cs="Times New Roman"/>
          <w:lang w:val="it-IT"/>
        </w:rPr>
        <w:t>Il follow-up clinico post-commercializzazione per il kit per</w:t>
      </w:r>
      <w:r w:rsidR="0027538E" w:rsidRPr="0027538E">
        <w:t xml:space="preserve"> </w:t>
      </w:r>
      <w:r w:rsidR="0027538E" w:rsidRPr="0027538E">
        <w:rPr>
          <w:rFonts w:cs="Times New Roman"/>
          <w:lang w:val="it-IT"/>
        </w:rPr>
        <w:t>Snare</w:t>
      </w:r>
      <w:r>
        <w:rPr>
          <w:rFonts w:cs="Times New Roman"/>
          <w:lang w:val="it-IT"/>
        </w:rPr>
        <w:t xml:space="preserve"> vascolare Atrieve viene condotto in conformità con PMCFP-029 Rev C e segue i requisiti dell'allegato XIV Parte B del MDR. Le attività PMCF sono progettate per confermare in modo proattivo la sicurezza e le prestazioni del dispositivo nella pratica clinica di routine, per identificare eventuali rischi emergenti e per verificare che il profilo beneficio-rischio rimanga accettabile.</w:t>
      </w:r>
    </w:p>
    <w:p w14:paraId="58642C16" w14:textId="276C8BA1" w:rsidR="00E541DE" w:rsidRPr="009461CC" w:rsidRDefault="00E541DE" w:rsidP="00E541DE">
      <w:pPr>
        <w:pStyle w:val="NormalWeb"/>
      </w:pPr>
      <w:r>
        <w:rPr>
          <w:rStyle w:val="Strong"/>
          <w:lang w:val="it-IT"/>
        </w:rPr>
        <w:t>Attività PMCF in corso</w:t>
      </w:r>
      <w:r>
        <w:rPr>
          <w:lang w:val="it-IT"/>
        </w:rPr>
        <w:br/>
        <w:t>Si prevede che durante l'intero ciclo di vita del dispositivo verranno eseguite le seguenti attività:</w:t>
      </w:r>
    </w:p>
    <w:p w14:paraId="15FC3A69" w14:textId="31C9D895" w:rsidR="00E541DE" w:rsidRPr="009461CC" w:rsidRDefault="00DE3CC0" w:rsidP="00E541DE">
      <w:pPr>
        <w:pStyle w:val="NormalWeb"/>
        <w:numPr>
          <w:ilvl w:val="0"/>
          <w:numId w:val="29"/>
        </w:numPr>
      </w:pPr>
      <w:r>
        <w:rPr>
          <w:rStyle w:val="Strong"/>
          <w:b w:val="0"/>
          <w:bCs w:val="0"/>
          <w:lang w:val="it-IT"/>
        </w:rPr>
        <w:t>Revisione sistematica annuale della letteratura:</w:t>
      </w:r>
      <w:r>
        <w:rPr>
          <w:lang w:val="it-IT"/>
        </w:rPr>
        <w:t xml:space="preserve"> viene condotta una revisione strutturata delle prove cliniche pubblicate relative alle anse vascolari e dispositivi comparabili per identificare nuove informazioni sulla sicurezza, sulle prestazioni, sulle tecniche cliniche o sui rischi emergenti.</w:t>
      </w:r>
    </w:p>
    <w:p w14:paraId="08598FA3" w14:textId="6BDEE605" w:rsidR="00E541DE" w:rsidRPr="009461CC" w:rsidRDefault="00DE3CC0" w:rsidP="00E541DE">
      <w:pPr>
        <w:pStyle w:val="NormalWeb"/>
        <w:numPr>
          <w:ilvl w:val="0"/>
          <w:numId w:val="29"/>
        </w:numPr>
      </w:pPr>
      <w:r>
        <w:rPr>
          <w:rStyle w:val="Strong"/>
          <w:b w:val="0"/>
          <w:bCs w:val="0"/>
          <w:lang w:val="it-IT"/>
        </w:rPr>
        <w:t>Revisione annuale dello stato dell'arte (SOA):</w:t>
      </w:r>
      <w:r>
        <w:rPr>
          <w:lang w:val="it-IT"/>
        </w:rPr>
        <w:t xml:space="preserve"> viene effettuata una valutazione delle linee guida per la pratica clinica, degli standard internazionali e delle tecnologie competitive per garantire un allineamento continuo con la pratica clinica e tecnica attuale.</w:t>
      </w:r>
    </w:p>
    <w:p w14:paraId="6EE80A3F" w14:textId="77777777" w:rsidR="00E541DE" w:rsidRPr="009461CC" w:rsidRDefault="00E541DE" w:rsidP="00E541DE">
      <w:pPr>
        <w:pStyle w:val="NormalWeb"/>
        <w:numPr>
          <w:ilvl w:val="0"/>
          <w:numId w:val="29"/>
        </w:numPr>
      </w:pPr>
      <w:r>
        <w:rPr>
          <w:rStyle w:val="Strong"/>
          <w:b w:val="0"/>
          <w:bCs w:val="0"/>
          <w:lang w:val="it-IT"/>
        </w:rPr>
        <w:t>Revisione continua dei dati relativi a reclami ed eventi avversi:</w:t>
      </w:r>
      <w:r>
        <w:rPr>
          <w:lang w:val="it-IT"/>
        </w:rPr>
        <w:t xml:space="preserve"> sebbene si tratti di un'attività PMS piuttosto che PMCF, i risultati chiave vengono valutati nell'ambito del processo PMCF per determinare se sia necessario un ulteriore follow-up clinico.</w:t>
      </w:r>
    </w:p>
    <w:p w14:paraId="39597E9A" w14:textId="093AD5AD" w:rsidR="009E1EBB" w:rsidRPr="009461CC" w:rsidRDefault="009E1EBB" w:rsidP="009E1EBB">
      <w:pPr>
        <w:pStyle w:val="NormalWeb"/>
      </w:pPr>
      <w:r>
        <w:rPr>
          <w:rStyle w:val="Strong"/>
          <w:lang w:val="it-IT"/>
        </w:rPr>
        <w:t>Attività PMCF pianificate</w:t>
      </w:r>
      <w:r>
        <w:rPr>
          <w:lang w:val="it-IT"/>
        </w:rPr>
        <w:br/>
        <w:t>Per raccogliere prove concrete mirate sul kit per</w:t>
      </w:r>
      <w:r w:rsidR="0027538E" w:rsidRPr="0027538E">
        <w:t xml:space="preserve"> </w:t>
      </w:r>
      <w:r w:rsidR="0027538E" w:rsidRPr="0027538E">
        <w:rPr>
          <w:lang w:val="it-IT"/>
        </w:rPr>
        <w:t>Snare</w:t>
      </w:r>
      <w:r>
        <w:rPr>
          <w:lang w:val="it-IT"/>
        </w:rPr>
        <w:t xml:space="preserve"> vascolare Atrieve, è prevista la seguente attività:</w:t>
      </w:r>
    </w:p>
    <w:p w14:paraId="395AA027" w14:textId="77777777" w:rsidR="009E1EBB" w:rsidRPr="009461CC" w:rsidRDefault="009E1EBB" w:rsidP="009E1EBB">
      <w:pPr>
        <w:pStyle w:val="NormalWeb"/>
        <w:numPr>
          <w:ilvl w:val="0"/>
          <w:numId w:val="32"/>
        </w:numPr>
      </w:pPr>
      <w:r>
        <w:rPr>
          <w:rStyle w:val="Strong"/>
          <w:lang w:val="it-IT"/>
        </w:rPr>
        <w:t>Sondaggio medico PMCF:</w:t>
      </w:r>
      <w:r>
        <w:rPr>
          <w:b/>
          <w:bCs/>
          <w:lang w:val="it-IT"/>
        </w:rPr>
        <w:br/>
        <w:t>v</w:t>
      </w:r>
      <w:r>
        <w:rPr>
          <w:lang w:val="it-IT"/>
        </w:rPr>
        <w:t>errà condotto un sondaggio strutturato tra gli utenti clinici per raccogliere la loro esperienza con il dispositivo, valutarne le prestazioni nella pratica di routine e identificare eventuali complicazioni osservate o eventi imprevisti. I risultati dell'indagine saranno analizzati e inseriti nel rapporto di valutazione del PMCF. I risultati contribuiranno a determinare le decisioni in merito alla necessità di ulteriori attività PMCF o di aggiornamenti al rapporto di valutazione clinica (CER) e al rapporto di gestione del rischio (RMR).</w:t>
      </w:r>
    </w:p>
    <w:p w14:paraId="1DED8B40" w14:textId="18131F32" w:rsidR="00DE0007" w:rsidRPr="009461CC" w:rsidRDefault="00DE0007" w:rsidP="00DE0007">
      <w:pPr>
        <w:pStyle w:val="NormalWeb"/>
      </w:pPr>
      <w:r>
        <w:rPr>
          <w:rStyle w:val="Strong"/>
          <w:lang w:val="it-IT"/>
        </w:rPr>
        <w:t>Giustificazione dell'approccio PMCF</w:t>
      </w:r>
      <w:r>
        <w:rPr>
          <w:lang w:val="it-IT"/>
        </w:rPr>
        <w:br/>
        <w:t>Sulla base dell'attuale valutazione clinica, delle prove bibliografiche e dell'esperienza post-commercializzazione, non sono stati identificati rischi nuovi o emergenti che richiederebbero un'indagine clinica specifica per il dispositivo. Le attività PMCF esistenti, la letteratura annuale e le revisioni SOA supportate dal feedback mirato dei medici sono considerate sufficienti per confermare la sicurezza e le prestazioni in corso per questo dispositivo legacy di Classe III ben consolidato, il kit per</w:t>
      </w:r>
      <w:r w:rsidR="0027538E" w:rsidRPr="0027538E">
        <w:t xml:space="preserve"> </w:t>
      </w:r>
      <w:r w:rsidR="0027538E" w:rsidRPr="0027538E">
        <w:rPr>
          <w:lang w:val="it-IT"/>
        </w:rPr>
        <w:t>Snare</w:t>
      </w:r>
      <w:r>
        <w:rPr>
          <w:lang w:val="it-IT"/>
        </w:rPr>
        <w:t xml:space="preserve"> vascolare Atrieve.</w:t>
      </w:r>
    </w:p>
    <w:p w14:paraId="3DA3C9CA" w14:textId="77777777" w:rsidR="005B4422" w:rsidRPr="009461CC" w:rsidRDefault="005B4422" w:rsidP="005B4422">
      <w:pPr>
        <w:pStyle w:val="NormalWeb"/>
        <w:spacing w:before="0" w:beforeAutospacing="0" w:after="0" w:afterAutospacing="0"/>
      </w:pPr>
      <w:r>
        <w:rPr>
          <w:rStyle w:val="Strong"/>
          <w:lang w:val="it-IT"/>
        </w:rPr>
        <w:t>Segnalazione PMCF</w:t>
      </w:r>
    </w:p>
    <w:p w14:paraId="5C389055" w14:textId="14E4D114" w:rsidR="0094476E" w:rsidRDefault="00B04139" w:rsidP="007002E4">
      <w:pPr>
        <w:pStyle w:val="NormalWeb"/>
        <w:spacing w:before="0" w:beforeAutospacing="0" w:after="0" w:afterAutospacing="0"/>
      </w:pPr>
      <w:r>
        <w:rPr>
          <w:lang w:val="it-IT"/>
        </w:rPr>
        <w:lastRenderedPageBreak/>
        <w:t>Un rapporto PMCF viene generato a intervalli definiti e ogni volta che sono disponibili nuove informazioni che potrebbero influire sul profilo rischio-beneficio. Tutti i risultati del PMCF confluiscono nel rapporto di valutazione clinica (CER), nel rapporto di gestione del rischio (RMR) e in altri processi post-commercializzazione, secondo necessità.</w:t>
      </w:r>
    </w:p>
    <w:p w14:paraId="09D946B7" w14:textId="77777777" w:rsidR="007002E4" w:rsidRPr="007002E4" w:rsidRDefault="007002E4" w:rsidP="007002E4">
      <w:pPr>
        <w:pStyle w:val="NormalWeb"/>
        <w:spacing w:before="0" w:beforeAutospacing="0" w:after="0" w:afterAutospacing="0"/>
      </w:pPr>
    </w:p>
    <w:p w14:paraId="748C3FE5" w14:textId="1D19292C" w:rsidR="00760400" w:rsidRPr="009461CC" w:rsidRDefault="00760400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77" w:name="_Toc222741510"/>
      <w:r>
        <w:rPr>
          <w:rFonts w:cs="Times New Roman"/>
          <w:bCs/>
          <w:lang w:val="it-IT"/>
        </w:rPr>
        <w:t>Possibili alternative diagnostiche o terapeutiche</w:t>
      </w:r>
      <w:bookmarkEnd w:id="77"/>
      <w:r>
        <w:rPr>
          <w:rFonts w:cs="Times New Roman"/>
          <w:bCs/>
          <w:lang w:val="it-IT"/>
        </w:rPr>
        <w:t xml:space="preserve"> </w:t>
      </w:r>
    </w:p>
    <w:p w14:paraId="60C316BA" w14:textId="4177FF86" w:rsidR="00042B91" w:rsidRPr="009461CC" w:rsidRDefault="008373C6" w:rsidP="00AB04FB">
      <w:pPr>
        <w:rPr>
          <w:rFonts w:cs="Times New Roman"/>
        </w:rPr>
      </w:pPr>
      <w:r>
        <w:rPr>
          <w:rFonts w:cs="Times New Roman"/>
          <w:lang w:val="it-IT"/>
        </w:rPr>
        <w:t>In base a CER-029 Rev B, vengono identificate tre alternative principali per il recupero di corpi estranei (FB) nel sistema cardiovascolare. Per i pazienti chirurgici asintomatici o ad alto rischio si raccomanda un trattamento conservativo, affidandosi a un attento monitoraggio e a esami di diagnostica per immagini quando l'intervento può comportare rischi maggiori. Le tecniche minimamente invasive rappresentano l'approccio preferito; i lacci ad anello, in particolare quelli a collo d'oca, sono ampiamente utilizzati sia per i recuperi standard che per quelli complessi. Le pinze garantiscono una presa precisa e sono adatte ai casi difficili, come dispositivi fratturati o incorporati. Il recupero chirurgico, come la toracotomia o la sternotomia, è l'opzione di ultima istanza a causa della sua natura invasiva e del rischio più elevato per il paziente. Nel complesso, il recupero endovascolare rimane lo standard di cura, con un trattamento personalizzato in base alle condizioni del paziente e alle caratteristiche del corpo estraneo.</w:t>
      </w:r>
    </w:p>
    <w:p w14:paraId="2CDE6FBF" w14:textId="77777777" w:rsidR="00042B91" w:rsidRPr="009461CC" w:rsidRDefault="00042B91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78" w:name="_Toc222741511"/>
      <w:r>
        <w:rPr>
          <w:rFonts w:cs="Times New Roman"/>
          <w:bCs/>
          <w:lang w:val="it-IT"/>
        </w:rPr>
        <w:t>Profilo e formazione suggeriti per gli utilizzatori</w:t>
      </w:r>
      <w:bookmarkEnd w:id="78"/>
    </w:p>
    <w:p w14:paraId="35173865" w14:textId="0C72FD3E" w:rsidR="00042B91" w:rsidRPr="009461CC" w:rsidRDefault="00A5239F" w:rsidP="00042B91">
      <w:pPr>
        <w:spacing w:after="0" w:afterAutospacing="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it-IT"/>
        </w:rPr>
        <w:t>Il prodotto è destinato all'uso da parte di professionisti del settore medico e deve essere utilizzato solo da personale qualificato che abbia familiarità con la tecnica.</w:t>
      </w:r>
    </w:p>
    <w:p w14:paraId="21A7D581" w14:textId="77777777" w:rsidR="00A5239F" w:rsidRPr="009461CC" w:rsidRDefault="00A5239F" w:rsidP="00042B91">
      <w:pPr>
        <w:spacing w:after="0" w:afterAutospacing="0" w:line="240" w:lineRule="auto"/>
        <w:rPr>
          <w:rFonts w:cs="Times New Roman"/>
          <w:i/>
          <w:color w:val="FF0000"/>
          <w:highlight w:val="yellow"/>
        </w:rPr>
      </w:pPr>
    </w:p>
    <w:p w14:paraId="7848B753" w14:textId="692785D6" w:rsidR="0037316E" w:rsidRPr="009461CC" w:rsidRDefault="00760400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79" w:name="_Toc222741512"/>
      <w:r>
        <w:rPr>
          <w:rFonts w:cs="Times New Roman"/>
          <w:bCs/>
          <w:lang w:val="it-IT"/>
        </w:rPr>
        <w:t>Norme armonizzate/Specifiche comuni</w:t>
      </w:r>
      <w:bookmarkEnd w:id="79"/>
    </w:p>
    <w:tbl>
      <w:tblPr>
        <w:tblStyle w:val="TableGrid"/>
        <w:tblW w:w="4959" w:type="pct"/>
        <w:tblLook w:val="04A0" w:firstRow="1" w:lastRow="0" w:firstColumn="1" w:lastColumn="0" w:noHBand="0" w:noVBand="1"/>
      </w:tblPr>
      <w:tblGrid>
        <w:gridCol w:w="2336"/>
        <w:gridCol w:w="8008"/>
      </w:tblGrid>
      <w:tr w:rsidR="0094168A" w:rsidRPr="009461CC" w14:paraId="04F3E487" w14:textId="77777777" w:rsidTr="00293453">
        <w:trPr>
          <w:tblHeader/>
        </w:trPr>
        <w:tc>
          <w:tcPr>
            <w:tcW w:w="1129" w:type="pct"/>
          </w:tcPr>
          <w:p w14:paraId="5EEB168D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it-IT"/>
              </w:rPr>
              <w:t>Data/versione di conformità all'argon</w:t>
            </w:r>
          </w:p>
        </w:tc>
        <w:tc>
          <w:tcPr>
            <w:tcW w:w="3871" w:type="pct"/>
          </w:tcPr>
          <w:p w14:paraId="7BCD1036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it-IT"/>
              </w:rPr>
              <w:t>Titolo Standard</w:t>
            </w:r>
          </w:p>
        </w:tc>
      </w:tr>
      <w:tr w:rsidR="0094168A" w:rsidRPr="009461CC" w14:paraId="67124770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1B92BABB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it-IT"/>
              </w:rPr>
              <w:t>Etichettatura</w:t>
            </w:r>
          </w:p>
        </w:tc>
      </w:tr>
      <w:tr w:rsidR="0094168A" w:rsidRPr="009461CC" w14:paraId="25DF072C" w14:textId="77777777" w:rsidTr="00293453">
        <w:tc>
          <w:tcPr>
            <w:tcW w:w="1129" w:type="pct"/>
          </w:tcPr>
          <w:p w14:paraId="434B73AC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it-IT"/>
              </w:rPr>
              <w:t>EN ISO 15223-1:2021</w:t>
            </w:r>
          </w:p>
        </w:tc>
        <w:tc>
          <w:tcPr>
            <w:tcW w:w="3871" w:type="pct"/>
          </w:tcPr>
          <w:p w14:paraId="40A15B1C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 xml:space="preserve">Dispositivi medici - Simboli da utilizzare con i dispositivi medici. </w:t>
            </w:r>
          </w:p>
          <w:p w14:paraId="093121E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 xml:space="preserve">etichette, etichettatura e informazioni da fornire - Parte 1: Requisiti generali. </w:t>
            </w:r>
          </w:p>
          <w:p w14:paraId="3CEE87D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</w:p>
        </w:tc>
      </w:tr>
      <w:tr w:rsidR="0094168A" w:rsidRPr="009461CC" w14:paraId="13723641" w14:textId="77777777" w:rsidTr="00293453">
        <w:tc>
          <w:tcPr>
            <w:tcW w:w="1129" w:type="pct"/>
          </w:tcPr>
          <w:p w14:paraId="7822ED4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EN ISO 20417:2021</w:t>
            </w:r>
          </w:p>
        </w:tc>
        <w:tc>
          <w:tcPr>
            <w:tcW w:w="3871" w:type="pct"/>
          </w:tcPr>
          <w:p w14:paraId="6EF6F71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Terminologia, simboli e informazioni fornite con i dispositivi medici: informazioni fornite dal produttore con i dispositivi medici</w:t>
            </w:r>
          </w:p>
        </w:tc>
      </w:tr>
      <w:tr w:rsidR="0094168A" w:rsidRPr="009461CC" w14:paraId="26B8C057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1F9809B2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it-IT"/>
              </w:rPr>
              <w:t>Norme generali – Sterilizzazione</w:t>
            </w:r>
          </w:p>
        </w:tc>
      </w:tr>
      <w:tr w:rsidR="0094168A" w:rsidRPr="009461CC" w14:paraId="7C28E0D3" w14:textId="77777777" w:rsidTr="00293453">
        <w:tc>
          <w:tcPr>
            <w:tcW w:w="1129" w:type="pct"/>
          </w:tcPr>
          <w:p w14:paraId="0416000A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ISO 10555-1:2013</w:t>
            </w:r>
          </w:p>
        </w:tc>
        <w:tc>
          <w:tcPr>
            <w:tcW w:w="3871" w:type="pct"/>
          </w:tcPr>
          <w:p w14:paraId="5B0C265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Cateteri intravascolari - Cateteri sterili e monouso - Parte 1: requisiti generali</w:t>
            </w:r>
          </w:p>
        </w:tc>
      </w:tr>
      <w:tr w:rsidR="0094168A" w:rsidRPr="009461CC" w14:paraId="088E27B4" w14:textId="77777777" w:rsidTr="00293453">
        <w:tc>
          <w:tcPr>
            <w:tcW w:w="1129" w:type="pct"/>
          </w:tcPr>
          <w:p w14:paraId="47460872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EN 556-1:2024</w:t>
            </w:r>
          </w:p>
        </w:tc>
        <w:tc>
          <w:tcPr>
            <w:tcW w:w="3871" w:type="pct"/>
          </w:tcPr>
          <w:p w14:paraId="64BED8C0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Sterilizzazione dei dispositivi medici. Requisiti per i dispositivi medici che recano l’indicazione “STERILE”. Requisiti per dispositivi medici sterilizzati terminalmente</w:t>
            </w:r>
          </w:p>
        </w:tc>
      </w:tr>
      <w:tr w:rsidR="0094168A" w:rsidRPr="009461CC" w14:paraId="4DEE0525" w14:textId="77777777" w:rsidTr="00293453">
        <w:tc>
          <w:tcPr>
            <w:tcW w:w="1129" w:type="pct"/>
          </w:tcPr>
          <w:p w14:paraId="5095D1B9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EN ISO 11135:2019</w:t>
            </w:r>
          </w:p>
        </w:tc>
        <w:tc>
          <w:tcPr>
            <w:tcW w:w="3871" w:type="pct"/>
          </w:tcPr>
          <w:p w14:paraId="1E9B7BE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Sterilizzazione dei prodotti sanitari - Ossido di etilene - Parte 1: Requisiti per lo sviluppo, la convalida e il controllo di routine di un processo di sterilizzazione per dispositivi medici</w:t>
            </w:r>
          </w:p>
        </w:tc>
      </w:tr>
      <w:tr w:rsidR="0094168A" w:rsidRPr="009461CC" w14:paraId="6B89F042" w14:textId="77777777" w:rsidTr="00293453">
        <w:tc>
          <w:tcPr>
            <w:tcW w:w="1129" w:type="pct"/>
          </w:tcPr>
          <w:p w14:paraId="3F48324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AAMI TIR28:2016</w:t>
            </w:r>
          </w:p>
          <w:p w14:paraId="4FBEE0AF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71" w:type="pct"/>
          </w:tcPr>
          <w:p w14:paraId="68BE6733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Adozione del prodotto ed equivalenza del processo per la sterilizzazione con ossido di etilene</w:t>
            </w:r>
          </w:p>
        </w:tc>
      </w:tr>
      <w:tr w:rsidR="0094168A" w:rsidRPr="009461CC" w14:paraId="1E1CCCD6" w14:textId="77777777" w:rsidTr="00293453">
        <w:tc>
          <w:tcPr>
            <w:tcW w:w="1129" w:type="pct"/>
          </w:tcPr>
          <w:p w14:paraId="25D300ED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EN ISO 14644-1:2015</w:t>
            </w:r>
          </w:p>
        </w:tc>
        <w:tc>
          <w:tcPr>
            <w:tcW w:w="3871" w:type="pct"/>
          </w:tcPr>
          <w:p w14:paraId="2AD73BC5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Classificazione della purezza dell'aria, camere bianche e ambienti controllati associati. Parte 1: Classificazione della purezza dell'aria</w:t>
            </w:r>
          </w:p>
        </w:tc>
      </w:tr>
      <w:tr w:rsidR="0094168A" w:rsidRPr="009461CC" w14:paraId="27E7EE41" w14:textId="77777777" w:rsidTr="00293453">
        <w:trPr>
          <w:trHeight w:val="1097"/>
        </w:trPr>
        <w:tc>
          <w:tcPr>
            <w:tcW w:w="1129" w:type="pct"/>
          </w:tcPr>
          <w:p w14:paraId="51EAE02B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lastRenderedPageBreak/>
              <w:t>EN ISO 14644-2:2015</w:t>
            </w:r>
          </w:p>
        </w:tc>
        <w:tc>
          <w:tcPr>
            <w:tcW w:w="3871" w:type="pct"/>
          </w:tcPr>
          <w:p w14:paraId="3AA6B4D4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 xml:space="preserve">Camere bianche e ambienti controllati associati - Parte 2: Monitoraggio per fornire la prova della camera bianca. </w:t>
            </w:r>
          </w:p>
          <w:p w14:paraId="2873EF60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 xml:space="preserve">prestazioni relative alla purezza dell'aria per particolato. </w:t>
            </w:r>
          </w:p>
          <w:p w14:paraId="02B2FEDC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concentrazione</w:t>
            </w:r>
          </w:p>
        </w:tc>
      </w:tr>
      <w:tr w:rsidR="0094168A" w:rsidRPr="009461CC" w14:paraId="0A4BF260" w14:textId="77777777" w:rsidTr="00293453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ED2A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it-IT"/>
              </w:rPr>
              <w:t>EN ISO 11737-1:2018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1B8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it-IT"/>
              </w:rPr>
              <w:t>Sterilizzazione dei dispositivi medici - Metodi microbiologici - Parte 1: determinazione di una popolazione di microrganismi sui prodotti</w:t>
            </w:r>
          </w:p>
        </w:tc>
      </w:tr>
      <w:tr w:rsidR="0094168A" w:rsidRPr="009461CC" w14:paraId="79153AFF" w14:textId="77777777" w:rsidTr="00293453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13E9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it-IT"/>
              </w:rPr>
              <w:t>EN ISO 10993-7:2022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8C9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it-IT"/>
              </w:rPr>
              <w:t>Valutazione biologica dei dispositivi medici. Residui della sterilizzazione mediante ossido di etilene</w:t>
            </w:r>
          </w:p>
        </w:tc>
      </w:tr>
      <w:tr w:rsidR="0094168A" w:rsidRPr="009461CC" w14:paraId="255576C7" w14:textId="77777777" w:rsidTr="00293453">
        <w:tc>
          <w:tcPr>
            <w:tcW w:w="1129" w:type="pct"/>
          </w:tcPr>
          <w:p w14:paraId="3E85524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NSI/AAMI ST72:2019</w:t>
            </w:r>
          </w:p>
        </w:tc>
        <w:tc>
          <w:tcPr>
            <w:tcW w:w="3871" w:type="pct"/>
          </w:tcPr>
          <w:p w14:paraId="1BB2618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Test delle endotossine batteriche</w:t>
            </w:r>
          </w:p>
        </w:tc>
      </w:tr>
      <w:tr w:rsidR="0094168A" w:rsidRPr="009461CC" w14:paraId="404997EC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5ABA833D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it-IT"/>
              </w:rPr>
              <w:t>Norme generali – Sistemi di qualità</w:t>
            </w:r>
          </w:p>
        </w:tc>
      </w:tr>
      <w:tr w:rsidR="0094168A" w:rsidRPr="009461CC" w14:paraId="63A55C82" w14:textId="77777777" w:rsidTr="00293453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0DA0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it-IT"/>
              </w:rPr>
              <w:t>EN ISO 13485:2016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AB9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it-IT"/>
              </w:rPr>
              <w:t>Dispositivi medici. Sistemi di gestione per la qualità. Requisiti per scopi regolamentari</w:t>
            </w:r>
          </w:p>
        </w:tc>
      </w:tr>
      <w:tr w:rsidR="0094168A" w:rsidRPr="009461CC" w14:paraId="387B175B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59DAC316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it-IT"/>
              </w:rPr>
              <w:t>Gestione dei rischi</w:t>
            </w:r>
          </w:p>
        </w:tc>
      </w:tr>
      <w:tr w:rsidR="0094168A" w:rsidRPr="009461CC" w14:paraId="75307B89" w14:textId="77777777" w:rsidTr="00293453">
        <w:tc>
          <w:tcPr>
            <w:tcW w:w="1129" w:type="pct"/>
          </w:tcPr>
          <w:p w14:paraId="653BDB44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EN ISO 14971:2019</w:t>
            </w:r>
          </w:p>
        </w:tc>
        <w:tc>
          <w:tcPr>
            <w:tcW w:w="3871" w:type="pct"/>
          </w:tcPr>
          <w:p w14:paraId="4457BE6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Dispositivi medici: Applicazione della gestione dei rischi ai dispositivi medici</w:t>
            </w:r>
          </w:p>
        </w:tc>
      </w:tr>
      <w:tr w:rsidR="0094168A" w:rsidRPr="009461CC" w14:paraId="0412F728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60003C37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b/>
                <w:bCs/>
                <w:sz w:val="22"/>
                <w:lang w:val="it-IT"/>
              </w:rPr>
              <w:t>Sicurezza biologica</w:t>
            </w:r>
          </w:p>
        </w:tc>
      </w:tr>
      <w:tr w:rsidR="0094168A" w:rsidRPr="009461CC" w14:paraId="4EC2D858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5F9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>EN ISO 10993-1:2020 + LC:2021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802E8D" w14:textId="77777777" w:rsidR="0094168A" w:rsidRPr="009461CC" w:rsidRDefault="0094168A" w:rsidP="00293453">
            <w:pPr>
              <w:spacing w:after="14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 xml:space="preserve">Valutazione biologica di dispositivi medici - Parte 1: </w:t>
            </w:r>
          </w:p>
          <w:p w14:paraId="1D869305" w14:textId="77777777" w:rsidR="0094168A" w:rsidRPr="009461CC" w:rsidRDefault="0094168A" w:rsidP="00293453">
            <w:pPr>
              <w:tabs>
                <w:tab w:val="left" w:pos="1320"/>
              </w:tabs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 xml:space="preserve">Valutazione e test  </w:t>
            </w:r>
          </w:p>
        </w:tc>
      </w:tr>
      <w:tr w:rsidR="0094168A" w:rsidRPr="009461CC" w14:paraId="3496F1CB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844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>EN ISO 10993-3:2014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8F9B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 xml:space="preserve">Valutazione biologica dei dispositivi medici - Parte 3: Test di genotossicità, cancerogenicità e tossicità riproduttiva </w:t>
            </w:r>
          </w:p>
        </w:tc>
      </w:tr>
      <w:tr w:rsidR="0094168A" w:rsidRPr="009461CC" w14:paraId="5B12C58D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D356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>EN ISO 10993-4:2017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54DE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 xml:space="preserve">Valutazione biologica di dispositivi medici. Parte 4: selezione di test per le interazioni con il sangue </w:t>
            </w:r>
          </w:p>
        </w:tc>
      </w:tr>
      <w:tr w:rsidR="0094168A" w:rsidRPr="009461CC" w14:paraId="6B4C18F9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AAA1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>EN ISO 10993-5:2009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DEB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 xml:space="preserve">Valutazione biologica dei dispositivi medici - Parte 5: Test di citotossicità in vitro </w:t>
            </w:r>
          </w:p>
        </w:tc>
      </w:tr>
      <w:tr w:rsidR="0094168A" w:rsidRPr="009461CC" w14:paraId="0C8F61CC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0A62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>EN ISO 10993-10:2013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2A3E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 xml:space="preserve">Valutazione biologica dei dispositivi medici - Parte 10: Test di irritazione e sensibilizzazione cutanea </w:t>
            </w:r>
          </w:p>
        </w:tc>
      </w:tr>
      <w:tr w:rsidR="0094168A" w:rsidRPr="009461CC" w14:paraId="0E6AC70D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775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>EN ISO 10993-11:2018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598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 xml:space="preserve">Valutazione biologica dei dispositivi medici - Parte 11: Test di tossicità sistemica </w:t>
            </w:r>
          </w:p>
        </w:tc>
      </w:tr>
      <w:tr w:rsidR="0094168A" w:rsidRPr="009461CC" w14:paraId="4DA537CC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FA31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>EN ISO 10993-12:2021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F3AE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 xml:space="preserve">Valutazione biologica dei dispositivi medici – Parte 12: Preparazione del campione e materiali di riferimento </w:t>
            </w:r>
          </w:p>
        </w:tc>
      </w:tr>
      <w:tr w:rsidR="00586415" w:rsidRPr="009461CC" w14:paraId="5BDB3E61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4CB5" w14:textId="75B11B14" w:rsidR="00586415" w:rsidRPr="009461CC" w:rsidRDefault="00522664" w:rsidP="00586415">
            <w:pPr>
              <w:spacing w:after="0" w:afterAutospacing="0"/>
              <w:rPr>
                <w:rFonts w:eastAsia="Arial"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>EN ISO 10993-17:2023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5B5F" w14:textId="1691BD78" w:rsidR="00586415" w:rsidRPr="009461CC" w:rsidRDefault="00586415" w:rsidP="00586415">
            <w:pPr>
              <w:spacing w:after="0" w:afterAutospacing="0"/>
              <w:rPr>
                <w:rFonts w:eastAsia="Arial"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>Valutazione del rischio tossicologico dei componenti dei dispositivi medici</w:t>
            </w:r>
          </w:p>
        </w:tc>
      </w:tr>
      <w:tr w:rsidR="00586415" w:rsidRPr="009461CC" w14:paraId="14855AA5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781D3BA0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b/>
                <w:bCs/>
                <w:sz w:val="22"/>
                <w:lang w:val="it-IT"/>
              </w:rPr>
              <w:t>Valutazione clinica</w:t>
            </w:r>
          </w:p>
        </w:tc>
      </w:tr>
      <w:tr w:rsidR="00586415" w:rsidRPr="009461CC" w14:paraId="1F26EC64" w14:textId="77777777" w:rsidTr="00293453">
        <w:tc>
          <w:tcPr>
            <w:tcW w:w="1129" w:type="pct"/>
          </w:tcPr>
          <w:p w14:paraId="5AF3269C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>MEDDEV 2.7/1 Rev4</w:t>
            </w:r>
          </w:p>
        </w:tc>
        <w:tc>
          <w:tcPr>
            <w:tcW w:w="3871" w:type="pct"/>
          </w:tcPr>
          <w:p w14:paraId="3D1D1121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Valutazione clinica: Guida per i produttori e gli organismi notificati</w:t>
            </w:r>
          </w:p>
        </w:tc>
      </w:tr>
      <w:tr w:rsidR="00586415" w:rsidRPr="009461CC" w14:paraId="59A5C57A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33478428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b/>
                <w:bCs/>
                <w:sz w:val="22"/>
                <w:lang w:val="it-IT"/>
              </w:rPr>
              <w:t>Controllo di progettazione</w:t>
            </w:r>
          </w:p>
        </w:tc>
      </w:tr>
      <w:tr w:rsidR="00586415" w:rsidRPr="009461CC" w14:paraId="54F49ECD" w14:textId="77777777" w:rsidTr="00293453">
        <w:tc>
          <w:tcPr>
            <w:tcW w:w="1129" w:type="pct"/>
          </w:tcPr>
          <w:p w14:paraId="4795B615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EN ISO 14971</w:t>
            </w:r>
          </w:p>
        </w:tc>
        <w:tc>
          <w:tcPr>
            <w:tcW w:w="3871" w:type="pct"/>
          </w:tcPr>
          <w:p w14:paraId="55771886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Dispositivi medici: Applicazione della gestione dei rischi ai dispositivi medici</w:t>
            </w:r>
          </w:p>
        </w:tc>
      </w:tr>
      <w:tr w:rsidR="00586415" w:rsidRPr="009461CC" w14:paraId="48F71F50" w14:textId="77777777" w:rsidTr="00293453">
        <w:tc>
          <w:tcPr>
            <w:tcW w:w="1129" w:type="pct"/>
          </w:tcPr>
          <w:p w14:paraId="477CFB4F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71" w:type="pct"/>
          </w:tcPr>
          <w:p w14:paraId="20C1E190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</w:p>
        </w:tc>
      </w:tr>
      <w:tr w:rsidR="00586415" w:rsidRPr="009461CC" w14:paraId="0064DEC6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4B791D46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it-IT"/>
              </w:rPr>
              <w:t>Usabilità</w:t>
            </w:r>
          </w:p>
        </w:tc>
      </w:tr>
      <w:tr w:rsidR="00586415" w:rsidRPr="009461CC" w14:paraId="29A23DD2" w14:textId="77777777" w:rsidTr="00293453">
        <w:tc>
          <w:tcPr>
            <w:tcW w:w="1129" w:type="pct"/>
          </w:tcPr>
          <w:p w14:paraId="38C30B53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IEC 62366-1:2015 e</w:t>
            </w:r>
          </w:p>
          <w:p w14:paraId="2D964E3D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IEC 62366-1:2015/ COR1:2016</w:t>
            </w:r>
          </w:p>
        </w:tc>
        <w:tc>
          <w:tcPr>
            <w:tcW w:w="3871" w:type="pct"/>
          </w:tcPr>
          <w:p w14:paraId="7A444F47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Dispositivi medici – Applicazione dell’ingegneria dell’usabilità ai dispositivi medici</w:t>
            </w:r>
          </w:p>
        </w:tc>
      </w:tr>
      <w:tr w:rsidR="00586415" w:rsidRPr="009461CC" w14:paraId="075E02B3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502A71D6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it-IT"/>
              </w:rPr>
              <w:t>Imballaggio</w:t>
            </w:r>
          </w:p>
        </w:tc>
      </w:tr>
      <w:tr w:rsidR="00586415" w:rsidRPr="009461CC" w14:paraId="0144C9E3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4C58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>EN ISO 11607-1:2020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F921B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 xml:space="preserve">Imballaggio per dispositivi medici sterilizzati terminalmente. Parte 1: Requisiti per materiali, sistemi di barriera sterili e sistemi di imballaggio. </w:t>
            </w:r>
          </w:p>
        </w:tc>
      </w:tr>
      <w:tr w:rsidR="00586415" w:rsidRPr="009461CC" w14:paraId="32D78976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C628" w14:textId="77777777" w:rsidR="00586415" w:rsidRPr="009461CC" w:rsidRDefault="00586415" w:rsidP="00586415">
            <w:pPr>
              <w:spacing w:after="16" w:afterAutospacing="0"/>
              <w:ind w:left="1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>EN ISO 11607-2:2020</w:t>
            </w:r>
          </w:p>
          <w:p w14:paraId="2A1BCB52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BF1E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 xml:space="preserve">Imballaggio per dispositivi medici sterilizzati terminalmente. Parte 2: Requisiti di convalida per i processi di formatura, sigillatura e assemblaggio </w:t>
            </w:r>
          </w:p>
        </w:tc>
      </w:tr>
      <w:tr w:rsidR="00586415" w:rsidRPr="009461CC" w14:paraId="1D891E68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4A1D" w14:textId="77777777" w:rsidR="00586415" w:rsidRPr="009461CC" w:rsidRDefault="00586415" w:rsidP="00586415">
            <w:pPr>
              <w:spacing w:after="14" w:afterAutospacing="0"/>
              <w:ind w:left="1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>EN ISO 2233:2001</w:t>
            </w:r>
          </w:p>
          <w:p w14:paraId="3F44F0A2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563C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 xml:space="preserve">Imballaggio -- Pacchi di trasporto completi e riempiti e carichi unitari -- Condizionamento per le prove </w:t>
            </w:r>
          </w:p>
        </w:tc>
      </w:tr>
      <w:tr w:rsidR="00586415" w:rsidRPr="009461CC" w14:paraId="7DFBA781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30C2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14">
              <w:r>
                <w:rPr>
                  <w:rFonts w:eastAsia="Arial" w:cs="Times New Roman"/>
                  <w:sz w:val="22"/>
                  <w:lang w:val="it-IT"/>
                </w:rPr>
                <w:t xml:space="preserve">ASTM D4169 </w:t>
              </w:r>
            </w:hyperlink>
            <w:r>
              <w:rPr>
                <w:rFonts w:eastAsia="Arial" w:cs="Times New Roman"/>
                <w:sz w:val="22"/>
                <w:lang w:val="it-IT"/>
              </w:rPr>
              <w:t>: 2022</w:t>
            </w:r>
            <w:hyperlink r:id="rId15">
              <w:r>
                <w:rPr>
                  <w:rFonts w:eastAsia="Arial" w:cs="Times New Roman"/>
                  <w:sz w:val="22"/>
                  <w:lang w:val="it-IT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460F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 xml:space="preserve">Pratica standard per i test delle prestazioni dei container e dei sistemi di spedizione - </w:t>
            </w:r>
          </w:p>
        </w:tc>
      </w:tr>
      <w:tr w:rsidR="00586415" w:rsidRPr="009461CC" w14:paraId="1A9015DB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FC05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16">
              <w:r>
                <w:rPr>
                  <w:rFonts w:eastAsia="Arial" w:cs="Times New Roman"/>
                  <w:sz w:val="22"/>
                  <w:lang w:val="it-IT"/>
                </w:rPr>
                <w:t xml:space="preserve">ASTM F2096 </w:t>
              </w:r>
            </w:hyperlink>
            <w:hyperlink r:id="rId17">
              <w:r>
                <w:rPr>
                  <w:rFonts w:eastAsia="Arial" w:cs="Times New Roman"/>
                  <w:sz w:val="22"/>
                  <w:lang w:val="it-IT"/>
                </w:rPr>
                <w:t xml:space="preserve"> – </w:t>
              </w:r>
            </w:hyperlink>
            <w:r>
              <w:rPr>
                <w:rFonts w:eastAsia="Arial" w:cs="Times New Roman"/>
                <w:sz w:val="22"/>
                <w:lang w:val="it-IT"/>
              </w:rPr>
              <w:t>20</w:t>
            </w:r>
            <w:hyperlink r:id="rId18">
              <w:r>
                <w:rPr>
                  <w:rFonts w:eastAsia="Arial" w:cs="Times New Roman"/>
                  <w:sz w:val="22"/>
                  <w:lang w:val="it-IT"/>
                </w:rPr>
                <w:t xml:space="preserve">11 (R2019) </w:t>
              </w:r>
            </w:hyperlink>
            <w:hyperlink r:id="rId19">
              <w:r>
                <w:rPr>
                  <w:rFonts w:eastAsia="Arial" w:cs="Times New Roman"/>
                  <w:sz w:val="22"/>
                  <w:lang w:val="it-IT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24E9" w14:textId="77777777" w:rsidR="00586415" w:rsidRPr="009461CC" w:rsidRDefault="00586415" w:rsidP="00586415">
            <w:pPr>
              <w:spacing w:after="14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 xml:space="preserve">Metodo di prova standard per il rilevamento di perdite grossolane in </w:t>
            </w:r>
          </w:p>
          <w:p w14:paraId="403EB0FF" w14:textId="77777777" w:rsidR="00586415" w:rsidRPr="009461CC" w:rsidRDefault="00586415" w:rsidP="00586415">
            <w:pPr>
              <w:spacing w:after="16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 xml:space="preserve">Imballaggio medico mediante pressurizzazione interna (Bubble Test) </w:t>
            </w:r>
          </w:p>
          <w:p w14:paraId="401902E0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 xml:space="preserve">- ASTM F 2096-11 (2019) </w:t>
            </w:r>
          </w:p>
        </w:tc>
      </w:tr>
      <w:tr w:rsidR="00586415" w:rsidRPr="009461CC" w14:paraId="6A8F5AF4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3B2B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20">
              <w:r>
                <w:rPr>
                  <w:rFonts w:eastAsia="Arial" w:cs="Times New Roman"/>
                  <w:sz w:val="22"/>
                  <w:lang w:val="it-IT"/>
                </w:rPr>
                <w:t xml:space="preserve">ASTM F1929 </w:t>
              </w:r>
            </w:hyperlink>
            <w:hyperlink r:id="rId21">
              <w:r>
                <w:rPr>
                  <w:rFonts w:eastAsia="Arial" w:cs="Times New Roman"/>
                  <w:sz w:val="22"/>
                  <w:lang w:val="it-IT"/>
                </w:rPr>
                <w:t xml:space="preserve"> - </w:t>
              </w:r>
            </w:hyperlink>
            <w:hyperlink r:id="rId22">
              <w:r>
                <w:rPr>
                  <w:rFonts w:eastAsia="Arial" w:cs="Times New Roman"/>
                  <w:sz w:val="22"/>
                  <w:lang w:val="it-IT"/>
                </w:rPr>
                <w:t xml:space="preserve">15 </w:t>
              </w:r>
            </w:hyperlink>
            <w:hyperlink r:id="rId23">
              <w:r>
                <w:rPr>
                  <w:rFonts w:eastAsia="Arial" w:cs="Times New Roman"/>
                  <w:sz w:val="22"/>
                  <w:lang w:val="it-IT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9479" w14:textId="77777777" w:rsidR="00586415" w:rsidRPr="009461CC" w:rsidRDefault="00586415" w:rsidP="00586415">
            <w:pPr>
              <w:spacing w:after="14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 xml:space="preserve">Metodo di prova standard per il rilevamento di perdite di tenuta in materiali porosi </w:t>
            </w:r>
          </w:p>
          <w:p w14:paraId="1449B41C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 xml:space="preserve">Imballaggio medico mediante penetrazione del colorante - ASTM F 1929 </w:t>
            </w:r>
          </w:p>
        </w:tc>
      </w:tr>
      <w:tr w:rsidR="00586415" w:rsidRPr="009461CC" w14:paraId="5231BAAE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391B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24">
              <w:r>
                <w:rPr>
                  <w:rFonts w:eastAsia="Arial" w:cs="Times New Roman"/>
                  <w:sz w:val="22"/>
                  <w:lang w:val="it-IT"/>
                </w:rPr>
                <w:t xml:space="preserve">ASTM F88 / F88M </w:t>
              </w:r>
            </w:hyperlink>
            <w:hyperlink r:id="rId25">
              <w:r>
                <w:rPr>
                  <w:rFonts w:eastAsia="Arial" w:cs="Times New Roman"/>
                  <w:sz w:val="22"/>
                  <w:lang w:val="it-IT"/>
                </w:rPr>
                <w:t xml:space="preserve"> - </w:t>
              </w:r>
            </w:hyperlink>
            <w:r>
              <w:rPr>
                <w:rFonts w:eastAsia="Arial" w:cs="Times New Roman"/>
                <w:sz w:val="22"/>
                <w:lang w:val="it-IT"/>
              </w:rPr>
              <w:t>2021</w:t>
            </w:r>
            <w:hyperlink r:id="rId26">
              <w:r>
                <w:rPr>
                  <w:rFonts w:eastAsia="Arial" w:cs="Times New Roman"/>
                  <w:sz w:val="22"/>
                  <w:lang w:val="it-IT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7AF3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 xml:space="preserve">Metodo di prova standard per la resistenza della tenuta dei materiali barriera flessibili - ASTM F88 </w:t>
            </w:r>
          </w:p>
        </w:tc>
      </w:tr>
      <w:tr w:rsidR="00586415" w:rsidRPr="009461CC" w14:paraId="08E5E708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8F88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27">
              <w:r>
                <w:rPr>
                  <w:rFonts w:eastAsia="Arial" w:cs="Times New Roman"/>
                  <w:sz w:val="22"/>
                  <w:lang w:val="it-IT"/>
                </w:rPr>
                <w:t xml:space="preserve">ASTM F1980 </w:t>
              </w:r>
            </w:hyperlink>
            <w:hyperlink r:id="rId28">
              <w:r>
                <w:rPr>
                  <w:rFonts w:eastAsia="Arial" w:cs="Times New Roman"/>
                  <w:sz w:val="22"/>
                  <w:lang w:val="it-IT"/>
                </w:rPr>
                <w:t xml:space="preserve"> - </w:t>
              </w:r>
            </w:hyperlink>
            <w:r>
              <w:rPr>
                <w:rFonts w:eastAsia="Arial" w:cs="Times New Roman"/>
                <w:sz w:val="22"/>
                <w:lang w:val="it-IT"/>
              </w:rPr>
              <w:t>2021</w:t>
            </w:r>
            <w:hyperlink r:id="rId29">
              <w:r>
                <w:rPr>
                  <w:rFonts w:eastAsia="Arial" w:cs="Times New Roman"/>
                  <w:sz w:val="22"/>
                  <w:lang w:val="it-IT"/>
                </w:rPr>
                <w:t xml:space="preserve"> </w:t>
              </w:r>
            </w:hyperlink>
            <w:hyperlink r:id="rId30">
              <w:r>
                <w:rPr>
                  <w:rFonts w:eastAsia="Arial" w:cs="Times New Roman"/>
                  <w:sz w:val="22"/>
                  <w:lang w:val="it-IT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64AF1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it-IT"/>
              </w:rPr>
              <w:t xml:space="preserve">Guida standard per l'invecchiamento accelerato dei sistemi di barriera sterili per dispositivi medici - ASTM F1980 </w:t>
            </w:r>
          </w:p>
        </w:tc>
      </w:tr>
      <w:tr w:rsidR="00586415" w:rsidRPr="009461CC" w14:paraId="0F76587E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76DCCB76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it-IT"/>
              </w:rPr>
              <w:t>Followup clinico postvendita (PMCF)</w:t>
            </w:r>
          </w:p>
        </w:tc>
      </w:tr>
      <w:tr w:rsidR="00586415" w:rsidRPr="009461CC" w14:paraId="72BDA171" w14:textId="77777777" w:rsidTr="00293453">
        <w:tc>
          <w:tcPr>
            <w:tcW w:w="1129" w:type="pct"/>
          </w:tcPr>
          <w:p w14:paraId="4A2D9F88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MEDDEV 2.12/2 Rev2</w:t>
            </w:r>
          </w:p>
        </w:tc>
        <w:tc>
          <w:tcPr>
            <w:tcW w:w="3871" w:type="pct"/>
          </w:tcPr>
          <w:p w14:paraId="534E025E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Studi sul followup clinico postvendita (PMCF)</w:t>
            </w:r>
          </w:p>
        </w:tc>
      </w:tr>
      <w:tr w:rsidR="00586415" w:rsidRPr="009461CC" w14:paraId="1CA6A5FC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6FE76F53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it-IT"/>
              </w:rPr>
              <w:t>Vigilanza</w:t>
            </w:r>
          </w:p>
        </w:tc>
      </w:tr>
      <w:tr w:rsidR="00586415" w:rsidRPr="009461CC" w14:paraId="577ABEC8" w14:textId="77777777" w:rsidTr="00293453">
        <w:tc>
          <w:tcPr>
            <w:tcW w:w="1129" w:type="pct"/>
          </w:tcPr>
          <w:p w14:paraId="403A7E80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MEDDEV 2.12/1 Rev8</w:t>
            </w:r>
          </w:p>
        </w:tc>
        <w:tc>
          <w:tcPr>
            <w:tcW w:w="3871" w:type="pct"/>
          </w:tcPr>
          <w:p w14:paraId="1F13D90E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Linee guida su un sistema di vigilanza sui dispositivi medici</w:t>
            </w:r>
          </w:p>
        </w:tc>
      </w:tr>
    </w:tbl>
    <w:p w14:paraId="06B25AF7" w14:textId="77777777" w:rsidR="00582286" w:rsidRPr="009461CC" w:rsidRDefault="00582286" w:rsidP="000A23CB">
      <w:pPr>
        <w:spacing w:after="0" w:afterAutospacing="0" w:line="240" w:lineRule="auto"/>
        <w:rPr>
          <w:rFonts w:cs="Times New Roman"/>
        </w:rPr>
      </w:pPr>
    </w:p>
    <w:p w14:paraId="6F757B16" w14:textId="77777777" w:rsidR="00601F87" w:rsidRPr="009461CC" w:rsidRDefault="00601F87" w:rsidP="000A23CB">
      <w:pPr>
        <w:spacing w:after="0" w:afterAutospacing="0" w:line="240" w:lineRule="auto"/>
        <w:rPr>
          <w:rFonts w:cs="Times New Roman"/>
        </w:rPr>
      </w:pPr>
    </w:p>
    <w:p w14:paraId="438059D7" w14:textId="77777777" w:rsidR="00601F87" w:rsidRPr="009461CC" w:rsidRDefault="00601F87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80" w:name="_Toc181362715"/>
      <w:bookmarkStart w:id="81" w:name="_Toc222741513"/>
      <w:r>
        <w:rPr>
          <w:rFonts w:cs="Times New Roman"/>
          <w:bCs/>
          <w:lang w:val="it-IT"/>
        </w:rPr>
        <w:t>Cronologia delle revisioni</w:t>
      </w:r>
      <w:bookmarkEnd w:id="80"/>
      <w:bookmarkEnd w:id="8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99"/>
        <w:gridCol w:w="1506"/>
        <w:gridCol w:w="4819"/>
        <w:gridCol w:w="2906"/>
      </w:tblGrid>
      <w:tr w:rsidR="00601F87" w:rsidRPr="009461CC" w14:paraId="5B6BFC55" w14:textId="77777777" w:rsidTr="00293453">
        <w:tc>
          <w:tcPr>
            <w:tcW w:w="575" w:type="pct"/>
          </w:tcPr>
          <w:p w14:paraId="2E035377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it-IT"/>
              </w:rPr>
              <w:t>Revisione</w:t>
            </w:r>
          </w:p>
        </w:tc>
        <w:tc>
          <w:tcPr>
            <w:tcW w:w="722" w:type="pct"/>
          </w:tcPr>
          <w:p w14:paraId="50A5C536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it-IT"/>
              </w:rPr>
              <w:t>Data di rilascio</w:t>
            </w:r>
          </w:p>
        </w:tc>
        <w:tc>
          <w:tcPr>
            <w:tcW w:w="2310" w:type="pct"/>
          </w:tcPr>
          <w:p w14:paraId="028B7F50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it-IT"/>
              </w:rPr>
              <w:t>Descrizione della modifica</w:t>
            </w:r>
          </w:p>
        </w:tc>
        <w:tc>
          <w:tcPr>
            <w:tcW w:w="1393" w:type="pct"/>
          </w:tcPr>
          <w:p w14:paraId="3C9FD99C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it-IT"/>
              </w:rPr>
              <w:t>Revisione convalidata dall’organismo notificato?</w:t>
            </w:r>
          </w:p>
        </w:tc>
      </w:tr>
      <w:tr w:rsidR="00601F87" w:rsidRPr="009461CC" w14:paraId="16EC10C7" w14:textId="77777777" w:rsidTr="00293453">
        <w:tc>
          <w:tcPr>
            <w:tcW w:w="575" w:type="pct"/>
          </w:tcPr>
          <w:p w14:paraId="58BC1E5F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A</w:t>
            </w:r>
          </w:p>
        </w:tc>
        <w:tc>
          <w:tcPr>
            <w:tcW w:w="722" w:type="pct"/>
          </w:tcPr>
          <w:p w14:paraId="6A81A9AF" w14:textId="71A1E241" w:rsidR="00601F87" w:rsidRPr="009461CC" w:rsidRDefault="002069F1" w:rsidP="00293453">
            <w:pPr>
              <w:spacing w:after="0" w:afterAutospacing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22 maggio 2022</w:t>
            </w:r>
          </w:p>
        </w:tc>
        <w:tc>
          <w:tcPr>
            <w:tcW w:w="2310" w:type="pct"/>
          </w:tcPr>
          <w:p w14:paraId="0B577D70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Versione interna iniziale – Non convalidata da BSI</w:t>
            </w:r>
          </w:p>
        </w:tc>
        <w:tc>
          <w:tcPr>
            <w:tcW w:w="1393" w:type="pct"/>
          </w:tcPr>
          <w:p w14:paraId="3673E384" w14:textId="77777777" w:rsidR="00601F87" w:rsidRPr="009461CC" w:rsidRDefault="00000000" w:rsidP="00293453">
            <w:pPr>
              <w:spacing w:after="0" w:afterAutospacing="0"/>
              <w:rPr>
                <w:rFonts w:cs="Times New Roman"/>
                <w:sz w:val="22"/>
              </w:rPr>
            </w:pPr>
            <w:sdt>
              <w:sdtPr>
                <w:rPr>
                  <w:rFonts w:ascii="Segoe UI Symbol" w:eastAsia="MS Gothic" w:hAnsi="Segoe UI Symbol" w:cs="Times New Roman"/>
                  <w:sz w:val="22"/>
                </w:rPr>
                <w:id w:val="-2162127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2"/>
                    <w:lang w:val="it-IT"/>
                  </w:rPr>
                  <w:t>☒</w:t>
                </w:r>
              </w:sdtContent>
            </w:sdt>
            <w:r>
              <w:rPr>
                <w:rFonts w:eastAsia="MS Gothic"/>
                <w:sz w:val="22"/>
                <w:lang w:val="it-IT"/>
              </w:rPr>
              <w:t xml:space="preserve"> Solo per uso interno</w:t>
            </w:r>
          </w:p>
        </w:tc>
      </w:tr>
      <w:tr w:rsidR="00601F87" w:rsidRPr="009461CC" w14:paraId="253ED939" w14:textId="77777777" w:rsidTr="00293453">
        <w:tc>
          <w:tcPr>
            <w:tcW w:w="575" w:type="pct"/>
          </w:tcPr>
          <w:p w14:paraId="794C6341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 xml:space="preserve">B </w:t>
            </w:r>
          </w:p>
        </w:tc>
        <w:tc>
          <w:tcPr>
            <w:tcW w:w="722" w:type="pct"/>
          </w:tcPr>
          <w:p w14:paraId="4E93CA05" w14:textId="47A5412E" w:rsidR="00601F87" w:rsidRPr="009461CC" w:rsidRDefault="00624761" w:rsidP="00293453">
            <w:pPr>
              <w:spacing w:after="0" w:afterAutospacing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 xml:space="preserve">15 dicembre 2025 </w:t>
            </w:r>
          </w:p>
          <w:p w14:paraId="76ECF0BB" w14:textId="21F4F941" w:rsidR="00601F87" w:rsidRPr="009461CC" w:rsidRDefault="00601F87" w:rsidP="00293453">
            <w:pPr>
              <w:spacing w:after="0" w:afterAutospacing="0"/>
              <w:rPr>
                <w:rFonts w:cs="Times New Roman"/>
                <w:iCs/>
                <w:sz w:val="22"/>
              </w:rPr>
            </w:pPr>
          </w:p>
        </w:tc>
        <w:tc>
          <w:tcPr>
            <w:tcW w:w="2310" w:type="pct"/>
          </w:tcPr>
          <w:p w14:paraId="7ADC2C3E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Presentazione iniziale al BSI, per la revisione</w:t>
            </w:r>
          </w:p>
          <w:p w14:paraId="17842BBC" w14:textId="53FA9776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 xml:space="preserve"> </w:t>
            </w:r>
          </w:p>
        </w:tc>
        <w:tc>
          <w:tcPr>
            <w:tcW w:w="1393" w:type="pct"/>
          </w:tcPr>
          <w:p w14:paraId="0FC9FC92" w14:textId="465431A0" w:rsidR="006D6EA3" w:rsidRPr="009461CC" w:rsidRDefault="00000000" w:rsidP="006D6EA3">
            <w:pPr>
              <w:spacing w:after="0" w:afterAutospacing="0"/>
              <w:rPr>
                <w:rFonts w:cs="Times New Roman"/>
                <w:sz w:val="22"/>
              </w:rPr>
            </w:pPr>
            <w:sdt>
              <w:sdtPr>
                <w:rPr>
                  <w:rFonts w:ascii="Segoe UI Symbol" w:eastAsia="MS Gothic" w:hAnsi="Segoe UI Symbol" w:cs="Times New Roman"/>
                  <w:sz w:val="22"/>
                </w:rPr>
                <w:id w:val="1250311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2"/>
                    <w:lang w:val="it-IT"/>
                  </w:rPr>
                  <w:t>☒</w:t>
                </w:r>
              </w:sdtContent>
            </w:sdt>
            <w:r>
              <w:rPr>
                <w:rFonts w:eastAsia="MS Gothic"/>
                <w:sz w:val="22"/>
                <w:lang w:val="it-IT"/>
              </w:rPr>
              <w:t xml:space="preserve"> Sì </w:t>
            </w:r>
          </w:p>
          <w:p w14:paraId="52EB2E13" w14:textId="77777777" w:rsidR="006D6EA3" w:rsidRPr="009461CC" w:rsidRDefault="006D6EA3" w:rsidP="006D6EA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 xml:space="preserve">Lingua della convalida: </w:t>
            </w:r>
          </w:p>
          <w:p w14:paraId="293F45BE" w14:textId="789551FE" w:rsidR="00CA46B0" w:rsidRPr="009461CC" w:rsidRDefault="006D6EA3" w:rsidP="006D6EA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it-IT"/>
              </w:rPr>
              <w:t>Italiano</w:t>
            </w:r>
          </w:p>
          <w:p w14:paraId="2C6B2388" w14:textId="23538238" w:rsidR="00601F87" w:rsidRPr="009461CC" w:rsidRDefault="006D6EA3" w:rsidP="006D6EA3">
            <w:pPr>
              <w:spacing w:after="0" w:afterAutospacing="0"/>
              <w:rPr>
                <w:rFonts w:cs="Times New Roman"/>
                <w:sz w:val="22"/>
                <w:highlight w:val="yellow"/>
              </w:rPr>
            </w:pPr>
            <w:r>
              <w:rPr>
                <w:rFonts w:ascii="Segoe UI Symbol" w:hAnsi="Segoe UI Symbol"/>
                <w:sz w:val="22"/>
                <w:lang w:val="it-IT"/>
              </w:rPr>
              <w:t>☐</w:t>
            </w:r>
            <w:r>
              <w:rPr>
                <w:sz w:val="22"/>
                <w:lang w:val="it-IT"/>
              </w:rPr>
              <w:t xml:space="preserve"> No (applicabile solo per i dispositivi di classe IIa o alcuni IIb per i quali la SSCP non è ancora convalidata dall’organismo notificato)</w:t>
            </w:r>
          </w:p>
        </w:tc>
      </w:tr>
    </w:tbl>
    <w:p w14:paraId="05B94FC3" w14:textId="73ABFCCD" w:rsidR="00601F87" w:rsidRPr="009461CC" w:rsidRDefault="00601F87" w:rsidP="00601F87">
      <w:pPr>
        <w:tabs>
          <w:tab w:val="left" w:pos="3633"/>
        </w:tabs>
        <w:rPr>
          <w:rFonts w:cs="Times New Roman"/>
        </w:rPr>
      </w:pPr>
    </w:p>
    <w:sectPr w:rsidR="00601F87" w:rsidRPr="009461CC" w:rsidSect="008018FA">
      <w:headerReference w:type="default" r:id="rId31"/>
      <w:footerReference w:type="default" r:id="rId32"/>
      <w:pgSz w:w="12240" w:h="15840"/>
      <w:pgMar w:top="1800" w:right="720" w:bottom="144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8BACE" w14:textId="77777777" w:rsidR="000D6475" w:rsidRDefault="000D6475" w:rsidP="009855C3">
      <w:r>
        <w:separator/>
      </w:r>
    </w:p>
  </w:endnote>
  <w:endnote w:type="continuationSeparator" w:id="0">
    <w:p w14:paraId="0FD0C1BE" w14:textId="77777777" w:rsidR="000D6475" w:rsidRDefault="000D6475" w:rsidP="0098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G Times 12p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9D42" w14:textId="6BB303DF" w:rsidR="00BE3D15" w:rsidRPr="00F44E82" w:rsidRDefault="003036AD" w:rsidP="009855C3">
    <w:pPr>
      <w:pStyle w:val="Footer"/>
      <w:rPr>
        <w:szCs w:val="24"/>
      </w:rPr>
    </w:pPr>
    <w:r>
      <w:rPr>
        <w:b/>
        <w:bCs/>
        <w:sz w:val="18"/>
        <w:szCs w:val="18"/>
        <w:lang w:val="it-IT"/>
      </w:rPr>
      <w:t xml:space="preserve">CAQ-QA-025-F1 </w:t>
    </w:r>
    <w:r>
      <w:rPr>
        <w:b/>
        <w:bCs/>
        <w:sz w:val="18"/>
        <w:szCs w:val="18"/>
        <w:lang w:val="it-IT"/>
      </w:rPr>
      <w:t>Rev G: Riepilogo della sicurezza e delle prestazioni cliniche (SSCP)</w:t>
    </w:r>
    <w:r>
      <w:rPr>
        <w:lang w:val="it-IT"/>
      </w:rPr>
      <w:t xml:space="preserve"> </w:t>
    </w:r>
    <w:r>
      <w:rPr>
        <w:lang w:val="it-IT"/>
      </w:rPr>
      <w:tab/>
      <w:t xml:space="preserve">Pagina </w:t>
    </w:r>
    <w:r>
      <w:rPr>
        <w:lang w:val="it-IT"/>
      </w:rPr>
      <w:fldChar w:fldCharType="begin"/>
    </w:r>
    <w:r>
      <w:rPr>
        <w:lang w:val="it-IT"/>
      </w:rPr>
      <w:instrText xml:space="preserve"> PAGE  \* Arabic </w:instrText>
    </w:r>
    <w:r>
      <w:rPr>
        <w:lang w:val="it-IT"/>
      </w:rPr>
      <w:fldChar w:fldCharType="separate"/>
    </w:r>
    <w:r>
      <w:rPr>
        <w:lang w:val="it-IT"/>
      </w:rPr>
      <w:t>0</w:t>
    </w:r>
    <w:r>
      <w:rPr>
        <w:lang w:val="it-IT"/>
      </w:rPr>
      <w:fldChar w:fldCharType="end"/>
    </w:r>
    <w:r>
      <w:rPr>
        <w:lang w:val="it-IT"/>
      </w:rPr>
      <w:t xml:space="preserve"> Di </w:t>
    </w:r>
    <w:r>
      <w:fldChar w:fldCharType="begin"/>
    </w:r>
    <w:r>
      <w:instrText xml:space="preserve"> NUMPAGES  </w:instrText>
    </w:r>
    <w:r>
      <w:fldChar w:fldCharType="separate"/>
    </w:r>
    <w:r>
      <w:rPr>
        <w:lang w:val="it-IT"/>
      </w:rPr>
      <w:t>12</w:t>
    </w:r>
    <w:r>
      <w:rPr>
        <w:lang w:val="it-IT"/>
      </w:rPr>
      <w:fldChar w:fldCharType="end"/>
    </w:r>
    <w:r>
      <w:rPr>
        <w:lang w:val="it-IT"/>
      </w:rPr>
      <w:t xml:space="preserve">  </w:t>
    </w:r>
    <w:r>
      <w:rPr>
        <w:lang w:val="it-IT"/>
      </w:rPr>
      <w:tab/>
    </w:r>
    <w:r>
      <w:rPr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79BF" w14:textId="77777777" w:rsidR="000D6475" w:rsidRDefault="000D6475" w:rsidP="009855C3">
      <w:r>
        <w:separator/>
      </w:r>
    </w:p>
  </w:footnote>
  <w:footnote w:type="continuationSeparator" w:id="0">
    <w:p w14:paraId="0FA14802" w14:textId="77777777" w:rsidR="000D6475" w:rsidRDefault="000D6475" w:rsidP="0098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0"/>
      <w:gridCol w:w="7350"/>
    </w:tblGrid>
    <w:tr w:rsidR="00B62140" w14:paraId="7E46E4C7" w14:textId="77777777" w:rsidTr="00B62140">
      <w:tc>
        <w:tcPr>
          <w:tcW w:w="3080" w:type="dxa"/>
        </w:tcPr>
        <w:p w14:paraId="184F2588" w14:textId="6EABB2E0" w:rsidR="00B62140" w:rsidRDefault="00B62140" w:rsidP="00B62140">
          <w:pPr>
            <w:pStyle w:val="Header"/>
            <w:jc w:val="left"/>
          </w:pPr>
          <w:r>
            <w:rPr>
              <w:noProof/>
              <w:lang w:val="it-IT"/>
            </w:rPr>
            <w:drawing>
              <wp:inline distT="0" distB="0" distL="0" distR="0" wp14:anchorId="4BFA3582" wp14:editId="165F9D90">
                <wp:extent cx="1016000" cy="635000"/>
                <wp:effectExtent l="0" t="0" r="0" b="0"/>
                <wp:docPr id="14" name="Picture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0" w:type="dxa"/>
        </w:tcPr>
        <w:p w14:paraId="6E8300D8" w14:textId="7A70FCBF" w:rsidR="005450DC" w:rsidRPr="0070587B" w:rsidRDefault="005450DC" w:rsidP="005450DC">
          <w:pPr>
            <w:spacing w:after="0" w:afterAutospacing="0"/>
            <w:rPr>
              <w:rFonts w:ascii="Arial" w:hAnsi="Arial" w:cs="Arial"/>
              <w:b/>
              <w:bCs/>
              <w:sz w:val="28"/>
              <w:szCs w:val="28"/>
              <w:lang w:val="it-IT"/>
            </w:rPr>
          </w:pPr>
          <w:r>
            <w:rPr>
              <w:rFonts w:ascii="Arial" w:hAnsi="Arial" w:cs="Arial"/>
              <w:b/>
              <w:bCs/>
              <w:sz w:val="28"/>
              <w:szCs w:val="28"/>
              <w:lang w:val="it-IT"/>
            </w:rPr>
            <w:t>Sintesi relativa alla sicurezza e alla prestazione clinica (SSCP)</w:t>
          </w:r>
        </w:p>
        <w:p w14:paraId="3BB3B2B1" w14:textId="16C30623" w:rsidR="009F5769" w:rsidRPr="005450DC" w:rsidRDefault="009F5769" w:rsidP="009F5769">
          <w:pPr>
            <w:spacing w:after="0" w:afterAutospacing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  <w:lang w:val="it-IT"/>
            </w:rPr>
            <w:t xml:space="preserve">SSCP-0006: </w:t>
          </w:r>
          <w:bookmarkStart w:id="82" w:name="_Hlk196721157"/>
          <w:r>
            <w:rPr>
              <w:rFonts w:ascii="Arial" w:hAnsi="Arial" w:cs="Arial"/>
              <w:sz w:val="18"/>
              <w:szCs w:val="18"/>
              <w:lang w:val="it-IT"/>
            </w:rPr>
            <w:t xml:space="preserve">Kit per </w:t>
          </w:r>
          <w:r w:rsidR="00EA7C7C">
            <w:rPr>
              <w:rFonts w:ascii="Arial" w:hAnsi="Arial" w:cs="Arial"/>
              <w:sz w:val="18"/>
              <w:szCs w:val="18"/>
              <w:lang w:val="it-IT"/>
            </w:rPr>
            <w:t>Snare</w:t>
          </w:r>
          <w:r>
            <w:rPr>
              <w:rFonts w:ascii="Arial" w:hAnsi="Arial" w:cs="Arial"/>
              <w:sz w:val="18"/>
              <w:szCs w:val="18"/>
              <w:lang w:val="it-IT"/>
            </w:rPr>
            <w:t xml:space="preserve"> vascolare Atrieve</w:t>
          </w:r>
          <w:bookmarkEnd w:id="82"/>
        </w:p>
        <w:p w14:paraId="32066318" w14:textId="5996CDC6" w:rsidR="005450DC" w:rsidRPr="005450DC" w:rsidRDefault="005450DC" w:rsidP="005450DC">
          <w:pPr>
            <w:spacing w:after="0" w:afterAutospacing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it-IT"/>
            </w:rPr>
            <w:t>Revisione: B</w:t>
          </w:r>
        </w:p>
        <w:p w14:paraId="2F5F8390" w14:textId="0ABFBBD1" w:rsidR="005450DC" w:rsidRPr="00B62140" w:rsidRDefault="005450DC" w:rsidP="005450DC">
          <w:pPr>
            <w:pStyle w:val="Header"/>
            <w:jc w:val="left"/>
            <w:rPr>
              <w:rFonts w:ascii="Arial" w:hAnsi="Arial" w:cs="Arial"/>
              <w:sz w:val="18"/>
            </w:rPr>
          </w:pPr>
          <w:r>
            <w:rPr>
              <w:rFonts w:ascii="Calibri" w:eastAsiaTheme="minorHAnsi" w:hAnsi="Calibri" w:cs="Calibri"/>
              <w:sz w:val="18"/>
              <w:szCs w:val="18"/>
              <w:lang w:val="it-IT"/>
            </w:rPr>
            <w:t>Sede Argon: tutti i centri</w:t>
          </w:r>
        </w:p>
      </w:tc>
    </w:tr>
  </w:tbl>
  <w:p w14:paraId="0BD58B4F" w14:textId="7DA38D57" w:rsidR="00B62140" w:rsidRDefault="00B62140" w:rsidP="00B62140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686"/>
    <w:multiLevelType w:val="hybridMultilevel"/>
    <w:tmpl w:val="DA0C7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77569"/>
    <w:multiLevelType w:val="hybridMultilevel"/>
    <w:tmpl w:val="15B4E1B2"/>
    <w:lvl w:ilvl="0" w:tplc="35E4F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3642F"/>
    <w:multiLevelType w:val="multilevel"/>
    <w:tmpl w:val="475A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D7021"/>
    <w:multiLevelType w:val="multilevel"/>
    <w:tmpl w:val="244E48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37B14"/>
    <w:multiLevelType w:val="hybridMultilevel"/>
    <w:tmpl w:val="DD1A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72A27"/>
    <w:multiLevelType w:val="hybridMultilevel"/>
    <w:tmpl w:val="CA6E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54A05"/>
    <w:multiLevelType w:val="hybridMultilevel"/>
    <w:tmpl w:val="FEAE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C16D5"/>
    <w:multiLevelType w:val="multilevel"/>
    <w:tmpl w:val="3DB2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544DA"/>
    <w:multiLevelType w:val="hybridMultilevel"/>
    <w:tmpl w:val="4126C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5329F"/>
    <w:multiLevelType w:val="multilevel"/>
    <w:tmpl w:val="244E48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895574"/>
    <w:multiLevelType w:val="hybridMultilevel"/>
    <w:tmpl w:val="1DF48DB6"/>
    <w:lvl w:ilvl="0" w:tplc="35E4F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15951"/>
    <w:multiLevelType w:val="multilevel"/>
    <w:tmpl w:val="51F6CE6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6F32A0"/>
    <w:multiLevelType w:val="hybridMultilevel"/>
    <w:tmpl w:val="DD72E76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ADC3F5B"/>
    <w:multiLevelType w:val="multilevel"/>
    <w:tmpl w:val="244E48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EC1CC7"/>
    <w:multiLevelType w:val="multilevel"/>
    <w:tmpl w:val="19D2CB6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pStyle w:val="Heading1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F33BF6"/>
    <w:multiLevelType w:val="hybridMultilevel"/>
    <w:tmpl w:val="5A40E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4B7D64"/>
    <w:multiLevelType w:val="multilevel"/>
    <w:tmpl w:val="7B2C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7A37D2"/>
    <w:multiLevelType w:val="multilevel"/>
    <w:tmpl w:val="51F6CE6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CF27DD"/>
    <w:multiLevelType w:val="multilevel"/>
    <w:tmpl w:val="1CA0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0F5615"/>
    <w:multiLevelType w:val="hybridMultilevel"/>
    <w:tmpl w:val="39B8B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8342CC"/>
    <w:multiLevelType w:val="hybridMultilevel"/>
    <w:tmpl w:val="D3948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2B39D6"/>
    <w:multiLevelType w:val="hybridMultilevel"/>
    <w:tmpl w:val="726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43C02"/>
    <w:multiLevelType w:val="multilevel"/>
    <w:tmpl w:val="75F0F646"/>
    <w:lvl w:ilvl="0">
      <w:start w:val="1"/>
      <w:numFmt w:val="decimal"/>
      <w:pStyle w:val="Heading5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62866B7F"/>
    <w:multiLevelType w:val="hybridMultilevel"/>
    <w:tmpl w:val="0D6C6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C0CD0"/>
    <w:multiLevelType w:val="hybridMultilevel"/>
    <w:tmpl w:val="57DCF6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AE87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C224B"/>
    <w:multiLevelType w:val="multilevel"/>
    <w:tmpl w:val="8E1C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AC4F74"/>
    <w:multiLevelType w:val="hybridMultilevel"/>
    <w:tmpl w:val="C85A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66B5D"/>
    <w:multiLevelType w:val="multilevel"/>
    <w:tmpl w:val="1C2A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F14B8E"/>
    <w:multiLevelType w:val="multilevel"/>
    <w:tmpl w:val="244E48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DF0477"/>
    <w:multiLevelType w:val="hybridMultilevel"/>
    <w:tmpl w:val="E6F8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87167"/>
    <w:multiLevelType w:val="hybridMultilevel"/>
    <w:tmpl w:val="980EE75C"/>
    <w:lvl w:ilvl="0" w:tplc="35E4F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86F75"/>
    <w:multiLevelType w:val="multilevel"/>
    <w:tmpl w:val="30BC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176312">
    <w:abstractNumId w:val="22"/>
  </w:num>
  <w:num w:numId="2" w16cid:durableId="1360936298">
    <w:abstractNumId w:val="14"/>
  </w:num>
  <w:num w:numId="3" w16cid:durableId="300112310">
    <w:abstractNumId w:val="19"/>
  </w:num>
  <w:num w:numId="4" w16cid:durableId="1853834821">
    <w:abstractNumId w:val="6"/>
  </w:num>
  <w:num w:numId="5" w16cid:durableId="1034691173">
    <w:abstractNumId w:val="12"/>
  </w:num>
  <w:num w:numId="6" w16cid:durableId="1593513253">
    <w:abstractNumId w:val="21"/>
  </w:num>
  <w:num w:numId="7" w16cid:durableId="346831415">
    <w:abstractNumId w:val="23"/>
  </w:num>
  <w:num w:numId="8" w16cid:durableId="1853715173">
    <w:abstractNumId w:val="0"/>
  </w:num>
  <w:num w:numId="9" w16cid:durableId="1855343271">
    <w:abstractNumId w:val="15"/>
  </w:num>
  <w:num w:numId="10" w16cid:durableId="916865255">
    <w:abstractNumId w:val="24"/>
  </w:num>
  <w:num w:numId="11" w16cid:durableId="364184473">
    <w:abstractNumId w:val="25"/>
  </w:num>
  <w:num w:numId="12" w16cid:durableId="2108647119">
    <w:abstractNumId w:val="16"/>
  </w:num>
  <w:num w:numId="13" w16cid:durableId="1982877844">
    <w:abstractNumId w:val="3"/>
  </w:num>
  <w:num w:numId="14" w16cid:durableId="1684937638">
    <w:abstractNumId w:val="9"/>
  </w:num>
  <w:num w:numId="15" w16cid:durableId="586424511">
    <w:abstractNumId w:val="17"/>
  </w:num>
  <w:num w:numId="16" w16cid:durableId="1213268901">
    <w:abstractNumId w:val="28"/>
  </w:num>
  <w:num w:numId="17" w16cid:durableId="171838373">
    <w:abstractNumId w:val="13"/>
  </w:num>
  <w:num w:numId="18" w16cid:durableId="799612473">
    <w:abstractNumId w:val="11"/>
  </w:num>
  <w:num w:numId="19" w16cid:durableId="475414826">
    <w:abstractNumId w:val="31"/>
  </w:num>
  <w:num w:numId="20" w16cid:durableId="320740550">
    <w:abstractNumId w:val="27"/>
  </w:num>
  <w:num w:numId="21" w16cid:durableId="166943843">
    <w:abstractNumId w:val="4"/>
  </w:num>
  <w:num w:numId="22" w16cid:durableId="1888569262">
    <w:abstractNumId w:val="8"/>
  </w:num>
  <w:num w:numId="23" w16cid:durableId="1644770191">
    <w:abstractNumId w:val="20"/>
  </w:num>
  <w:num w:numId="24" w16cid:durableId="1439636620">
    <w:abstractNumId w:val="26"/>
  </w:num>
  <w:num w:numId="25" w16cid:durableId="882600577">
    <w:abstractNumId w:val="5"/>
  </w:num>
  <w:num w:numId="26" w16cid:durableId="1718622400">
    <w:abstractNumId w:val="10"/>
  </w:num>
  <w:num w:numId="27" w16cid:durableId="1475558162">
    <w:abstractNumId w:val="30"/>
  </w:num>
  <w:num w:numId="28" w16cid:durableId="1475566087">
    <w:abstractNumId w:val="1"/>
  </w:num>
  <w:num w:numId="29" w16cid:durableId="1286497301">
    <w:abstractNumId w:val="7"/>
  </w:num>
  <w:num w:numId="30" w16cid:durableId="3093058">
    <w:abstractNumId w:val="18"/>
  </w:num>
  <w:num w:numId="31" w16cid:durableId="972251898">
    <w:abstractNumId w:val="29"/>
  </w:num>
  <w:num w:numId="32" w16cid:durableId="705914316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AA"/>
    <w:rsid w:val="00006459"/>
    <w:rsid w:val="00011045"/>
    <w:rsid w:val="00012E12"/>
    <w:rsid w:val="000167B6"/>
    <w:rsid w:val="00017BF4"/>
    <w:rsid w:val="00021D6F"/>
    <w:rsid w:val="00021E83"/>
    <w:rsid w:val="0002755B"/>
    <w:rsid w:val="00034879"/>
    <w:rsid w:val="000379B4"/>
    <w:rsid w:val="00042B91"/>
    <w:rsid w:val="00047250"/>
    <w:rsid w:val="00050F24"/>
    <w:rsid w:val="0005411A"/>
    <w:rsid w:val="00057D5B"/>
    <w:rsid w:val="000628F7"/>
    <w:rsid w:val="00063367"/>
    <w:rsid w:val="00076AE4"/>
    <w:rsid w:val="00076F70"/>
    <w:rsid w:val="000774DD"/>
    <w:rsid w:val="000857E5"/>
    <w:rsid w:val="000920E7"/>
    <w:rsid w:val="000975C6"/>
    <w:rsid w:val="000A1236"/>
    <w:rsid w:val="000A23CB"/>
    <w:rsid w:val="000A25FA"/>
    <w:rsid w:val="000A5EBD"/>
    <w:rsid w:val="000A6E93"/>
    <w:rsid w:val="000B3E80"/>
    <w:rsid w:val="000B6CF0"/>
    <w:rsid w:val="000C41AC"/>
    <w:rsid w:val="000C5F93"/>
    <w:rsid w:val="000C633A"/>
    <w:rsid w:val="000C7AF6"/>
    <w:rsid w:val="000D2F57"/>
    <w:rsid w:val="000D5406"/>
    <w:rsid w:val="000D6475"/>
    <w:rsid w:val="000D7B59"/>
    <w:rsid w:val="000E39A6"/>
    <w:rsid w:val="000F0AC2"/>
    <w:rsid w:val="000F0DCC"/>
    <w:rsid w:val="000F4DF1"/>
    <w:rsid w:val="001035F0"/>
    <w:rsid w:val="00103AF7"/>
    <w:rsid w:val="00113A33"/>
    <w:rsid w:val="001209D7"/>
    <w:rsid w:val="00120DD8"/>
    <w:rsid w:val="00122999"/>
    <w:rsid w:val="00125511"/>
    <w:rsid w:val="00125D9F"/>
    <w:rsid w:val="00142B70"/>
    <w:rsid w:val="00142D15"/>
    <w:rsid w:val="001440E1"/>
    <w:rsid w:val="001475A8"/>
    <w:rsid w:val="00151F01"/>
    <w:rsid w:val="001533A4"/>
    <w:rsid w:val="00154AAA"/>
    <w:rsid w:val="00155220"/>
    <w:rsid w:val="0015690A"/>
    <w:rsid w:val="00156CF3"/>
    <w:rsid w:val="00162917"/>
    <w:rsid w:val="00162923"/>
    <w:rsid w:val="00165A00"/>
    <w:rsid w:val="001861C6"/>
    <w:rsid w:val="00187CF5"/>
    <w:rsid w:val="001919D6"/>
    <w:rsid w:val="00191ED2"/>
    <w:rsid w:val="001A3916"/>
    <w:rsid w:val="001A7EA5"/>
    <w:rsid w:val="001B4005"/>
    <w:rsid w:val="001B6D13"/>
    <w:rsid w:val="001C43C6"/>
    <w:rsid w:val="001D1887"/>
    <w:rsid w:val="001E5AFF"/>
    <w:rsid w:val="001E6921"/>
    <w:rsid w:val="001E7A0E"/>
    <w:rsid w:val="001F4798"/>
    <w:rsid w:val="001F48BA"/>
    <w:rsid w:val="001F5B3B"/>
    <w:rsid w:val="00201156"/>
    <w:rsid w:val="002069F1"/>
    <w:rsid w:val="00207A7C"/>
    <w:rsid w:val="00210ACA"/>
    <w:rsid w:val="00210E41"/>
    <w:rsid w:val="00214E2F"/>
    <w:rsid w:val="0021589A"/>
    <w:rsid w:val="0022033C"/>
    <w:rsid w:val="00221CEF"/>
    <w:rsid w:val="00226C45"/>
    <w:rsid w:val="002277B9"/>
    <w:rsid w:val="00230011"/>
    <w:rsid w:val="002351E5"/>
    <w:rsid w:val="00235AAE"/>
    <w:rsid w:val="00237870"/>
    <w:rsid w:val="00242075"/>
    <w:rsid w:val="00243417"/>
    <w:rsid w:val="002538C9"/>
    <w:rsid w:val="00257EE2"/>
    <w:rsid w:val="002669BD"/>
    <w:rsid w:val="00272B97"/>
    <w:rsid w:val="00272DEA"/>
    <w:rsid w:val="00273413"/>
    <w:rsid w:val="0027538E"/>
    <w:rsid w:val="00275A67"/>
    <w:rsid w:val="00277426"/>
    <w:rsid w:val="00280A53"/>
    <w:rsid w:val="00290AFE"/>
    <w:rsid w:val="002914F4"/>
    <w:rsid w:val="00291A3E"/>
    <w:rsid w:val="00297A62"/>
    <w:rsid w:val="002A1AF1"/>
    <w:rsid w:val="002A24E8"/>
    <w:rsid w:val="002A75DC"/>
    <w:rsid w:val="002B2F38"/>
    <w:rsid w:val="002D4833"/>
    <w:rsid w:val="002D4C43"/>
    <w:rsid w:val="002D6103"/>
    <w:rsid w:val="002D6725"/>
    <w:rsid w:val="002E59B4"/>
    <w:rsid w:val="002F199B"/>
    <w:rsid w:val="002F2571"/>
    <w:rsid w:val="002F344E"/>
    <w:rsid w:val="002F37BF"/>
    <w:rsid w:val="002F39DB"/>
    <w:rsid w:val="00300E25"/>
    <w:rsid w:val="00300FC0"/>
    <w:rsid w:val="003036AD"/>
    <w:rsid w:val="003074B3"/>
    <w:rsid w:val="00314ACD"/>
    <w:rsid w:val="0032368A"/>
    <w:rsid w:val="003326A4"/>
    <w:rsid w:val="00335020"/>
    <w:rsid w:val="00335181"/>
    <w:rsid w:val="0033663C"/>
    <w:rsid w:val="0034308B"/>
    <w:rsid w:val="003513E0"/>
    <w:rsid w:val="00354365"/>
    <w:rsid w:val="003663A1"/>
    <w:rsid w:val="0037316E"/>
    <w:rsid w:val="00375370"/>
    <w:rsid w:val="0037599D"/>
    <w:rsid w:val="00375CFE"/>
    <w:rsid w:val="00376A92"/>
    <w:rsid w:val="00380316"/>
    <w:rsid w:val="00383678"/>
    <w:rsid w:val="00384B21"/>
    <w:rsid w:val="003859AF"/>
    <w:rsid w:val="003859DA"/>
    <w:rsid w:val="00386F47"/>
    <w:rsid w:val="003912E5"/>
    <w:rsid w:val="00394151"/>
    <w:rsid w:val="003951DC"/>
    <w:rsid w:val="00395788"/>
    <w:rsid w:val="00395FDB"/>
    <w:rsid w:val="003966BD"/>
    <w:rsid w:val="00397AE0"/>
    <w:rsid w:val="003A26B9"/>
    <w:rsid w:val="003A3A2E"/>
    <w:rsid w:val="003A3DB1"/>
    <w:rsid w:val="003B4C77"/>
    <w:rsid w:val="003B5B28"/>
    <w:rsid w:val="003B70D7"/>
    <w:rsid w:val="003D4104"/>
    <w:rsid w:val="003D63DA"/>
    <w:rsid w:val="003E5476"/>
    <w:rsid w:val="003F2EB4"/>
    <w:rsid w:val="003F3F3C"/>
    <w:rsid w:val="003F5F86"/>
    <w:rsid w:val="004065D7"/>
    <w:rsid w:val="004235A7"/>
    <w:rsid w:val="004263BF"/>
    <w:rsid w:val="0043056A"/>
    <w:rsid w:val="004329F3"/>
    <w:rsid w:val="00433305"/>
    <w:rsid w:val="00441215"/>
    <w:rsid w:val="0044138A"/>
    <w:rsid w:val="00442087"/>
    <w:rsid w:val="004430BE"/>
    <w:rsid w:val="00446152"/>
    <w:rsid w:val="004466ED"/>
    <w:rsid w:val="00453251"/>
    <w:rsid w:val="00453B44"/>
    <w:rsid w:val="00454296"/>
    <w:rsid w:val="004553D9"/>
    <w:rsid w:val="00465F4B"/>
    <w:rsid w:val="00466071"/>
    <w:rsid w:val="00466981"/>
    <w:rsid w:val="004673EB"/>
    <w:rsid w:val="004714F7"/>
    <w:rsid w:val="00472F06"/>
    <w:rsid w:val="00474E2A"/>
    <w:rsid w:val="00475E00"/>
    <w:rsid w:val="0047648B"/>
    <w:rsid w:val="00476A48"/>
    <w:rsid w:val="004816EB"/>
    <w:rsid w:val="00481A9E"/>
    <w:rsid w:val="0048338B"/>
    <w:rsid w:val="00483CA4"/>
    <w:rsid w:val="004846A6"/>
    <w:rsid w:val="00490703"/>
    <w:rsid w:val="0049079D"/>
    <w:rsid w:val="00490B97"/>
    <w:rsid w:val="0049275B"/>
    <w:rsid w:val="00493B5B"/>
    <w:rsid w:val="00495F6C"/>
    <w:rsid w:val="004A0035"/>
    <w:rsid w:val="004A2596"/>
    <w:rsid w:val="004A4063"/>
    <w:rsid w:val="004A4D87"/>
    <w:rsid w:val="004B30A3"/>
    <w:rsid w:val="004B4929"/>
    <w:rsid w:val="004C0D7F"/>
    <w:rsid w:val="004C12F0"/>
    <w:rsid w:val="004C73EF"/>
    <w:rsid w:val="004D77A4"/>
    <w:rsid w:val="004D7A94"/>
    <w:rsid w:val="004E24F8"/>
    <w:rsid w:val="004E28F8"/>
    <w:rsid w:val="004E397F"/>
    <w:rsid w:val="004E3C57"/>
    <w:rsid w:val="004E6C1C"/>
    <w:rsid w:val="004F01A5"/>
    <w:rsid w:val="004F26D9"/>
    <w:rsid w:val="004F2CB7"/>
    <w:rsid w:val="004F3CA9"/>
    <w:rsid w:val="004F5057"/>
    <w:rsid w:val="004F7F77"/>
    <w:rsid w:val="005010E4"/>
    <w:rsid w:val="005063EA"/>
    <w:rsid w:val="005072B8"/>
    <w:rsid w:val="005104CC"/>
    <w:rsid w:val="0051131D"/>
    <w:rsid w:val="00511B41"/>
    <w:rsid w:val="0051305A"/>
    <w:rsid w:val="00516D79"/>
    <w:rsid w:val="00522664"/>
    <w:rsid w:val="00524D41"/>
    <w:rsid w:val="00525377"/>
    <w:rsid w:val="005257E7"/>
    <w:rsid w:val="0052695A"/>
    <w:rsid w:val="00533C0A"/>
    <w:rsid w:val="00536EDE"/>
    <w:rsid w:val="00540616"/>
    <w:rsid w:val="005439FC"/>
    <w:rsid w:val="005450DC"/>
    <w:rsid w:val="00547018"/>
    <w:rsid w:val="00547353"/>
    <w:rsid w:val="00550F97"/>
    <w:rsid w:val="0055697A"/>
    <w:rsid w:val="00560A40"/>
    <w:rsid w:val="00563107"/>
    <w:rsid w:val="005647F4"/>
    <w:rsid w:val="00567FF4"/>
    <w:rsid w:val="00570454"/>
    <w:rsid w:val="00575EE3"/>
    <w:rsid w:val="00577A16"/>
    <w:rsid w:val="00580274"/>
    <w:rsid w:val="0058041F"/>
    <w:rsid w:val="005808F2"/>
    <w:rsid w:val="00582286"/>
    <w:rsid w:val="005842F3"/>
    <w:rsid w:val="00586415"/>
    <w:rsid w:val="00595963"/>
    <w:rsid w:val="005A1E4B"/>
    <w:rsid w:val="005A23F3"/>
    <w:rsid w:val="005A310B"/>
    <w:rsid w:val="005A3D4F"/>
    <w:rsid w:val="005A48D7"/>
    <w:rsid w:val="005A5584"/>
    <w:rsid w:val="005A6AE9"/>
    <w:rsid w:val="005B1255"/>
    <w:rsid w:val="005B3E76"/>
    <w:rsid w:val="005B4422"/>
    <w:rsid w:val="005C642C"/>
    <w:rsid w:val="005C6A90"/>
    <w:rsid w:val="005D00E4"/>
    <w:rsid w:val="005D04DF"/>
    <w:rsid w:val="005D3210"/>
    <w:rsid w:val="005D41AF"/>
    <w:rsid w:val="005D424F"/>
    <w:rsid w:val="005D4A52"/>
    <w:rsid w:val="005D7627"/>
    <w:rsid w:val="005D7D43"/>
    <w:rsid w:val="005E76F6"/>
    <w:rsid w:val="005F1F10"/>
    <w:rsid w:val="00601F73"/>
    <w:rsid w:val="00601F87"/>
    <w:rsid w:val="00602115"/>
    <w:rsid w:val="006027B7"/>
    <w:rsid w:val="00607046"/>
    <w:rsid w:val="00612216"/>
    <w:rsid w:val="00612BE6"/>
    <w:rsid w:val="00614E9F"/>
    <w:rsid w:val="00616ADF"/>
    <w:rsid w:val="00620D8F"/>
    <w:rsid w:val="00622C5B"/>
    <w:rsid w:val="00623CC6"/>
    <w:rsid w:val="00624761"/>
    <w:rsid w:val="006266F5"/>
    <w:rsid w:val="00634E28"/>
    <w:rsid w:val="00647A09"/>
    <w:rsid w:val="0065086A"/>
    <w:rsid w:val="006517A0"/>
    <w:rsid w:val="006524A2"/>
    <w:rsid w:val="00674185"/>
    <w:rsid w:val="00683D4A"/>
    <w:rsid w:val="00686D39"/>
    <w:rsid w:val="00692CDD"/>
    <w:rsid w:val="0069398D"/>
    <w:rsid w:val="006962F2"/>
    <w:rsid w:val="00696541"/>
    <w:rsid w:val="006A4B34"/>
    <w:rsid w:val="006A5C21"/>
    <w:rsid w:val="006B14EA"/>
    <w:rsid w:val="006B2504"/>
    <w:rsid w:val="006B3C71"/>
    <w:rsid w:val="006C1385"/>
    <w:rsid w:val="006C2B68"/>
    <w:rsid w:val="006C66D0"/>
    <w:rsid w:val="006D00F2"/>
    <w:rsid w:val="006D0CBE"/>
    <w:rsid w:val="006D29A6"/>
    <w:rsid w:val="006D6EA3"/>
    <w:rsid w:val="006D7D1C"/>
    <w:rsid w:val="006E0847"/>
    <w:rsid w:val="006E4BCB"/>
    <w:rsid w:val="006E55CB"/>
    <w:rsid w:val="006F0810"/>
    <w:rsid w:val="006F0D7E"/>
    <w:rsid w:val="006F12B6"/>
    <w:rsid w:val="006F1D9B"/>
    <w:rsid w:val="006F2D64"/>
    <w:rsid w:val="006F76E2"/>
    <w:rsid w:val="006F7FE6"/>
    <w:rsid w:val="007002E4"/>
    <w:rsid w:val="0070587B"/>
    <w:rsid w:val="00706757"/>
    <w:rsid w:val="007076C9"/>
    <w:rsid w:val="00710948"/>
    <w:rsid w:val="00710EE4"/>
    <w:rsid w:val="00713233"/>
    <w:rsid w:val="0071436C"/>
    <w:rsid w:val="00716E6B"/>
    <w:rsid w:val="00717248"/>
    <w:rsid w:val="00720869"/>
    <w:rsid w:val="00725BB8"/>
    <w:rsid w:val="007263BF"/>
    <w:rsid w:val="0073263C"/>
    <w:rsid w:val="007349B0"/>
    <w:rsid w:val="007354A2"/>
    <w:rsid w:val="00736211"/>
    <w:rsid w:val="0073680D"/>
    <w:rsid w:val="00737E50"/>
    <w:rsid w:val="00740900"/>
    <w:rsid w:val="0074262E"/>
    <w:rsid w:val="00744702"/>
    <w:rsid w:val="0075662C"/>
    <w:rsid w:val="00757131"/>
    <w:rsid w:val="00760400"/>
    <w:rsid w:val="00761873"/>
    <w:rsid w:val="007618AC"/>
    <w:rsid w:val="00762212"/>
    <w:rsid w:val="00763272"/>
    <w:rsid w:val="007646E7"/>
    <w:rsid w:val="00765B21"/>
    <w:rsid w:val="00770C94"/>
    <w:rsid w:val="00771CF6"/>
    <w:rsid w:val="0077387D"/>
    <w:rsid w:val="00773B3B"/>
    <w:rsid w:val="00775E6F"/>
    <w:rsid w:val="00780A59"/>
    <w:rsid w:val="007811AA"/>
    <w:rsid w:val="007867EE"/>
    <w:rsid w:val="00790BF0"/>
    <w:rsid w:val="00790C23"/>
    <w:rsid w:val="007A1221"/>
    <w:rsid w:val="007A2AD5"/>
    <w:rsid w:val="007A47F1"/>
    <w:rsid w:val="007A5226"/>
    <w:rsid w:val="007B0F04"/>
    <w:rsid w:val="007B2D5F"/>
    <w:rsid w:val="007B72EE"/>
    <w:rsid w:val="007C7E15"/>
    <w:rsid w:val="007D5088"/>
    <w:rsid w:val="007D708F"/>
    <w:rsid w:val="007F42BD"/>
    <w:rsid w:val="008002AB"/>
    <w:rsid w:val="008018FA"/>
    <w:rsid w:val="0080432B"/>
    <w:rsid w:val="00804949"/>
    <w:rsid w:val="00805DD8"/>
    <w:rsid w:val="008103FA"/>
    <w:rsid w:val="008170F8"/>
    <w:rsid w:val="0083288A"/>
    <w:rsid w:val="00832C94"/>
    <w:rsid w:val="00832EBC"/>
    <w:rsid w:val="008373C6"/>
    <w:rsid w:val="0084795E"/>
    <w:rsid w:val="00864E1E"/>
    <w:rsid w:val="00873051"/>
    <w:rsid w:val="008735FE"/>
    <w:rsid w:val="0087371C"/>
    <w:rsid w:val="008745ED"/>
    <w:rsid w:val="00874EDF"/>
    <w:rsid w:val="00882C64"/>
    <w:rsid w:val="0088793A"/>
    <w:rsid w:val="00887E5D"/>
    <w:rsid w:val="00894B7F"/>
    <w:rsid w:val="008A15B7"/>
    <w:rsid w:val="008A210D"/>
    <w:rsid w:val="008B0C3D"/>
    <w:rsid w:val="008B13A5"/>
    <w:rsid w:val="008B1BA9"/>
    <w:rsid w:val="008B3CB9"/>
    <w:rsid w:val="008B667F"/>
    <w:rsid w:val="008C2DA2"/>
    <w:rsid w:val="008C5C2C"/>
    <w:rsid w:val="008C7623"/>
    <w:rsid w:val="008C78ED"/>
    <w:rsid w:val="008D7F1C"/>
    <w:rsid w:val="008F6E85"/>
    <w:rsid w:val="00900933"/>
    <w:rsid w:val="0090367B"/>
    <w:rsid w:val="00905F56"/>
    <w:rsid w:val="00914027"/>
    <w:rsid w:val="009140CD"/>
    <w:rsid w:val="009214EC"/>
    <w:rsid w:val="009224DD"/>
    <w:rsid w:val="00922F95"/>
    <w:rsid w:val="00923982"/>
    <w:rsid w:val="00923DA5"/>
    <w:rsid w:val="00924CA5"/>
    <w:rsid w:val="00930F2F"/>
    <w:rsid w:val="009337D8"/>
    <w:rsid w:val="00934A5D"/>
    <w:rsid w:val="00941292"/>
    <w:rsid w:val="0094168A"/>
    <w:rsid w:val="00941D63"/>
    <w:rsid w:val="00942C1E"/>
    <w:rsid w:val="0094476E"/>
    <w:rsid w:val="009456AE"/>
    <w:rsid w:val="009461CC"/>
    <w:rsid w:val="00953A7F"/>
    <w:rsid w:val="009645C9"/>
    <w:rsid w:val="00966ED8"/>
    <w:rsid w:val="009709B4"/>
    <w:rsid w:val="00970F10"/>
    <w:rsid w:val="00971960"/>
    <w:rsid w:val="00972802"/>
    <w:rsid w:val="00976460"/>
    <w:rsid w:val="00976960"/>
    <w:rsid w:val="00981AFC"/>
    <w:rsid w:val="00982459"/>
    <w:rsid w:val="00982823"/>
    <w:rsid w:val="00982903"/>
    <w:rsid w:val="009855C3"/>
    <w:rsid w:val="00987307"/>
    <w:rsid w:val="00994DB9"/>
    <w:rsid w:val="009964D2"/>
    <w:rsid w:val="009977D7"/>
    <w:rsid w:val="009A1AED"/>
    <w:rsid w:val="009A1FF8"/>
    <w:rsid w:val="009A5F24"/>
    <w:rsid w:val="009B4453"/>
    <w:rsid w:val="009B569A"/>
    <w:rsid w:val="009B7C1D"/>
    <w:rsid w:val="009C4FD5"/>
    <w:rsid w:val="009D19D6"/>
    <w:rsid w:val="009D3291"/>
    <w:rsid w:val="009D54C6"/>
    <w:rsid w:val="009D6FE2"/>
    <w:rsid w:val="009D7E33"/>
    <w:rsid w:val="009E10C6"/>
    <w:rsid w:val="009E1EBB"/>
    <w:rsid w:val="009E4BE1"/>
    <w:rsid w:val="009F1498"/>
    <w:rsid w:val="009F1998"/>
    <w:rsid w:val="009F1BD0"/>
    <w:rsid w:val="009F282F"/>
    <w:rsid w:val="009F2A57"/>
    <w:rsid w:val="009F319A"/>
    <w:rsid w:val="009F4223"/>
    <w:rsid w:val="009F51B0"/>
    <w:rsid w:val="009F5769"/>
    <w:rsid w:val="009F78EE"/>
    <w:rsid w:val="00A00853"/>
    <w:rsid w:val="00A0129F"/>
    <w:rsid w:val="00A02A54"/>
    <w:rsid w:val="00A030DC"/>
    <w:rsid w:val="00A03A91"/>
    <w:rsid w:val="00A05360"/>
    <w:rsid w:val="00A06EA0"/>
    <w:rsid w:val="00A12C5D"/>
    <w:rsid w:val="00A2055A"/>
    <w:rsid w:val="00A24C7B"/>
    <w:rsid w:val="00A25FCE"/>
    <w:rsid w:val="00A30F54"/>
    <w:rsid w:val="00A36237"/>
    <w:rsid w:val="00A3639B"/>
    <w:rsid w:val="00A44D21"/>
    <w:rsid w:val="00A4616A"/>
    <w:rsid w:val="00A5239F"/>
    <w:rsid w:val="00A538EF"/>
    <w:rsid w:val="00A56D87"/>
    <w:rsid w:val="00A570BF"/>
    <w:rsid w:val="00A57182"/>
    <w:rsid w:val="00A603C9"/>
    <w:rsid w:val="00A62721"/>
    <w:rsid w:val="00A62AA4"/>
    <w:rsid w:val="00A80721"/>
    <w:rsid w:val="00A8284F"/>
    <w:rsid w:val="00A8483B"/>
    <w:rsid w:val="00A8663C"/>
    <w:rsid w:val="00A86CBA"/>
    <w:rsid w:val="00A90A1C"/>
    <w:rsid w:val="00A95910"/>
    <w:rsid w:val="00AA2E04"/>
    <w:rsid w:val="00AA3502"/>
    <w:rsid w:val="00AA3694"/>
    <w:rsid w:val="00AA7F1D"/>
    <w:rsid w:val="00AB04FB"/>
    <w:rsid w:val="00AC1EE8"/>
    <w:rsid w:val="00AC53BA"/>
    <w:rsid w:val="00AC7864"/>
    <w:rsid w:val="00AD0542"/>
    <w:rsid w:val="00AD355F"/>
    <w:rsid w:val="00AD3C62"/>
    <w:rsid w:val="00AD4A16"/>
    <w:rsid w:val="00AE212B"/>
    <w:rsid w:val="00AE2B73"/>
    <w:rsid w:val="00AE5A46"/>
    <w:rsid w:val="00AF2584"/>
    <w:rsid w:val="00B0012D"/>
    <w:rsid w:val="00B01620"/>
    <w:rsid w:val="00B0256A"/>
    <w:rsid w:val="00B04139"/>
    <w:rsid w:val="00B06F88"/>
    <w:rsid w:val="00B07777"/>
    <w:rsid w:val="00B1087D"/>
    <w:rsid w:val="00B11A66"/>
    <w:rsid w:val="00B15E55"/>
    <w:rsid w:val="00B16AB3"/>
    <w:rsid w:val="00B17CC3"/>
    <w:rsid w:val="00B26297"/>
    <w:rsid w:val="00B343C2"/>
    <w:rsid w:val="00B37A72"/>
    <w:rsid w:val="00B407B6"/>
    <w:rsid w:val="00B459A4"/>
    <w:rsid w:val="00B62140"/>
    <w:rsid w:val="00B66253"/>
    <w:rsid w:val="00B67432"/>
    <w:rsid w:val="00B7112F"/>
    <w:rsid w:val="00B714A8"/>
    <w:rsid w:val="00B7247B"/>
    <w:rsid w:val="00B73BEA"/>
    <w:rsid w:val="00B763A0"/>
    <w:rsid w:val="00B82FB3"/>
    <w:rsid w:val="00B8570A"/>
    <w:rsid w:val="00B8696D"/>
    <w:rsid w:val="00B9692A"/>
    <w:rsid w:val="00BA7D3E"/>
    <w:rsid w:val="00BB36B1"/>
    <w:rsid w:val="00BB79B1"/>
    <w:rsid w:val="00BC0CE0"/>
    <w:rsid w:val="00BC3DD7"/>
    <w:rsid w:val="00BD1913"/>
    <w:rsid w:val="00BD7F46"/>
    <w:rsid w:val="00BE0727"/>
    <w:rsid w:val="00BE09C5"/>
    <w:rsid w:val="00BE3D15"/>
    <w:rsid w:val="00BE7E3B"/>
    <w:rsid w:val="00BF53FD"/>
    <w:rsid w:val="00BF7DE6"/>
    <w:rsid w:val="00C00243"/>
    <w:rsid w:val="00C01A53"/>
    <w:rsid w:val="00C0200E"/>
    <w:rsid w:val="00C02BC0"/>
    <w:rsid w:val="00C134BC"/>
    <w:rsid w:val="00C13612"/>
    <w:rsid w:val="00C1549E"/>
    <w:rsid w:val="00C16423"/>
    <w:rsid w:val="00C16D85"/>
    <w:rsid w:val="00C3050A"/>
    <w:rsid w:val="00C361CA"/>
    <w:rsid w:val="00C3745E"/>
    <w:rsid w:val="00C46C3A"/>
    <w:rsid w:val="00C47B0F"/>
    <w:rsid w:val="00C56109"/>
    <w:rsid w:val="00C6261A"/>
    <w:rsid w:val="00C64987"/>
    <w:rsid w:val="00C64AB4"/>
    <w:rsid w:val="00C673A6"/>
    <w:rsid w:val="00C706D6"/>
    <w:rsid w:val="00C70884"/>
    <w:rsid w:val="00C76698"/>
    <w:rsid w:val="00C824D9"/>
    <w:rsid w:val="00C82528"/>
    <w:rsid w:val="00C83032"/>
    <w:rsid w:val="00C91927"/>
    <w:rsid w:val="00C94CB5"/>
    <w:rsid w:val="00C97841"/>
    <w:rsid w:val="00CA2472"/>
    <w:rsid w:val="00CA46B0"/>
    <w:rsid w:val="00CA7832"/>
    <w:rsid w:val="00CB0F1E"/>
    <w:rsid w:val="00CB7CB0"/>
    <w:rsid w:val="00CC0372"/>
    <w:rsid w:val="00CD129C"/>
    <w:rsid w:val="00CD6594"/>
    <w:rsid w:val="00CD6EF2"/>
    <w:rsid w:val="00CD76E0"/>
    <w:rsid w:val="00CE3EA4"/>
    <w:rsid w:val="00CE6144"/>
    <w:rsid w:val="00CE7154"/>
    <w:rsid w:val="00CF0AF4"/>
    <w:rsid w:val="00CF6BEB"/>
    <w:rsid w:val="00CF7C5F"/>
    <w:rsid w:val="00D0560B"/>
    <w:rsid w:val="00D104AC"/>
    <w:rsid w:val="00D14601"/>
    <w:rsid w:val="00D15BBE"/>
    <w:rsid w:val="00D16500"/>
    <w:rsid w:val="00D20FA4"/>
    <w:rsid w:val="00D23267"/>
    <w:rsid w:val="00D23846"/>
    <w:rsid w:val="00D24167"/>
    <w:rsid w:val="00D26121"/>
    <w:rsid w:val="00D26B0D"/>
    <w:rsid w:val="00D35E63"/>
    <w:rsid w:val="00D42481"/>
    <w:rsid w:val="00D4289F"/>
    <w:rsid w:val="00D47200"/>
    <w:rsid w:val="00D479C6"/>
    <w:rsid w:val="00D52DF8"/>
    <w:rsid w:val="00D558E5"/>
    <w:rsid w:val="00D56C82"/>
    <w:rsid w:val="00D600D7"/>
    <w:rsid w:val="00D62E8E"/>
    <w:rsid w:val="00D63EAA"/>
    <w:rsid w:val="00D64EA5"/>
    <w:rsid w:val="00D75384"/>
    <w:rsid w:val="00D75D87"/>
    <w:rsid w:val="00D760D8"/>
    <w:rsid w:val="00D82C89"/>
    <w:rsid w:val="00D91CDB"/>
    <w:rsid w:val="00D94089"/>
    <w:rsid w:val="00D96F6A"/>
    <w:rsid w:val="00D979CC"/>
    <w:rsid w:val="00DA4404"/>
    <w:rsid w:val="00DA5FD1"/>
    <w:rsid w:val="00DA6381"/>
    <w:rsid w:val="00DB020C"/>
    <w:rsid w:val="00DB582A"/>
    <w:rsid w:val="00DB74A8"/>
    <w:rsid w:val="00DD13F4"/>
    <w:rsid w:val="00DD54B4"/>
    <w:rsid w:val="00DE0007"/>
    <w:rsid w:val="00DE2118"/>
    <w:rsid w:val="00DE3CC0"/>
    <w:rsid w:val="00DE6313"/>
    <w:rsid w:val="00DE6327"/>
    <w:rsid w:val="00DE7FD7"/>
    <w:rsid w:val="00DF0617"/>
    <w:rsid w:val="00DF62DC"/>
    <w:rsid w:val="00E03D31"/>
    <w:rsid w:val="00E11D92"/>
    <w:rsid w:val="00E1442F"/>
    <w:rsid w:val="00E14C97"/>
    <w:rsid w:val="00E213E0"/>
    <w:rsid w:val="00E23984"/>
    <w:rsid w:val="00E269CF"/>
    <w:rsid w:val="00E3060B"/>
    <w:rsid w:val="00E3332E"/>
    <w:rsid w:val="00E352B4"/>
    <w:rsid w:val="00E407A5"/>
    <w:rsid w:val="00E409AE"/>
    <w:rsid w:val="00E41C44"/>
    <w:rsid w:val="00E46137"/>
    <w:rsid w:val="00E529DC"/>
    <w:rsid w:val="00E535E2"/>
    <w:rsid w:val="00E541DE"/>
    <w:rsid w:val="00E7114E"/>
    <w:rsid w:val="00E714ED"/>
    <w:rsid w:val="00E818B5"/>
    <w:rsid w:val="00E87974"/>
    <w:rsid w:val="00E91403"/>
    <w:rsid w:val="00E950A1"/>
    <w:rsid w:val="00E9587C"/>
    <w:rsid w:val="00EA0589"/>
    <w:rsid w:val="00EA2539"/>
    <w:rsid w:val="00EA2A12"/>
    <w:rsid w:val="00EA34B1"/>
    <w:rsid w:val="00EA386A"/>
    <w:rsid w:val="00EA3F04"/>
    <w:rsid w:val="00EA7C7C"/>
    <w:rsid w:val="00EB3CE1"/>
    <w:rsid w:val="00EB4EEE"/>
    <w:rsid w:val="00EB5323"/>
    <w:rsid w:val="00EB55F4"/>
    <w:rsid w:val="00EC009B"/>
    <w:rsid w:val="00EC0A5C"/>
    <w:rsid w:val="00EC0F3C"/>
    <w:rsid w:val="00ED2006"/>
    <w:rsid w:val="00ED2C52"/>
    <w:rsid w:val="00ED57DD"/>
    <w:rsid w:val="00ED6077"/>
    <w:rsid w:val="00ED60E5"/>
    <w:rsid w:val="00EE18FA"/>
    <w:rsid w:val="00EE3541"/>
    <w:rsid w:val="00EF2775"/>
    <w:rsid w:val="00F0588E"/>
    <w:rsid w:val="00F07DD1"/>
    <w:rsid w:val="00F12464"/>
    <w:rsid w:val="00F12AB9"/>
    <w:rsid w:val="00F1562A"/>
    <w:rsid w:val="00F1569C"/>
    <w:rsid w:val="00F20DD6"/>
    <w:rsid w:val="00F24AE3"/>
    <w:rsid w:val="00F32C32"/>
    <w:rsid w:val="00F332F1"/>
    <w:rsid w:val="00F343C3"/>
    <w:rsid w:val="00F347FB"/>
    <w:rsid w:val="00F363B9"/>
    <w:rsid w:val="00F3731D"/>
    <w:rsid w:val="00F37F87"/>
    <w:rsid w:val="00F44E82"/>
    <w:rsid w:val="00F501B1"/>
    <w:rsid w:val="00F56303"/>
    <w:rsid w:val="00F604C9"/>
    <w:rsid w:val="00F63689"/>
    <w:rsid w:val="00F66077"/>
    <w:rsid w:val="00F66E1F"/>
    <w:rsid w:val="00F67A0E"/>
    <w:rsid w:val="00F67D06"/>
    <w:rsid w:val="00F7558C"/>
    <w:rsid w:val="00F761EC"/>
    <w:rsid w:val="00F86E3F"/>
    <w:rsid w:val="00F9112F"/>
    <w:rsid w:val="00FA1D26"/>
    <w:rsid w:val="00FB05F7"/>
    <w:rsid w:val="00FB0A38"/>
    <w:rsid w:val="00FB14AD"/>
    <w:rsid w:val="00FB1FDD"/>
    <w:rsid w:val="00FB59FD"/>
    <w:rsid w:val="00FC419D"/>
    <w:rsid w:val="00FC52C8"/>
    <w:rsid w:val="00FC5667"/>
    <w:rsid w:val="00FC6DBB"/>
    <w:rsid w:val="00FD0ECB"/>
    <w:rsid w:val="00FE191E"/>
    <w:rsid w:val="00FE3112"/>
    <w:rsid w:val="00FE4230"/>
    <w:rsid w:val="00FE5B73"/>
    <w:rsid w:val="00FE6595"/>
    <w:rsid w:val="00F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914C6"/>
  <w15:chartTrackingRefBased/>
  <w15:docId w15:val="{EC7DA20C-9F38-4A81-966B-D50D5F52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5C3"/>
    <w:pPr>
      <w:spacing w:after="100" w:afterAutospacing="1"/>
    </w:pPr>
    <w:rPr>
      <w:rFonts w:ascii="Times New Roman" w:hAnsi="Times New Roman"/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B91"/>
    <w:pPr>
      <w:numPr>
        <w:ilvl w:val="1"/>
        <w:numId w:val="2"/>
      </w:numPr>
      <w:spacing w:after="0" w:afterAutospacing="0" w:line="240" w:lineRule="auto"/>
      <w:ind w:left="792"/>
      <w:outlineLvl w:val="0"/>
    </w:pPr>
    <w:rPr>
      <w:b/>
      <w:color w:val="000000" w:themeColor="text1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855C3"/>
    <w:pPr>
      <w:numPr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8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0810"/>
    <w:pPr>
      <w:keepNext/>
      <w:keepLines/>
      <w:numPr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05411A"/>
    <w:pPr>
      <w:keepNext/>
      <w:spacing w:after="120" w:line="240" w:lineRule="auto"/>
      <w:jc w:val="center"/>
      <w:outlineLvl w:val="6"/>
    </w:pPr>
    <w:rPr>
      <w:rFonts w:eastAsia="Times New Roman" w:cs="Times New Roman"/>
      <w:b/>
      <w:sz w:val="36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Bullet List Paragraph,Bullet 1,Bullet,Title 1,List Paragraph1,Trust List Numbering"/>
    <w:basedOn w:val="Normal"/>
    <w:link w:val="ListParagraphChar"/>
    <w:uiPriority w:val="34"/>
    <w:qFormat/>
    <w:rsid w:val="007811AA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05411A"/>
    <w:rPr>
      <w:rFonts w:ascii="Times New Roman" w:eastAsia="Times New Roman" w:hAnsi="Times New Roman" w:cs="Times New Roman"/>
      <w:b/>
      <w:sz w:val="36"/>
      <w:szCs w:val="24"/>
      <w:lang w:val="en-GB" w:eastAsia="en-GB"/>
    </w:rPr>
  </w:style>
  <w:style w:type="paragraph" w:styleId="Header">
    <w:name w:val="header"/>
    <w:basedOn w:val="Normal"/>
    <w:link w:val="HeaderChar"/>
    <w:rsid w:val="0005411A"/>
    <w:pPr>
      <w:widowControl w:val="0"/>
      <w:tabs>
        <w:tab w:val="center" w:pos="4153"/>
        <w:tab w:val="right" w:pos="8306"/>
      </w:tabs>
      <w:spacing w:after="120" w:line="240" w:lineRule="auto"/>
      <w:jc w:val="both"/>
    </w:pPr>
    <w:rPr>
      <w:rFonts w:ascii="CG Times 12pt" w:eastAsia="Times New Roman" w:hAnsi="CG Times 12pt" w:cs="Times New Roman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05411A"/>
    <w:rPr>
      <w:rFonts w:ascii="CG Times 12pt" w:eastAsia="Times New Roman" w:hAnsi="CG Times 12pt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05411A"/>
    <w:pPr>
      <w:spacing w:after="120" w:line="240" w:lineRule="auto"/>
      <w:jc w:val="center"/>
    </w:pPr>
    <w:rPr>
      <w:rFonts w:eastAsia="Times New Roman" w:cs="Times New Roman"/>
      <w:b/>
      <w:sz w:val="28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05411A"/>
    <w:rPr>
      <w:rFonts w:ascii="Times New Roman" w:eastAsia="Times New Roman" w:hAnsi="Times New Roman" w:cs="Times New Roman"/>
      <w:b/>
      <w:sz w:val="28"/>
      <w:szCs w:val="24"/>
      <w:lang w:val="en-GB" w:eastAsia="en-GB"/>
    </w:rPr>
  </w:style>
  <w:style w:type="character" w:styleId="Hyperlink">
    <w:name w:val="Hyperlink"/>
    <w:uiPriority w:val="99"/>
    <w:rsid w:val="006F0810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2B91"/>
    <w:rPr>
      <w:rFonts w:ascii="Times New Roman" w:hAnsi="Times New Roman"/>
      <w:b/>
      <w:color w:val="000000" w:themeColor="text1"/>
      <w:sz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F0810"/>
    <w:pPr>
      <w:spacing w:after="120"/>
      <w:outlineLvl w:val="9"/>
    </w:pPr>
    <w:rPr>
      <w:rFonts w:ascii="Calibri Light" w:eastAsia="MS Gothic" w:hAnsi="Calibri Light" w:cs="Times New Roman"/>
      <w:color w:val="2E74B5"/>
    </w:rPr>
  </w:style>
  <w:style w:type="paragraph" w:styleId="TOC3">
    <w:name w:val="toc 3"/>
    <w:basedOn w:val="Normal"/>
    <w:next w:val="Normal"/>
    <w:autoRedefine/>
    <w:uiPriority w:val="39"/>
    <w:rsid w:val="006F0810"/>
    <w:pPr>
      <w:tabs>
        <w:tab w:val="left" w:pos="1080"/>
        <w:tab w:val="right" w:leader="dot" w:pos="9629"/>
      </w:tabs>
      <w:spacing w:line="240" w:lineRule="auto"/>
      <w:ind w:left="400"/>
      <w:jc w:val="both"/>
    </w:pPr>
    <w:rPr>
      <w:rFonts w:eastAsia="Times New Roman" w:cs="Times New Roman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rsid w:val="00A2055A"/>
    <w:pPr>
      <w:tabs>
        <w:tab w:val="left" w:pos="660"/>
        <w:tab w:val="right" w:leader="dot" w:pos="9350"/>
      </w:tabs>
      <w:spacing w:after="0" w:afterAutospacing="0" w:line="240" w:lineRule="auto"/>
      <w:ind w:left="720" w:right="1710" w:hanging="720"/>
      <w:jc w:val="both"/>
    </w:pPr>
    <w:rPr>
      <w:rFonts w:eastAsia="Times New Roman" w:cs="Times New Roman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8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F08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F0810"/>
  </w:style>
  <w:style w:type="table" w:styleId="TableGrid">
    <w:name w:val="Table Grid"/>
    <w:basedOn w:val="TableNormal"/>
    <w:uiPriority w:val="39"/>
    <w:qFormat/>
    <w:rsid w:val="006F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855C3"/>
    <w:rPr>
      <w:rFonts w:ascii="Times New Roman" w:hAnsi="Times New Roman"/>
      <w:b/>
      <w:color w:val="000000" w:themeColor="text1"/>
      <w:sz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6F0810"/>
    <w:rPr>
      <w:rFonts w:asciiTheme="majorHAnsi" w:eastAsiaTheme="majorEastAsia" w:hAnsiTheme="majorHAnsi" w:cstheme="majorBidi"/>
      <w:color w:val="2F5496" w:themeColor="accent1" w:themeShade="BF"/>
      <w:sz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11A66"/>
    <w:pPr>
      <w:ind w:left="220"/>
    </w:pPr>
  </w:style>
  <w:style w:type="paragraph" w:styleId="Footer">
    <w:name w:val="footer"/>
    <w:basedOn w:val="Normal"/>
    <w:link w:val="FooterChar"/>
    <w:uiPriority w:val="99"/>
    <w:unhideWhenUsed/>
    <w:rsid w:val="00394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151"/>
  </w:style>
  <w:style w:type="paragraph" w:customStyle="1" w:styleId="paragraph">
    <w:name w:val="paragraph"/>
    <w:basedOn w:val="Normal"/>
    <w:rsid w:val="000D2F57"/>
    <w:pPr>
      <w:spacing w:before="100" w:beforeAutospacing="1" w:line="240" w:lineRule="auto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0D2F57"/>
  </w:style>
  <w:style w:type="character" w:customStyle="1" w:styleId="eop">
    <w:name w:val="eop"/>
    <w:basedOn w:val="DefaultParagraphFont"/>
    <w:rsid w:val="000D2F57"/>
  </w:style>
  <w:style w:type="character" w:customStyle="1" w:styleId="spellingerror">
    <w:name w:val="spellingerror"/>
    <w:basedOn w:val="DefaultParagraphFont"/>
    <w:rsid w:val="000D2F57"/>
  </w:style>
  <w:style w:type="paragraph" w:styleId="Revision">
    <w:name w:val="Revision"/>
    <w:hidden/>
    <w:uiPriority w:val="99"/>
    <w:semiHidden/>
    <w:rsid w:val="00A2055A"/>
    <w:pPr>
      <w:spacing w:after="0" w:line="240" w:lineRule="auto"/>
    </w:pPr>
    <w:rPr>
      <w:rFonts w:ascii="Times New Roman" w:hAnsi="Times New Roman"/>
      <w:sz w:val="24"/>
      <w:lang w:eastAsia="en-GB"/>
    </w:rPr>
  </w:style>
  <w:style w:type="paragraph" w:customStyle="1" w:styleId="TableHeading-Font10">
    <w:name w:val="Table Heading-Font 10"/>
    <w:next w:val="Normal"/>
    <w:link w:val="TableHeading-Font10Char"/>
    <w:qFormat/>
    <w:rsid w:val="00AC1EE8"/>
    <w:pPr>
      <w:keepNext/>
      <w:keepLines/>
      <w:tabs>
        <w:tab w:val="left" w:pos="1440"/>
      </w:tabs>
      <w:spacing w:before="80" w:after="80" w:line="200" w:lineRule="exact"/>
      <w:jc w:val="center"/>
    </w:pPr>
    <w:rPr>
      <w:rFonts w:ascii="Arial" w:hAnsi="Arial" w:cs="Arial"/>
      <w:b/>
      <w:bCs/>
      <w:kern w:val="32"/>
      <w:sz w:val="20"/>
      <w:szCs w:val="20"/>
    </w:rPr>
  </w:style>
  <w:style w:type="character" w:customStyle="1" w:styleId="TableHeading-Font10Char">
    <w:name w:val="Table Heading-Font 10 Char"/>
    <w:link w:val="TableHeading-Font10"/>
    <w:rsid w:val="00AC1EE8"/>
    <w:rPr>
      <w:rFonts w:ascii="Arial" w:hAnsi="Arial" w:cs="Arial"/>
      <w:b/>
      <w:bCs/>
      <w:kern w:val="32"/>
      <w:sz w:val="20"/>
      <w:szCs w:val="20"/>
    </w:rPr>
  </w:style>
  <w:style w:type="paragraph" w:customStyle="1" w:styleId="TableTextLeft">
    <w:name w:val="Table Text Left"/>
    <w:basedOn w:val="Normal"/>
    <w:link w:val="TableTextLeftChar"/>
    <w:qFormat/>
    <w:rsid w:val="00AC1EE8"/>
    <w:pPr>
      <w:spacing w:before="40" w:after="40" w:afterAutospacing="0" w:line="240" w:lineRule="auto"/>
    </w:pPr>
    <w:rPr>
      <w:rFonts w:ascii="Arial" w:eastAsia="Arial Unicode MS" w:hAnsi="Arial" w:cs="Arial"/>
      <w:iCs/>
      <w:sz w:val="20"/>
      <w:szCs w:val="20"/>
    </w:rPr>
  </w:style>
  <w:style w:type="character" w:customStyle="1" w:styleId="TableTextLeftChar">
    <w:name w:val="Table Text Left Char"/>
    <w:basedOn w:val="DefaultParagraphFont"/>
    <w:link w:val="TableTextLeft"/>
    <w:rsid w:val="00AC1EE8"/>
    <w:rPr>
      <w:rFonts w:ascii="Arial" w:eastAsia="Arial Unicode MS" w:hAnsi="Arial" w:cs="Arial"/>
      <w:iCs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D75D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75D87"/>
    <w:rPr>
      <w:rFonts w:ascii="Times New Roman" w:hAnsi="Times New Roman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F4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223"/>
    <w:pPr>
      <w:widowControl w:val="0"/>
      <w:autoSpaceDE w:val="0"/>
      <w:autoSpaceDN w:val="0"/>
      <w:spacing w:after="0" w:afterAutospacing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223"/>
    <w:rPr>
      <w:rFonts w:ascii="Arial" w:eastAsia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93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A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1B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BT1BodyTextI1">
    <w:name w:val="BT1: Body Text I1"/>
    <w:basedOn w:val="BodyText"/>
    <w:link w:val="BT1BodyTextI1Char"/>
    <w:qFormat/>
    <w:rsid w:val="00476A48"/>
    <w:pPr>
      <w:spacing w:before="240" w:after="0" w:afterAutospacing="0" w:line="240" w:lineRule="auto"/>
      <w:jc w:val="both"/>
    </w:pPr>
    <w:rPr>
      <w:rFonts w:ascii="Arial" w:eastAsia="Calibri" w:hAnsi="Arial" w:cs="Arial"/>
      <w:iCs/>
      <w:sz w:val="22"/>
      <w:lang w:eastAsia="en-US"/>
    </w:rPr>
  </w:style>
  <w:style w:type="character" w:customStyle="1" w:styleId="BT1BodyTextI1Char">
    <w:name w:val="BT1: Body Text I1 Char"/>
    <w:basedOn w:val="DefaultParagraphFont"/>
    <w:link w:val="BT1BodyTextI1"/>
    <w:locked/>
    <w:rsid w:val="00476A48"/>
    <w:rPr>
      <w:rFonts w:ascii="Arial" w:eastAsia="Calibri" w:hAnsi="Arial" w:cs="Arial"/>
      <w:iCs/>
    </w:rPr>
  </w:style>
  <w:style w:type="character" w:customStyle="1" w:styleId="ListParagraphChar">
    <w:name w:val="List Paragraph Char"/>
    <w:aliases w:val="Bullet List Char,Bullet List Paragraph Char,Bullet 1 Char,Bullet Char,Title 1 Char,List Paragraph1 Char,Trust List Numbering Char"/>
    <w:link w:val="ListParagraph"/>
    <w:uiPriority w:val="34"/>
    <w:locked/>
    <w:rsid w:val="00EA2539"/>
    <w:rPr>
      <w:rFonts w:ascii="Times New Roman" w:hAnsi="Times New Roman"/>
      <w:sz w:val="24"/>
      <w:lang w:eastAsia="en-GB"/>
    </w:rPr>
  </w:style>
  <w:style w:type="paragraph" w:styleId="Caption">
    <w:name w:val="caption"/>
    <w:aliases w:val="Footnote,Times Roman 10 bold,Char2,Char Char Char Char,Top Caption,1 Tbl Titles,Table Caption,Figure Caption,cerCAPTION,Pg1Title,Char Char Char + Arial,Left,Before:  6 pt,Caption Char1 Char,Fig Tittle,Caption Table, Char Char Char Char,Caption_m"/>
    <w:next w:val="Normal"/>
    <w:link w:val="CaptionChar"/>
    <w:qFormat/>
    <w:rsid w:val="00ED6077"/>
    <w:pPr>
      <w:keepNext/>
      <w:spacing w:before="240" w:after="240" w:line="240" w:lineRule="auto"/>
      <w:ind w:left="1411" w:hanging="1411"/>
    </w:pPr>
    <w:rPr>
      <w:rFonts w:ascii="Arial" w:eastAsia="Times New Roman" w:hAnsi="Arial" w:cs="Arial"/>
      <w:b/>
      <w:bCs/>
      <w:lang w:val="en-AU"/>
    </w:rPr>
  </w:style>
  <w:style w:type="character" w:customStyle="1" w:styleId="CaptionChar">
    <w:name w:val="Caption Char"/>
    <w:aliases w:val="Footnote Char,Times Roman 10 bold Char,Char2 Char,Char Char Char Char Char,Top Caption Char,1 Tbl Titles Char,Table Caption Char,Figure Caption Char,cerCAPTION Char,Pg1Title Char,Char Char Char + Arial Char,Left Char,Before:  6 pt Char"/>
    <w:link w:val="Caption"/>
    <w:qFormat/>
    <w:rsid w:val="00ED6077"/>
    <w:rPr>
      <w:rFonts w:ascii="Arial" w:eastAsia="Times New Roman" w:hAnsi="Arial" w:cs="Arial"/>
      <w:b/>
      <w:bCs/>
      <w:lang w:val="en-AU"/>
    </w:rPr>
  </w:style>
  <w:style w:type="paragraph" w:customStyle="1" w:styleId="Tablefootnotetext">
    <w:name w:val="Table footnote text"/>
    <w:basedOn w:val="Normal"/>
    <w:qFormat/>
    <w:locked/>
    <w:rsid w:val="00ED6077"/>
    <w:pPr>
      <w:spacing w:before="40" w:after="0" w:afterAutospacing="0" w:line="240" w:lineRule="auto"/>
      <w:jc w:val="both"/>
    </w:pPr>
    <w:rPr>
      <w:rFonts w:ascii="Arial" w:eastAsia="Times New Roman" w:hAnsi="Arial" w:cs="Times New Roman"/>
      <w:sz w:val="18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11D92"/>
    <w:pPr>
      <w:spacing w:before="100" w:beforeAutospacing="1" w:line="240" w:lineRule="auto"/>
    </w:pPr>
    <w:rPr>
      <w:rFonts w:eastAsia="Times New Roman" w:cs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E11D92"/>
    <w:rPr>
      <w:b/>
      <w:bCs/>
    </w:rPr>
  </w:style>
  <w:style w:type="paragraph" w:customStyle="1" w:styleId="pf0">
    <w:name w:val="pf0"/>
    <w:basedOn w:val="Normal"/>
    <w:rsid w:val="003B70D7"/>
    <w:pPr>
      <w:spacing w:before="100" w:beforeAutospacing="1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55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4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580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1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2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3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77074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0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5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2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8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3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1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2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sigroup.com" TargetMode="External"/><Relationship Id="rId18" Type="http://schemas.openxmlformats.org/officeDocument/2006/relationships/hyperlink" Target="https://www.astm.org/Standards/F2096.htm" TargetMode="External"/><Relationship Id="rId26" Type="http://schemas.openxmlformats.org/officeDocument/2006/relationships/hyperlink" Target="https://www.astm.org/Standards/F88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stm.org/Standards/F1929.htm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mergoVigilance@ul.com" TargetMode="External"/><Relationship Id="rId17" Type="http://schemas.openxmlformats.org/officeDocument/2006/relationships/hyperlink" Target="https://www.astm.org/Standards/F2096.htm" TargetMode="External"/><Relationship Id="rId25" Type="http://schemas.openxmlformats.org/officeDocument/2006/relationships/hyperlink" Target="https://www.astm.org/Standards/F88.htm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stm.org/Standards/F2096.htm" TargetMode="External"/><Relationship Id="rId20" Type="http://schemas.openxmlformats.org/officeDocument/2006/relationships/hyperlink" Target="https://www.astm.org/Standards/F1929.htm" TargetMode="External"/><Relationship Id="rId29" Type="http://schemas.openxmlformats.org/officeDocument/2006/relationships/hyperlink" Target="https://www.astm.org/Standards/F1980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Compliance@argonmedical.com" TargetMode="External"/><Relationship Id="rId24" Type="http://schemas.openxmlformats.org/officeDocument/2006/relationships/hyperlink" Target="https://www.astm.org/Standards/F88.htm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astm.org/Standards/D4169.htm" TargetMode="External"/><Relationship Id="rId23" Type="http://schemas.openxmlformats.org/officeDocument/2006/relationships/hyperlink" Target="https://www.astm.org/Standards/F1929.htm" TargetMode="External"/><Relationship Id="rId28" Type="http://schemas.openxmlformats.org/officeDocument/2006/relationships/hyperlink" Target="https://www.astm.org/Standards/F1980.ht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astm.org/Standards/F2096.htm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stm.org/Standards/D4169.htm" TargetMode="External"/><Relationship Id="rId22" Type="http://schemas.openxmlformats.org/officeDocument/2006/relationships/hyperlink" Target="https://www.astm.org/Standards/F1929.htm" TargetMode="External"/><Relationship Id="rId27" Type="http://schemas.openxmlformats.org/officeDocument/2006/relationships/hyperlink" Target="https://www.astm.org/Standards/F1980.htm" TargetMode="External"/><Relationship Id="rId30" Type="http://schemas.openxmlformats.org/officeDocument/2006/relationships/hyperlink" Target="https://www.astm.org/Standards/F1980.htm" TargetMode="Externa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5168FB229E64BB02D823972441852" ma:contentTypeVersion="8" ma:contentTypeDescription="Create a new document." ma:contentTypeScope="" ma:versionID="930cde1784db80892a686ca36e180a82">
  <xsd:schema xmlns:xsd="http://www.w3.org/2001/XMLSchema" xmlns:xs="http://www.w3.org/2001/XMLSchema" xmlns:p="http://schemas.microsoft.com/office/2006/metadata/properties" xmlns:ns1="http://schemas.microsoft.com/sharepoint/v3" xmlns:ns2="98998320-5229-49fa-b545-1146fcc196c3" xmlns:ns3="7df48557-8e40-41cc-b42f-0234d1441c26" xmlns:ns4="533d7803-0b09-441b-8841-a7d5d61164fa" targetNamespace="http://schemas.microsoft.com/office/2006/metadata/properties" ma:root="true" ma:fieldsID="a2decff7a4d88684e1e04d71338e4e58" ns1:_="" ns2:_="" ns3:_="" ns4:_="">
    <xsd:import namespace="http://schemas.microsoft.com/sharepoint/v3"/>
    <xsd:import namespace="98998320-5229-49fa-b545-1146fcc196c3"/>
    <xsd:import namespace="7df48557-8e40-41cc-b42f-0234d1441c26"/>
    <xsd:import namespace="533d7803-0b09-441b-8841-a7d5d61164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8320-5229-49fa-b545-1146fcc196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48557-8e40-41cc-b42f-0234d1441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d7803-0b09-441b-8841-a7d5d6116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998320-5229-49fa-b545-1146fcc196c3">X6KQWXAJUN6C-1856867172-302</_dlc_DocId>
    <_dlc_DocIdUrl xmlns="98998320-5229-49fa-b545-1146fcc196c3">
      <Url>https://argonmedical.sharepoint.com/Quality/PME/_layouts/15/DocIdRedir.aspx?ID=X6KQWXAJUN6C-1856867172-302</Url>
      <Description>X6KQWXAJUN6C-1856867172-302</Description>
    </_dlc_DocIdUrl>
    <SharedWithUsers xmlns="533d7803-0b09-441b-8841-a7d5d61164fa">
      <UserInfo>
        <DisplayName>Nneoma Oparah</DisplayName>
        <AccountId>317</AccountId>
        <AccountType/>
      </UserInfo>
      <UserInfo>
        <DisplayName>Gedaa Hassan</DisplayName>
        <AccountId>752</AccountId>
        <AccountType/>
      </UserInfo>
      <UserInfo>
        <DisplayName>Nadira Lotus</DisplayName>
        <AccountId>672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36AD9-7C49-4C9F-8758-EEFFA6AB49F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1F52C6-68E5-4D12-B750-4728A8952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998320-5229-49fa-b545-1146fcc196c3"/>
    <ds:schemaRef ds:uri="7df48557-8e40-41cc-b42f-0234d1441c26"/>
    <ds:schemaRef ds:uri="533d7803-0b09-441b-8841-a7d5d6116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D0B19-D938-4802-9383-28F654A630FD}">
  <ds:schemaRefs>
    <ds:schemaRef ds:uri="http://schemas.microsoft.com/office/2006/metadata/properties"/>
    <ds:schemaRef ds:uri="http://schemas.microsoft.com/office/infopath/2007/PartnerControls"/>
    <ds:schemaRef ds:uri="98998320-5229-49fa-b545-1146fcc196c3"/>
    <ds:schemaRef ds:uri="533d7803-0b09-441b-8841-a7d5d61164f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47BDF46-C2A2-49C5-B0CE-B782C57F7E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4918</Words>
  <Characters>28036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Gedaa Hassan</dc:creator>
  <cp:keywords/>
  <dc:description/>
  <cp:lastModifiedBy>Pablo Lopez</cp:lastModifiedBy>
  <cp:revision>6</cp:revision>
  <cp:lastPrinted>2026-02-23T12:17:00Z</cp:lastPrinted>
  <dcterms:created xsi:type="dcterms:W3CDTF">2026-02-23T12:17:00Z</dcterms:created>
  <dcterms:modified xsi:type="dcterms:W3CDTF">2026-02-25T21:37:00Z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0x010100A845168FB229E64BB02D823972441852</vt:lpwstr>
  </property>
  <property fmtid="{D5CDD505-2E9C-101B-9397-08002B2CF9AE}" pid="3" name="_dlc_DocIdItemGuid">
    <vt:lpwstr>449f7a72-25d5-43c5-bfd7-104e0d46ffec</vt:lpwstr>
  </property>
</Properties>
</file>