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lv"/>
        </w:rPr>
        <mc:AlternateContent>
          <mc:Choice Requires="wps">
            <w:drawing>
              <wp:anchor distT="0" distB="0" distL="114300" distR="114300" simplePos="0" relativeHeight="251659264" behindDoc="0" locked="0" layoutInCell="1" allowOverlap="1" wp14:anchorId="6FC0C8B7" wp14:editId="0FC2C9BC">
                <wp:simplePos x="0" y="0"/>
                <wp:positionH relativeFrom="column">
                  <wp:posOffset>-191262</wp:posOffset>
                </wp:positionH>
                <wp:positionV relativeFrom="paragraph">
                  <wp:posOffset>68961</wp:posOffset>
                </wp:positionV>
                <wp:extent cx="6448425" cy="1279398"/>
                <wp:effectExtent l="25400" t="25400" r="41275" b="419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79398"/>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lv"/>
                              </w:rPr>
                              <w:t>DROŠUMA UN KLĪNISKĀS VEIKTSPĒJAS KOPSAVILKUMS (SSCP)</w:t>
                            </w:r>
                          </w:p>
                          <w:p w14:paraId="0E1996B2" w14:textId="77777777" w:rsidR="005D4A52" w:rsidRDefault="005D4A52" w:rsidP="006D00F2">
                            <w:pPr>
                              <w:pStyle w:val="Heading7"/>
                              <w:spacing w:after="0" w:afterAutospacing="0"/>
                              <w:rPr>
                                <w:sz w:val="32"/>
                                <w:szCs w:val="32"/>
                              </w:rPr>
                            </w:pPr>
                            <w:r>
                              <w:rPr>
                                <w:bCs/>
                                <w:sz w:val="32"/>
                                <w:szCs w:val="32"/>
                                <w:lang w:val="lv"/>
                              </w:rPr>
                              <w:t>SSCP-0006</w:t>
                            </w:r>
                          </w:p>
                          <w:p w14:paraId="06B6F153" w14:textId="0225693A" w:rsidR="005D4A52" w:rsidRDefault="00F1569C" w:rsidP="006D00F2">
                            <w:pPr>
                              <w:pStyle w:val="Heading7"/>
                              <w:spacing w:after="0" w:afterAutospacing="0"/>
                              <w:rPr>
                                <w:sz w:val="32"/>
                                <w:szCs w:val="32"/>
                              </w:rPr>
                            </w:pPr>
                            <w:r>
                              <w:rPr>
                                <w:bCs/>
                                <w:sz w:val="32"/>
                                <w:szCs w:val="32"/>
                                <w:lang w:val="lv"/>
                              </w:rPr>
                              <w:t>Atrieve</w:t>
                            </w:r>
                            <w:r>
                              <w:rPr>
                                <w:bCs/>
                                <w:sz w:val="32"/>
                                <w:szCs w:val="32"/>
                                <w:vertAlign w:val="superscript"/>
                                <w:lang w:val="lv"/>
                              </w:rPr>
                              <w:t>TM</w:t>
                            </w:r>
                            <w:r>
                              <w:rPr>
                                <w:bCs/>
                                <w:sz w:val="32"/>
                                <w:szCs w:val="32"/>
                                <w:lang w:val="lv"/>
                              </w:rPr>
                              <w:t xml:space="preserve"> vaskulārā </w:t>
                            </w:r>
                            <w:r w:rsidR="00921549">
                              <w:rPr>
                                <w:bCs/>
                                <w:sz w:val="32"/>
                                <w:szCs w:val="32"/>
                                <w:lang w:val="lv"/>
                              </w:rPr>
                              <w:t>Snare</w:t>
                            </w:r>
                            <w:r>
                              <w:rPr>
                                <w:bCs/>
                                <w:sz w:val="32"/>
                                <w:szCs w:val="32"/>
                                <w:lang w:val="lv"/>
                              </w:rPr>
                              <w:t xml:space="preserve"> komplekts</w:t>
                            </w:r>
                          </w:p>
                          <w:p w14:paraId="3354BBA5" w14:textId="08AF297F" w:rsidR="005D4A52" w:rsidRPr="005B469C" w:rsidRDefault="005D4A52" w:rsidP="006D00F2">
                            <w:pPr>
                              <w:spacing w:after="0" w:afterAutospacing="0"/>
                              <w:jc w:val="center"/>
                              <w:rPr>
                                <w:b/>
                                <w:bCs/>
                                <w:sz w:val="32"/>
                                <w:szCs w:val="32"/>
                              </w:rPr>
                            </w:pPr>
                            <w:r>
                              <w:rPr>
                                <w:b/>
                                <w:bCs/>
                                <w:sz w:val="32"/>
                                <w:szCs w:val="32"/>
                                <w:lang w:val="lv"/>
                              </w:rPr>
                              <w:t>DHF-82248</w:t>
                            </w:r>
                          </w:p>
                          <w:p w14:paraId="3CF39942" w14:textId="77777777" w:rsidR="0005411A" w:rsidRPr="00267292" w:rsidRDefault="0005411A" w:rsidP="009855C3"/>
                          <w:p w14:paraId="684B57C2" w14:textId="77777777" w:rsidR="0005411A" w:rsidRPr="00267292" w:rsidRDefault="0005411A" w:rsidP="009855C3">
                            <w:r>
                              <w:rPr>
                                <w:lang w:val="lv"/>
                              </w:rPr>
                              <w:t>[DATUMS]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05pt;margin-top:5.45pt;width:507.75pt;height:1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&#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lv"/>
                        </w:rPr>
                        <w:t>DROŠUMA UN KLĪNISKĀS VEIKTSPĒJAS KOPSAVILKUMS (SSCP)</w:t>
                      </w:r>
                    </w:p>
                    <w:p w14:paraId="0E1996B2" w14:textId="77777777" w:rsidR="005D4A52" w:rsidRDefault="005D4A52" w:rsidP="006D00F2">
                      <w:pPr>
                        <w:pStyle w:val="Heading7"/>
                        <w:spacing w:after="0" w:afterAutospacing="0"/>
                        <w:rPr>
                          <w:sz w:val="32"/>
                          <w:szCs w:val="32"/>
                        </w:rPr>
                      </w:pPr>
                      <w:r>
                        <w:rPr>
                          <w:bCs/>
                          <w:sz w:val="32"/>
                          <w:szCs w:val="32"/>
                          <w:lang w:val="lv"/>
                        </w:rPr>
                        <w:t>SSCP-0006</w:t>
                      </w:r>
                    </w:p>
                    <w:p w14:paraId="06B6F153" w14:textId="0225693A" w:rsidR="005D4A52" w:rsidRDefault="00F1569C" w:rsidP="006D00F2">
                      <w:pPr>
                        <w:pStyle w:val="Heading7"/>
                        <w:spacing w:after="0" w:afterAutospacing="0"/>
                        <w:rPr>
                          <w:sz w:val="32"/>
                          <w:szCs w:val="32"/>
                        </w:rPr>
                      </w:pPr>
                      <w:r>
                        <w:rPr>
                          <w:bCs/>
                          <w:sz w:val="32"/>
                          <w:szCs w:val="32"/>
                          <w:lang w:val="lv"/>
                        </w:rPr>
                        <w:t>Atrieve</w:t>
                      </w:r>
                      <w:r>
                        <w:rPr>
                          <w:bCs/>
                          <w:sz w:val="32"/>
                          <w:szCs w:val="32"/>
                          <w:vertAlign w:val="superscript"/>
                          <w:lang w:val="lv"/>
                        </w:rPr>
                        <w:t>TM</w:t>
                      </w:r>
                      <w:r>
                        <w:rPr>
                          <w:bCs/>
                          <w:sz w:val="32"/>
                          <w:szCs w:val="32"/>
                          <w:lang w:val="lv"/>
                        </w:rPr>
                        <w:t xml:space="preserve"> vaskulārā </w:t>
                      </w:r>
                      <w:r w:rsidR="00921549">
                        <w:rPr>
                          <w:bCs/>
                          <w:sz w:val="32"/>
                          <w:szCs w:val="32"/>
                          <w:lang w:val="lv"/>
                        </w:rPr>
                        <w:t>Snare</w:t>
                      </w:r>
                      <w:r>
                        <w:rPr>
                          <w:bCs/>
                          <w:sz w:val="32"/>
                          <w:szCs w:val="32"/>
                          <w:lang w:val="lv"/>
                        </w:rPr>
                        <w:t xml:space="preserve"> komplekts</w:t>
                      </w:r>
                    </w:p>
                    <w:p w14:paraId="3354BBA5" w14:textId="08AF297F" w:rsidR="005D4A52" w:rsidRPr="005B469C" w:rsidRDefault="005D4A52" w:rsidP="006D00F2">
                      <w:pPr>
                        <w:spacing w:after="0" w:afterAutospacing="0"/>
                        <w:jc w:val="center"/>
                        <w:rPr>
                          <w:b/>
                          <w:bCs/>
                          <w:sz w:val="32"/>
                          <w:szCs w:val="32"/>
                        </w:rPr>
                      </w:pPr>
                      <w:r>
                        <w:rPr>
                          <w:b/>
                          <w:bCs/>
                          <w:sz w:val="32"/>
                          <w:szCs w:val="32"/>
                          <w:lang w:val="lv"/>
                        </w:rPr>
                        <w:t>DHF-82248</w:t>
                      </w:r>
                    </w:p>
                    <w:p w14:paraId="3CF39942" w14:textId="77777777" w:rsidR="0005411A" w:rsidRPr="00267292" w:rsidRDefault="0005411A" w:rsidP="009855C3"/>
                    <w:p w14:paraId="684B57C2" w14:textId="77777777" w:rsidR="0005411A" w:rsidRPr="00267292" w:rsidRDefault="0005411A" w:rsidP="009855C3">
                      <w:r>
                        <w:rPr>
                          <w:lang w:val="lv"/>
                        </w:rPr>
                        <w:t>[DATUMS]</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lv"/>
        </w:rPr>
        <w:t>Publicēšanai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50"/>
        <w:gridCol w:w="1303"/>
        <w:gridCol w:w="7296"/>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lv"/>
              </w:rPr>
              <w:t>LOMA</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lv"/>
              </w:rPr>
              <w:t>NODAĻA</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lv"/>
              </w:rPr>
              <w:t>VĀRDS, UZVĀRDS/AMATS</w:t>
            </w:r>
          </w:p>
        </w:tc>
      </w:tr>
      <w:tr w:rsidR="006E0847" w:rsidRPr="009461CC"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lv"/>
              </w:rPr>
              <w:t>Sagatavoja</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lv"/>
              </w:rPr>
              <w:t>Regulatīvo lietu nodaļa</w:t>
            </w:r>
          </w:p>
        </w:tc>
        <w:tc>
          <w:tcPr>
            <w:tcW w:w="7519" w:type="dxa"/>
            <w:tcBorders>
              <w:top w:val="double" w:sz="4" w:space="0" w:color="auto"/>
            </w:tcBorders>
          </w:tcPr>
          <w:p w14:paraId="360D10DB" w14:textId="77777777" w:rsidR="006E0847" w:rsidRPr="009461CC" w:rsidRDefault="006E0847" w:rsidP="006E0847">
            <w:pPr>
              <w:spacing w:after="0" w:afterAutospacing="0"/>
              <w:jc w:val="center"/>
              <w:rPr>
                <w:rFonts w:cs="Times New Roman"/>
                <w:szCs w:val="24"/>
              </w:rPr>
            </w:pPr>
            <w:r>
              <w:rPr>
                <w:rFonts w:cs="Times New Roman"/>
                <w:szCs w:val="24"/>
                <w:lang w:val="lv"/>
              </w:rPr>
              <w:t xml:space="preserve">Nadira Lotusa </w:t>
            </w:r>
            <w:r>
              <w:rPr>
                <w:rFonts w:cs="Times New Roman"/>
                <w:i/>
                <w:iCs/>
                <w:szCs w:val="24"/>
                <w:lang w:val="lv"/>
              </w:rPr>
              <w:t>(Nadira Lotus)</w:t>
            </w:r>
          </w:p>
          <w:p w14:paraId="7BA00BEF" w14:textId="2E4C5FAD" w:rsidR="006E0847" w:rsidRPr="009461CC" w:rsidRDefault="006E0847" w:rsidP="006E0847">
            <w:pPr>
              <w:jc w:val="center"/>
              <w:rPr>
                <w:rFonts w:cs="Times New Roman"/>
                <w:szCs w:val="24"/>
              </w:rPr>
            </w:pPr>
            <w:r>
              <w:rPr>
                <w:rFonts w:cs="Times New Roman"/>
                <w:szCs w:val="24"/>
                <w:lang w:val="lv"/>
              </w:rPr>
              <w:t>Vadītāja, uzraudzība pēc laišanas tirgū</w:t>
            </w:r>
          </w:p>
        </w:tc>
      </w:tr>
    </w:tbl>
    <w:p w14:paraId="45EA3393" w14:textId="77777777" w:rsidR="00E91403" w:rsidRPr="009461CC" w:rsidRDefault="00E91403" w:rsidP="00E91403">
      <w:pPr>
        <w:jc w:val="center"/>
        <w:rPr>
          <w:rFonts w:cs="Times New Roman"/>
          <w:b/>
        </w:rPr>
      </w:pPr>
    </w:p>
    <w:p w14:paraId="3ADE6C89" w14:textId="0496458B" w:rsidR="00E91403" w:rsidRPr="0059145F" w:rsidRDefault="00E91403" w:rsidP="00E91403">
      <w:pPr>
        <w:tabs>
          <w:tab w:val="center" w:pos="5220"/>
          <w:tab w:val="right" w:pos="10440"/>
        </w:tabs>
        <w:rPr>
          <w:rFonts w:cs="Times New Roman"/>
          <w:b/>
          <w:lang w:val="lv"/>
        </w:rPr>
      </w:pPr>
      <w:r>
        <w:rPr>
          <w:rFonts w:cs="Times New Roman"/>
          <w:lang w:val="lv"/>
        </w:rPr>
        <w:tab/>
      </w:r>
      <w:r>
        <w:rPr>
          <w:rFonts w:cs="Times New Roman"/>
          <w:b/>
          <w:bCs/>
          <w:lang w:val="lv"/>
        </w:rPr>
        <w:t>Paraksta apstiprināšanas matrica</w:t>
      </w:r>
      <w:r>
        <w:rPr>
          <w:rFonts w:cs="Times New Roman"/>
          <w:lang w:val="lv"/>
        </w:rPr>
        <w:tab/>
      </w:r>
    </w:p>
    <w:p w14:paraId="01F684E3" w14:textId="77777777" w:rsidR="00E91403" w:rsidRPr="0059145F" w:rsidRDefault="00E91403" w:rsidP="00E91403">
      <w:pPr>
        <w:spacing w:after="60"/>
        <w:ind w:right="274"/>
        <w:rPr>
          <w:rFonts w:cs="Times New Roman"/>
          <w:sz w:val="20"/>
          <w:szCs w:val="20"/>
          <w:lang w:val="lv"/>
        </w:rPr>
      </w:pPr>
      <w:r>
        <w:rPr>
          <w:rFonts w:cs="Times New Roman"/>
          <w:sz w:val="20"/>
          <w:szCs w:val="20"/>
          <w:lang w:val="lv"/>
        </w:rPr>
        <w:t>Šis dokuments ir jāpārskata un jāapstiprina visām turpmāk uzskaitītajām personām vai to pilnvarotajiem pārstāvjiem.</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790"/>
        <w:gridCol w:w="1301"/>
        <w:gridCol w:w="6858"/>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lv"/>
              </w:rPr>
              <w:t>LOMA</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lv"/>
              </w:rPr>
              <w:t>NODAĻA</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lv"/>
              </w:rPr>
              <w:t>VĀRDS, UZVĀRDS/AMATS</w:t>
            </w:r>
          </w:p>
        </w:tc>
      </w:tr>
      <w:tr w:rsidR="00386F47" w:rsidRPr="009461CC"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lv"/>
              </w:rPr>
              <w:t>Apstiprināšana</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lv"/>
              </w:rPr>
              <w:t>Klīnisko lietu nodaļa</w:t>
            </w:r>
          </w:p>
        </w:tc>
        <w:tc>
          <w:tcPr>
            <w:tcW w:w="7519" w:type="dxa"/>
            <w:vAlign w:val="center"/>
          </w:tcPr>
          <w:p w14:paraId="613876EC" w14:textId="77777777" w:rsidR="00386F47" w:rsidRPr="009461CC" w:rsidRDefault="00386F47" w:rsidP="00386F47">
            <w:pPr>
              <w:spacing w:after="0" w:afterAutospacing="0"/>
              <w:jc w:val="center"/>
              <w:rPr>
                <w:rFonts w:cs="Times New Roman"/>
                <w:szCs w:val="24"/>
              </w:rPr>
            </w:pPr>
            <w:r>
              <w:rPr>
                <w:rFonts w:cs="Times New Roman"/>
                <w:szCs w:val="24"/>
                <w:lang w:val="lv"/>
              </w:rPr>
              <w:t xml:space="preserve">Daniels Kārs </w:t>
            </w:r>
            <w:r>
              <w:rPr>
                <w:rFonts w:cs="Times New Roman"/>
                <w:i/>
                <w:iCs/>
                <w:szCs w:val="24"/>
                <w:lang w:val="lv"/>
              </w:rPr>
              <w:t>(Danyel Carr)</w:t>
            </w:r>
          </w:p>
          <w:p w14:paraId="172E4813" w14:textId="2E4F9175" w:rsidR="00386F47" w:rsidRPr="009461CC" w:rsidRDefault="00E03D31" w:rsidP="00386F47">
            <w:pPr>
              <w:jc w:val="center"/>
              <w:rPr>
                <w:rFonts w:cs="Times New Roman"/>
                <w:szCs w:val="24"/>
              </w:rPr>
            </w:pPr>
            <w:r>
              <w:rPr>
                <w:rFonts w:cs="Times New Roman"/>
                <w:szCs w:val="24"/>
                <w:lang w:val="lv"/>
              </w:rPr>
              <w:t>Klīnisko lietu nodaļas vecākais direktors</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lv"/>
              </w:rPr>
              <w:t>Apstiprināšana</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lv"/>
              </w:rPr>
              <w:t xml:space="preserve">Kvalitātes nodaļa </w:t>
            </w:r>
          </w:p>
        </w:tc>
        <w:tc>
          <w:tcPr>
            <w:tcW w:w="7519" w:type="dxa"/>
            <w:vAlign w:val="center"/>
          </w:tcPr>
          <w:p w14:paraId="3D954801" w14:textId="77777777" w:rsidR="00F07DD1" w:rsidRDefault="00F07DD1" w:rsidP="004065D7">
            <w:pPr>
              <w:spacing w:after="0" w:afterAutospacing="0"/>
              <w:jc w:val="center"/>
              <w:rPr>
                <w:rFonts w:cs="Times New Roman"/>
                <w:szCs w:val="24"/>
              </w:rPr>
            </w:pPr>
            <w:r>
              <w:rPr>
                <w:rFonts w:cs="Times New Roman"/>
                <w:szCs w:val="24"/>
                <w:lang w:val="lv"/>
              </w:rPr>
              <w:t xml:space="preserve">Džeimss Stīvenss </w:t>
            </w:r>
            <w:r>
              <w:rPr>
                <w:rFonts w:cs="Times New Roman"/>
                <w:i/>
                <w:iCs/>
                <w:szCs w:val="24"/>
                <w:lang w:val="lv"/>
              </w:rPr>
              <w:t>(James Stephens)</w:t>
            </w:r>
            <w:r>
              <w:rPr>
                <w:rFonts w:cs="Times New Roman"/>
                <w:szCs w:val="24"/>
                <w:lang w:val="lv"/>
              </w:rPr>
              <w:t xml:space="preserve"> </w:t>
            </w:r>
          </w:p>
          <w:p w14:paraId="1EA24645" w14:textId="5BC698A1" w:rsidR="00386F47" w:rsidRPr="009461CC" w:rsidRDefault="00547353" w:rsidP="004065D7">
            <w:pPr>
              <w:spacing w:after="0" w:afterAutospacing="0"/>
              <w:jc w:val="center"/>
              <w:rPr>
                <w:rFonts w:cs="Times New Roman"/>
                <w:szCs w:val="24"/>
              </w:rPr>
            </w:pPr>
            <w:r>
              <w:rPr>
                <w:rFonts w:cs="Times New Roman"/>
                <w:szCs w:val="24"/>
                <w:lang w:val="lv"/>
              </w:rPr>
              <w:t>Kvalitātes darbību nodaļas vecākais direktors</w:t>
            </w:r>
          </w:p>
        </w:tc>
      </w:tr>
      <w:tr w:rsidR="00386F47" w:rsidRPr="009461CC"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lv"/>
              </w:rPr>
              <w:t>Apstiprināšana</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lv"/>
              </w:rPr>
              <w:t xml:space="preserve">Regulatīvo lietu nodaļa </w:t>
            </w:r>
          </w:p>
        </w:tc>
        <w:tc>
          <w:tcPr>
            <w:tcW w:w="7519"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lv"/>
              </w:rPr>
              <w:t xml:space="preserve">Skots Bišops </w:t>
            </w:r>
            <w:r>
              <w:rPr>
                <w:rFonts w:eastAsia="Times New Roman" w:cs="Times New Roman"/>
                <w:i/>
                <w:iCs/>
                <w:color w:val="000000" w:themeColor="text1"/>
                <w:szCs w:val="24"/>
                <w:lang w:val="lv"/>
              </w:rPr>
              <w:t>(Scott Bishops)</w:t>
            </w:r>
          </w:p>
          <w:p w14:paraId="39BF7685" w14:textId="4DD9DE97" w:rsidR="00386F47" w:rsidRPr="009461CC" w:rsidRDefault="00E950A1" w:rsidP="00386F47">
            <w:pPr>
              <w:jc w:val="center"/>
              <w:rPr>
                <w:rFonts w:cs="Times New Roman"/>
                <w:szCs w:val="24"/>
              </w:rPr>
            </w:pPr>
            <w:r>
              <w:rPr>
                <w:rFonts w:eastAsia="Times New Roman" w:cs="Times New Roman"/>
                <w:color w:val="000000" w:themeColor="text1"/>
                <w:szCs w:val="24"/>
                <w:lang w:val="lv"/>
              </w:rPr>
              <w:t>Globālo regulatīvo lietu un kvalitātes nodrošināšanas viceprezidents</w:t>
            </w:r>
          </w:p>
        </w:tc>
      </w:tr>
    </w:tbl>
    <w:p w14:paraId="51DA0A01" w14:textId="5402C604" w:rsidR="00E91403" w:rsidRPr="009461CC" w:rsidRDefault="00E91403" w:rsidP="00E91403">
      <w:pPr>
        <w:jc w:val="center"/>
        <w:rPr>
          <w:rFonts w:cs="Times New Roman"/>
          <w:b/>
        </w:rPr>
      </w:pPr>
      <w:r>
        <w:rPr>
          <w:rFonts w:cs="Times New Roman"/>
          <w:b/>
          <w:bCs/>
          <w:lang w:val="lv"/>
        </w:rPr>
        <w:t>Pārskatīto izdevumu vēsture</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44"/>
        <w:gridCol w:w="1356"/>
        <w:gridCol w:w="1131"/>
        <w:gridCol w:w="4086"/>
        <w:gridCol w:w="1770"/>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lv"/>
              </w:rPr>
              <w:t>Pārskatītais izdevums</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lv"/>
              </w:rPr>
              <w:t>Datums</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lv"/>
              </w:rPr>
              <w:t>Sadaļas</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lv"/>
              </w:rPr>
              <w:t>Pārskatītā izdevuma apraksts</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lv"/>
              </w:rPr>
              <w:t>Izmaiņu pieprasījuma Nr.</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lv"/>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lv"/>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lv"/>
              </w:rPr>
              <w:t>Visas</w:t>
            </w:r>
          </w:p>
        </w:tc>
        <w:tc>
          <w:tcPr>
            <w:tcW w:w="4496" w:type="dxa"/>
            <w:tcBorders>
              <w:top w:val="double" w:sz="4" w:space="0" w:color="auto"/>
              <w:bottom w:val="single" w:sz="4" w:space="0" w:color="auto"/>
            </w:tcBorders>
          </w:tcPr>
          <w:p w14:paraId="3973A2E3" w14:textId="3D8B33BA" w:rsidR="00740900" w:rsidRPr="009461CC" w:rsidRDefault="00740900" w:rsidP="00740900">
            <w:pPr>
              <w:rPr>
                <w:rFonts w:cs="Times New Roman"/>
                <w:szCs w:val="24"/>
              </w:rPr>
            </w:pPr>
            <w:r>
              <w:rPr>
                <w:rFonts w:cs="Times New Roman"/>
                <w:szCs w:val="24"/>
                <w:lang w:val="lv"/>
              </w:rPr>
              <w:t>Sākotnējais ziņojums tikai iekšējai lietošanai</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lv"/>
              </w:rPr>
              <w:t>N/P</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lv"/>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lv"/>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lv"/>
              </w:rPr>
              <w:t>Visas</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lv"/>
              </w:rPr>
              <w:t>ES MDR iesniegšana</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lv"/>
              </w:rPr>
              <w:t>07919</w:t>
            </w:r>
          </w:p>
        </w:tc>
      </w:tr>
    </w:tbl>
    <w:p w14:paraId="5C951A98" w14:textId="6A651DC3" w:rsidR="0005411A" w:rsidRPr="009461CC" w:rsidRDefault="00E91403" w:rsidP="00E91403">
      <w:pPr>
        <w:jc w:val="center"/>
        <w:rPr>
          <w:rFonts w:cs="Times New Roman"/>
        </w:rPr>
      </w:pPr>
      <w:r>
        <w:rPr>
          <w:rFonts w:cs="Times New Roman"/>
          <w:i/>
          <w:iCs/>
          <w:lang w:val="lv"/>
        </w:rPr>
        <w:t>Piezīme: apstiprinājumi tiks tverti, izmantojot saistīto izmaiņu pieprasījumu.</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lv"/>
        </w:rPr>
        <w:br w:type="page"/>
      </w:r>
      <w:r>
        <w:rPr>
          <w:rFonts w:cs="Times New Roman"/>
          <w:lang w:val="lv"/>
        </w:rPr>
        <w:lastRenderedPageBreak/>
        <w:t>Satura rādītājs</w:t>
      </w:r>
    </w:p>
    <w:p w14:paraId="193E11D0" w14:textId="08D734ED" w:rsidR="0059145F" w:rsidRDefault="006F0810">
      <w:pPr>
        <w:pStyle w:val="TOC1"/>
        <w:rPr>
          <w:rFonts w:asciiTheme="minorHAnsi" w:eastAsiaTheme="minorEastAsia" w:hAnsiTheme="minorHAnsi" w:cstheme="minorBidi"/>
          <w:noProof/>
          <w:kern w:val="2"/>
          <w:lang w:eastAsia="zh-CN"/>
          <w14:ligatures w14:val="standardContextual"/>
        </w:rPr>
      </w:pPr>
      <w:r>
        <w:rPr>
          <w:lang w:val="lv"/>
        </w:rPr>
        <w:fldChar w:fldCharType="begin"/>
      </w:r>
      <w:r>
        <w:instrText xml:space="preserve"> TOC \o "1-3" \h \z \u </w:instrText>
      </w:r>
      <w:r>
        <w:fldChar w:fldCharType="separate"/>
      </w:r>
      <w:hyperlink w:anchor="_Toc222741514" w:history="1">
        <w:r w:rsidR="0059145F" w:rsidRPr="00937304">
          <w:rPr>
            <w:rStyle w:val="Hyperlink"/>
            <w:noProof/>
          </w:rPr>
          <w:t>1.</w:t>
        </w:r>
        <w:r w:rsidR="0059145F">
          <w:rPr>
            <w:rFonts w:asciiTheme="minorHAnsi" w:eastAsiaTheme="minorEastAsia" w:hAnsiTheme="minorHAnsi" w:cstheme="minorBidi"/>
            <w:noProof/>
            <w:kern w:val="2"/>
            <w:lang w:eastAsia="zh-CN"/>
            <w14:ligatures w14:val="standardContextual"/>
          </w:rPr>
          <w:tab/>
        </w:r>
        <w:r w:rsidR="0059145F" w:rsidRPr="00937304">
          <w:rPr>
            <w:rStyle w:val="Hyperlink"/>
            <w:bCs/>
            <w:noProof/>
            <w:lang w:val="lv"/>
          </w:rPr>
          <w:t>Drošuma un klīniskās veiktspējas kopsavilkuma (SSCP) tvērums</w:t>
        </w:r>
        <w:r w:rsidR="0059145F">
          <w:rPr>
            <w:noProof/>
            <w:webHidden/>
          </w:rPr>
          <w:tab/>
        </w:r>
        <w:r w:rsidR="0059145F">
          <w:rPr>
            <w:noProof/>
            <w:webHidden/>
          </w:rPr>
          <w:fldChar w:fldCharType="begin"/>
        </w:r>
        <w:r w:rsidR="0059145F">
          <w:rPr>
            <w:noProof/>
            <w:webHidden/>
          </w:rPr>
          <w:instrText xml:space="preserve"> PAGEREF _Toc222741514 \h </w:instrText>
        </w:r>
        <w:r w:rsidR="0059145F">
          <w:rPr>
            <w:noProof/>
            <w:webHidden/>
          </w:rPr>
        </w:r>
        <w:r w:rsidR="0059145F">
          <w:rPr>
            <w:noProof/>
            <w:webHidden/>
          </w:rPr>
          <w:fldChar w:fldCharType="separate"/>
        </w:r>
        <w:r w:rsidR="007D23B2">
          <w:rPr>
            <w:noProof/>
            <w:webHidden/>
          </w:rPr>
          <w:t>3</w:t>
        </w:r>
        <w:r w:rsidR="0059145F">
          <w:rPr>
            <w:noProof/>
            <w:webHidden/>
          </w:rPr>
          <w:fldChar w:fldCharType="end"/>
        </w:r>
      </w:hyperlink>
    </w:p>
    <w:p w14:paraId="7D3E14BA" w14:textId="3854E08A"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15" w:history="1">
        <w:r w:rsidRPr="00937304">
          <w:rPr>
            <w:rStyle w:val="Hyperlink"/>
            <w:noProof/>
          </w:rPr>
          <w:t>1.1.</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Ierīces tirdzniecības nosaukums</w:t>
        </w:r>
        <w:r>
          <w:rPr>
            <w:noProof/>
            <w:webHidden/>
          </w:rPr>
          <w:tab/>
        </w:r>
        <w:r>
          <w:rPr>
            <w:noProof/>
            <w:webHidden/>
          </w:rPr>
          <w:fldChar w:fldCharType="begin"/>
        </w:r>
        <w:r>
          <w:rPr>
            <w:noProof/>
            <w:webHidden/>
          </w:rPr>
          <w:instrText xml:space="preserve"> PAGEREF _Toc222741515 \h </w:instrText>
        </w:r>
        <w:r>
          <w:rPr>
            <w:noProof/>
            <w:webHidden/>
          </w:rPr>
        </w:r>
        <w:r>
          <w:rPr>
            <w:noProof/>
            <w:webHidden/>
          </w:rPr>
          <w:fldChar w:fldCharType="separate"/>
        </w:r>
        <w:r w:rsidR="007D23B2">
          <w:rPr>
            <w:noProof/>
            <w:webHidden/>
          </w:rPr>
          <w:t>3</w:t>
        </w:r>
        <w:r>
          <w:rPr>
            <w:noProof/>
            <w:webHidden/>
          </w:rPr>
          <w:fldChar w:fldCharType="end"/>
        </w:r>
      </w:hyperlink>
    </w:p>
    <w:p w14:paraId="51AE1E4D" w14:textId="73B33588"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16" w:history="1">
        <w:r w:rsidRPr="00937304">
          <w:rPr>
            <w:rStyle w:val="Hyperlink"/>
            <w:noProof/>
            <w:lang w:val="it-IT"/>
          </w:rPr>
          <w:t>1.2.</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Ierīces apraksts, pamata UDI-DI un ES klasifikācija</w:t>
        </w:r>
        <w:r>
          <w:rPr>
            <w:noProof/>
            <w:webHidden/>
          </w:rPr>
          <w:tab/>
        </w:r>
        <w:r>
          <w:rPr>
            <w:noProof/>
            <w:webHidden/>
          </w:rPr>
          <w:fldChar w:fldCharType="begin"/>
        </w:r>
        <w:r>
          <w:rPr>
            <w:noProof/>
            <w:webHidden/>
          </w:rPr>
          <w:instrText xml:space="preserve"> PAGEREF _Toc222741516 \h </w:instrText>
        </w:r>
        <w:r>
          <w:rPr>
            <w:noProof/>
            <w:webHidden/>
          </w:rPr>
        </w:r>
        <w:r>
          <w:rPr>
            <w:noProof/>
            <w:webHidden/>
          </w:rPr>
          <w:fldChar w:fldCharType="separate"/>
        </w:r>
        <w:r w:rsidR="007D23B2">
          <w:rPr>
            <w:noProof/>
            <w:webHidden/>
          </w:rPr>
          <w:t>3</w:t>
        </w:r>
        <w:r>
          <w:rPr>
            <w:noProof/>
            <w:webHidden/>
          </w:rPr>
          <w:fldChar w:fldCharType="end"/>
        </w:r>
      </w:hyperlink>
    </w:p>
    <w:p w14:paraId="1FCD5E0B" w14:textId="1B54EE49"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17" w:history="1">
        <w:r w:rsidRPr="00937304">
          <w:rPr>
            <w:rStyle w:val="Hyperlink"/>
            <w:noProof/>
          </w:rPr>
          <w:t>1.3.</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Gads, kad tika izsniegts pirmais sertifikāts (CE) par ierīci</w:t>
        </w:r>
        <w:r>
          <w:rPr>
            <w:noProof/>
            <w:webHidden/>
          </w:rPr>
          <w:tab/>
        </w:r>
        <w:r>
          <w:rPr>
            <w:noProof/>
            <w:webHidden/>
          </w:rPr>
          <w:fldChar w:fldCharType="begin"/>
        </w:r>
        <w:r>
          <w:rPr>
            <w:noProof/>
            <w:webHidden/>
          </w:rPr>
          <w:instrText xml:space="preserve"> PAGEREF _Toc222741517 \h </w:instrText>
        </w:r>
        <w:r>
          <w:rPr>
            <w:noProof/>
            <w:webHidden/>
          </w:rPr>
        </w:r>
        <w:r>
          <w:rPr>
            <w:noProof/>
            <w:webHidden/>
          </w:rPr>
          <w:fldChar w:fldCharType="separate"/>
        </w:r>
        <w:r w:rsidR="007D23B2">
          <w:rPr>
            <w:noProof/>
            <w:webHidden/>
          </w:rPr>
          <w:t>3</w:t>
        </w:r>
        <w:r>
          <w:rPr>
            <w:noProof/>
            <w:webHidden/>
          </w:rPr>
          <w:fldChar w:fldCharType="end"/>
        </w:r>
      </w:hyperlink>
    </w:p>
    <w:p w14:paraId="249D9F51" w14:textId="33D2959B"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18" w:history="1">
        <w:r w:rsidRPr="00937304">
          <w:rPr>
            <w:rStyle w:val="Hyperlink"/>
            <w:noProof/>
          </w:rPr>
          <w:t>1.4.</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Ražotāja nosaukums, adrese un SRN</w:t>
        </w:r>
        <w:r>
          <w:rPr>
            <w:noProof/>
            <w:webHidden/>
          </w:rPr>
          <w:tab/>
        </w:r>
        <w:r>
          <w:rPr>
            <w:noProof/>
            <w:webHidden/>
          </w:rPr>
          <w:fldChar w:fldCharType="begin"/>
        </w:r>
        <w:r>
          <w:rPr>
            <w:noProof/>
            <w:webHidden/>
          </w:rPr>
          <w:instrText xml:space="preserve"> PAGEREF _Toc222741518 \h </w:instrText>
        </w:r>
        <w:r>
          <w:rPr>
            <w:noProof/>
            <w:webHidden/>
          </w:rPr>
        </w:r>
        <w:r>
          <w:rPr>
            <w:noProof/>
            <w:webHidden/>
          </w:rPr>
          <w:fldChar w:fldCharType="separate"/>
        </w:r>
        <w:r w:rsidR="007D23B2">
          <w:rPr>
            <w:noProof/>
            <w:webHidden/>
          </w:rPr>
          <w:t>4</w:t>
        </w:r>
        <w:r>
          <w:rPr>
            <w:noProof/>
            <w:webHidden/>
          </w:rPr>
          <w:fldChar w:fldCharType="end"/>
        </w:r>
      </w:hyperlink>
    </w:p>
    <w:p w14:paraId="4DF5BFAA" w14:textId="258C23D5"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19" w:history="1">
        <w:r w:rsidRPr="00937304">
          <w:rPr>
            <w:rStyle w:val="Hyperlink"/>
            <w:noProof/>
          </w:rPr>
          <w:t>1.5.</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Pilnvarotā pārstāvja nosaukums un SRN:</w:t>
        </w:r>
        <w:r>
          <w:rPr>
            <w:noProof/>
            <w:webHidden/>
          </w:rPr>
          <w:tab/>
        </w:r>
        <w:r>
          <w:rPr>
            <w:noProof/>
            <w:webHidden/>
          </w:rPr>
          <w:fldChar w:fldCharType="begin"/>
        </w:r>
        <w:r>
          <w:rPr>
            <w:noProof/>
            <w:webHidden/>
          </w:rPr>
          <w:instrText xml:space="preserve"> PAGEREF _Toc222741519 \h </w:instrText>
        </w:r>
        <w:r>
          <w:rPr>
            <w:noProof/>
            <w:webHidden/>
          </w:rPr>
        </w:r>
        <w:r>
          <w:rPr>
            <w:noProof/>
            <w:webHidden/>
          </w:rPr>
          <w:fldChar w:fldCharType="separate"/>
        </w:r>
        <w:r w:rsidR="007D23B2">
          <w:rPr>
            <w:noProof/>
            <w:webHidden/>
          </w:rPr>
          <w:t>4</w:t>
        </w:r>
        <w:r>
          <w:rPr>
            <w:noProof/>
            <w:webHidden/>
          </w:rPr>
          <w:fldChar w:fldCharType="end"/>
        </w:r>
      </w:hyperlink>
    </w:p>
    <w:p w14:paraId="67C6C368" w14:textId="2A4D865C"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0" w:history="1">
        <w:r w:rsidRPr="00937304">
          <w:rPr>
            <w:rStyle w:val="Hyperlink"/>
            <w:noProof/>
            <w:lang w:val="it-IT"/>
          </w:rPr>
          <w:t>1.6.</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PI nosaukums un vienotais identifikācijas numurs</w:t>
        </w:r>
        <w:r>
          <w:rPr>
            <w:noProof/>
            <w:webHidden/>
          </w:rPr>
          <w:tab/>
        </w:r>
        <w:r>
          <w:rPr>
            <w:noProof/>
            <w:webHidden/>
          </w:rPr>
          <w:fldChar w:fldCharType="begin"/>
        </w:r>
        <w:r>
          <w:rPr>
            <w:noProof/>
            <w:webHidden/>
          </w:rPr>
          <w:instrText xml:space="preserve"> PAGEREF _Toc222741520 \h </w:instrText>
        </w:r>
        <w:r>
          <w:rPr>
            <w:noProof/>
            <w:webHidden/>
          </w:rPr>
        </w:r>
        <w:r>
          <w:rPr>
            <w:noProof/>
            <w:webHidden/>
          </w:rPr>
          <w:fldChar w:fldCharType="separate"/>
        </w:r>
        <w:r w:rsidR="007D23B2">
          <w:rPr>
            <w:noProof/>
            <w:webHidden/>
          </w:rPr>
          <w:t>4</w:t>
        </w:r>
        <w:r>
          <w:rPr>
            <w:noProof/>
            <w:webHidden/>
          </w:rPr>
          <w:fldChar w:fldCharType="end"/>
        </w:r>
      </w:hyperlink>
    </w:p>
    <w:p w14:paraId="4F436723" w14:textId="50025FB7"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1" w:history="1">
        <w:r w:rsidRPr="00937304">
          <w:rPr>
            <w:rStyle w:val="Hyperlink"/>
            <w:noProof/>
          </w:rPr>
          <w:t>2.</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Ierīces paredzētā izmantošana/mērķis</w:t>
        </w:r>
        <w:r>
          <w:rPr>
            <w:noProof/>
            <w:webHidden/>
          </w:rPr>
          <w:tab/>
        </w:r>
        <w:r>
          <w:rPr>
            <w:noProof/>
            <w:webHidden/>
          </w:rPr>
          <w:fldChar w:fldCharType="begin"/>
        </w:r>
        <w:r>
          <w:rPr>
            <w:noProof/>
            <w:webHidden/>
          </w:rPr>
          <w:instrText xml:space="preserve"> PAGEREF _Toc222741521 \h </w:instrText>
        </w:r>
        <w:r>
          <w:rPr>
            <w:noProof/>
            <w:webHidden/>
          </w:rPr>
        </w:r>
        <w:r>
          <w:rPr>
            <w:noProof/>
            <w:webHidden/>
          </w:rPr>
          <w:fldChar w:fldCharType="separate"/>
        </w:r>
        <w:r w:rsidR="007D23B2">
          <w:rPr>
            <w:noProof/>
            <w:webHidden/>
          </w:rPr>
          <w:t>4</w:t>
        </w:r>
        <w:r>
          <w:rPr>
            <w:noProof/>
            <w:webHidden/>
          </w:rPr>
          <w:fldChar w:fldCharType="end"/>
        </w:r>
      </w:hyperlink>
    </w:p>
    <w:p w14:paraId="67D89B4E" w14:textId="68968402"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2" w:history="1">
        <w:r w:rsidRPr="00937304">
          <w:rPr>
            <w:rStyle w:val="Hyperlink"/>
            <w:noProof/>
          </w:rPr>
          <w:t>2.1.</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Paredzētais mērķis/paredzētais lietojums</w:t>
        </w:r>
        <w:r>
          <w:rPr>
            <w:noProof/>
            <w:webHidden/>
          </w:rPr>
          <w:tab/>
        </w:r>
        <w:r>
          <w:rPr>
            <w:noProof/>
            <w:webHidden/>
          </w:rPr>
          <w:fldChar w:fldCharType="begin"/>
        </w:r>
        <w:r>
          <w:rPr>
            <w:noProof/>
            <w:webHidden/>
          </w:rPr>
          <w:instrText xml:space="preserve"> PAGEREF _Toc222741522 \h </w:instrText>
        </w:r>
        <w:r>
          <w:rPr>
            <w:noProof/>
            <w:webHidden/>
          </w:rPr>
        </w:r>
        <w:r>
          <w:rPr>
            <w:noProof/>
            <w:webHidden/>
          </w:rPr>
          <w:fldChar w:fldCharType="separate"/>
        </w:r>
        <w:r w:rsidR="007D23B2">
          <w:rPr>
            <w:noProof/>
            <w:webHidden/>
          </w:rPr>
          <w:t>4</w:t>
        </w:r>
        <w:r>
          <w:rPr>
            <w:noProof/>
            <w:webHidden/>
          </w:rPr>
          <w:fldChar w:fldCharType="end"/>
        </w:r>
      </w:hyperlink>
    </w:p>
    <w:p w14:paraId="7BCAE742" w14:textId="1E3A26D0"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3" w:history="1">
        <w:r w:rsidRPr="00937304">
          <w:rPr>
            <w:rStyle w:val="Hyperlink"/>
            <w:noProof/>
          </w:rPr>
          <w:t>2.2.</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Lietošanas indikācija</w:t>
        </w:r>
        <w:r>
          <w:rPr>
            <w:noProof/>
            <w:webHidden/>
          </w:rPr>
          <w:tab/>
        </w:r>
        <w:r>
          <w:rPr>
            <w:noProof/>
            <w:webHidden/>
          </w:rPr>
          <w:fldChar w:fldCharType="begin"/>
        </w:r>
        <w:r>
          <w:rPr>
            <w:noProof/>
            <w:webHidden/>
          </w:rPr>
          <w:instrText xml:space="preserve"> PAGEREF _Toc222741523 \h </w:instrText>
        </w:r>
        <w:r>
          <w:rPr>
            <w:noProof/>
            <w:webHidden/>
          </w:rPr>
        </w:r>
        <w:r>
          <w:rPr>
            <w:noProof/>
            <w:webHidden/>
          </w:rPr>
          <w:fldChar w:fldCharType="separate"/>
        </w:r>
        <w:r w:rsidR="007D23B2">
          <w:rPr>
            <w:noProof/>
            <w:webHidden/>
          </w:rPr>
          <w:t>5</w:t>
        </w:r>
        <w:r>
          <w:rPr>
            <w:noProof/>
            <w:webHidden/>
          </w:rPr>
          <w:fldChar w:fldCharType="end"/>
        </w:r>
      </w:hyperlink>
    </w:p>
    <w:p w14:paraId="3216CCB5" w14:textId="03520D57"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4" w:history="1">
        <w:r w:rsidRPr="00937304">
          <w:rPr>
            <w:rStyle w:val="Hyperlink"/>
            <w:noProof/>
          </w:rPr>
          <w:t>2.3.</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Mērķa populācija</w:t>
        </w:r>
        <w:r>
          <w:rPr>
            <w:noProof/>
            <w:webHidden/>
          </w:rPr>
          <w:tab/>
        </w:r>
        <w:r>
          <w:rPr>
            <w:noProof/>
            <w:webHidden/>
          </w:rPr>
          <w:fldChar w:fldCharType="begin"/>
        </w:r>
        <w:r>
          <w:rPr>
            <w:noProof/>
            <w:webHidden/>
          </w:rPr>
          <w:instrText xml:space="preserve"> PAGEREF _Toc222741524 \h </w:instrText>
        </w:r>
        <w:r>
          <w:rPr>
            <w:noProof/>
            <w:webHidden/>
          </w:rPr>
        </w:r>
        <w:r>
          <w:rPr>
            <w:noProof/>
            <w:webHidden/>
          </w:rPr>
          <w:fldChar w:fldCharType="separate"/>
        </w:r>
        <w:r w:rsidR="007D23B2">
          <w:rPr>
            <w:noProof/>
            <w:webHidden/>
          </w:rPr>
          <w:t>5</w:t>
        </w:r>
        <w:r>
          <w:rPr>
            <w:noProof/>
            <w:webHidden/>
          </w:rPr>
          <w:fldChar w:fldCharType="end"/>
        </w:r>
      </w:hyperlink>
    </w:p>
    <w:p w14:paraId="2FB80DA7" w14:textId="270F9A38"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5" w:history="1">
        <w:r w:rsidRPr="00937304">
          <w:rPr>
            <w:rStyle w:val="Hyperlink"/>
            <w:noProof/>
          </w:rPr>
          <w:t>2.4.</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Kontrindikācijas</w:t>
        </w:r>
        <w:r>
          <w:rPr>
            <w:noProof/>
            <w:webHidden/>
          </w:rPr>
          <w:tab/>
        </w:r>
        <w:r>
          <w:rPr>
            <w:noProof/>
            <w:webHidden/>
          </w:rPr>
          <w:fldChar w:fldCharType="begin"/>
        </w:r>
        <w:r>
          <w:rPr>
            <w:noProof/>
            <w:webHidden/>
          </w:rPr>
          <w:instrText xml:space="preserve"> PAGEREF _Toc222741525 \h </w:instrText>
        </w:r>
        <w:r>
          <w:rPr>
            <w:noProof/>
            <w:webHidden/>
          </w:rPr>
        </w:r>
        <w:r>
          <w:rPr>
            <w:noProof/>
            <w:webHidden/>
          </w:rPr>
          <w:fldChar w:fldCharType="separate"/>
        </w:r>
        <w:r w:rsidR="007D23B2">
          <w:rPr>
            <w:noProof/>
            <w:webHidden/>
          </w:rPr>
          <w:t>5</w:t>
        </w:r>
        <w:r>
          <w:rPr>
            <w:noProof/>
            <w:webHidden/>
          </w:rPr>
          <w:fldChar w:fldCharType="end"/>
        </w:r>
      </w:hyperlink>
    </w:p>
    <w:p w14:paraId="42F08799" w14:textId="2D08A2BC"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6" w:history="1">
        <w:r w:rsidRPr="00937304">
          <w:rPr>
            <w:rStyle w:val="Hyperlink"/>
            <w:noProof/>
          </w:rPr>
          <w:t>3.</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Ierīces apraksts</w:t>
        </w:r>
        <w:r>
          <w:rPr>
            <w:noProof/>
            <w:webHidden/>
          </w:rPr>
          <w:tab/>
        </w:r>
        <w:r>
          <w:rPr>
            <w:noProof/>
            <w:webHidden/>
          </w:rPr>
          <w:fldChar w:fldCharType="begin"/>
        </w:r>
        <w:r>
          <w:rPr>
            <w:noProof/>
            <w:webHidden/>
          </w:rPr>
          <w:instrText xml:space="preserve"> PAGEREF _Toc222741526 \h </w:instrText>
        </w:r>
        <w:r>
          <w:rPr>
            <w:noProof/>
            <w:webHidden/>
          </w:rPr>
        </w:r>
        <w:r>
          <w:rPr>
            <w:noProof/>
            <w:webHidden/>
          </w:rPr>
          <w:fldChar w:fldCharType="separate"/>
        </w:r>
        <w:r w:rsidR="007D23B2">
          <w:rPr>
            <w:noProof/>
            <w:webHidden/>
          </w:rPr>
          <w:t>5</w:t>
        </w:r>
        <w:r>
          <w:rPr>
            <w:noProof/>
            <w:webHidden/>
          </w:rPr>
          <w:fldChar w:fldCharType="end"/>
        </w:r>
      </w:hyperlink>
    </w:p>
    <w:p w14:paraId="208EE0CF" w14:textId="24EEA20D"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7" w:history="1">
        <w:r w:rsidRPr="00937304">
          <w:rPr>
            <w:rStyle w:val="Hyperlink"/>
            <w:noProof/>
          </w:rPr>
          <w:t>3.1.</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Ierīces apraksts</w:t>
        </w:r>
        <w:r>
          <w:rPr>
            <w:noProof/>
            <w:webHidden/>
          </w:rPr>
          <w:tab/>
        </w:r>
        <w:r>
          <w:rPr>
            <w:noProof/>
            <w:webHidden/>
          </w:rPr>
          <w:fldChar w:fldCharType="begin"/>
        </w:r>
        <w:r>
          <w:rPr>
            <w:noProof/>
            <w:webHidden/>
          </w:rPr>
          <w:instrText xml:space="preserve"> PAGEREF _Toc222741527 \h </w:instrText>
        </w:r>
        <w:r>
          <w:rPr>
            <w:noProof/>
            <w:webHidden/>
          </w:rPr>
        </w:r>
        <w:r>
          <w:rPr>
            <w:noProof/>
            <w:webHidden/>
          </w:rPr>
          <w:fldChar w:fldCharType="separate"/>
        </w:r>
        <w:r w:rsidR="007D23B2">
          <w:rPr>
            <w:noProof/>
            <w:webHidden/>
          </w:rPr>
          <w:t>5</w:t>
        </w:r>
        <w:r>
          <w:rPr>
            <w:noProof/>
            <w:webHidden/>
          </w:rPr>
          <w:fldChar w:fldCharType="end"/>
        </w:r>
      </w:hyperlink>
    </w:p>
    <w:p w14:paraId="24533214" w14:textId="2860A66C"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8" w:history="1">
        <w:r w:rsidRPr="00937304">
          <w:rPr>
            <w:rStyle w:val="Hyperlink"/>
            <w:noProof/>
          </w:rPr>
          <w:t>3.2.</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Iepriekšējie varianti un to atšķirības</w:t>
        </w:r>
        <w:r>
          <w:rPr>
            <w:noProof/>
            <w:webHidden/>
          </w:rPr>
          <w:tab/>
        </w:r>
        <w:r>
          <w:rPr>
            <w:noProof/>
            <w:webHidden/>
          </w:rPr>
          <w:fldChar w:fldCharType="begin"/>
        </w:r>
        <w:r>
          <w:rPr>
            <w:noProof/>
            <w:webHidden/>
          </w:rPr>
          <w:instrText xml:space="preserve"> PAGEREF _Toc222741528 \h </w:instrText>
        </w:r>
        <w:r>
          <w:rPr>
            <w:noProof/>
            <w:webHidden/>
          </w:rPr>
        </w:r>
        <w:r>
          <w:rPr>
            <w:noProof/>
            <w:webHidden/>
          </w:rPr>
          <w:fldChar w:fldCharType="separate"/>
        </w:r>
        <w:r w:rsidR="007D23B2">
          <w:rPr>
            <w:noProof/>
            <w:webHidden/>
          </w:rPr>
          <w:t>5</w:t>
        </w:r>
        <w:r>
          <w:rPr>
            <w:noProof/>
            <w:webHidden/>
          </w:rPr>
          <w:fldChar w:fldCharType="end"/>
        </w:r>
      </w:hyperlink>
    </w:p>
    <w:p w14:paraId="26B4EAAE" w14:textId="2BB5CD56"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29" w:history="1">
        <w:r w:rsidRPr="00937304">
          <w:rPr>
            <w:rStyle w:val="Hyperlink"/>
            <w:noProof/>
          </w:rPr>
          <w:t>3.3.</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Piederumi, saderīgas ierīces un citi produkti, ko izmanto kombinācijā</w:t>
        </w:r>
        <w:r>
          <w:rPr>
            <w:noProof/>
            <w:webHidden/>
          </w:rPr>
          <w:tab/>
        </w:r>
        <w:r>
          <w:rPr>
            <w:noProof/>
            <w:webHidden/>
          </w:rPr>
          <w:fldChar w:fldCharType="begin"/>
        </w:r>
        <w:r>
          <w:rPr>
            <w:noProof/>
            <w:webHidden/>
          </w:rPr>
          <w:instrText xml:space="preserve"> PAGEREF _Toc222741529 \h </w:instrText>
        </w:r>
        <w:r>
          <w:rPr>
            <w:noProof/>
            <w:webHidden/>
          </w:rPr>
        </w:r>
        <w:r>
          <w:rPr>
            <w:noProof/>
            <w:webHidden/>
          </w:rPr>
          <w:fldChar w:fldCharType="separate"/>
        </w:r>
        <w:r w:rsidR="007D23B2">
          <w:rPr>
            <w:noProof/>
            <w:webHidden/>
          </w:rPr>
          <w:t>6</w:t>
        </w:r>
        <w:r>
          <w:rPr>
            <w:noProof/>
            <w:webHidden/>
          </w:rPr>
          <w:fldChar w:fldCharType="end"/>
        </w:r>
      </w:hyperlink>
    </w:p>
    <w:p w14:paraId="059BDEA5" w14:textId="3F4CFACE"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0" w:history="1">
        <w:r w:rsidRPr="00937304">
          <w:rPr>
            <w:rStyle w:val="Hyperlink"/>
            <w:noProof/>
          </w:rPr>
          <w:t>4.</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Riski un brīdinājumi</w:t>
        </w:r>
        <w:r>
          <w:rPr>
            <w:noProof/>
            <w:webHidden/>
          </w:rPr>
          <w:tab/>
        </w:r>
        <w:r>
          <w:rPr>
            <w:noProof/>
            <w:webHidden/>
          </w:rPr>
          <w:fldChar w:fldCharType="begin"/>
        </w:r>
        <w:r>
          <w:rPr>
            <w:noProof/>
            <w:webHidden/>
          </w:rPr>
          <w:instrText xml:space="preserve"> PAGEREF _Toc222741530 \h </w:instrText>
        </w:r>
        <w:r>
          <w:rPr>
            <w:noProof/>
            <w:webHidden/>
          </w:rPr>
        </w:r>
        <w:r>
          <w:rPr>
            <w:noProof/>
            <w:webHidden/>
          </w:rPr>
          <w:fldChar w:fldCharType="separate"/>
        </w:r>
        <w:r w:rsidR="007D23B2">
          <w:rPr>
            <w:noProof/>
            <w:webHidden/>
          </w:rPr>
          <w:t>6</w:t>
        </w:r>
        <w:r>
          <w:rPr>
            <w:noProof/>
            <w:webHidden/>
          </w:rPr>
          <w:fldChar w:fldCharType="end"/>
        </w:r>
      </w:hyperlink>
    </w:p>
    <w:p w14:paraId="47B913B7" w14:textId="0629D736"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1" w:history="1">
        <w:r w:rsidRPr="00937304">
          <w:rPr>
            <w:rStyle w:val="Hyperlink"/>
            <w:noProof/>
          </w:rPr>
          <w:t>4.1.</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Atlikušie riski un nevēlamās blakusparādības</w:t>
        </w:r>
        <w:r>
          <w:rPr>
            <w:noProof/>
            <w:webHidden/>
          </w:rPr>
          <w:tab/>
        </w:r>
        <w:r>
          <w:rPr>
            <w:noProof/>
            <w:webHidden/>
          </w:rPr>
          <w:fldChar w:fldCharType="begin"/>
        </w:r>
        <w:r>
          <w:rPr>
            <w:noProof/>
            <w:webHidden/>
          </w:rPr>
          <w:instrText xml:space="preserve"> PAGEREF _Toc222741531 \h </w:instrText>
        </w:r>
        <w:r>
          <w:rPr>
            <w:noProof/>
            <w:webHidden/>
          </w:rPr>
        </w:r>
        <w:r>
          <w:rPr>
            <w:noProof/>
            <w:webHidden/>
          </w:rPr>
          <w:fldChar w:fldCharType="separate"/>
        </w:r>
        <w:r w:rsidR="007D23B2">
          <w:rPr>
            <w:noProof/>
            <w:webHidden/>
          </w:rPr>
          <w:t>6</w:t>
        </w:r>
        <w:r>
          <w:rPr>
            <w:noProof/>
            <w:webHidden/>
          </w:rPr>
          <w:fldChar w:fldCharType="end"/>
        </w:r>
      </w:hyperlink>
    </w:p>
    <w:p w14:paraId="22364107" w14:textId="2CCAA794"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2" w:history="1">
        <w:r w:rsidRPr="00937304">
          <w:rPr>
            <w:rStyle w:val="Hyperlink"/>
            <w:noProof/>
          </w:rPr>
          <w:t>4.2.</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Brīdinājumi un piesardzības pasākumi</w:t>
        </w:r>
        <w:r>
          <w:rPr>
            <w:noProof/>
            <w:webHidden/>
          </w:rPr>
          <w:tab/>
        </w:r>
        <w:r>
          <w:rPr>
            <w:noProof/>
            <w:webHidden/>
          </w:rPr>
          <w:fldChar w:fldCharType="begin"/>
        </w:r>
        <w:r>
          <w:rPr>
            <w:noProof/>
            <w:webHidden/>
          </w:rPr>
          <w:instrText xml:space="preserve"> PAGEREF _Toc222741532 \h </w:instrText>
        </w:r>
        <w:r>
          <w:rPr>
            <w:noProof/>
            <w:webHidden/>
          </w:rPr>
        </w:r>
        <w:r>
          <w:rPr>
            <w:noProof/>
            <w:webHidden/>
          </w:rPr>
          <w:fldChar w:fldCharType="separate"/>
        </w:r>
        <w:r w:rsidR="007D23B2">
          <w:rPr>
            <w:noProof/>
            <w:webHidden/>
          </w:rPr>
          <w:t>6</w:t>
        </w:r>
        <w:r>
          <w:rPr>
            <w:noProof/>
            <w:webHidden/>
          </w:rPr>
          <w:fldChar w:fldCharType="end"/>
        </w:r>
      </w:hyperlink>
    </w:p>
    <w:p w14:paraId="16697273" w14:textId="0B72346F"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3" w:history="1">
        <w:r w:rsidRPr="00937304">
          <w:rPr>
            <w:rStyle w:val="Hyperlink"/>
            <w:noProof/>
          </w:rPr>
          <w:t>4.3.</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Citi attiecīgie drošuma aspekti, tostarp kopsavilkums par jebkuru operatīvu koriģējošu drošuma darbību (FSCA, tostarp FSN), ja piemērojams</w:t>
        </w:r>
        <w:r>
          <w:rPr>
            <w:noProof/>
            <w:webHidden/>
          </w:rPr>
          <w:tab/>
        </w:r>
        <w:r>
          <w:rPr>
            <w:noProof/>
            <w:webHidden/>
          </w:rPr>
          <w:fldChar w:fldCharType="begin"/>
        </w:r>
        <w:r>
          <w:rPr>
            <w:noProof/>
            <w:webHidden/>
          </w:rPr>
          <w:instrText xml:space="preserve"> PAGEREF _Toc222741533 \h </w:instrText>
        </w:r>
        <w:r>
          <w:rPr>
            <w:noProof/>
            <w:webHidden/>
          </w:rPr>
        </w:r>
        <w:r>
          <w:rPr>
            <w:noProof/>
            <w:webHidden/>
          </w:rPr>
          <w:fldChar w:fldCharType="separate"/>
        </w:r>
        <w:r w:rsidR="007D23B2">
          <w:rPr>
            <w:noProof/>
            <w:webHidden/>
          </w:rPr>
          <w:t>7</w:t>
        </w:r>
        <w:r>
          <w:rPr>
            <w:noProof/>
            <w:webHidden/>
          </w:rPr>
          <w:fldChar w:fldCharType="end"/>
        </w:r>
      </w:hyperlink>
    </w:p>
    <w:p w14:paraId="66587580" w14:textId="66C5930F"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4" w:history="1">
        <w:r w:rsidRPr="00937304">
          <w:rPr>
            <w:rStyle w:val="Hyperlink"/>
            <w:noProof/>
          </w:rPr>
          <w:t>5.</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Klīniskā novērtējuma un klīniskās novērošanas pēc laišanas tirgū (PMCF) kopsavilkums</w:t>
        </w:r>
        <w:r>
          <w:rPr>
            <w:noProof/>
            <w:webHidden/>
          </w:rPr>
          <w:tab/>
        </w:r>
        <w:r>
          <w:rPr>
            <w:noProof/>
            <w:webHidden/>
          </w:rPr>
          <w:fldChar w:fldCharType="begin"/>
        </w:r>
        <w:r>
          <w:rPr>
            <w:noProof/>
            <w:webHidden/>
          </w:rPr>
          <w:instrText xml:space="preserve"> PAGEREF _Toc222741534 \h </w:instrText>
        </w:r>
        <w:r>
          <w:rPr>
            <w:noProof/>
            <w:webHidden/>
          </w:rPr>
        </w:r>
        <w:r>
          <w:rPr>
            <w:noProof/>
            <w:webHidden/>
          </w:rPr>
          <w:fldChar w:fldCharType="separate"/>
        </w:r>
        <w:r w:rsidR="007D23B2">
          <w:rPr>
            <w:noProof/>
            <w:webHidden/>
          </w:rPr>
          <w:t>7</w:t>
        </w:r>
        <w:r>
          <w:rPr>
            <w:noProof/>
            <w:webHidden/>
          </w:rPr>
          <w:fldChar w:fldCharType="end"/>
        </w:r>
      </w:hyperlink>
    </w:p>
    <w:p w14:paraId="6AA09387" w14:textId="6BFF4560"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5" w:history="1">
        <w:r w:rsidRPr="00937304">
          <w:rPr>
            <w:rStyle w:val="Hyperlink"/>
            <w:noProof/>
          </w:rPr>
          <w:t>5.1.</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Klīnisko datu kopsavilkums, kas attiecas uz līdzvērtīgu ierīci, ja piemērojams</w:t>
        </w:r>
        <w:r>
          <w:rPr>
            <w:noProof/>
            <w:webHidden/>
          </w:rPr>
          <w:tab/>
        </w:r>
        <w:r>
          <w:rPr>
            <w:noProof/>
            <w:webHidden/>
          </w:rPr>
          <w:fldChar w:fldCharType="begin"/>
        </w:r>
        <w:r>
          <w:rPr>
            <w:noProof/>
            <w:webHidden/>
          </w:rPr>
          <w:instrText xml:space="preserve"> PAGEREF _Toc222741535 \h </w:instrText>
        </w:r>
        <w:r>
          <w:rPr>
            <w:noProof/>
            <w:webHidden/>
          </w:rPr>
        </w:r>
        <w:r>
          <w:rPr>
            <w:noProof/>
            <w:webHidden/>
          </w:rPr>
          <w:fldChar w:fldCharType="separate"/>
        </w:r>
        <w:r w:rsidR="007D23B2">
          <w:rPr>
            <w:noProof/>
            <w:webHidden/>
          </w:rPr>
          <w:t>8</w:t>
        </w:r>
        <w:r>
          <w:rPr>
            <w:noProof/>
            <w:webHidden/>
          </w:rPr>
          <w:fldChar w:fldCharType="end"/>
        </w:r>
      </w:hyperlink>
    </w:p>
    <w:p w14:paraId="2D488EB1" w14:textId="3FBFC446"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6" w:history="1">
        <w:r w:rsidRPr="00937304">
          <w:rPr>
            <w:rStyle w:val="Hyperlink"/>
            <w:noProof/>
          </w:rPr>
          <w:t>5.2.</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Kopsavilkums no klīniskajiem datiem, kas iegūti, veicot ierīces izpēti pirms CE marķēšanas, ja piemērojams</w:t>
        </w:r>
        <w:r>
          <w:rPr>
            <w:noProof/>
            <w:webHidden/>
          </w:rPr>
          <w:tab/>
        </w:r>
        <w:r>
          <w:rPr>
            <w:noProof/>
            <w:webHidden/>
          </w:rPr>
          <w:fldChar w:fldCharType="begin"/>
        </w:r>
        <w:r>
          <w:rPr>
            <w:noProof/>
            <w:webHidden/>
          </w:rPr>
          <w:instrText xml:space="preserve"> PAGEREF _Toc222741536 \h </w:instrText>
        </w:r>
        <w:r>
          <w:rPr>
            <w:noProof/>
            <w:webHidden/>
          </w:rPr>
        </w:r>
        <w:r>
          <w:rPr>
            <w:noProof/>
            <w:webHidden/>
          </w:rPr>
          <w:fldChar w:fldCharType="separate"/>
        </w:r>
        <w:r w:rsidR="007D23B2">
          <w:rPr>
            <w:noProof/>
            <w:webHidden/>
          </w:rPr>
          <w:t>8</w:t>
        </w:r>
        <w:r>
          <w:rPr>
            <w:noProof/>
            <w:webHidden/>
          </w:rPr>
          <w:fldChar w:fldCharType="end"/>
        </w:r>
      </w:hyperlink>
    </w:p>
    <w:p w14:paraId="5396DE50" w14:textId="45DD91F4"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7" w:history="1">
        <w:r w:rsidRPr="00937304">
          <w:rPr>
            <w:rStyle w:val="Hyperlink"/>
            <w:noProof/>
          </w:rPr>
          <w:t>5.3.</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Citu avotu klīnisko datu kopsavilkums, ja piemērojams</w:t>
        </w:r>
        <w:r>
          <w:rPr>
            <w:noProof/>
            <w:webHidden/>
          </w:rPr>
          <w:tab/>
        </w:r>
        <w:r>
          <w:rPr>
            <w:noProof/>
            <w:webHidden/>
          </w:rPr>
          <w:fldChar w:fldCharType="begin"/>
        </w:r>
        <w:r>
          <w:rPr>
            <w:noProof/>
            <w:webHidden/>
          </w:rPr>
          <w:instrText xml:space="preserve"> PAGEREF _Toc222741537 \h </w:instrText>
        </w:r>
        <w:r>
          <w:rPr>
            <w:noProof/>
            <w:webHidden/>
          </w:rPr>
        </w:r>
        <w:r>
          <w:rPr>
            <w:noProof/>
            <w:webHidden/>
          </w:rPr>
          <w:fldChar w:fldCharType="separate"/>
        </w:r>
        <w:r w:rsidR="007D23B2">
          <w:rPr>
            <w:noProof/>
            <w:webHidden/>
          </w:rPr>
          <w:t>8</w:t>
        </w:r>
        <w:r>
          <w:rPr>
            <w:noProof/>
            <w:webHidden/>
          </w:rPr>
          <w:fldChar w:fldCharType="end"/>
        </w:r>
      </w:hyperlink>
    </w:p>
    <w:p w14:paraId="5DDB7DE0" w14:textId="728D1BED"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8" w:history="1">
        <w:r w:rsidRPr="00937304">
          <w:rPr>
            <w:rStyle w:val="Hyperlink"/>
            <w:noProof/>
          </w:rPr>
          <w:t>5.4.</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Klīniskās veiktspējas un drošuma vispārīgs kopsavilkums</w:t>
        </w:r>
        <w:r>
          <w:rPr>
            <w:noProof/>
            <w:webHidden/>
          </w:rPr>
          <w:tab/>
        </w:r>
        <w:r>
          <w:rPr>
            <w:noProof/>
            <w:webHidden/>
          </w:rPr>
          <w:fldChar w:fldCharType="begin"/>
        </w:r>
        <w:r>
          <w:rPr>
            <w:noProof/>
            <w:webHidden/>
          </w:rPr>
          <w:instrText xml:space="preserve"> PAGEREF _Toc222741538 \h </w:instrText>
        </w:r>
        <w:r>
          <w:rPr>
            <w:noProof/>
            <w:webHidden/>
          </w:rPr>
        </w:r>
        <w:r>
          <w:rPr>
            <w:noProof/>
            <w:webHidden/>
          </w:rPr>
          <w:fldChar w:fldCharType="separate"/>
        </w:r>
        <w:r w:rsidR="007D23B2">
          <w:rPr>
            <w:noProof/>
            <w:webHidden/>
          </w:rPr>
          <w:t>9</w:t>
        </w:r>
        <w:r>
          <w:rPr>
            <w:noProof/>
            <w:webHidden/>
          </w:rPr>
          <w:fldChar w:fldCharType="end"/>
        </w:r>
      </w:hyperlink>
    </w:p>
    <w:p w14:paraId="4878D9E9" w14:textId="715FEA46"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39" w:history="1">
        <w:r w:rsidRPr="00937304">
          <w:rPr>
            <w:rStyle w:val="Hyperlink"/>
            <w:noProof/>
          </w:rPr>
          <w:t>5.5.</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Notiekoša vai plānota klīniskā novērošana pēc pārdošanas</w:t>
        </w:r>
        <w:r>
          <w:rPr>
            <w:noProof/>
            <w:webHidden/>
          </w:rPr>
          <w:tab/>
        </w:r>
        <w:r>
          <w:rPr>
            <w:noProof/>
            <w:webHidden/>
          </w:rPr>
          <w:fldChar w:fldCharType="begin"/>
        </w:r>
        <w:r>
          <w:rPr>
            <w:noProof/>
            <w:webHidden/>
          </w:rPr>
          <w:instrText xml:space="preserve"> PAGEREF _Toc222741539 \h </w:instrText>
        </w:r>
        <w:r>
          <w:rPr>
            <w:noProof/>
            <w:webHidden/>
          </w:rPr>
        </w:r>
        <w:r>
          <w:rPr>
            <w:noProof/>
            <w:webHidden/>
          </w:rPr>
          <w:fldChar w:fldCharType="separate"/>
        </w:r>
        <w:r w:rsidR="007D23B2">
          <w:rPr>
            <w:noProof/>
            <w:webHidden/>
          </w:rPr>
          <w:t>10</w:t>
        </w:r>
        <w:r>
          <w:rPr>
            <w:noProof/>
            <w:webHidden/>
          </w:rPr>
          <w:fldChar w:fldCharType="end"/>
        </w:r>
      </w:hyperlink>
    </w:p>
    <w:p w14:paraId="5F4C89D2" w14:textId="556C8824"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40" w:history="1">
        <w:r w:rsidRPr="00937304">
          <w:rPr>
            <w:rStyle w:val="Hyperlink"/>
            <w:noProof/>
          </w:rPr>
          <w:t>6.</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Iespējamās diagnostikas vai terapeitiskās alternatīvas</w:t>
        </w:r>
        <w:r>
          <w:rPr>
            <w:noProof/>
            <w:webHidden/>
          </w:rPr>
          <w:tab/>
        </w:r>
        <w:r>
          <w:rPr>
            <w:noProof/>
            <w:webHidden/>
          </w:rPr>
          <w:fldChar w:fldCharType="begin"/>
        </w:r>
        <w:r>
          <w:rPr>
            <w:noProof/>
            <w:webHidden/>
          </w:rPr>
          <w:instrText xml:space="preserve"> PAGEREF _Toc222741540 \h </w:instrText>
        </w:r>
        <w:r>
          <w:rPr>
            <w:noProof/>
            <w:webHidden/>
          </w:rPr>
        </w:r>
        <w:r>
          <w:rPr>
            <w:noProof/>
            <w:webHidden/>
          </w:rPr>
          <w:fldChar w:fldCharType="separate"/>
        </w:r>
        <w:r w:rsidR="007D23B2">
          <w:rPr>
            <w:noProof/>
            <w:webHidden/>
          </w:rPr>
          <w:t>11</w:t>
        </w:r>
        <w:r>
          <w:rPr>
            <w:noProof/>
            <w:webHidden/>
          </w:rPr>
          <w:fldChar w:fldCharType="end"/>
        </w:r>
      </w:hyperlink>
    </w:p>
    <w:p w14:paraId="165036C0" w14:textId="50EB33CF"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41" w:history="1">
        <w:r w:rsidRPr="00937304">
          <w:rPr>
            <w:rStyle w:val="Hyperlink"/>
            <w:noProof/>
          </w:rPr>
          <w:t>7.</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Ieteicamais profils un apmācības lietotājiem</w:t>
        </w:r>
        <w:r>
          <w:rPr>
            <w:noProof/>
            <w:webHidden/>
          </w:rPr>
          <w:tab/>
        </w:r>
        <w:r>
          <w:rPr>
            <w:noProof/>
            <w:webHidden/>
          </w:rPr>
          <w:fldChar w:fldCharType="begin"/>
        </w:r>
        <w:r>
          <w:rPr>
            <w:noProof/>
            <w:webHidden/>
          </w:rPr>
          <w:instrText xml:space="preserve"> PAGEREF _Toc222741541 \h </w:instrText>
        </w:r>
        <w:r>
          <w:rPr>
            <w:noProof/>
            <w:webHidden/>
          </w:rPr>
        </w:r>
        <w:r>
          <w:rPr>
            <w:noProof/>
            <w:webHidden/>
          </w:rPr>
          <w:fldChar w:fldCharType="separate"/>
        </w:r>
        <w:r w:rsidR="007D23B2">
          <w:rPr>
            <w:noProof/>
            <w:webHidden/>
          </w:rPr>
          <w:t>12</w:t>
        </w:r>
        <w:r>
          <w:rPr>
            <w:noProof/>
            <w:webHidden/>
          </w:rPr>
          <w:fldChar w:fldCharType="end"/>
        </w:r>
      </w:hyperlink>
    </w:p>
    <w:p w14:paraId="1E512816" w14:textId="3927EB43"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42" w:history="1">
        <w:r w:rsidRPr="00937304">
          <w:rPr>
            <w:rStyle w:val="Hyperlink"/>
            <w:noProof/>
          </w:rPr>
          <w:t>8.</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Saskaņotie standarti / vispārējās specifikācijas</w:t>
        </w:r>
        <w:r>
          <w:rPr>
            <w:noProof/>
            <w:webHidden/>
          </w:rPr>
          <w:tab/>
        </w:r>
        <w:r>
          <w:rPr>
            <w:noProof/>
            <w:webHidden/>
          </w:rPr>
          <w:fldChar w:fldCharType="begin"/>
        </w:r>
        <w:r>
          <w:rPr>
            <w:noProof/>
            <w:webHidden/>
          </w:rPr>
          <w:instrText xml:space="preserve"> PAGEREF _Toc222741542 \h </w:instrText>
        </w:r>
        <w:r>
          <w:rPr>
            <w:noProof/>
            <w:webHidden/>
          </w:rPr>
        </w:r>
        <w:r>
          <w:rPr>
            <w:noProof/>
            <w:webHidden/>
          </w:rPr>
          <w:fldChar w:fldCharType="separate"/>
        </w:r>
        <w:r w:rsidR="007D23B2">
          <w:rPr>
            <w:noProof/>
            <w:webHidden/>
          </w:rPr>
          <w:t>12</w:t>
        </w:r>
        <w:r>
          <w:rPr>
            <w:noProof/>
            <w:webHidden/>
          </w:rPr>
          <w:fldChar w:fldCharType="end"/>
        </w:r>
      </w:hyperlink>
    </w:p>
    <w:p w14:paraId="2A7BA0A5" w14:textId="0244993A" w:rsidR="0059145F" w:rsidRDefault="0059145F">
      <w:pPr>
        <w:pStyle w:val="TOC1"/>
        <w:rPr>
          <w:rFonts w:asciiTheme="minorHAnsi" w:eastAsiaTheme="minorEastAsia" w:hAnsiTheme="minorHAnsi" w:cstheme="minorBidi"/>
          <w:noProof/>
          <w:kern w:val="2"/>
          <w:lang w:eastAsia="zh-CN"/>
          <w14:ligatures w14:val="standardContextual"/>
        </w:rPr>
      </w:pPr>
      <w:hyperlink w:anchor="_Toc222741543" w:history="1">
        <w:r w:rsidRPr="00937304">
          <w:rPr>
            <w:rStyle w:val="Hyperlink"/>
            <w:noProof/>
          </w:rPr>
          <w:t>9.</w:t>
        </w:r>
        <w:r>
          <w:rPr>
            <w:rFonts w:asciiTheme="minorHAnsi" w:eastAsiaTheme="minorEastAsia" w:hAnsiTheme="minorHAnsi" w:cstheme="minorBidi"/>
            <w:noProof/>
            <w:kern w:val="2"/>
            <w:lang w:eastAsia="zh-CN"/>
            <w14:ligatures w14:val="standardContextual"/>
          </w:rPr>
          <w:tab/>
        </w:r>
        <w:r w:rsidRPr="00937304">
          <w:rPr>
            <w:rStyle w:val="Hyperlink"/>
            <w:bCs/>
            <w:noProof/>
            <w:lang w:val="lv"/>
          </w:rPr>
          <w:t>Pārskatīto izdevumu vēsture</w:t>
        </w:r>
        <w:r>
          <w:rPr>
            <w:noProof/>
            <w:webHidden/>
          </w:rPr>
          <w:tab/>
        </w:r>
        <w:r>
          <w:rPr>
            <w:noProof/>
            <w:webHidden/>
          </w:rPr>
          <w:fldChar w:fldCharType="begin"/>
        </w:r>
        <w:r>
          <w:rPr>
            <w:noProof/>
            <w:webHidden/>
          </w:rPr>
          <w:instrText xml:space="preserve"> PAGEREF _Toc222741543 \h </w:instrText>
        </w:r>
        <w:r>
          <w:rPr>
            <w:noProof/>
            <w:webHidden/>
          </w:rPr>
        </w:r>
        <w:r>
          <w:rPr>
            <w:noProof/>
            <w:webHidden/>
          </w:rPr>
          <w:fldChar w:fldCharType="separate"/>
        </w:r>
        <w:r w:rsidR="007D23B2">
          <w:rPr>
            <w:noProof/>
            <w:webHidden/>
          </w:rPr>
          <w:t>13</w:t>
        </w:r>
        <w:r>
          <w:rPr>
            <w:noProof/>
            <w:webHidden/>
          </w:rPr>
          <w:fldChar w:fldCharType="end"/>
        </w:r>
      </w:hyperlink>
    </w:p>
    <w:p w14:paraId="29D6E5E3" w14:textId="63CEACCF"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lv"/>
        </w:rPr>
        <w:br w:type="page"/>
      </w:r>
    </w:p>
    <w:p w14:paraId="453DC774" w14:textId="77777777" w:rsidR="00221CEF" w:rsidRPr="009461CC" w:rsidRDefault="00221CEF" w:rsidP="00042B91">
      <w:pPr>
        <w:pStyle w:val="Heading7"/>
        <w:spacing w:after="0" w:afterAutospacing="0"/>
      </w:pPr>
      <w:r>
        <w:rPr>
          <w:bCs/>
          <w:lang w:val="lv"/>
        </w:rPr>
        <w:lastRenderedPageBreak/>
        <w:t>Drošuma un klīniskās veiktspējas kopsavilkums</w:t>
      </w:r>
    </w:p>
    <w:p w14:paraId="2D567C3A" w14:textId="4D6B7954" w:rsidR="00221CEF" w:rsidRPr="009461CC" w:rsidRDefault="00221CEF" w:rsidP="00042B91">
      <w:pPr>
        <w:spacing w:after="0" w:afterAutospacing="0" w:line="240" w:lineRule="auto"/>
        <w:rPr>
          <w:rFonts w:cs="Times New Roman"/>
        </w:rPr>
      </w:pPr>
      <w:r>
        <w:rPr>
          <w:rFonts w:cs="Times New Roman"/>
          <w:lang w:val="lv"/>
        </w:rPr>
        <w:t>Šis drošuma un klīniskās veiktspējas kopsavilkums (SSCP) ir izveidots, lai nodrošinātu publisku piekļuvi ierīces drošuma un klīniskās veiktspējas galveno aspektu atjauninātam kopsavilkumam.</w:t>
      </w:r>
    </w:p>
    <w:p w14:paraId="549AF428" w14:textId="35F6904C" w:rsidR="00221CEF" w:rsidRPr="009461CC" w:rsidRDefault="00221CEF" w:rsidP="00042B91">
      <w:pPr>
        <w:spacing w:after="0" w:afterAutospacing="0" w:line="240" w:lineRule="auto"/>
        <w:rPr>
          <w:rFonts w:cs="Times New Roman"/>
        </w:rPr>
      </w:pPr>
      <w:r>
        <w:rPr>
          <w:rFonts w:cs="Times New Roman"/>
          <w:lang w:val="lv"/>
        </w:rPr>
        <w:t>Ar SSCP nav paredzēts aizstāt lietošanas instrukciju kā ierīces drošas lietošanas galveno dokumentu, kā arī sniegt diagnostikas vai terapeitiskus ieteikumus paredzētiem lietotājiem vai pacientiem.</w:t>
      </w:r>
    </w:p>
    <w:p w14:paraId="6E1D4297" w14:textId="77777777" w:rsidR="00042B91" w:rsidRPr="009461CC" w:rsidRDefault="00042B91" w:rsidP="00042B91">
      <w:pPr>
        <w:spacing w:after="0" w:afterAutospacing="0" w:line="240" w:lineRule="auto"/>
        <w:rPr>
          <w:rFonts w:cs="Times New Roman"/>
        </w:rPr>
      </w:pPr>
    </w:p>
    <w:p w14:paraId="57958E5A" w14:textId="739089BF" w:rsidR="00221CEF" w:rsidRPr="009461CC" w:rsidRDefault="00221CEF" w:rsidP="00042B91">
      <w:pPr>
        <w:spacing w:after="0" w:afterAutospacing="0" w:line="240" w:lineRule="auto"/>
        <w:rPr>
          <w:rFonts w:cs="Times New Roman"/>
        </w:rPr>
      </w:pPr>
      <w:r>
        <w:rPr>
          <w:rFonts w:cs="Times New Roman"/>
          <w:lang w:val="lv"/>
        </w:rPr>
        <w:t>Tālāk sniegtā informācija ir paredzēta lietotājiem/veselības aprūpes speciālistiem.</w:t>
      </w:r>
    </w:p>
    <w:p w14:paraId="18A77BED" w14:textId="77777777" w:rsidR="00042B91" w:rsidRPr="009461CC" w:rsidRDefault="00042B91" w:rsidP="00042B91">
      <w:pPr>
        <w:spacing w:after="0" w:afterAutospacing="0" w:line="240" w:lineRule="auto"/>
        <w:rPr>
          <w:rFonts w:cs="Times New Roman"/>
        </w:rPr>
      </w:pPr>
    </w:p>
    <w:p w14:paraId="6E5276B4" w14:textId="2AFD9220" w:rsidR="00042B91" w:rsidRPr="009461CC" w:rsidRDefault="006F0810" w:rsidP="00F67A0E">
      <w:pPr>
        <w:pStyle w:val="Heading1"/>
        <w:numPr>
          <w:ilvl w:val="0"/>
          <w:numId w:val="2"/>
        </w:numPr>
        <w:rPr>
          <w:rFonts w:cs="Times New Roman"/>
        </w:rPr>
      </w:pPr>
      <w:bookmarkStart w:id="0" w:name="_Toc222741514"/>
      <w:r>
        <w:rPr>
          <w:rFonts w:cs="Times New Roman"/>
          <w:bCs/>
          <w:lang w:val="lv"/>
        </w:rPr>
        <w:t>Drošuma un klīniskās veiktspējas kopsavilkuma (SSCP) tvērums</w:t>
      </w:r>
      <w:bookmarkEnd w:id="0"/>
    </w:p>
    <w:p w14:paraId="5CDBAEA3" w14:textId="77777777" w:rsidR="00042B91" w:rsidRPr="009461CC" w:rsidRDefault="00042B91" w:rsidP="00042B91">
      <w:pPr>
        <w:spacing w:after="0" w:afterAutospacing="0" w:line="240" w:lineRule="auto"/>
        <w:rPr>
          <w:rFonts w:cs="Times New Roman"/>
        </w:rPr>
      </w:pPr>
    </w:p>
    <w:p w14:paraId="45E5BCB2" w14:textId="6E901CD2" w:rsidR="00AA2E04" w:rsidRPr="009461CC" w:rsidRDefault="00221CEF" w:rsidP="00042B91">
      <w:pPr>
        <w:pStyle w:val="Heading1"/>
        <w:rPr>
          <w:rFonts w:cs="Times New Roman"/>
        </w:rPr>
      </w:pPr>
      <w:bookmarkStart w:id="1" w:name="_Toc222741515"/>
      <w:r>
        <w:rPr>
          <w:rFonts w:cs="Times New Roman"/>
          <w:bCs/>
          <w:lang w:val="lv"/>
        </w:rPr>
        <w:t>Ierīces tirdzniecības nosaukums</w:t>
      </w:r>
      <w:bookmarkEnd w:id="1"/>
      <w:r>
        <w:rPr>
          <w:rFonts w:cs="Times New Roman"/>
          <w:bCs/>
          <w:lang w:val="lv"/>
        </w:rPr>
        <w:t xml:space="preserve"> </w:t>
      </w:r>
    </w:p>
    <w:p w14:paraId="29AE9E59" w14:textId="1E62866C" w:rsidR="00042B91" w:rsidRPr="009461CC" w:rsidRDefault="00921549" w:rsidP="001E6921">
      <w:pPr>
        <w:spacing w:after="0" w:afterAutospacing="0" w:line="240" w:lineRule="auto"/>
        <w:ind w:left="792"/>
        <w:rPr>
          <w:rFonts w:cs="Times New Roman"/>
        </w:rPr>
      </w:pPr>
      <w:r>
        <w:rPr>
          <w:rFonts w:cs="Times New Roman"/>
          <w:lang w:val="lv"/>
        </w:rPr>
        <w:t>Atrieve vaskulārā Snare komplekts</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59145F" w:rsidRDefault="00221CEF" w:rsidP="00042B91">
      <w:pPr>
        <w:pStyle w:val="Heading1"/>
        <w:rPr>
          <w:rFonts w:cs="Times New Roman"/>
          <w:lang w:val="it-IT"/>
        </w:rPr>
      </w:pPr>
      <w:bookmarkStart w:id="2" w:name="_Toc222741516"/>
      <w:r>
        <w:rPr>
          <w:rFonts w:cs="Times New Roman"/>
          <w:bCs/>
          <w:lang w:val="lv"/>
        </w:rPr>
        <w:t>Ierīces apraksts, pamata UDI-DI un ES klasifikācija</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lv"/>
              </w:rPr>
              <w:t>Ierīces nosaukums un apraksts</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lv"/>
              </w:rPr>
              <w:t>Klasifikācija</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lv"/>
              </w:rPr>
              <w:t>GMDN kods</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lv"/>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lv"/>
              </w:rPr>
              <w:t>Pamata UDI-DI</w:t>
            </w:r>
          </w:p>
        </w:tc>
      </w:tr>
      <w:tr w:rsidR="006266F5" w:rsidRPr="009461CC" w14:paraId="72288A12" w14:textId="77777777" w:rsidTr="006266F5">
        <w:tc>
          <w:tcPr>
            <w:tcW w:w="3795" w:type="dxa"/>
          </w:tcPr>
          <w:p w14:paraId="04AE147E" w14:textId="07005FC5" w:rsidR="006266F5" w:rsidRPr="009461CC" w:rsidRDefault="006266F5" w:rsidP="005B3E76">
            <w:pPr>
              <w:rPr>
                <w:rFonts w:cs="Times New Roman"/>
              </w:rPr>
            </w:pPr>
            <w:r>
              <w:rPr>
                <w:rFonts w:cs="Times New Roman"/>
                <w:lang w:val="lv"/>
              </w:rPr>
              <w:t>Atrieve Vascular Snare™ komplekts, 6–10 mm diametrs x 120 cm slazds, 6F x 100 cm katetrs</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lv"/>
              </w:rPr>
              <w:t>III klase</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lv"/>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lv"/>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lv"/>
              </w:rPr>
              <w:t>088633329000132</w:t>
            </w:r>
          </w:p>
        </w:tc>
      </w:tr>
      <w:tr w:rsidR="006266F5" w:rsidRPr="009461CC" w14:paraId="674985B4" w14:textId="77777777" w:rsidTr="006266F5">
        <w:tc>
          <w:tcPr>
            <w:tcW w:w="3795" w:type="dxa"/>
          </w:tcPr>
          <w:p w14:paraId="1845B978" w14:textId="3466CA48" w:rsidR="006266F5" w:rsidRPr="009461CC" w:rsidRDefault="006266F5" w:rsidP="005B3E76">
            <w:pPr>
              <w:rPr>
                <w:rFonts w:cs="Times New Roman"/>
              </w:rPr>
            </w:pPr>
            <w:r>
              <w:rPr>
                <w:rFonts w:cs="Times New Roman"/>
                <w:lang w:val="lv"/>
              </w:rPr>
              <w:t xml:space="preserve">Atrieve Vascular Snare™ komplekts, 9–15 mm diametrs x 120 cm slazds, 6F x 100 cm katetrs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666AEB18" w:rsidR="006266F5" w:rsidRPr="009461CC" w:rsidRDefault="006266F5" w:rsidP="005B3E76">
            <w:pPr>
              <w:rPr>
                <w:rFonts w:cs="Times New Roman"/>
              </w:rPr>
            </w:pPr>
            <w:r>
              <w:rPr>
                <w:rFonts w:cs="Times New Roman"/>
                <w:lang w:val="lv"/>
              </w:rPr>
              <w:t xml:space="preserve">Atrieve Vascular Snare™ komplekts, 12–20 mm diametrs x 120 cm slazds, 6F x 100 cm katetrs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2EC9E7BD" w:rsidR="006266F5" w:rsidRPr="009461CC" w:rsidRDefault="006266F5" w:rsidP="005B3E76">
            <w:pPr>
              <w:rPr>
                <w:rFonts w:cs="Times New Roman"/>
              </w:rPr>
            </w:pPr>
            <w:r>
              <w:rPr>
                <w:rFonts w:cs="Times New Roman"/>
                <w:lang w:val="lv"/>
              </w:rPr>
              <w:t xml:space="preserve">Atrieve Vascular Snare™ komplekts, 18–30 mm diametrs x 120 cm slazds, 7F x 100 cm katetrs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12CC0658" w:rsidR="006266F5" w:rsidRPr="009461CC" w:rsidRDefault="006266F5" w:rsidP="005B3E76">
            <w:pPr>
              <w:rPr>
                <w:rFonts w:cs="Times New Roman"/>
              </w:rPr>
            </w:pPr>
            <w:r>
              <w:rPr>
                <w:rFonts w:cs="Times New Roman"/>
                <w:lang w:val="lv"/>
              </w:rPr>
              <w:t>Atrieve Vascular Snare™ komplekts, 27–45 mm diametrs x 120 cm slazds, 7F x 100 cm katetrs</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381C18CA" w:rsidR="006266F5" w:rsidRPr="009461CC" w:rsidRDefault="006266F5" w:rsidP="005B3E76">
            <w:pPr>
              <w:rPr>
                <w:rFonts w:cs="Times New Roman"/>
              </w:rPr>
            </w:pPr>
            <w:r>
              <w:rPr>
                <w:rFonts w:cs="Times New Roman"/>
                <w:lang w:val="lv"/>
              </w:rPr>
              <w:t xml:space="preserve">Atrieve Vascular Snare™ komplekts, 2–4 mm diametrs x 175 cm slazds, 3,2F x 150 cm katetrs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28EFC76A" w:rsidR="006266F5" w:rsidRPr="009461CC" w:rsidRDefault="006266F5" w:rsidP="005B3E76">
            <w:pPr>
              <w:rPr>
                <w:rFonts w:cs="Times New Roman"/>
              </w:rPr>
            </w:pPr>
            <w:r>
              <w:rPr>
                <w:rFonts w:cs="Times New Roman"/>
                <w:lang w:val="lv"/>
              </w:rPr>
              <w:t>Atrieve Vascular Snare™ komplekts, 4–8 mm diametrs x 175 cm slazds, 3,2F x 150 cm katetrs</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9461CC" w:rsidRDefault="009855C3" w:rsidP="00042B91">
      <w:pPr>
        <w:pStyle w:val="Heading1"/>
        <w:rPr>
          <w:rFonts w:cs="Times New Roman"/>
        </w:rPr>
      </w:pPr>
      <w:bookmarkStart w:id="3" w:name="_Toc222741517"/>
      <w:r>
        <w:rPr>
          <w:rFonts w:cs="Times New Roman"/>
          <w:bCs/>
          <w:lang w:val="lv"/>
        </w:rPr>
        <w:t>Gads, kad tika izsniegts pirmais sertifikāts (CE) par ierīci</w:t>
      </w:r>
      <w:bookmarkEnd w:id="3"/>
      <w:r>
        <w:rPr>
          <w:rFonts w:cs="Times New Roman"/>
          <w:bCs/>
          <w:lang w:val="lv"/>
        </w:rPr>
        <w:t xml:space="preserve"> </w:t>
      </w:r>
    </w:p>
    <w:p w14:paraId="76BA3EF9" w14:textId="5280D082" w:rsidR="00713233" w:rsidRPr="009461CC" w:rsidRDefault="00921549" w:rsidP="00E714ED">
      <w:pPr>
        <w:spacing w:after="0" w:afterAutospacing="0" w:line="240" w:lineRule="auto"/>
        <w:ind w:left="792"/>
        <w:rPr>
          <w:rFonts w:cs="Times New Roman"/>
        </w:rPr>
      </w:pPr>
      <w:r>
        <w:rPr>
          <w:rFonts w:cs="Times New Roman"/>
          <w:lang w:val="lv"/>
        </w:rPr>
        <w:t>Atrieve vaskulārā Snare komplekts</w:t>
      </w:r>
      <w:r w:rsidR="00780A59">
        <w:rPr>
          <w:rFonts w:cs="Times New Roman"/>
          <w:lang w:val="lv"/>
        </w:rPr>
        <w:t xml:space="preserve"> saņēma CE marķējumu (CE 608298) 2010. gadā saskaņā ar MDD </w:t>
      </w:r>
    </w:p>
    <w:p w14:paraId="6B157940" w14:textId="77777777" w:rsidR="00FE78AD" w:rsidRPr="009461CC" w:rsidRDefault="00FE78AD" w:rsidP="00E714ED">
      <w:pPr>
        <w:spacing w:after="0" w:afterAutospacing="0" w:line="240" w:lineRule="auto"/>
        <w:ind w:left="792"/>
        <w:rPr>
          <w:rFonts w:cs="Times New Roman"/>
        </w:rPr>
      </w:pPr>
    </w:p>
    <w:p w14:paraId="7DB260B7" w14:textId="77777777" w:rsidR="00FE78AD" w:rsidRPr="009461CC" w:rsidRDefault="00FE78AD" w:rsidP="00E714ED">
      <w:pPr>
        <w:spacing w:after="0" w:afterAutospacing="0" w:line="240" w:lineRule="auto"/>
        <w:ind w:left="792"/>
        <w:rPr>
          <w:rFonts w:cs="Times New Roman"/>
        </w:rPr>
      </w:pPr>
    </w:p>
    <w:p w14:paraId="79EE515A" w14:textId="77777777" w:rsidR="00FE78AD" w:rsidRPr="009461CC" w:rsidRDefault="00FE78AD" w:rsidP="00E714ED">
      <w:pPr>
        <w:spacing w:after="0" w:afterAutospacing="0" w:line="240" w:lineRule="auto"/>
        <w:ind w:left="792"/>
        <w:rPr>
          <w:rFonts w:cs="Times New Roman"/>
        </w:rPr>
      </w:pPr>
    </w:p>
    <w:p w14:paraId="234B8791" w14:textId="77777777" w:rsidR="005C6A90" w:rsidRPr="009461CC" w:rsidRDefault="005C6A90" w:rsidP="00E714ED">
      <w:pPr>
        <w:spacing w:after="0" w:afterAutospacing="0" w:line="240" w:lineRule="auto"/>
        <w:ind w:left="792"/>
        <w:rPr>
          <w:rFonts w:cs="Times New Roman"/>
        </w:rPr>
      </w:pPr>
    </w:p>
    <w:p w14:paraId="10A04209" w14:textId="75FC9DEC" w:rsidR="009855C3" w:rsidRPr="009461CC" w:rsidRDefault="009855C3" w:rsidP="00042B91">
      <w:pPr>
        <w:pStyle w:val="Heading1"/>
        <w:rPr>
          <w:rFonts w:cs="Times New Roman"/>
        </w:rPr>
      </w:pPr>
      <w:r>
        <w:rPr>
          <w:rFonts w:cs="Times New Roman"/>
          <w:bCs/>
          <w:lang w:val="lv"/>
        </w:rPr>
        <w:t xml:space="preserve"> </w:t>
      </w:r>
      <w:bookmarkStart w:id="4" w:name="_Toc222741518"/>
      <w:r>
        <w:rPr>
          <w:rFonts w:cs="Times New Roman"/>
          <w:bCs/>
          <w:lang w:val="lv"/>
        </w:rPr>
        <w:t>Ražotāja nosaukums, adrese un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lv"/>
              </w:rPr>
              <w:t>Ražotāja informācija</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lv"/>
              </w:rPr>
              <w:t>Ražotāja vienotais reģistrācijas numurs (SRN): US-MF-000002324</w:t>
            </w:r>
          </w:p>
        </w:tc>
        <w:tc>
          <w:tcPr>
            <w:tcW w:w="2759" w:type="pct"/>
          </w:tcPr>
          <w:p w14:paraId="61E93080" w14:textId="77777777" w:rsidR="00493B5B" w:rsidRPr="009461CC" w:rsidRDefault="00493B5B" w:rsidP="00AA3694">
            <w:pPr>
              <w:spacing w:after="0" w:afterAutospacing="0"/>
              <w:rPr>
                <w:szCs w:val="24"/>
              </w:rPr>
            </w:pPr>
            <w:r>
              <w:rPr>
                <w:szCs w:val="24"/>
                <w:lang w:val="lv"/>
              </w:rPr>
              <w:t>Ražotāja nosaukums: Argon Medical Devices, Inc.</w:t>
            </w:r>
          </w:p>
        </w:tc>
      </w:tr>
      <w:tr w:rsidR="00493B5B" w:rsidRPr="009461CC" w14:paraId="03F91594" w14:textId="77777777" w:rsidTr="00272DEA">
        <w:trPr>
          <w:trHeight w:val="525"/>
        </w:trPr>
        <w:tc>
          <w:tcPr>
            <w:tcW w:w="2241" w:type="pct"/>
          </w:tcPr>
          <w:p w14:paraId="119B5A73" w14:textId="77777777" w:rsidR="00493B5B" w:rsidRPr="009461CC" w:rsidRDefault="00493B5B" w:rsidP="00AA3694">
            <w:pPr>
              <w:spacing w:after="0" w:afterAutospacing="0"/>
              <w:jc w:val="both"/>
              <w:rPr>
                <w:spacing w:val="-2"/>
                <w:szCs w:val="24"/>
              </w:rPr>
            </w:pPr>
            <w:r>
              <w:rPr>
                <w:szCs w:val="24"/>
                <w:lang w:val="lv"/>
              </w:rPr>
              <w:t>Kontaktpersonas vārds un uzvārds: Skots Bišops</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lv"/>
              </w:rPr>
              <w:t>E-pasts:</w:t>
            </w:r>
            <w:r>
              <w:rPr>
                <w:sz w:val="22"/>
                <w:lang w:val="lv"/>
              </w:rPr>
              <w:t xml:space="preserve"> </w:t>
            </w:r>
            <w:hyperlink r:id="rId11" w:history="1">
              <w:r>
                <w:rPr>
                  <w:color w:val="0563C1"/>
                  <w:szCs w:val="24"/>
                  <w:u w:val="single"/>
                  <w:lang w:val="lv"/>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lv"/>
              </w:rPr>
              <w:t>Tālruņa numurs: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lv"/>
              </w:rPr>
              <w:t>Adrese:</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lv"/>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lv"/>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lv"/>
              </w:rPr>
              <w:t>USA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9461CC" w:rsidRDefault="00887E5D" w:rsidP="00AA3694">
      <w:pPr>
        <w:pStyle w:val="Heading1"/>
        <w:rPr>
          <w:rFonts w:cs="Times New Roman"/>
        </w:rPr>
      </w:pPr>
      <w:bookmarkStart w:id="5" w:name="_Toc222741519"/>
      <w:r>
        <w:rPr>
          <w:rFonts w:cs="Times New Roman"/>
          <w:bCs/>
          <w:lang w:val="lv"/>
        </w:rPr>
        <w:t>Pilnvarotā pārstāvja nosaukums un SRN: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lv"/>
              </w:rPr>
              <w:t>Pilnvarotā pārstāvja informācija</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lv"/>
              </w:rPr>
              <w:t>SRN: NL-AR-000000116</w:t>
            </w:r>
          </w:p>
        </w:tc>
        <w:tc>
          <w:tcPr>
            <w:tcW w:w="2759" w:type="pct"/>
          </w:tcPr>
          <w:p w14:paraId="25BF63FC" w14:textId="77777777" w:rsidR="008A210D" w:rsidRPr="009461CC" w:rsidRDefault="008A210D" w:rsidP="008A210D">
            <w:pPr>
              <w:widowControl w:val="0"/>
              <w:autoSpaceDE w:val="0"/>
              <w:autoSpaceDN w:val="0"/>
              <w:spacing w:before="119" w:after="0" w:afterAutospacing="0"/>
              <w:rPr>
                <w:bCs/>
                <w:szCs w:val="24"/>
              </w:rPr>
            </w:pPr>
            <w:r>
              <w:rPr>
                <w:szCs w:val="24"/>
                <w:lang w:val="lv"/>
              </w:rPr>
              <w:t>Pilnvarotā pārstāvja organizācijas nosaukums:</w:t>
            </w:r>
          </w:p>
          <w:p w14:paraId="3A6B7B5C" w14:textId="77777777" w:rsidR="008A210D" w:rsidRPr="009461CC" w:rsidRDefault="008A210D" w:rsidP="008A210D">
            <w:pPr>
              <w:spacing w:after="0" w:afterAutospacing="0"/>
              <w:rPr>
                <w:szCs w:val="24"/>
              </w:rPr>
            </w:pPr>
            <w:r>
              <w:rPr>
                <w:szCs w:val="24"/>
                <w:lang w:val="lv"/>
              </w:rPr>
              <w:t>Emergo Europe</w:t>
            </w:r>
          </w:p>
        </w:tc>
      </w:tr>
      <w:tr w:rsidR="008A210D" w:rsidRPr="0059145F" w14:paraId="7AE34B46" w14:textId="77777777" w:rsidTr="00272DEA">
        <w:trPr>
          <w:trHeight w:val="525"/>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lv"/>
              </w:rPr>
              <w:t>Kontaktinformācija: vigilances komanda</w:t>
            </w:r>
          </w:p>
        </w:tc>
        <w:tc>
          <w:tcPr>
            <w:tcW w:w="2759" w:type="pct"/>
          </w:tcPr>
          <w:p w14:paraId="2A3CD5D0" w14:textId="77777777" w:rsidR="008A210D" w:rsidRPr="0059145F" w:rsidRDefault="008A210D" w:rsidP="008A210D">
            <w:pPr>
              <w:widowControl w:val="0"/>
              <w:autoSpaceDE w:val="0"/>
              <w:autoSpaceDN w:val="0"/>
              <w:spacing w:before="39" w:after="0" w:afterAutospacing="0"/>
              <w:rPr>
                <w:spacing w:val="-2"/>
                <w:szCs w:val="24"/>
                <w:lang w:val="it-IT"/>
              </w:rPr>
            </w:pPr>
            <w:r>
              <w:rPr>
                <w:szCs w:val="24"/>
                <w:lang w:val="lv"/>
              </w:rPr>
              <w:t xml:space="preserve">E-pasts: </w:t>
            </w:r>
            <w:hyperlink r:id="rId12" w:history="1">
              <w:r>
                <w:rPr>
                  <w:color w:val="0563C1"/>
                  <w:szCs w:val="24"/>
                  <w:u w:val="single"/>
                  <w:lang w:val="lv"/>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lv"/>
              </w:rPr>
              <w:t>Tālruņa numurs: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lv"/>
              </w:rPr>
              <w:t>Fakss: +31 (0)70 346 7299</w:t>
            </w:r>
          </w:p>
        </w:tc>
        <w:tc>
          <w:tcPr>
            <w:tcW w:w="2759" w:type="pct"/>
          </w:tcPr>
          <w:p w14:paraId="2F414254" w14:textId="77777777" w:rsidR="008A210D" w:rsidRPr="0059145F" w:rsidRDefault="008A210D" w:rsidP="009709B4">
            <w:pPr>
              <w:widowControl w:val="0"/>
              <w:autoSpaceDE w:val="0"/>
              <w:autoSpaceDN w:val="0"/>
              <w:spacing w:after="0" w:afterAutospacing="0"/>
              <w:rPr>
                <w:spacing w:val="-2"/>
                <w:szCs w:val="24"/>
                <w:lang w:val="de-DE"/>
              </w:rPr>
            </w:pPr>
            <w:r>
              <w:rPr>
                <w:szCs w:val="24"/>
                <w:lang w:val="lv"/>
              </w:rPr>
              <w:t>Adrese</w:t>
            </w:r>
          </w:p>
          <w:p w14:paraId="759A4A48" w14:textId="77777777" w:rsidR="008A210D" w:rsidRPr="0059145F" w:rsidRDefault="008A210D" w:rsidP="009709B4">
            <w:pPr>
              <w:widowControl w:val="0"/>
              <w:autoSpaceDE w:val="0"/>
              <w:autoSpaceDN w:val="0"/>
              <w:spacing w:after="0" w:afterAutospacing="0"/>
              <w:rPr>
                <w:spacing w:val="-2"/>
                <w:szCs w:val="24"/>
                <w:lang w:val="de-DE"/>
              </w:rPr>
            </w:pPr>
            <w:r>
              <w:rPr>
                <w:szCs w:val="24"/>
                <w:lang w:val="lv"/>
              </w:rPr>
              <w:t>Ielas numurs un nosaukums:</w:t>
            </w:r>
            <w:r>
              <w:rPr>
                <w:sz w:val="22"/>
                <w:lang w:val="lv"/>
              </w:rPr>
              <w:t xml:space="preserve"> 60 </w:t>
            </w:r>
            <w:r>
              <w:rPr>
                <w:szCs w:val="24"/>
                <w:lang w:val="lv"/>
              </w:rPr>
              <w:t>Westervoortsedijk</w:t>
            </w:r>
          </w:p>
          <w:p w14:paraId="3B20AE15" w14:textId="77777777" w:rsidR="008A210D" w:rsidRPr="009461CC" w:rsidRDefault="008A210D" w:rsidP="009709B4">
            <w:pPr>
              <w:widowControl w:val="0"/>
              <w:autoSpaceDE w:val="0"/>
              <w:autoSpaceDN w:val="0"/>
              <w:spacing w:after="0" w:afterAutospacing="0"/>
              <w:rPr>
                <w:spacing w:val="-2"/>
                <w:szCs w:val="24"/>
              </w:rPr>
            </w:pPr>
            <w:r>
              <w:rPr>
                <w:szCs w:val="24"/>
                <w:lang w:val="lv"/>
              </w:rPr>
              <w:t>Pilsēta: Arnema</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lv"/>
              </w:rPr>
              <w:t>Pasta indekss: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lv"/>
              </w:rPr>
              <w:t>Valsts: Nīderlande</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59145F" w:rsidRDefault="009855C3" w:rsidP="003074B3">
      <w:pPr>
        <w:pStyle w:val="Heading1"/>
        <w:rPr>
          <w:rFonts w:cs="Times New Roman"/>
          <w:lang w:val="it-IT"/>
        </w:rPr>
      </w:pPr>
      <w:bookmarkStart w:id="6" w:name="_Toc222741520"/>
      <w:r>
        <w:rPr>
          <w:rFonts w:cs="Times New Roman"/>
          <w:bCs/>
          <w:lang w:val="lv"/>
        </w:rPr>
        <w:t>PI nosaukums un vienotais identifikācijas numurs</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lv"/>
              </w:rPr>
              <w:t>Paziņotā iestāde</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lv"/>
              </w:rPr>
              <w:t>Nosaukums:</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lv"/>
              </w:rPr>
              <w:t>Britu Standartu institūta (BSI) grupa Nīderlandē, B.V.</w:t>
            </w:r>
          </w:p>
        </w:tc>
      </w:tr>
      <w:tr w:rsidR="003074B3" w:rsidRPr="0059145F"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lv"/>
              </w:rPr>
              <w:t>Adrese:</w:t>
            </w:r>
          </w:p>
        </w:tc>
        <w:tc>
          <w:tcPr>
            <w:tcW w:w="3170" w:type="pct"/>
          </w:tcPr>
          <w:p w14:paraId="727CFF1E" w14:textId="77777777" w:rsidR="003074B3" w:rsidRPr="0059145F"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lv"/>
              </w:rPr>
              <w:t>John M. Keynesplein 9</w:t>
            </w:r>
          </w:p>
          <w:p w14:paraId="4054093A" w14:textId="77777777" w:rsidR="003074B3" w:rsidRPr="0059145F"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lv"/>
              </w:rPr>
              <w:t>1066 EP Amsterdam</w:t>
            </w:r>
          </w:p>
          <w:p w14:paraId="72F2BC20" w14:textId="77777777" w:rsidR="003074B3" w:rsidRPr="0059145F"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lv"/>
              </w:rPr>
              <w:t xml:space="preserve"> Nīderlande</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lv"/>
              </w:rPr>
              <w:t>Tīmekļa vietne:</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lv"/>
                </w:rPr>
                <w:t>www.bsigroup.com</w:t>
              </w:r>
            </w:hyperlink>
            <w:r>
              <w:rPr>
                <w:rFonts w:eastAsia="Times New Roman" w:cs="Times New Roman"/>
                <w:szCs w:val="24"/>
                <w:lang w:val="lv"/>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lv"/>
              </w:rPr>
              <w:t>Tālrunis:</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lv"/>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lv"/>
              </w:rPr>
              <w:t>Fakss:</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lv"/>
              </w:rPr>
              <w:t>+31 (0)20 346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lv"/>
              </w:rPr>
              <w:t>Paziņotās iestādes numurs:</w:t>
            </w:r>
            <w:r>
              <w:rPr>
                <w:rFonts w:eastAsia="Times New Roman" w:cs="Times New Roman"/>
                <w:szCs w:val="24"/>
                <w:lang w:val="lv"/>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lv"/>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521"/>
      <w:r>
        <w:rPr>
          <w:rFonts w:cs="Times New Roman"/>
          <w:bCs/>
          <w:lang w:val="lv"/>
        </w:rPr>
        <w:t>Ierīces paredzētā izmantošana/mērķis</w:t>
      </w:r>
      <w:bookmarkEnd w:id="7"/>
      <w:r>
        <w:rPr>
          <w:rFonts w:cs="Times New Roman"/>
          <w:bCs/>
          <w:lang w:val="lv"/>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lv"/>
        </w:rPr>
        <w:t>Atsauces:</w:t>
      </w:r>
    </w:p>
    <w:p w14:paraId="5CC3EE9B" w14:textId="1A780D49" w:rsidR="00042B91" w:rsidRPr="0059145F" w:rsidRDefault="00FE5B73" w:rsidP="00042B91">
      <w:pPr>
        <w:spacing w:after="0" w:afterAutospacing="0" w:line="240" w:lineRule="auto"/>
        <w:rPr>
          <w:rFonts w:cs="Times New Roman"/>
          <w:lang w:val="de-DE"/>
        </w:rPr>
      </w:pPr>
      <w:r>
        <w:rPr>
          <w:rFonts w:cs="Times New Roman"/>
          <w:lang w:val="lv"/>
        </w:rPr>
        <w:t>Atsauces numuri: X9585730-0321-EU Rev A</w:t>
      </w:r>
    </w:p>
    <w:p w14:paraId="1254EE9F" w14:textId="77777777" w:rsidR="00FE5B73" w:rsidRPr="0059145F" w:rsidRDefault="00FE5B73" w:rsidP="00042B91">
      <w:pPr>
        <w:spacing w:after="0" w:afterAutospacing="0" w:line="240" w:lineRule="auto"/>
        <w:rPr>
          <w:rFonts w:cs="Times New Roman"/>
          <w:lang w:val="de-DE"/>
        </w:rPr>
      </w:pPr>
    </w:p>
    <w:p w14:paraId="39A6DB15" w14:textId="58ED6DAB" w:rsidR="006F0810" w:rsidRPr="009461CC" w:rsidRDefault="00B7112F" w:rsidP="00042B91">
      <w:pPr>
        <w:pStyle w:val="Heading1"/>
        <w:rPr>
          <w:rFonts w:cs="Times New Roman"/>
        </w:rPr>
      </w:pPr>
      <w:r>
        <w:rPr>
          <w:rFonts w:cs="Times New Roman"/>
          <w:bCs/>
          <w:lang w:val="lv"/>
        </w:rPr>
        <w:t xml:space="preserve"> </w:t>
      </w:r>
      <w:bookmarkStart w:id="8" w:name="_Toc222741522"/>
      <w:r>
        <w:rPr>
          <w:rFonts w:cs="Times New Roman"/>
          <w:bCs/>
          <w:lang w:val="lv"/>
        </w:rPr>
        <w:t>Paredzētais mērķis/paredzētais lietojums</w:t>
      </w:r>
      <w:bookmarkEnd w:id="8"/>
    </w:p>
    <w:p w14:paraId="5F55F24F" w14:textId="20556298" w:rsidR="009B569A" w:rsidRPr="009461CC" w:rsidRDefault="00B82FB3" w:rsidP="00B82FB3">
      <w:pPr>
        <w:rPr>
          <w:rFonts w:cs="Times New Roman"/>
          <w:shd w:val="clear" w:color="auto" w:fill="FFFFFF"/>
        </w:rPr>
      </w:pPr>
      <w:r>
        <w:rPr>
          <w:rFonts w:cs="Times New Roman"/>
          <w:shd w:val="clear" w:color="auto" w:fill="FFFFFF"/>
          <w:lang w:val="lv"/>
        </w:rPr>
        <w:lastRenderedPageBreak/>
        <w:t>Paredzēts lietošanai sirds un asinsvadu sistēmā vai dobos orgānos, lai izņemtu svešķermeņus un manipulētu ar tiem.</w:t>
      </w:r>
    </w:p>
    <w:p w14:paraId="0540FB4C" w14:textId="6BE36C7A" w:rsidR="006F0810" w:rsidRPr="009461CC" w:rsidRDefault="006F0810" w:rsidP="00042B91">
      <w:pPr>
        <w:pStyle w:val="Heading1"/>
        <w:rPr>
          <w:rFonts w:cs="Times New Roman"/>
        </w:rPr>
      </w:pPr>
      <w:bookmarkStart w:id="9" w:name="_Toc222741523"/>
      <w:r>
        <w:rPr>
          <w:rFonts w:cs="Times New Roman"/>
          <w:bCs/>
          <w:lang w:val="lv"/>
        </w:rPr>
        <w:t>Lietošanas indikācija</w:t>
      </w:r>
      <w:bookmarkEnd w:id="9"/>
    </w:p>
    <w:p w14:paraId="24ADD508" w14:textId="77777777" w:rsidR="00235AAE" w:rsidRPr="0059145F" w:rsidRDefault="00235AAE" w:rsidP="00235AAE">
      <w:pPr>
        <w:widowControl w:val="0"/>
        <w:rPr>
          <w:rFonts w:cs="Times New Roman"/>
          <w:lang w:val="lv"/>
        </w:rPr>
      </w:pPr>
      <w:r>
        <w:rPr>
          <w:rFonts w:cs="Times New Roman"/>
          <w:lang w:val="lv"/>
        </w:rPr>
        <w:t>Paredzēts lietošanai sirds un asinsvadu sistēmā vai dobos orgānos, lai izņemtu svešķermeņus un manipulētu ar tiem. Manipulācijas procedūras ietver pastāvīgā vēnu katetra pārvietošanu, pastāvīgā venozā katetra fibrīna apvalka noņemšanu un palīdzību centrālo vēnu piekļuvei venopunktūras procedūras laikā.</w:t>
      </w:r>
    </w:p>
    <w:p w14:paraId="498EAE44" w14:textId="77777777" w:rsidR="00D20FA4" w:rsidRPr="009461CC" w:rsidRDefault="00D20FA4" w:rsidP="00042B91">
      <w:pPr>
        <w:pStyle w:val="Heading1"/>
        <w:rPr>
          <w:rFonts w:cs="Times New Roman"/>
        </w:rPr>
      </w:pPr>
      <w:bookmarkStart w:id="10" w:name="_Toc222741524"/>
      <w:r>
        <w:rPr>
          <w:rFonts w:cs="Times New Roman"/>
          <w:bCs/>
          <w:lang w:val="lv"/>
        </w:rPr>
        <w:t>Mērķa populācija</w:t>
      </w:r>
      <w:bookmarkEnd w:id="10"/>
    </w:p>
    <w:p w14:paraId="099A3585" w14:textId="77777777" w:rsidR="003B70D7" w:rsidRPr="009461CC" w:rsidRDefault="003B70D7" w:rsidP="005A1E4B">
      <w:pPr>
        <w:pStyle w:val="pf0"/>
        <w:widowControl w:val="0"/>
        <w:spacing w:before="0" w:beforeAutospacing="0" w:after="0" w:afterAutospacing="0"/>
      </w:pPr>
      <w:r>
        <w:rPr>
          <w:lang w:val="lv"/>
        </w:rPr>
        <w:t>Pieaugušie pacienti ietver gados vecākus pieaugušos, neatkarīgi no dzimuma, rases vai etniskās piederības.</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1525"/>
      <w:r>
        <w:rPr>
          <w:rFonts w:cs="Times New Roman"/>
          <w:bCs/>
          <w:lang w:val="lv"/>
        </w:rPr>
        <w:t>Kontrindikācijas</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cs="Times New Roman"/>
          <w:color w:val="000000"/>
          <w:lang w:val="lv"/>
        </w:rPr>
        <w:t>Šī ierīce nav paredzēta tam, lai izņemtu svešķermeņus, kas iesprostoti augošajos audos</w:t>
      </w:r>
      <w:r>
        <w:rPr>
          <w:rFonts w:cs="Times New Roman"/>
          <w:color w:val="4472C4" w:themeColor="accent1"/>
          <w:lang w:val="lv"/>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lv"/>
        </w:rPr>
        <w:t>Ierīci nedrīkst izmantot fibrīna apvalka noņemšanai foramen ovale apertum starpsienas defektu gadījumā.</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lv"/>
        </w:rPr>
        <w:t>Šī ierīce nav paredzēta tam, lai izņemtu implantētus kardiostimulācijas novadījumus.</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1526"/>
      <w:r>
        <w:rPr>
          <w:rFonts w:cs="Times New Roman"/>
          <w:bCs/>
          <w:lang w:val="lv"/>
        </w:rPr>
        <w:t>Ierīces apraksts</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527"/>
      <w:r>
        <w:rPr>
          <w:rFonts w:cs="Times New Roman"/>
          <w:bCs/>
          <w:lang w:val="lv"/>
        </w:rPr>
        <w:t>Ierīces apraksts</w:t>
      </w:r>
      <w:bookmarkEnd w:id="13"/>
      <w:r>
        <w:rPr>
          <w:rFonts w:cs="Times New Roman"/>
          <w:bCs/>
          <w:lang w:val="lv"/>
        </w:rPr>
        <w:t xml:space="preserve"> </w:t>
      </w:r>
    </w:p>
    <w:p w14:paraId="3DAFEC6E" w14:textId="2D5053F8" w:rsidR="00994DB9" w:rsidRPr="0059145F" w:rsidRDefault="00921549" w:rsidP="00994DB9">
      <w:pPr>
        <w:rPr>
          <w:rFonts w:cs="Times New Roman"/>
          <w:lang w:val="lv"/>
        </w:rPr>
      </w:pPr>
      <w:bookmarkStart w:id="14" w:name="_Hlk169187630"/>
      <w:r>
        <w:rPr>
          <w:rFonts w:cs="Times New Roman"/>
          <w:lang w:val="lv"/>
        </w:rPr>
        <w:t>Atrieve™ vaskulārā Snare komplekts</w:t>
      </w:r>
      <w:r w:rsidR="00994DB9">
        <w:rPr>
          <w:rFonts w:cs="Times New Roman"/>
          <w:lang w:val="lv"/>
        </w:rPr>
        <w:t xml:space="preserve"> sastāv no slazda ierīces ar trim iepriekš izveidotām cilpām, kas izgatavotas no superelastīga nitinola un platīna. Cilpas nav savītas un var slīdēt viena pret otru. Slazda cilpas var ievietot ievades katetrā, neradot pastāvīgu ierīces deformācijas risku. Atrieve vaskulārā </w:t>
      </w:r>
      <w:r>
        <w:rPr>
          <w:rFonts w:cs="Times New Roman"/>
          <w:lang w:val="lv"/>
        </w:rPr>
        <w:t>Snare</w:t>
      </w:r>
      <w:r w:rsidR="00994DB9">
        <w:rPr>
          <w:rFonts w:cs="Times New Roman"/>
          <w:lang w:val="lv"/>
        </w:rPr>
        <w:t xml:space="preserve"> komplektā ietilpst arī ievades katetrs, griezes momenta rokturis un ievadītājs. Ievades katetram distālajā galā ir rentgenstarojuma necaurlaidīga josla. Produkts ir iepakots aizsargājošā stīpas turētājā. Ierīce ir paredzēta vienreizējai lietošanai un tiek piegādāta sterila (etilēnoksīds) un gatava lietošanai.</w:t>
      </w:r>
    </w:p>
    <w:p w14:paraId="210E0750" w14:textId="52307C3D" w:rsidR="00994DB9" w:rsidRPr="009461CC" w:rsidRDefault="00921549" w:rsidP="00994DB9">
      <w:pPr>
        <w:rPr>
          <w:rFonts w:cs="Times New Roman"/>
        </w:rPr>
      </w:pPr>
      <w:r>
        <w:rPr>
          <w:rFonts w:cs="Times New Roman"/>
          <w:lang w:val="lv"/>
        </w:rPr>
        <w:t>Atrieve™ vaskulārā Snare komplekts</w:t>
      </w:r>
      <w:r w:rsidR="00994DB9">
        <w:rPr>
          <w:rFonts w:cs="Times New Roman"/>
          <w:lang w:val="lv"/>
        </w:rPr>
        <w:t xml:space="preserve"> ir pieejams šādos izmēros:</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lv"/>
              </w:rPr>
              <w:t>Slazda diametru diapazons</w:t>
            </w:r>
          </w:p>
        </w:tc>
        <w:tc>
          <w:tcPr>
            <w:tcW w:w="1274" w:type="pct"/>
          </w:tcPr>
          <w:p w14:paraId="2775F724" w14:textId="77777777" w:rsidR="00994DB9" w:rsidRPr="009461CC" w:rsidRDefault="00994DB9" w:rsidP="0022766F">
            <w:pPr>
              <w:widowControl w:val="0"/>
              <w:rPr>
                <w:rFonts w:cs="Times New Roman"/>
              </w:rPr>
            </w:pPr>
            <w:r>
              <w:rPr>
                <w:rFonts w:cs="Times New Roman"/>
                <w:lang w:val="lv"/>
              </w:rPr>
              <w:t>Slazda garums</w:t>
            </w:r>
          </w:p>
        </w:tc>
        <w:tc>
          <w:tcPr>
            <w:tcW w:w="1123" w:type="pct"/>
          </w:tcPr>
          <w:p w14:paraId="7396E037" w14:textId="77777777" w:rsidR="00994DB9" w:rsidRPr="009461CC" w:rsidRDefault="00994DB9" w:rsidP="0022766F">
            <w:pPr>
              <w:widowControl w:val="0"/>
              <w:rPr>
                <w:rFonts w:cs="Times New Roman"/>
              </w:rPr>
            </w:pPr>
            <w:r>
              <w:rPr>
                <w:rFonts w:cs="Times New Roman"/>
                <w:lang w:val="lv"/>
              </w:rPr>
              <w:t>Ievades izmērs</w:t>
            </w:r>
          </w:p>
        </w:tc>
        <w:tc>
          <w:tcPr>
            <w:tcW w:w="1250" w:type="pct"/>
          </w:tcPr>
          <w:p w14:paraId="7E248A66" w14:textId="77777777" w:rsidR="00994DB9" w:rsidRPr="009461CC" w:rsidRDefault="00994DB9" w:rsidP="0022766F">
            <w:pPr>
              <w:widowControl w:val="0"/>
              <w:rPr>
                <w:rFonts w:cs="Times New Roman"/>
              </w:rPr>
            </w:pPr>
            <w:r>
              <w:rPr>
                <w:rFonts w:cs="Times New Roman"/>
                <w:lang w:val="lv"/>
              </w:rPr>
              <w:t>Katetra garums</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lv"/>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lv"/>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lv"/>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lv"/>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lv"/>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lv"/>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lv"/>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lv"/>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lv"/>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lv"/>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lv"/>
              </w:rPr>
              <w:t>6°F</w:t>
            </w:r>
          </w:p>
        </w:tc>
        <w:tc>
          <w:tcPr>
            <w:tcW w:w="1250" w:type="pct"/>
          </w:tcPr>
          <w:p w14:paraId="16036ECD" w14:textId="77777777" w:rsidR="00994DB9" w:rsidRPr="009461CC" w:rsidRDefault="00994DB9" w:rsidP="0022766F">
            <w:pPr>
              <w:widowControl w:val="0"/>
              <w:rPr>
                <w:rFonts w:cs="Times New Roman"/>
              </w:rPr>
            </w:pPr>
            <w:r>
              <w:rPr>
                <w:rFonts w:cs="Times New Roman"/>
                <w:lang w:val="lv"/>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lv"/>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lv"/>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lv"/>
              </w:rPr>
              <w:t>6°F</w:t>
            </w:r>
          </w:p>
        </w:tc>
        <w:tc>
          <w:tcPr>
            <w:tcW w:w="1250" w:type="pct"/>
          </w:tcPr>
          <w:p w14:paraId="70150399" w14:textId="77777777" w:rsidR="00994DB9" w:rsidRPr="009461CC" w:rsidRDefault="00994DB9" w:rsidP="0022766F">
            <w:pPr>
              <w:widowControl w:val="0"/>
              <w:rPr>
                <w:rFonts w:cs="Times New Roman"/>
              </w:rPr>
            </w:pPr>
            <w:r>
              <w:rPr>
                <w:rFonts w:cs="Times New Roman"/>
                <w:lang w:val="lv"/>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lv"/>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lv"/>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lv"/>
              </w:rPr>
              <w:t>6°F</w:t>
            </w:r>
          </w:p>
        </w:tc>
        <w:tc>
          <w:tcPr>
            <w:tcW w:w="1250" w:type="pct"/>
          </w:tcPr>
          <w:p w14:paraId="759B78BD" w14:textId="77777777" w:rsidR="00994DB9" w:rsidRPr="009461CC" w:rsidRDefault="00994DB9" w:rsidP="0022766F">
            <w:pPr>
              <w:widowControl w:val="0"/>
              <w:rPr>
                <w:rFonts w:cs="Times New Roman"/>
              </w:rPr>
            </w:pPr>
            <w:r>
              <w:rPr>
                <w:rFonts w:cs="Times New Roman"/>
                <w:lang w:val="lv"/>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lv"/>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lv"/>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lv"/>
              </w:rPr>
              <w:t>7°F</w:t>
            </w:r>
          </w:p>
        </w:tc>
        <w:tc>
          <w:tcPr>
            <w:tcW w:w="1250" w:type="pct"/>
          </w:tcPr>
          <w:p w14:paraId="4543B8B0" w14:textId="77777777" w:rsidR="00994DB9" w:rsidRPr="009461CC" w:rsidRDefault="00994DB9" w:rsidP="0022766F">
            <w:pPr>
              <w:widowControl w:val="0"/>
              <w:rPr>
                <w:rFonts w:cs="Times New Roman"/>
              </w:rPr>
            </w:pPr>
            <w:r>
              <w:rPr>
                <w:rFonts w:cs="Times New Roman"/>
                <w:lang w:val="lv"/>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lv"/>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lv"/>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lv"/>
              </w:rPr>
              <w:t>7°F</w:t>
            </w:r>
          </w:p>
        </w:tc>
        <w:tc>
          <w:tcPr>
            <w:tcW w:w="1250" w:type="pct"/>
          </w:tcPr>
          <w:p w14:paraId="2DBCCFBE" w14:textId="77777777" w:rsidR="00994DB9" w:rsidRPr="009461CC" w:rsidRDefault="00994DB9" w:rsidP="0022766F">
            <w:pPr>
              <w:widowControl w:val="0"/>
              <w:rPr>
                <w:rFonts w:cs="Times New Roman"/>
              </w:rPr>
            </w:pPr>
            <w:r>
              <w:rPr>
                <w:rFonts w:cs="Times New Roman"/>
                <w:lang w:val="lv"/>
              </w:rPr>
              <w:t>100 cm</w:t>
            </w:r>
          </w:p>
        </w:tc>
      </w:tr>
    </w:tbl>
    <w:p w14:paraId="5D27461E" w14:textId="77777777" w:rsidR="000F4DF1" w:rsidRPr="009461CC" w:rsidRDefault="000F4DF1" w:rsidP="00994DB9">
      <w:pPr>
        <w:rPr>
          <w:rFonts w:cs="Times New Roman"/>
        </w:rPr>
      </w:pPr>
    </w:p>
    <w:p w14:paraId="4C7769AE" w14:textId="77777777" w:rsidR="00D20FA4" w:rsidRPr="009461CC" w:rsidRDefault="00D20FA4" w:rsidP="00042B91">
      <w:pPr>
        <w:pStyle w:val="Heading1"/>
        <w:rPr>
          <w:rFonts w:cs="Times New Roman"/>
        </w:rPr>
      </w:pPr>
      <w:bookmarkStart w:id="15" w:name="_Toc222741528"/>
      <w:bookmarkEnd w:id="14"/>
      <w:r>
        <w:rPr>
          <w:rFonts w:cs="Times New Roman"/>
          <w:bCs/>
          <w:lang w:val="lv"/>
        </w:rPr>
        <w:t>Iepriekšējie varianti un to atšķirības</w:t>
      </w:r>
      <w:bookmarkEnd w:id="15"/>
    </w:p>
    <w:p w14:paraId="060329F5" w14:textId="3AA8BB73" w:rsidR="00042B91" w:rsidRPr="009461CC" w:rsidRDefault="009D7E33" w:rsidP="007B0F04">
      <w:pPr>
        <w:ind w:left="792"/>
        <w:rPr>
          <w:rFonts w:cs="Times New Roman"/>
        </w:rPr>
      </w:pPr>
      <w:r>
        <w:rPr>
          <w:rFonts w:cs="Times New Roman"/>
          <w:lang w:val="lv"/>
        </w:rPr>
        <w:t>Šī sadaļa nav piemērojama (N/A).</w:t>
      </w:r>
    </w:p>
    <w:p w14:paraId="26363C05" w14:textId="77777777" w:rsidR="00760400" w:rsidRPr="009461CC" w:rsidRDefault="00760400" w:rsidP="00042B91">
      <w:pPr>
        <w:pStyle w:val="Heading1"/>
        <w:rPr>
          <w:rFonts w:cs="Times New Roman"/>
        </w:rPr>
      </w:pPr>
      <w:bookmarkStart w:id="16" w:name="_Toc222741529"/>
      <w:r>
        <w:rPr>
          <w:rFonts w:cs="Times New Roman"/>
          <w:bCs/>
          <w:lang w:val="lv"/>
        </w:rPr>
        <w:lastRenderedPageBreak/>
        <w:t>Piederumi, saderīgas ierīces un citi produkti, ko izmanto kombinācijā</w:t>
      </w:r>
      <w:bookmarkEnd w:id="16"/>
    </w:p>
    <w:p w14:paraId="21F32064" w14:textId="0B0C77BA" w:rsidR="00C02BC0" w:rsidRPr="009461CC" w:rsidRDefault="00C02BC0" w:rsidP="007B0F04">
      <w:pPr>
        <w:spacing w:after="0" w:afterAutospacing="0"/>
        <w:ind w:left="792"/>
        <w:rPr>
          <w:rFonts w:cs="Times New Roman"/>
        </w:rPr>
      </w:pPr>
      <w:r>
        <w:rPr>
          <w:rFonts w:cs="Times New Roman"/>
          <w:lang w:val="lv"/>
        </w:rPr>
        <w:t xml:space="preserve">Atrieve vaskulārā </w:t>
      </w:r>
      <w:r w:rsidR="00921549">
        <w:rPr>
          <w:rFonts w:cs="Times New Roman"/>
          <w:lang w:val="lv"/>
        </w:rPr>
        <w:t>Snare</w:t>
      </w:r>
      <w:r>
        <w:rPr>
          <w:rFonts w:cs="Times New Roman"/>
          <w:lang w:val="lv"/>
        </w:rPr>
        <w:t xml:space="preserve"> komplekta piederumi ietver piegādes katetru, ievadītāju un griezes momenta rokturi (tapas skrūvspīles).</w:t>
      </w:r>
    </w:p>
    <w:p w14:paraId="17CCC4B6" w14:textId="77777777" w:rsidR="00042B91" w:rsidRPr="009461CC" w:rsidRDefault="00042B91" w:rsidP="00042B91">
      <w:pPr>
        <w:spacing w:after="0" w:afterAutospacing="0" w:line="240" w:lineRule="auto"/>
        <w:rPr>
          <w:rFonts w:cs="Times New Roman"/>
          <w:i/>
          <w:color w:val="FF0000"/>
        </w:rPr>
      </w:pPr>
    </w:p>
    <w:p w14:paraId="45C0A245" w14:textId="61A622A4" w:rsidR="008745ED" w:rsidRPr="009461CC" w:rsidRDefault="008745ED" w:rsidP="00F67A0E">
      <w:pPr>
        <w:pStyle w:val="Heading1"/>
        <w:numPr>
          <w:ilvl w:val="0"/>
          <w:numId w:val="2"/>
        </w:numPr>
        <w:rPr>
          <w:rFonts w:cs="Times New Roman"/>
        </w:rPr>
      </w:pPr>
      <w:bookmarkStart w:id="17" w:name="_Toc222741530"/>
      <w:r>
        <w:rPr>
          <w:rFonts w:cs="Times New Roman"/>
          <w:bCs/>
          <w:lang w:val="lv"/>
        </w:rPr>
        <w:t>Riski un brīdinājumi</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9461CC" w:rsidRDefault="008745ED" w:rsidP="00042B91">
      <w:pPr>
        <w:pStyle w:val="Heading1"/>
        <w:rPr>
          <w:rFonts w:cs="Times New Roman"/>
        </w:rPr>
      </w:pPr>
      <w:bookmarkStart w:id="18" w:name="_Toc222741531"/>
      <w:r>
        <w:rPr>
          <w:rFonts w:cs="Times New Roman"/>
          <w:bCs/>
          <w:lang w:val="lv"/>
        </w:rPr>
        <w:t>Atlikušie riski un nevēlamās blakusparādības</w:t>
      </w:r>
      <w:bookmarkEnd w:id="18"/>
    </w:p>
    <w:p w14:paraId="2F64097C" w14:textId="607FF4A5" w:rsidR="00D15BBE" w:rsidRPr="009461CC" w:rsidRDefault="00C64987" w:rsidP="008D7F1C">
      <w:pPr>
        <w:ind w:left="792"/>
        <w:rPr>
          <w:rFonts w:cs="Times New Roman"/>
        </w:rPr>
      </w:pPr>
      <w:r>
        <w:rPr>
          <w:rFonts w:cs="Times New Roman"/>
          <w:lang w:val="lv"/>
        </w:rPr>
        <w:t xml:space="preserve">Saskaņā ar RMR-0011 Rev H, produktam tika noteikts šāds riska un ieguvuma profils: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416"/>
        <w:gridCol w:w="3555"/>
      </w:tblGrid>
      <w:tr w:rsidR="00453251" w:rsidRPr="009461CC" w14:paraId="15FC12E9" w14:textId="77777777" w:rsidTr="00453251">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v"/>
              </w:rPr>
              <w:t>Rezultāts</w:t>
            </w:r>
            <w:bookmarkStart w:id="19" w:name="_Toc86391902"/>
            <w:bookmarkEnd w:id="19"/>
          </w:p>
        </w:tc>
        <w:tc>
          <w:tcPr>
            <w:tcW w:w="100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v"/>
              </w:rPr>
              <w:t>SOA</w:t>
            </w:r>
            <w:r>
              <w:rPr>
                <w:rFonts w:ascii="Times New Roman" w:hAnsi="Times New Roman" w:cs="Times New Roman"/>
                <w:lang w:val="lv"/>
              </w:rPr>
              <w:br/>
              <w:t>Vispārējais klāsts</w:t>
            </w:r>
          </w:p>
        </w:tc>
        <w:tc>
          <w:tcPr>
            <w:tcW w:w="1158"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v"/>
              </w:rPr>
              <w:t>Konkurenta ierīce</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v"/>
              </w:rPr>
              <w:t>Vispārējais klāsts</w:t>
            </w:r>
            <w:bookmarkStart w:id="20" w:name="_Toc86391905"/>
            <w:bookmarkEnd w:id="20"/>
          </w:p>
        </w:tc>
        <w:tc>
          <w:tcPr>
            <w:tcW w:w="1704"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v"/>
              </w:rPr>
              <w:t>Pieņemšanas kritēriji</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lv"/>
              </w:rPr>
              <w:t>Drošums</w:t>
            </w:r>
          </w:p>
        </w:tc>
      </w:tr>
      <w:tr w:rsidR="00453251" w:rsidRPr="009461CC" w14:paraId="2ECEC40D" w14:textId="77777777" w:rsidTr="00453251">
        <w:tc>
          <w:tcPr>
            <w:tcW w:w="113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v"/>
              </w:rPr>
              <w:t>Asiņošana</w:t>
            </w:r>
            <w:bookmarkStart w:id="23" w:name="_Toc86391910"/>
            <w:bookmarkEnd w:id="23"/>
          </w:p>
        </w:tc>
        <w:tc>
          <w:tcPr>
            <w:tcW w:w="100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0–3%</w:t>
            </w:r>
          </w:p>
        </w:tc>
        <w:tc>
          <w:tcPr>
            <w:tcW w:w="1158"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lv"/>
              </w:rPr>
              <w:t>0–0,6%</w:t>
            </w:r>
          </w:p>
        </w:tc>
        <w:tc>
          <w:tcPr>
            <w:tcW w:w="1704"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lv"/>
              </w:rPr>
              <w:t xml:space="preserve">Asiņošanas biežums </w:t>
            </w:r>
            <w:r>
              <w:rPr>
                <w:rFonts w:ascii="Times New Roman" w:hAnsi="Times New Roman" w:cs="Times New Roman"/>
                <w:b/>
                <w:bCs/>
                <w:iCs w:val="0"/>
                <w:lang w:val="lv"/>
              </w:rPr>
              <w:t>mazāks par 3%</w:t>
            </w:r>
          </w:p>
        </w:tc>
        <w:bookmarkStart w:id="27" w:name="_Toc86391915"/>
        <w:bookmarkEnd w:id="27"/>
      </w:tr>
      <w:tr w:rsidR="00453251" w:rsidRPr="009461CC" w14:paraId="770200CA" w14:textId="77777777" w:rsidTr="00453251">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lv"/>
              </w:rPr>
              <w:t>Perforācija/audu bojājums</w:t>
            </w:r>
            <w:bookmarkStart w:id="28" w:name="_Toc86391916"/>
            <w:bookmarkEnd w:id="28"/>
          </w:p>
        </w:tc>
        <w:tc>
          <w:tcPr>
            <w:tcW w:w="100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0–1,7%</w:t>
            </w:r>
          </w:p>
        </w:tc>
        <w:tc>
          <w:tcPr>
            <w:tcW w:w="1158"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lv"/>
              </w:rPr>
              <w:t>0–4,0%</w:t>
            </w:r>
          </w:p>
        </w:tc>
        <w:tc>
          <w:tcPr>
            <w:tcW w:w="1704"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lv"/>
              </w:rPr>
              <w:t xml:space="preserve">Perforācijas/audu bojājuma rādītāji </w:t>
            </w:r>
            <w:r>
              <w:rPr>
                <w:rFonts w:ascii="Times New Roman" w:hAnsi="Times New Roman" w:cs="Times New Roman"/>
                <w:b/>
                <w:bCs/>
                <w:iCs w:val="0"/>
                <w:lang w:val="lv"/>
              </w:rPr>
              <w:t>mazāki par 4%</w:t>
            </w:r>
          </w:p>
        </w:tc>
        <w:bookmarkStart w:id="32" w:name="_Toc86391921"/>
        <w:bookmarkEnd w:id="32"/>
      </w:tr>
      <w:tr w:rsidR="00453251" w:rsidRPr="009461CC" w14:paraId="3D17E0CA" w14:textId="77777777" w:rsidTr="00453251">
        <w:tc>
          <w:tcPr>
            <w:tcW w:w="1138"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v"/>
              </w:rPr>
              <w:t>Gaisa embolija</w:t>
            </w:r>
            <w:bookmarkStart w:id="33" w:name="_Toc86391922"/>
            <w:bookmarkEnd w:id="33"/>
          </w:p>
        </w:tc>
        <w:tc>
          <w:tcPr>
            <w:tcW w:w="100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0–2,1%</w:t>
            </w:r>
          </w:p>
        </w:tc>
        <w:tc>
          <w:tcPr>
            <w:tcW w:w="1158"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lv"/>
              </w:rPr>
              <w:t>0–0,6%</w:t>
            </w:r>
          </w:p>
        </w:tc>
        <w:tc>
          <w:tcPr>
            <w:tcW w:w="1704"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lv"/>
              </w:rPr>
              <w:t xml:space="preserve">Embolija </w:t>
            </w:r>
            <w:r>
              <w:rPr>
                <w:rFonts w:ascii="Times New Roman" w:hAnsi="Times New Roman" w:cs="Times New Roman"/>
                <w:b/>
                <w:bCs/>
                <w:iCs w:val="0"/>
                <w:lang w:val="lv"/>
              </w:rPr>
              <w:t>mazāk par 2,1%</w:t>
            </w:r>
          </w:p>
        </w:tc>
        <w:bookmarkStart w:id="37" w:name="_Toc86391927"/>
        <w:bookmarkEnd w:id="37"/>
      </w:tr>
      <w:tr w:rsidR="00453251" w:rsidRPr="009461CC" w14:paraId="33FEDA6C" w14:textId="77777777" w:rsidTr="00453251">
        <w:tc>
          <w:tcPr>
            <w:tcW w:w="113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v"/>
              </w:rPr>
              <w:t>Infekcija</w:t>
            </w:r>
            <w:bookmarkStart w:id="38" w:name="_Toc86391928"/>
            <w:bookmarkEnd w:id="38"/>
          </w:p>
        </w:tc>
        <w:tc>
          <w:tcPr>
            <w:tcW w:w="100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0%</w:t>
            </w:r>
          </w:p>
        </w:tc>
        <w:tc>
          <w:tcPr>
            <w:tcW w:w="1158"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lv"/>
              </w:rPr>
              <w:t>0%</w:t>
            </w:r>
          </w:p>
        </w:tc>
        <w:tc>
          <w:tcPr>
            <w:tcW w:w="1704"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lv"/>
              </w:rPr>
              <w:t xml:space="preserve">Infekcija </w:t>
            </w:r>
            <w:r>
              <w:rPr>
                <w:rFonts w:ascii="Times New Roman" w:hAnsi="Times New Roman" w:cs="Times New Roman"/>
                <w:b/>
                <w:bCs/>
                <w:iCs w:val="0"/>
                <w:lang w:val="lv"/>
              </w:rPr>
              <w:t>mazāk par 0%</w:t>
            </w:r>
          </w:p>
        </w:tc>
        <w:bookmarkStart w:id="42" w:name="_Toc86391933"/>
        <w:bookmarkEnd w:id="42"/>
      </w:tr>
      <w:tr w:rsidR="00453251" w:rsidRPr="009461CC" w14:paraId="00F9D43C" w14:textId="77777777" w:rsidTr="00453251">
        <w:tc>
          <w:tcPr>
            <w:tcW w:w="113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v"/>
              </w:rPr>
              <w:t>Alerģiska reakcija</w:t>
            </w:r>
            <w:bookmarkStart w:id="43" w:name="_Toc86391934"/>
            <w:bookmarkEnd w:id="43"/>
          </w:p>
        </w:tc>
        <w:tc>
          <w:tcPr>
            <w:tcW w:w="100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0%</w:t>
            </w:r>
          </w:p>
        </w:tc>
        <w:tc>
          <w:tcPr>
            <w:tcW w:w="1158"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lv"/>
              </w:rPr>
              <w:t>0%</w:t>
            </w:r>
          </w:p>
        </w:tc>
        <w:tc>
          <w:tcPr>
            <w:tcW w:w="1704"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lv"/>
              </w:rPr>
              <w:t xml:space="preserve">Alerģiska reakcija </w:t>
            </w:r>
            <w:r>
              <w:rPr>
                <w:rFonts w:ascii="Times New Roman" w:hAnsi="Times New Roman" w:cs="Times New Roman"/>
                <w:b/>
                <w:bCs/>
                <w:iCs w:val="0"/>
                <w:lang w:val="lv"/>
              </w:rPr>
              <w:t>mazāk par 0%</w:t>
            </w:r>
          </w:p>
        </w:tc>
        <w:bookmarkStart w:id="47" w:name="_Toc86391939"/>
        <w:bookmarkEnd w:id="47"/>
      </w:tr>
      <w:tr w:rsidR="00453251" w:rsidRPr="009461CC" w14:paraId="027FF060" w14:textId="77777777" w:rsidTr="00453251">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v"/>
              </w:rPr>
              <w:t>Sāpes</w:t>
            </w:r>
            <w:bookmarkStart w:id="48" w:name="_Toc86391940"/>
            <w:bookmarkEnd w:id="48"/>
          </w:p>
        </w:tc>
        <w:tc>
          <w:tcPr>
            <w:tcW w:w="100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0%</w:t>
            </w:r>
          </w:p>
        </w:tc>
        <w:tc>
          <w:tcPr>
            <w:tcW w:w="1158"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lv"/>
              </w:rPr>
              <w:t>0%</w:t>
            </w:r>
          </w:p>
        </w:tc>
        <w:tc>
          <w:tcPr>
            <w:tcW w:w="1704"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lv"/>
              </w:rPr>
              <w:t xml:space="preserve">Sāpes </w:t>
            </w:r>
            <w:r>
              <w:rPr>
                <w:rFonts w:ascii="Times New Roman" w:hAnsi="Times New Roman" w:cs="Times New Roman"/>
                <w:b/>
                <w:bCs/>
                <w:iCs w:val="0"/>
                <w:lang w:val="lv"/>
              </w:rPr>
              <w:t>mazāk par 0%</w:t>
            </w:r>
          </w:p>
        </w:tc>
        <w:bookmarkStart w:id="52" w:name="_Toc86391945"/>
        <w:bookmarkEnd w:id="52"/>
      </w:tr>
      <w:tr w:rsidR="00453251" w:rsidRPr="009461CC" w14:paraId="28252FD0" w14:textId="77777777" w:rsidTr="00453251">
        <w:tc>
          <w:tcPr>
            <w:tcW w:w="113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v"/>
              </w:rPr>
              <w:t>Vispārējās komplikācijas</w:t>
            </w:r>
            <w:bookmarkStart w:id="53" w:name="_Toc86391946"/>
            <w:bookmarkEnd w:id="53"/>
          </w:p>
        </w:tc>
        <w:tc>
          <w:tcPr>
            <w:tcW w:w="100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0–5,2%</w:t>
            </w:r>
          </w:p>
        </w:tc>
        <w:tc>
          <w:tcPr>
            <w:tcW w:w="1158"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lv"/>
              </w:rPr>
              <w:t>0–4%</w:t>
            </w:r>
          </w:p>
        </w:tc>
        <w:tc>
          <w:tcPr>
            <w:tcW w:w="1704"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lv"/>
              </w:rPr>
              <w:t xml:space="preserve">Vispārējās komplikācijas </w:t>
            </w:r>
            <w:r>
              <w:rPr>
                <w:rFonts w:ascii="Times New Roman" w:hAnsi="Times New Roman" w:cs="Times New Roman"/>
                <w:b/>
                <w:bCs/>
                <w:iCs w:val="0"/>
                <w:lang w:val="lv"/>
              </w:rPr>
              <w:t>mazāk par 5,2%</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lv"/>
              </w:rPr>
              <w:t>Veiktspēja</w:t>
            </w:r>
          </w:p>
        </w:tc>
      </w:tr>
      <w:tr w:rsidR="00453251" w:rsidRPr="009461CC" w14:paraId="6F720CB6" w14:textId="77777777" w:rsidTr="00453251">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v"/>
              </w:rPr>
              <w:t xml:space="preserve">Tehniskā efektivitāte </w:t>
            </w:r>
            <w:bookmarkStart w:id="58" w:name="_Toc86391954"/>
            <w:bookmarkEnd w:id="58"/>
          </w:p>
        </w:tc>
        <w:tc>
          <w:tcPr>
            <w:tcW w:w="100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82,8–100%</w:t>
            </w:r>
          </w:p>
        </w:tc>
        <w:tc>
          <w:tcPr>
            <w:tcW w:w="1158"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lv"/>
              </w:rPr>
              <w:t>82,0–100%</w:t>
            </w:r>
          </w:p>
        </w:tc>
        <w:tc>
          <w:tcPr>
            <w:tcW w:w="1704"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lv"/>
              </w:rPr>
              <w:t xml:space="preserve">Tehniskā efektivitāte </w:t>
            </w:r>
            <w:r>
              <w:rPr>
                <w:rFonts w:ascii="Times New Roman" w:hAnsi="Times New Roman" w:cs="Times New Roman"/>
                <w:b/>
                <w:bCs/>
                <w:iCs w:val="0"/>
                <w:lang w:val="lv"/>
              </w:rPr>
              <w:t>pārsniedz 82,0%</w:t>
            </w:r>
          </w:p>
        </w:tc>
        <w:bookmarkStart w:id="62" w:name="_Toc86391959"/>
        <w:bookmarkEnd w:id="62"/>
      </w:tr>
      <w:tr w:rsidR="00453251" w:rsidRPr="009461CC" w14:paraId="4E839B51" w14:textId="77777777" w:rsidTr="00453251">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lv"/>
              </w:rPr>
              <w:t xml:space="preserve">Klīniskā efektivitāte </w:t>
            </w:r>
            <w:bookmarkStart w:id="63" w:name="_Toc86391960"/>
            <w:bookmarkEnd w:id="63"/>
          </w:p>
        </w:tc>
        <w:tc>
          <w:tcPr>
            <w:tcW w:w="100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v"/>
              </w:rPr>
              <w:t>95,2–100%</w:t>
            </w:r>
          </w:p>
        </w:tc>
        <w:tc>
          <w:tcPr>
            <w:tcW w:w="1158"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lv"/>
              </w:rPr>
              <w:t>92,3–100%</w:t>
            </w:r>
          </w:p>
        </w:tc>
        <w:tc>
          <w:tcPr>
            <w:tcW w:w="1704"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lv"/>
              </w:rPr>
              <w:t xml:space="preserve">Klīniskā efektivitāte </w:t>
            </w:r>
            <w:r>
              <w:rPr>
                <w:rFonts w:ascii="Times New Roman" w:hAnsi="Times New Roman" w:cs="Times New Roman"/>
                <w:b/>
                <w:bCs/>
                <w:iCs w:val="0"/>
                <w:lang w:val="lv"/>
              </w:rPr>
              <w:t>pārsniedz 92,3%</w:t>
            </w:r>
          </w:p>
        </w:tc>
        <w:bookmarkStart w:id="67" w:name="_Toc86391965"/>
        <w:bookmarkEnd w:id="67"/>
      </w:tr>
    </w:tbl>
    <w:p w14:paraId="47F3BE56" w14:textId="769706F0"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lv"/>
        </w:rPr>
        <w:t xml:space="preserve">Atrieve vaskulārā </w:t>
      </w:r>
      <w:r w:rsidR="00921549">
        <w:rPr>
          <w:rFonts w:eastAsia="Times New Roman" w:cs="Times New Roman"/>
          <w:szCs w:val="24"/>
          <w:lang w:val="lv"/>
        </w:rPr>
        <w:t>Snare</w:t>
      </w:r>
      <w:r>
        <w:rPr>
          <w:rFonts w:eastAsia="Times New Roman" w:cs="Times New Roman"/>
          <w:szCs w:val="24"/>
          <w:lang w:val="lv"/>
        </w:rPr>
        <w:t xml:space="preserve"> komplektam ir pieņemams riska profils, un nav nekādu atlikušo risku, kas klasificēti kā nepieņemami. Potenciālais kaitējums pacientiem, piemēram, asiņošana, embolija, infekcija un audu bojājumi, ir reti un atbilst pieņemamiem nozares rādītājiem. Bieži sastopami atteices režīmi, piemēram, komponentu atdalīšanās vai ierīces pretestība, ir reti un labi kontrolēti.</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lv"/>
        </w:rPr>
        <w:t>Visi identificētie riski ir minēti marķējumā, brīdinājumos un lietošanas instrukcijā. Kopējais risks ir salīdzināms ar alternatīvām ārstēšanas metodēm, un ierīces drošas, minimāli invazīvas svešķermeņa izņemšanas priekšrocības atsver riskus. Uzraudzībai pēc laišanas tirgū laikā jauni riski netika konstatēti.</w:t>
      </w:r>
    </w:p>
    <w:p w14:paraId="503092B6" w14:textId="15AAF628" w:rsidR="000F0AC2" w:rsidRPr="009461CC" w:rsidRDefault="008745ED" w:rsidP="001035F0">
      <w:pPr>
        <w:pStyle w:val="Heading1"/>
        <w:rPr>
          <w:rFonts w:cs="Times New Roman"/>
        </w:rPr>
      </w:pPr>
      <w:bookmarkStart w:id="68" w:name="_Toc222741532"/>
      <w:r>
        <w:rPr>
          <w:rFonts w:cs="Times New Roman"/>
          <w:bCs/>
          <w:lang w:val="lv"/>
        </w:rPr>
        <w:t>Brīdinājumi un piesardzības pasākumi</w:t>
      </w:r>
      <w:bookmarkEnd w:id="68"/>
    </w:p>
    <w:p w14:paraId="3AFFFB2C" w14:textId="56B6C6C3" w:rsidR="00A030DC" w:rsidRPr="009461CC" w:rsidRDefault="00C64987" w:rsidP="006F12B6">
      <w:pPr>
        <w:spacing w:after="0" w:afterAutospacing="0" w:line="240" w:lineRule="auto"/>
        <w:ind w:left="792"/>
        <w:rPr>
          <w:rFonts w:cs="Times New Roman"/>
          <w:iCs/>
        </w:rPr>
      </w:pPr>
      <w:r>
        <w:rPr>
          <w:rFonts w:cs="Times New Roman"/>
          <w:lang w:val="lv"/>
        </w:rPr>
        <w:t>Atsauces IFU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lv"/>
        </w:rPr>
        <w:t>Brīdinājumi</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v"/>
        </w:rPr>
        <w:t>Šī ierīce tika radīta, testēta un ražota tikai lietošanai tikai vienam pacientam. Šīs ierīces atkārtota lietošana vai apstrāde var sabojāt ierīci un izraisīt izrietošu pacienta traumu. Šīs ierīces atkārtota apstrāde un/vai atkārtota sterilizācija var radīt piesārņojuma un pacienta inficēšanas risku. Nelietojiet, neapstrādājiet un nesterilizējiet šo ierīci atkārtoti.</w:t>
      </w:r>
    </w:p>
    <w:p w14:paraId="02E0F1FE"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v"/>
        </w:rPr>
        <w:lastRenderedPageBreak/>
        <w:t>Pirms lietošanas pārbaudiet iepakojuma veselumu.</w:t>
      </w:r>
    </w:p>
    <w:p w14:paraId="0AB04CB5"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v"/>
        </w:rPr>
        <w:t>Nelietojiet, ja iepakojums ir atvērts vai bojāts, vai ir beidzies derīguma termiņš.</w:t>
      </w:r>
    </w:p>
    <w:p w14:paraId="287B6E69"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v"/>
        </w:rPr>
        <w:t>Pārtrauciet lietošanu, ja procedūras laikā kāds no komponentiem tiek sabojāts.</w:t>
      </w:r>
    </w:p>
    <w:p w14:paraId="2247748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v"/>
        </w:rPr>
        <w:t>Nitinols ir niķeļa un titāna sakausējums. Pacientiem ar paaugstinātu jutību pret niķeli var rasties alerģiska reakcija.</w:t>
      </w:r>
    </w:p>
    <w:p w14:paraId="2A4E00BA"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v"/>
        </w:rPr>
        <w:t>Pacientiem ar paaugstinātu jutību pret platīnu var rasties alerģiska reakcija.</w:t>
      </w:r>
    </w:p>
    <w:p w14:paraId="0D7E98B5"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lv"/>
        </w:rPr>
        <w:t>Lietojot šo ierīci liela fibrīna apvalka noņemšanai, jāievēro piesardzība, lai samazinātu plaušu embolijas risku.</w:t>
      </w:r>
    </w:p>
    <w:p w14:paraId="4CB50B44"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lv"/>
        </w:rPr>
        <w:t>Dažu procedūru laikā caur ievades katetra centrmezglu var rasties asiņošana. Ievades katetram var pievienot hemostāzes vārstu (nav iekļauts), lai samazinātu asiņošanu pēc vajadzības vai pēc ārsta sprieduma.</w:t>
      </w:r>
    </w:p>
    <w:p w14:paraId="7C5DC59D" w14:textId="77777777" w:rsidR="0084795E" w:rsidRPr="009461CC" w:rsidRDefault="0084795E" w:rsidP="00FE6595">
      <w:pPr>
        <w:spacing w:after="0" w:afterAutospacing="0" w:line="240" w:lineRule="auto"/>
        <w:ind w:left="792"/>
        <w:rPr>
          <w:rFonts w:cs="Times New Roman"/>
          <w:iCs/>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lv"/>
        </w:rPr>
        <w:t>Piesardzības pasākumi</w:t>
      </w:r>
    </w:p>
    <w:p w14:paraId="043EE8E1"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lv"/>
        </w:rPr>
        <w:t>Fibrīna apvalku noņemšanas laikā katetriem pieliktie vilkšanas spēki var sabojāt, izstiept vai salauzt ilgkatetrus, kuru diametrs ir 6 French vai mazāks. Neizmantojiet pārmērīgu vilkšanas spēku, mēģinot noņemt fibrīna apvalku no katetriem, kuru diametrs ir 6 French vai mazāks.</w:t>
      </w:r>
    </w:p>
    <w:p w14:paraId="7C78A400"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lv"/>
        </w:rPr>
        <w:t>Neizmantojiet pārmērīgu spēku, veicot manipulācijas ar katetru caur ievadītāju.</w:t>
      </w:r>
    </w:p>
    <w:p w14:paraId="68E7CD6A" w14:textId="77777777" w:rsidR="009E4BE1" w:rsidRPr="009461CC" w:rsidRDefault="009E4BE1" w:rsidP="00DB582A">
      <w:pPr>
        <w:spacing w:after="0" w:afterAutospacing="0" w:line="240" w:lineRule="auto"/>
        <w:rPr>
          <w:rFonts w:cs="Times New Roman"/>
          <w:b/>
          <w:bCs/>
          <w:iCs/>
        </w:rPr>
      </w:pPr>
    </w:p>
    <w:p w14:paraId="1F2A8F23" w14:textId="7550D298" w:rsidR="00481A9E" w:rsidRPr="009461CC" w:rsidRDefault="00481A9E" w:rsidP="00481A9E">
      <w:pPr>
        <w:spacing w:after="120" w:afterAutospacing="0" w:line="240" w:lineRule="auto"/>
        <w:ind w:firstLine="720"/>
        <w:jc w:val="both"/>
        <w:rPr>
          <w:rFonts w:eastAsia="Times New Roman" w:cs="Times New Roman"/>
          <w:b/>
          <w:szCs w:val="24"/>
        </w:rPr>
      </w:pPr>
      <w:r>
        <w:rPr>
          <w:rFonts w:eastAsia="Times New Roman" w:cs="Times New Roman"/>
          <w:b/>
          <w:bCs/>
          <w:szCs w:val="24"/>
          <w:lang w:val="lv"/>
        </w:rPr>
        <w:t xml:space="preserve">Riski un nevēlamās blakusparādības </w:t>
      </w:r>
    </w:p>
    <w:p w14:paraId="3EC1F3BA" w14:textId="77777777" w:rsidR="00481A9E" w:rsidRPr="009461CC" w:rsidRDefault="00481A9E" w:rsidP="00481A9E">
      <w:pPr>
        <w:spacing w:after="120" w:afterAutospacing="0" w:line="240" w:lineRule="auto"/>
        <w:jc w:val="both"/>
        <w:rPr>
          <w:rFonts w:eastAsia="Times New Roman" w:cs="Times New Roman"/>
          <w:szCs w:val="24"/>
        </w:rPr>
      </w:pPr>
      <w:r>
        <w:rPr>
          <w:rFonts w:eastAsia="Times New Roman" w:cs="Times New Roman"/>
          <w:szCs w:val="24"/>
          <w:lang w:val="lv"/>
        </w:rPr>
        <w:t>Iespējamās komplikācijas var ietvert, bet neaprobežojas ar tālāk norādīto.</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v"/>
        </w:rPr>
        <w:t>Embolizācija</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v"/>
        </w:rPr>
        <w:t>Insults</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v"/>
        </w:rPr>
        <w:t>Miokarda infarkts (atkarībā no novietojuma)</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v"/>
        </w:rPr>
        <w:t>Plaušu embolija</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v"/>
        </w:rPr>
        <w:t>Asinsvada perforācija</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v"/>
        </w:rPr>
        <w:t>Ierīces iesprūšana</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v"/>
        </w:rPr>
        <w:t>Asiņošana/asinsizplūdums</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lv"/>
        </w:rPr>
        <w:t>Klīniskie ieguvumi.</w:t>
      </w:r>
    </w:p>
    <w:p w14:paraId="12CF44E5" w14:textId="357D7E57"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lv"/>
        </w:rPr>
        <w:t>Atrieve vaskulārais slazds sniedz tiešu ieguvumu pacientam, izvelkot un manipulējot ar svešķermeņiem perkutāni, ar zemāku komplikāciju un risku līmeni salīdzinājumā ar ķirurģisku iejaukšanos.</w:t>
      </w:r>
    </w:p>
    <w:p w14:paraId="5240AF40" w14:textId="3E5A2DE2" w:rsidR="00042B91" w:rsidRPr="009461CC" w:rsidRDefault="00BB36B1" w:rsidP="00A4616A">
      <w:pPr>
        <w:spacing w:after="0" w:afterAutospacing="0" w:line="240" w:lineRule="auto"/>
        <w:rPr>
          <w:rFonts w:cs="Times New Roman"/>
          <w:iCs/>
        </w:rPr>
      </w:pPr>
      <w:r>
        <w:rPr>
          <w:rFonts w:cs="Times New Roman"/>
          <w:lang w:val="lv"/>
        </w:rPr>
        <w:t>Izstrādājuma lietošanas ilgums/dzīves cikls: īslaicīgs, mazāk nekā 60 minūtes.</w:t>
      </w:r>
    </w:p>
    <w:p w14:paraId="393C5ED9" w14:textId="77777777" w:rsidR="00E14C97" w:rsidRPr="009461CC" w:rsidRDefault="00E14C97" w:rsidP="00042B91">
      <w:pPr>
        <w:spacing w:after="0" w:afterAutospacing="0" w:line="240" w:lineRule="auto"/>
        <w:rPr>
          <w:rFonts w:cs="Times New Roman"/>
          <w:i/>
          <w:color w:val="FF0000"/>
        </w:rPr>
      </w:pPr>
    </w:p>
    <w:p w14:paraId="09A94B0F" w14:textId="4E664EE0" w:rsidR="00760400" w:rsidRPr="009461CC" w:rsidRDefault="008745ED" w:rsidP="00042B91">
      <w:pPr>
        <w:pStyle w:val="Heading1"/>
        <w:rPr>
          <w:rFonts w:cs="Times New Roman"/>
        </w:rPr>
      </w:pPr>
      <w:bookmarkStart w:id="69" w:name="_Toc222741533"/>
      <w:r>
        <w:rPr>
          <w:rFonts w:cs="Times New Roman"/>
          <w:bCs/>
          <w:lang w:val="lv"/>
        </w:rPr>
        <w:t>Citi attiecīgie drošuma aspekti, tostarp kopsavilkums par jebkuru operatīvu koriģējošu drošuma darbību (FSCA, tostarp FSN), ja piemērojams</w:t>
      </w:r>
      <w:bookmarkEnd w:id="69"/>
    </w:p>
    <w:p w14:paraId="65E21D1D" w14:textId="58A43005" w:rsidR="004F5057" w:rsidRPr="009461CC" w:rsidRDefault="00FC52C8" w:rsidP="001F48BA">
      <w:pPr>
        <w:rPr>
          <w:rFonts w:cs="Times New Roman"/>
        </w:rPr>
      </w:pPr>
      <w:r>
        <w:rPr>
          <w:rFonts w:cs="Times New Roman"/>
          <w:lang w:val="lv"/>
        </w:rPr>
        <w:t>Ziņošanas periodā nav bijušas operatīvas koriģējošas drošuma darbības (FSCA) vai atsaukšanas.</w:t>
      </w:r>
    </w:p>
    <w:p w14:paraId="21FC0F42" w14:textId="6F4CDE71" w:rsidR="008745ED" w:rsidRPr="009461CC" w:rsidRDefault="008745ED" w:rsidP="00F67A0E">
      <w:pPr>
        <w:pStyle w:val="Heading1"/>
        <w:numPr>
          <w:ilvl w:val="0"/>
          <w:numId w:val="2"/>
        </w:numPr>
        <w:rPr>
          <w:rFonts w:cs="Times New Roman"/>
        </w:rPr>
      </w:pPr>
      <w:bookmarkStart w:id="70" w:name="_Toc222741534"/>
      <w:r>
        <w:rPr>
          <w:rFonts w:cs="Times New Roman"/>
          <w:bCs/>
          <w:lang w:val="lv"/>
        </w:rPr>
        <w:t>Klīniskā novērtējuma un klīniskās novērošanas pēc laišanas tirgū (PMCF) kopsavilkums</w:t>
      </w:r>
      <w:bookmarkEnd w:id="70"/>
    </w:p>
    <w:p w14:paraId="7CA310DE" w14:textId="56DFA3A7" w:rsidR="00DA4404" w:rsidRPr="009461CC" w:rsidRDefault="00DA4404" w:rsidP="00DA4404">
      <w:pPr>
        <w:rPr>
          <w:rFonts w:cs="Times New Roman"/>
        </w:rPr>
      </w:pPr>
      <w:r>
        <w:rPr>
          <w:rFonts w:cs="Times New Roman"/>
          <w:lang w:val="lv"/>
        </w:rPr>
        <w:t xml:space="preserve">Klīniskās izvērtēšanas ziņojums (CER-029 Rev B) apstiprina, ka </w:t>
      </w:r>
      <w:r w:rsidR="00921549">
        <w:rPr>
          <w:rFonts w:cs="Times New Roman"/>
          <w:lang w:val="lv"/>
        </w:rPr>
        <w:t>Atrieve vaskulārā Snare komplekts</w:t>
      </w:r>
      <w:r>
        <w:rPr>
          <w:rFonts w:cs="Times New Roman"/>
          <w:lang w:val="lv"/>
        </w:rPr>
        <w:t xml:space="preserve"> ir klīniski drošs un efektīvs svešķermeņu izņemšanai un manipulēšanai ar tiem sirds un asinsvadu sistēmā. To galvenokārt izmanto apmācīti medicīnas speciālisti minimāli invazīvās procedūrās.</w:t>
      </w:r>
    </w:p>
    <w:p w14:paraId="065C32D9" w14:textId="36044E92" w:rsidR="00DA4404" w:rsidRPr="009461CC" w:rsidRDefault="00DA4404" w:rsidP="00DA4404">
      <w:pPr>
        <w:rPr>
          <w:rFonts w:cs="Times New Roman"/>
        </w:rPr>
      </w:pPr>
      <w:r>
        <w:rPr>
          <w:rFonts w:cs="Times New Roman"/>
          <w:lang w:val="lv"/>
        </w:rPr>
        <w:lastRenderedPageBreak/>
        <w:t>Novērtējums, kas balstīts uz literatūras apskatu, klīnisko pieredzi un datiem pēc laišanas tirgū, liecina par augstu tehniskās un klīniskās efektivitātes līmeni. Komplikācijas, piemēram, asiņošana, embolija, infekcija vai alerģiskas reakcijas, ir reti sastopamas un nepārsniedz pieņemamās klīniskās robežas.</w:t>
      </w:r>
    </w:p>
    <w:p w14:paraId="0DAD67AD" w14:textId="4FF5EA89" w:rsidR="00DA4404" w:rsidRPr="009461CC" w:rsidRDefault="00DA4404" w:rsidP="00DA4404">
      <w:pPr>
        <w:rPr>
          <w:rFonts w:cs="Times New Roman"/>
        </w:rPr>
      </w:pPr>
      <w:r>
        <w:rPr>
          <w:rFonts w:cs="Times New Roman"/>
          <w:lang w:val="lv"/>
        </w:rPr>
        <w:t>Jaunas bažas par drošumu vai neparedzēti riski netika konstatēti. Ierīces veiktspēja ir salīdzināma ar līdzīgiem produktiem tirgū, saglabājot konsekventu riska un ieguvuma profilu.</w:t>
      </w:r>
    </w:p>
    <w:p w14:paraId="745B2F11" w14:textId="506F1A62" w:rsidR="00257EE2" w:rsidRPr="009461CC" w:rsidRDefault="00DA4404" w:rsidP="00DA4404">
      <w:pPr>
        <w:rPr>
          <w:rFonts w:cs="Times New Roman"/>
          <w:highlight w:val="yellow"/>
        </w:rPr>
      </w:pPr>
      <w:r>
        <w:rPr>
          <w:rFonts w:cs="Times New Roman"/>
          <w:lang w:val="lv"/>
        </w:rPr>
        <w:t>Noslēgumā jāsaka, ka Atrieve slazds demonstrē uzticamu veiktspēju un spēcīgu drošuma profilu, kas atbalsta tā turpmāku lietošanu klīniskajos apstākļos.</w:t>
      </w:r>
    </w:p>
    <w:p w14:paraId="491E112E" w14:textId="43F380B5" w:rsidR="005A5584" w:rsidRPr="009461CC" w:rsidRDefault="005A5584" w:rsidP="00300E25">
      <w:pPr>
        <w:rPr>
          <w:rFonts w:cs="Times New Roman"/>
        </w:rPr>
      </w:pPr>
      <w:r>
        <w:rPr>
          <w:rFonts w:cs="Times New Roman"/>
          <w:lang w:val="lv"/>
        </w:rPr>
        <w:t>Atrieve klīniskās novērošanas pēc laišanas tirgū plānā (PMCFP) iezīmēta strukturēta pieeja to drošuma un veiktspējas uzraudzībai pēc izlaišanas tirgū. Šīs III klases ierīces tiek izmantotas svešķermeņu izņemšanai vai manipulēšanai ar tiem sirds un asinsvadu sistēmā, un tās ir paredzētas īslaicīgai lietošanai.</w:t>
      </w:r>
    </w:p>
    <w:p w14:paraId="72FE8271" w14:textId="5FE4B52E" w:rsidR="00042B91" w:rsidRPr="009461CC" w:rsidRDefault="005A5584" w:rsidP="00A8663C">
      <w:pPr>
        <w:rPr>
          <w:rFonts w:cs="Times New Roman"/>
        </w:rPr>
      </w:pPr>
      <w:r>
        <w:rPr>
          <w:rFonts w:cs="Times New Roman"/>
          <w:lang w:val="lv"/>
        </w:rPr>
        <w:t>PMCF aktivitātes balstās uz vispārīgām metodēm, tostarp ikgadējiem literatūras apskatiem, blakusparādību datubāzes uzraudzību (piemēram, MAUDE) un uzraudzības pēc laišanas tirgū ziņojumu analīzi. Šo centienu mērķis ir apstiprināt pastāvīgu drošumu un efektivitāti, identificēt jaunus riskus un atklāt ārpusindikāciju lietojumu. Lai novērtētu rezultātus, tiek pārskatīti arī klīniskie dati par līdzīgām ierīcēm.</w:t>
      </w:r>
    </w:p>
    <w:p w14:paraId="33785C59" w14:textId="7AB0634B" w:rsidR="008745ED" w:rsidRPr="009461CC" w:rsidRDefault="008745ED" w:rsidP="00042B91">
      <w:pPr>
        <w:pStyle w:val="Heading1"/>
        <w:rPr>
          <w:rFonts w:cs="Times New Roman"/>
        </w:rPr>
      </w:pPr>
      <w:bookmarkStart w:id="71" w:name="_Toc222741535"/>
      <w:r>
        <w:rPr>
          <w:rFonts w:cs="Times New Roman"/>
          <w:bCs/>
          <w:lang w:val="lv"/>
        </w:rPr>
        <w:t>Klīnisko datu kopsavilkums, kas attiecas uz līdzvērtīgu ierīci, ja piemērojams</w:t>
      </w:r>
      <w:bookmarkEnd w:id="71"/>
      <w:r>
        <w:rPr>
          <w:rFonts w:cs="Times New Roman"/>
          <w:bCs/>
          <w:lang w:val="lv"/>
        </w:rPr>
        <w:t xml:space="preserve"> </w:t>
      </w:r>
    </w:p>
    <w:p w14:paraId="62C65035" w14:textId="2ED3F324" w:rsidR="00B763A0" w:rsidRPr="009461CC" w:rsidRDefault="00F24AE3" w:rsidP="00511B41">
      <w:pPr>
        <w:ind w:firstLine="360"/>
        <w:rPr>
          <w:rFonts w:cs="Times New Roman"/>
        </w:rPr>
      </w:pPr>
      <w:r>
        <w:rPr>
          <w:rFonts w:cs="Times New Roman"/>
          <w:lang w:val="lv"/>
        </w:rPr>
        <w:t>Šī sadaļa nav piemērojama (N/A).</w:t>
      </w:r>
    </w:p>
    <w:p w14:paraId="46CE7D79" w14:textId="2B10E133" w:rsidR="008745ED" w:rsidRPr="009461CC" w:rsidRDefault="008745ED" w:rsidP="00042B91">
      <w:pPr>
        <w:pStyle w:val="Heading1"/>
        <w:rPr>
          <w:rFonts w:cs="Times New Roman"/>
        </w:rPr>
      </w:pPr>
      <w:bookmarkStart w:id="72" w:name="_Toc222741536"/>
      <w:r>
        <w:rPr>
          <w:rFonts w:cs="Times New Roman"/>
          <w:bCs/>
          <w:lang w:val="lv"/>
        </w:rPr>
        <w:t>Kopsavilkums no klīniskajiem datiem, kas iegūti, veicot ierīces izpēti pirms CE marķēšanas, ja piemērojams</w:t>
      </w:r>
      <w:bookmarkEnd w:id="72"/>
      <w:r>
        <w:rPr>
          <w:rFonts w:cs="Times New Roman"/>
          <w:bCs/>
          <w:lang w:val="lv"/>
        </w:rPr>
        <w:t xml:space="preserve"> </w:t>
      </w:r>
    </w:p>
    <w:p w14:paraId="27B7D18D" w14:textId="3346219F" w:rsidR="004846A6" w:rsidRPr="009461CC" w:rsidRDefault="00F604C9" w:rsidP="00F24AE3">
      <w:pPr>
        <w:ind w:left="360"/>
        <w:rPr>
          <w:rFonts w:cs="Times New Roman"/>
        </w:rPr>
      </w:pPr>
      <w:bookmarkStart w:id="73" w:name="_Hlk196514030"/>
      <w:r>
        <w:rPr>
          <w:rFonts w:cs="Times New Roman"/>
          <w:lang w:val="lv"/>
        </w:rPr>
        <w:t>Šī sadaļa nav piemērojama (N/A).</w:t>
      </w:r>
    </w:p>
    <w:p w14:paraId="7A896071" w14:textId="00061818" w:rsidR="008745ED" w:rsidRPr="009461CC" w:rsidRDefault="008745ED" w:rsidP="00042B91">
      <w:pPr>
        <w:pStyle w:val="Heading1"/>
        <w:rPr>
          <w:rFonts w:cs="Times New Roman"/>
        </w:rPr>
      </w:pPr>
      <w:bookmarkStart w:id="74" w:name="_Toc222741537"/>
      <w:bookmarkEnd w:id="73"/>
      <w:r>
        <w:rPr>
          <w:rFonts w:cs="Times New Roman"/>
          <w:bCs/>
          <w:lang w:val="lv"/>
        </w:rPr>
        <w:t>Citu avotu klīnisko datu kopsavilkums, ja piemērojams</w:t>
      </w:r>
      <w:bookmarkEnd w:id="74"/>
      <w:r>
        <w:rPr>
          <w:rFonts w:cs="Times New Roman"/>
          <w:bCs/>
          <w:lang w:val="lv"/>
        </w:rPr>
        <w:t xml:space="preserve"> </w:t>
      </w:r>
    </w:p>
    <w:p w14:paraId="3F1ED76E" w14:textId="5FADBA51" w:rsidR="006C2B68" w:rsidRPr="009461CC" w:rsidRDefault="0037599D" w:rsidP="004846A6">
      <w:pPr>
        <w:spacing w:before="100" w:beforeAutospacing="1" w:line="240" w:lineRule="auto"/>
        <w:rPr>
          <w:rFonts w:eastAsia="Times New Roman" w:cs="Times New Roman"/>
          <w:szCs w:val="24"/>
        </w:rPr>
      </w:pPr>
      <w:r>
        <w:rPr>
          <w:rFonts w:eastAsia="Times New Roman" w:cs="Times New Roman"/>
          <w:szCs w:val="24"/>
          <w:lang w:val="lv"/>
        </w:rPr>
        <w:t>CER-029 Rev B pamato visaptverošs ārējo klīnisko datu pārskats, tostarp:</w:t>
      </w:r>
    </w:p>
    <w:p w14:paraId="421058D0" w14:textId="26D1A572" w:rsidR="00FB1FDD" w:rsidRPr="009461CC" w:rsidRDefault="00FC5667" w:rsidP="004846A6">
      <w:pPr>
        <w:spacing w:before="100" w:beforeAutospacing="1" w:line="240" w:lineRule="auto"/>
        <w:rPr>
          <w:rFonts w:cs="Times New Roman"/>
        </w:rPr>
      </w:pPr>
      <w:r>
        <w:rPr>
          <w:rFonts w:cs="Times New Roman"/>
          <w:szCs w:val="24"/>
          <w:lang w:val="lv"/>
        </w:rPr>
        <w:t>Pašreizējā (SOA) literatūra: 579 rakstu sistemātiskā apskatā tika identificēti 16 atbilstoši pētījumi par līdzīgām ierīcēm un procedūrām. Šajos pētījumos uzrādīts augsts tehniskās efektivitātes līmenis (≥91,2%) un zemi komplikāciju rādītāji (≤1,1%), nosakot drošuma un veiktspējas kritērijus.</w:t>
      </w:r>
      <w:r>
        <w:rPr>
          <w:rFonts w:cs="Times New Roman"/>
          <w:lang w:val="lv"/>
        </w:rPr>
        <w:t xml:space="preserve"> </w:t>
      </w:r>
    </w:p>
    <w:p w14:paraId="7C6B59FC" w14:textId="77777777" w:rsidR="00FB1FDD" w:rsidRPr="009461CC" w:rsidRDefault="00D23267" w:rsidP="004846A6">
      <w:pPr>
        <w:spacing w:before="100" w:beforeAutospacing="1" w:line="240" w:lineRule="auto"/>
        <w:rPr>
          <w:rFonts w:cs="Times New Roman"/>
        </w:rPr>
      </w:pPr>
      <w:r>
        <w:rPr>
          <w:rFonts w:cs="Times New Roman"/>
          <w:szCs w:val="24"/>
          <w:lang w:val="lv"/>
        </w:rPr>
        <w:t>Literatūra par konkurentu ierīcēm: astoņi pētījumi par salīdzināmām ierīcēm (piemēram, EN Snare, GooseNeck, CloverSnare) apstiprināja līdzīgus drošuma un efektivitātes profilus, pastiprinot asinsvadu slazdu aprūpes standarta statusu.</w:t>
      </w:r>
      <w:r>
        <w:rPr>
          <w:rFonts w:cs="Times New Roman"/>
          <w:lang w:val="lv"/>
        </w:rPr>
        <w:t xml:space="preserve"> </w:t>
      </w:r>
    </w:p>
    <w:p w14:paraId="2910073B" w14:textId="4049ACE7" w:rsidR="004846A6" w:rsidRPr="009461CC" w:rsidRDefault="009B4453" w:rsidP="004846A6">
      <w:pPr>
        <w:spacing w:before="100" w:beforeAutospacing="1" w:line="240" w:lineRule="auto"/>
        <w:rPr>
          <w:rFonts w:eastAsia="Times New Roman" w:cs="Times New Roman"/>
          <w:szCs w:val="24"/>
        </w:rPr>
      </w:pPr>
      <w:r>
        <w:rPr>
          <w:rFonts w:eastAsia="Times New Roman" w:cs="Times New Roman"/>
          <w:szCs w:val="24"/>
          <w:lang w:val="lv"/>
        </w:rPr>
        <w:t>Klīniskās vadlīnijas: profesionālo biedrību (piemēram, SIR, ESC, KDOQI) ieteikumi atbalsta perkutānu izņemšanas metožu, tostarp slazdu, izmantošanu kā pirmās izvēles ārstēšanu svešķermeņa izņemšanai no sirds un asinsvadu sistēmas.</w:t>
      </w:r>
    </w:p>
    <w:p w14:paraId="661EF380" w14:textId="29BB1CA1" w:rsidR="00516D79" w:rsidRPr="009461CC" w:rsidRDefault="00516D79" w:rsidP="004846A6">
      <w:pPr>
        <w:spacing w:before="100" w:beforeAutospacing="1" w:line="240" w:lineRule="auto"/>
        <w:rPr>
          <w:rFonts w:eastAsia="Times New Roman" w:cs="Times New Roman"/>
          <w:szCs w:val="24"/>
        </w:rPr>
      </w:pPr>
      <w:r>
        <w:rPr>
          <w:rFonts w:eastAsia="Times New Roman" w:cs="Times New Roman"/>
          <w:szCs w:val="24"/>
          <w:lang w:val="lv"/>
        </w:rPr>
        <w:lastRenderedPageBreak/>
        <w:t>Literatūra par šīm ierīcēm: trīspadsmit publikācijās (tostarp gadījumu aprakstos un retrospektīvos pētījumos) par Atrieve tika konstatētas 100% tehniskā efektivitāte un 94,5% klīniskā efektivitāte ar minimālām blakusparādībām. Daži veiktspējas rādītāji bija nedaudz sliktāki nekā SOA etaloni, taču saglabājās pieņemamajās klīniskajās robežās.</w:t>
      </w:r>
    </w:p>
    <w:p w14:paraId="66F22352" w14:textId="28F3CCF3"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lv"/>
        </w:rPr>
        <w:t>Turklāt ziņojumā ir integrēti uzraudzības pēc laišanas tirgū (PMS) dati, kas apkopoti, izmantojot strukturētus Atrieve produkta uzraudzības plānus. Tas ietver sūdzību un nevēlamu blakusparādību izsekošanu piecu gadu laikā, kā arī koriģējošas darbības. Neskatoties uz lielo pārdošanas apjomu pasaulē, PMS dati neatklāja nekādas jaunas drošuma tendences vai neparedzētus riskus, kas pastiprina ierīču drošuma profilus reālos apstākļos.</w:t>
      </w:r>
    </w:p>
    <w:p w14:paraId="6527D03E" w14:textId="73944EC6"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lv"/>
        </w:rPr>
        <w:t>Visbeidzot, neklīniskie dati, tostarp stendpārbaudes un bioloģiskās saderības novērtējumi, pierāda, ka ierīces atbilst visiem projektēšanas un regulatīviem standartiem. Lai gan šīm ierīcēm netika veikti klīniskie pētījumi, to pamatoja visaptveroši dati no literatūras, avotiem pēc laišanas tirgū un mantoto ierīču lietošanas. Kopumā šie dažādie datu avoti kopā apstiprina ierīču drošumu un efektivitāti saskaņā ar ES MDR prasībām.</w:t>
      </w:r>
    </w:p>
    <w:p w14:paraId="0F01E5AD" w14:textId="2BD461FF" w:rsidR="008745ED" w:rsidRPr="009461CC" w:rsidRDefault="008745ED" w:rsidP="00042B91">
      <w:pPr>
        <w:pStyle w:val="Heading1"/>
        <w:rPr>
          <w:rFonts w:cs="Times New Roman"/>
        </w:rPr>
      </w:pPr>
      <w:bookmarkStart w:id="75" w:name="_Toc222741538"/>
      <w:r>
        <w:rPr>
          <w:rFonts w:cs="Times New Roman"/>
          <w:bCs/>
          <w:lang w:val="lv"/>
        </w:rPr>
        <w:t>Klīniskās veiktspējas un drošuma vispārīgs kopsavilkums</w:t>
      </w:r>
      <w:bookmarkEnd w:id="75"/>
      <w:r>
        <w:rPr>
          <w:rFonts w:cs="Times New Roman"/>
          <w:bCs/>
          <w:lang w:val="lv"/>
        </w:rPr>
        <w:t xml:space="preserve"> </w:t>
      </w:r>
    </w:p>
    <w:p w14:paraId="7C1B956B" w14:textId="77777777" w:rsidR="009977D7" w:rsidRPr="009461CC" w:rsidRDefault="009977D7" w:rsidP="00D52DF8">
      <w:pPr>
        <w:spacing w:after="0" w:afterAutospacing="0" w:line="240" w:lineRule="auto"/>
        <w:rPr>
          <w:rFonts w:eastAsia="Times New Roman" w:cs="Times New Roman"/>
          <w:iCs/>
          <w:szCs w:val="24"/>
        </w:rPr>
      </w:pPr>
    </w:p>
    <w:p w14:paraId="068544DB" w14:textId="56F16012" w:rsidR="00D52DF8" w:rsidRPr="009461CC" w:rsidRDefault="00D52DF8" w:rsidP="00D52DF8">
      <w:pPr>
        <w:spacing w:after="0" w:afterAutospacing="0" w:line="240" w:lineRule="auto"/>
        <w:rPr>
          <w:rFonts w:eastAsia="Times New Roman" w:cs="Times New Roman"/>
          <w:iCs/>
          <w:szCs w:val="24"/>
        </w:rPr>
      </w:pPr>
      <w:r>
        <w:rPr>
          <w:rFonts w:eastAsia="Times New Roman" w:cs="Times New Roman"/>
          <w:szCs w:val="24"/>
          <w:lang w:val="lv"/>
        </w:rPr>
        <w:t xml:space="preserve">Pamatojoties uz Atrieve vaskulārā </w:t>
      </w:r>
      <w:r w:rsidR="00921549">
        <w:rPr>
          <w:rFonts w:eastAsia="Times New Roman" w:cs="Times New Roman"/>
          <w:szCs w:val="24"/>
          <w:lang w:val="lv"/>
        </w:rPr>
        <w:t>Snare</w:t>
      </w:r>
      <w:r>
        <w:rPr>
          <w:rFonts w:eastAsia="Times New Roman" w:cs="Times New Roman"/>
          <w:szCs w:val="24"/>
          <w:lang w:val="lv"/>
        </w:rPr>
        <w:t xml:space="preserve"> komplekta X9585730-0321-EU Rev A un CER-029 Rev B, ierīces kopējais klīniskās veiktspējas un drošuma profils ir labvēlīgs un atbilst paredzētajam lietojumam.</w:t>
      </w:r>
    </w:p>
    <w:p w14:paraId="3508FD3D" w14:textId="77777777" w:rsidR="002E59B4" w:rsidRPr="009461CC" w:rsidRDefault="002E59B4" w:rsidP="00D52DF8">
      <w:pPr>
        <w:spacing w:after="0" w:afterAutospacing="0" w:line="240" w:lineRule="auto"/>
        <w:rPr>
          <w:rFonts w:eastAsia="Times New Roman" w:cs="Times New Roman"/>
          <w:iCs/>
          <w:szCs w:val="24"/>
        </w:rPr>
      </w:pPr>
    </w:p>
    <w:p w14:paraId="0A303358" w14:textId="24357A0A" w:rsidR="00C361CA" w:rsidRPr="009461CC" w:rsidRDefault="005C642C" w:rsidP="00C97841">
      <w:pPr>
        <w:spacing w:after="0" w:afterAutospacing="0" w:line="240" w:lineRule="auto"/>
        <w:rPr>
          <w:rFonts w:cs="Times New Roman"/>
        </w:rPr>
      </w:pPr>
      <w:r>
        <w:rPr>
          <w:rFonts w:cs="Times New Roman"/>
          <w:lang w:val="lv"/>
        </w:rPr>
        <w:t xml:space="preserve">Ierīce ir paredzēta, </w:t>
      </w:r>
      <w:r>
        <w:rPr>
          <w:rStyle w:val="Strong"/>
          <w:rFonts w:cs="Times New Roman"/>
          <w:lang w:val="lv"/>
        </w:rPr>
        <w:t>svešķermeņu perkutānai izņemšanai</w:t>
      </w:r>
      <w:r>
        <w:rPr>
          <w:rFonts w:cs="Times New Roman"/>
          <w:lang w:val="lv"/>
        </w:rPr>
        <w:t xml:space="preserve"> no sirds un asinsvadu sistēmas vai dobajiem orgāniem un </w:t>
      </w:r>
      <w:r>
        <w:rPr>
          <w:rFonts w:cs="Times New Roman"/>
          <w:b/>
          <w:bCs/>
          <w:lang w:val="lv"/>
        </w:rPr>
        <w:t>manipulēšanai ar tiem</w:t>
      </w:r>
      <w:r>
        <w:rPr>
          <w:rFonts w:cs="Times New Roman"/>
          <w:lang w:val="lv"/>
        </w:rPr>
        <w:t>. Galvenie klīniskie ieguvumi ietver minimāli invazīvu izņemšanu, samazinātu risku pacientam un zemāku komplikāciju līmeni salīdzinājumā ar ķirurģiskām alternatīvām.</w:t>
      </w:r>
    </w:p>
    <w:p w14:paraId="0DE0B963" w14:textId="77777777" w:rsidR="005C642C" w:rsidRPr="009461CC" w:rsidRDefault="005C642C" w:rsidP="00C97841">
      <w:pPr>
        <w:spacing w:after="0" w:afterAutospacing="0" w:line="240" w:lineRule="auto"/>
        <w:rPr>
          <w:rFonts w:eastAsia="Times New Roman" w:cs="Times New Roman"/>
          <w:iCs/>
          <w:szCs w:val="24"/>
        </w:rPr>
      </w:pPr>
    </w:p>
    <w:p w14:paraId="2DA4A118" w14:textId="58FE2B84" w:rsidR="00C97841" w:rsidRPr="009461CC" w:rsidRDefault="00B26297" w:rsidP="00C97841">
      <w:pPr>
        <w:spacing w:after="0" w:afterAutospacing="0" w:line="240" w:lineRule="auto"/>
        <w:rPr>
          <w:rFonts w:eastAsia="Times New Roman" w:cs="Times New Roman"/>
          <w:iCs/>
          <w:szCs w:val="24"/>
        </w:rPr>
      </w:pPr>
      <w:r>
        <w:rPr>
          <w:rFonts w:eastAsia="Times New Roman" w:cs="Times New Roman"/>
          <w:szCs w:val="24"/>
          <w:lang w:val="lv"/>
        </w:rPr>
        <w:t>Klīniskajā novērtējumā ir definēti šādi iznākuma rādītāji:</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lv"/>
              </w:rPr>
              <w:t>Veiktspējas rādītāji</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lv"/>
              </w:rPr>
              <w:t>Rādītājs</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lv"/>
              </w:rPr>
              <w:t>Definīcija</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lv"/>
              </w:rPr>
              <w:t>Tehniskā efektivitāte</w:t>
            </w:r>
          </w:p>
        </w:tc>
        <w:tc>
          <w:tcPr>
            <w:tcW w:w="3514" w:type="pct"/>
            <w:tcMar>
              <w:top w:w="120" w:type="dxa"/>
              <w:left w:w="180" w:type="dxa"/>
              <w:bottom w:w="105" w:type="dxa"/>
              <w:right w:w="120" w:type="dxa"/>
            </w:tcMar>
            <w:hideMark/>
          </w:tcPr>
          <w:p w14:paraId="55E25C2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lv"/>
              </w:rPr>
              <w:t>Veiksmīga svešķermeņu izņemšana/manipulēšana ar tiem</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lv"/>
              </w:rPr>
              <w:t>Klīniskā efektivitāte</w:t>
            </w:r>
          </w:p>
        </w:tc>
        <w:tc>
          <w:tcPr>
            <w:tcW w:w="3514" w:type="pct"/>
            <w:tcMar>
              <w:top w:w="120" w:type="dxa"/>
              <w:left w:w="180" w:type="dxa"/>
              <w:bottom w:w="90" w:type="dxa"/>
              <w:right w:w="120" w:type="dxa"/>
            </w:tcMar>
            <w:hideMark/>
          </w:tcPr>
          <w:p w14:paraId="01FCEBA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lv"/>
              </w:rPr>
              <w:t>Veiksmīga izņemšana/manipulēšana bez procedūras sarežģījumiem</w:t>
            </w:r>
          </w:p>
        </w:tc>
      </w:tr>
    </w:tbl>
    <w:p w14:paraId="6CABCDF2" w14:textId="77777777" w:rsidR="004F7F77" w:rsidRPr="009461CC" w:rsidRDefault="004F7F77" w:rsidP="00C97841">
      <w:pPr>
        <w:spacing w:after="0" w:afterAutospacing="0" w:line="240"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8"/>
        <w:gridCol w:w="6902"/>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Pr>
                <w:rFonts w:eastAsia="Times New Roman" w:cs="Times New Roman"/>
                <w:b/>
                <w:bCs/>
                <w:lang w:val="lv"/>
              </w:rPr>
              <w:t>Drošuma rādītāji</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lv"/>
              </w:rPr>
              <w:t>Rādītājs</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lv"/>
              </w:rPr>
              <w:t>Definīcija</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lv"/>
              </w:rPr>
              <w:t>Procedūras komplikācijas</w:t>
            </w:r>
          </w:p>
        </w:tc>
        <w:tc>
          <w:tcPr>
            <w:tcW w:w="0" w:type="auto"/>
            <w:tcMar>
              <w:top w:w="120" w:type="dxa"/>
              <w:left w:w="180" w:type="dxa"/>
              <w:bottom w:w="105" w:type="dxa"/>
              <w:right w:w="120" w:type="dxa"/>
            </w:tcMar>
            <w:hideMark/>
          </w:tcPr>
          <w:p w14:paraId="5EFFAF53"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lv"/>
              </w:rPr>
              <w:t>Ietver asiņošanu, perforāciju, emboliju, infekciju, alerģisku reakciju, sāpes</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lv"/>
              </w:rPr>
              <w:lastRenderedPageBreak/>
              <w:t>Vispārējais komplikāciju līmenis</w:t>
            </w:r>
          </w:p>
        </w:tc>
        <w:tc>
          <w:tcPr>
            <w:tcW w:w="0" w:type="auto"/>
            <w:tcMar>
              <w:top w:w="120" w:type="dxa"/>
              <w:left w:w="180" w:type="dxa"/>
              <w:bottom w:w="90" w:type="dxa"/>
              <w:right w:w="120" w:type="dxa"/>
            </w:tcMar>
            <w:hideMark/>
          </w:tcPr>
          <w:p w14:paraId="2D2E84BE"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lv"/>
              </w:rPr>
              <w:t>Visu blakusparādību kombinētais biežums procedūras laikā vai pēc tās</w:t>
            </w:r>
          </w:p>
        </w:tc>
      </w:tr>
    </w:tbl>
    <w:p w14:paraId="4A64B2C8" w14:textId="77777777" w:rsidR="00607046" w:rsidRPr="009461CC" w:rsidRDefault="00607046" w:rsidP="00C97841">
      <w:pPr>
        <w:spacing w:after="0" w:afterAutospacing="0" w:line="240" w:lineRule="auto"/>
        <w:rPr>
          <w:rFonts w:eastAsia="Times New Roman" w:cs="Times New Roman"/>
          <w:iCs/>
          <w:szCs w:val="24"/>
        </w:rPr>
      </w:pPr>
    </w:p>
    <w:p w14:paraId="10E95C55" w14:textId="651ADD22" w:rsidR="00050F24" w:rsidRPr="009461CC" w:rsidRDefault="00050F24" w:rsidP="00050F24">
      <w:pPr>
        <w:spacing w:after="0" w:afterAutospacing="0" w:line="240" w:lineRule="auto"/>
        <w:rPr>
          <w:rFonts w:eastAsia="Times New Roman" w:cs="Times New Roman"/>
          <w:iCs/>
          <w:szCs w:val="24"/>
        </w:rPr>
      </w:pPr>
      <w:r>
        <w:rPr>
          <w:rFonts w:eastAsia="Times New Roman" w:cs="Times New Roman"/>
          <w:szCs w:val="24"/>
          <w:lang w:val="lv"/>
        </w:rPr>
        <w:t>Atrieve vaskulārā</w:t>
      </w:r>
      <w:r w:rsidR="00921549">
        <w:rPr>
          <w:rFonts w:eastAsia="Times New Roman" w:cs="Times New Roman"/>
          <w:szCs w:val="24"/>
          <w:lang w:val="lv"/>
        </w:rPr>
        <w:t xml:space="preserve"> Snare</w:t>
      </w:r>
      <w:r>
        <w:rPr>
          <w:rFonts w:eastAsia="Times New Roman" w:cs="Times New Roman"/>
          <w:szCs w:val="24"/>
          <w:lang w:val="lv"/>
        </w:rPr>
        <w:t xml:space="preserve"> ārstēšanas iznākuma rādītāju kopsavilkums:</w:t>
      </w:r>
    </w:p>
    <w:p w14:paraId="5B675D80" w14:textId="77777777" w:rsidR="00EE18FA" w:rsidRPr="009461CC" w:rsidRDefault="00EE18FA" w:rsidP="00050F24">
      <w:pPr>
        <w:spacing w:after="0" w:afterAutospacing="0" w:line="240" w:lineRule="auto"/>
        <w:rPr>
          <w:rFonts w:eastAsia="Times New Roman" w:cs="Times New Roman"/>
          <w:iCs/>
          <w:szCs w:val="24"/>
        </w:rPr>
      </w:pPr>
    </w:p>
    <w:p w14:paraId="6387EAAA" w14:textId="6A98A9F8"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lv"/>
        </w:rPr>
        <w:t>Tehniskā efektivitāte bija izcila – 100%.</w:t>
      </w:r>
    </w:p>
    <w:p w14:paraId="70426807" w14:textId="6A68FCB6"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lv"/>
        </w:rPr>
        <w:t>Klīniskā efektivitāte bija 94,5%, kas ir nedaudz zem 97,4% sliekšņa.</w:t>
      </w:r>
    </w:p>
    <w:p w14:paraId="3E9DC071" w14:textId="055EE80D"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lv"/>
        </w:rPr>
        <w:t>Vispārējais komplikāciju līmenis, perforācija/audu bojājumi un klīniskā efektivitāte neatbilda pieņemšanas kritērijiem.</w:t>
      </w:r>
    </w:p>
    <w:p w14:paraId="44EC781B" w14:textId="7DA02325"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lv"/>
        </w:rPr>
        <w:t>Embolijas, sāpju un mirstības rādītāji bija 0% un atbilda kritērijiem.</w:t>
      </w:r>
    </w:p>
    <w:p w14:paraId="05E37DDA" w14:textId="77777777" w:rsidR="00EE18FA" w:rsidRPr="009461CC" w:rsidRDefault="00EE18FA" w:rsidP="00EE18FA">
      <w:pPr>
        <w:pStyle w:val="ListParagraph"/>
        <w:spacing w:after="0" w:afterAutospacing="0" w:line="240" w:lineRule="auto"/>
        <w:rPr>
          <w:rFonts w:eastAsia="Times New Roman" w:cs="Times New Roman"/>
          <w:iCs/>
          <w:szCs w:val="24"/>
        </w:rPr>
      </w:pPr>
    </w:p>
    <w:p w14:paraId="3F2FC7C2" w14:textId="2808A8DE" w:rsidR="00050F24" w:rsidRPr="009461CC" w:rsidRDefault="00050F24" w:rsidP="00EE18FA">
      <w:pPr>
        <w:spacing w:after="0" w:afterAutospacing="0" w:line="240" w:lineRule="auto"/>
        <w:rPr>
          <w:rFonts w:eastAsia="Times New Roman" w:cs="Times New Roman"/>
          <w:iCs/>
          <w:szCs w:val="24"/>
        </w:rPr>
      </w:pPr>
      <w:r>
        <w:rPr>
          <w:rFonts w:eastAsia="Times New Roman" w:cs="Times New Roman"/>
          <w:szCs w:val="24"/>
          <w:lang w:val="lv"/>
        </w:rPr>
        <w:t>Lai gan daži drošuma mērķa kritēriji pārsniedza robežvērtības, ieguvumu un riska profils saglabājās labvēlīgs augstās tehniskās efektivitātes un zema smagu komplikāciju līmeņa dēļ.</w:t>
      </w:r>
    </w:p>
    <w:p w14:paraId="2F8EAFF0" w14:textId="77777777" w:rsidR="00AA7F1D" w:rsidRPr="009461CC" w:rsidRDefault="00AA7F1D" w:rsidP="00D47200">
      <w:pPr>
        <w:spacing w:after="0" w:afterAutospacing="0" w:line="240" w:lineRule="auto"/>
        <w:rPr>
          <w:rFonts w:eastAsia="Times New Roman" w:cs="Times New Roman"/>
          <w:iCs/>
          <w:szCs w:val="24"/>
        </w:rPr>
      </w:pPr>
    </w:p>
    <w:p w14:paraId="7A0B3597" w14:textId="24A6D6E4" w:rsidR="00D47200" w:rsidRPr="009461CC" w:rsidRDefault="00AA7F1D" w:rsidP="00D47200">
      <w:pPr>
        <w:spacing w:after="0" w:afterAutospacing="0" w:line="240" w:lineRule="auto"/>
        <w:rPr>
          <w:rFonts w:eastAsia="Times New Roman" w:cs="Times New Roman"/>
          <w:iCs/>
          <w:szCs w:val="24"/>
        </w:rPr>
      </w:pPr>
      <w:r>
        <w:rPr>
          <w:rFonts w:eastAsia="Times New Roman" w:cs="Times New Roman"/>
          <w:szCs w:val="24"/>
          <w:lang w:val="lv"/>
        </w:rPr>
        <w:t>Klīniskie apgalvojumi lietošanas instrukcijā un mārketinga materiālos</w:t>
      </w:r>
    </w:p>
    <w:p w14:paraId="7DADA029" w14:textId="6C6ECAD3" w:rsidR="001F48BA" w:rsidRPr="009461CC" w:rsidRDefault="00C01A53" w:rsidP="00D52DF8">
      <w:pPr>
        <w:spacing w:after="0" w:afterAutospacing="0" w:line="240" w:lineRule="auto"/>
        <w:rPr>
          <w:rFonts w:cs="Times New Roman"/>
          <w:iCs/>
          <w:szCs w:val="24"/>
        </w:rPr>
      </w:pPr>
      <w:r>
        <w:rPr>
          <w:rFonts w:cs="Times New Roman"/>
          <w:szCs w:val="24"/>
          <w:lang w:val="lv"/>
        </w:rPr>
        <w:t>Klīniskais izvērtējums apstiprina šādus apgalvojumus:</w:t>
      </w:r>
    </w:p>
    <w:p w14:paraId="19E8DAE4" w14:textId="77777777" w:rsidR="00EE18FA" w:rsidRPr="009461CC" w:rsidRDefault="00EE18FA" w:rsidP="00D52DF8">
      <w:pPr>
        <w:spacing w:after="0" w:afterAutospacing="0" w:line="240" w:lineRule="auto"/>
        <w:rPr>
          <w:rFonts w:cs="Times New Roman"/>
          <w:iCs/>
          <w:szCs w:val="24"/>
        </w:rPr>
      </w:pPr>
    </w:p>
    <w:p w14:paraId="7925D059" w14:textId="1A5A89D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lv"/>
        </w:rPr>
        <w:t>Svešķermeņu perkutāna izņemšana/manipulācija – literatūrā apstiprināta ar 100% tehnisko efektivitāti.</w:t>
      </w:r>
    </w:p>
    <w:p w14:paraId="3AB6E45D" w14:textId="783809A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lv"/>
        </w:rPr>
        <w:t>Zemāks komplikāciju līmenis nekā ķirurģiskas iejaukšanās gadījumā – pamatots ar salīdzinošo literatūru un jaunāko sasniegumu analīzi.</w:t>
      </w:r>
    </w:p>
    <w:p w14:paraId="15638B58" w14:textId="335CFE86"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lv"/>
        </w:rPr>
        <w:t>Lietošana papildprocedūrās (piemēram, fibrīna apvalka noņemšana, katetra pārvietošana) – pamatota ar klīnisko gadījumu ziņojumiem un procedūru vadlīnijām.</w:t>
      </w:r>
    </w:p>
    <w:p w14:paraId="351D383E" w14:textId="7EB46C62" w:rsidR="00C01A53"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lv"/>
        </w:rPr>
        <w:t>Droši lietojams pieaugušo populācijā – apstiprina uzraudzības pēc laišanas tirgū un literatūras dati.</w:t>
      </w:r>
    </w:p>
    <w:p w14:paraId="68D32F33" w14:textId="77777777" w:rsidR="005D424F" w:rsidRPr="009461CC" w:rsidRDefault="005D424F" w:rsidP="005D424F">
      <w:pPr>
        <w:spacing w:after="0" w:afterAutospacing="0" w:line="240" w:lineRule="auto"/>
        <w:rPr>
          <w:rFonts w:cs="Times New Roman"/>
          <w:iCs/>
          <w:szCs w:val="24"/>
        </w:rPr>
      </w:pPr>
    </w:p>
    <w:p w14:paraId="76063689" w14:textId="3006D09D" w:rsidR="005D424F" w:rsidRPr="009461CC" w:rsidRDefault="005D424F" w:rsidP="005D424F">
      <w:pPr>
        <w:spacing w:after="0" w:afterAutospacing="0" w:line="240" w:lineRule="auto"/>
        <w:rPr>
          <w:rFonts w:cs="Times New Roman"/>
          <w:iCs/>
          <w:szCs w:val="24"/>
        </w:rPr>
      </w:pPr>
      <w:r>
        <w:rPr>
          <w:rFonts w:cs="Times New Roman"/>
          <w:szCs w:val="24"/>
          <w:lang w:val="lv"/>
        </w:rPr>
        <w:t>Atrieve vaskulārajiem slazdiem ir labvēlīgs ieguvumu un riska profils, un tās nodrošina spēcīgu klīnisko veiktspēju un drošumu, ko apstiprina literatūra, testi un dati pēc laišanas tirgū. Tie atbilst regulatīvajiem standartiem un ir piemēroti turpmākai klīniskai lietošanai.</w:t>
      </w:r>
    </w:p>
    <w:p w14:paraId="653883C0" w14:textId="77777777" w:rsidR="003859AF" w:rsidRPr="009461CC" w:rsidRDefault="003859AF" w:rsidP="003859AF">
      <w:pPr>
        <w:spacing w:after="0" w:afterAutospacing="0" w:line="240" w:lineRule="auto"/>
        <w:rPr>
          <w:rFonts w:cs="Times New Roman"/>
          <w:iCs/>
          <w:szCs w:val="24"/>
        </w:rPr>
      </w:pPr>
    </w:p>
    <w:p w14:paraId="6DCFA27A" w14:textId="12CF0A2D" w:rsidR="00C91927" w:rsidRPr="009461CC" w:rsidRDefault="008745ED" w:rsidP="00C91927">
      <w:pPr>
        <w:pStyle w:val="Heading1"/>
        <w:rPr>
          <w:rFonts w:cs="Times New Roman"/>
          <w:color w:val="auto"/>
        </w:rPr>
      </w:pPr>
      <w:bookmarkStart w:id="76" w:name="_Toc222741539"/>
      <w:r>
        <w:rPr>
          <w:rFonts w:cs="Times New Roman"/>
          <w:bCs/>
          <w:color w:val="auto"/>
          <w:lang w:val="lv"/>
        </w:rPr>
        <w:t>Notiekoša vai plānota klīniskā novērošana pēc pārdošanas</w:t>
      </w:r>
      <w:bookmarkEnd w:id="76"/>
    </w:p>
    <w:p w14:paraId="494CEDC3" w14:textId="027D0E23" w:rsidR="0094476E" w:rsidRPr="009461CC" w:rsidRDefault="003B4C77" w:rsidP="00C91927">
      <w:pPr>
        <w:spacing w:line="240" w:lineRule="auto"/>
        <w:rPr>
          <w:rFonts w:cs="Times New Roman"/>
          <w:highlight w:val="yellow"/>
        </w:rPr>
      </w:pPr>
      <w:r>
        <w:rPr>
          <w:rFonts w:cs="Times New Roman"/>
          <w:lang w:val="lv"/>
        </w:rPr>
        <w:t xml:space="preserve">Atrieve vaskulārā </w:t>
      </w:r>
      <w:r w:rsidR="00921549">
        <w:rPr>
          <w:rFonts w:cs="Times New Roman"/>
          <w:lang w:val="lv"/>
        </w:rPr>
        <w:t>Snare</w:t>
      </w:r>
      <w:r>
        <w:rPr>
          <w:rFonts w:cs="Times New Roman"/>
          <w:lang w:val="lv"/>
        </w:rPr>
        <w:t xml:space="preserve"> klīniskā novērošana pēc pārdošanas tiek veikta saskaņā ar PMCFP-029 Rev C un atbilst MDR XIV pielikuma B daļas prasībām. PMCF aktivitātes ir paredzētas, lai proaktīvi apstiprinātu ierīces drošumu un veiktspēju ikdienas klīniskajā praksē, identificētu visus iespējamos riskus un pārbaudītu, vai ieguvumu un riska profils joprojām ir pieņemams.</w:t>
      </w:r>
    </w:p>
    <w:p w14:paraId="58642C16" w14:textId="276C8BA1" w:rsidR="00E541DE" w:rsidRPr="009461CC" w:rsidRDefault="00E541DE" w:rsidP="00E541DE">
      <w:pPr>
        <w:pStyle w:val="NormalWeb"/>
      </w:pPr>
      <w:r>
        <w:rPr>
          <w:rStyle w:val="Strong"/>
          <w:lang w:val="lv"/>
        </w:rPr>
        <w:t>Notiekošas PMCF aktivitātes</w:t>
      </w:r>
      <w:r>
        <w:rPr>
          <w:lang w:val="lv"/>
        </w:rPr>
        <w:br/>
        <w:t>Visā ierīces dzīves cikla laikā ir plānotas šādas darbības:</w:t>
      </w:r>
    </w:p>
    <w:p w14:paraId="15FC3A69" w14:textId="31C9D895" w:rsidR="00E541DE" w:rsidRPr="009461CC" w:rsidRDefault="00DE3CC0" w:rsidP="00E541DE">
      <w:pPr>
        <w:pStyle w:val="NormalWeb"/>
        <w:numPr>
          <w:ilvl w:val="0"/>
          <w:numId w:val="29"/>
        </w:numPr>
      </w:pPr>
      <w:r>
        <w:rPr>
          <w:rStyle w:val="Strong"/>
          <w:b w:val="0"/>
          <w:bCs w:val="0"/>
          <w:lang w:val="lv"/>
        </w:rPr>
        <w:lastRenderedPageBreak/>
        <w:t>Ikgadējais sistemātiskais literatūras apskats:</w:t>
      </w:r>
      <w:r>
        <w:rPr>
          <w:lang w:val="lv"/>
        </w:rPr>
        <w:t xml:space="preserve"> lai identificētu jaunu informāciju par drošumu, veiktspēju, klīniskajām metodēm vai jauniem riskiem, tiek veikta strukturēta publicēto klīnisko pierādījumu pārskatīšana saistībā ar asinsvadu slazdiem un līdzīgām ierīcēm.</w:t>
      </w:r>
    </w:p>
    <w:p w14:paraId="08598FA3" w14:textId="6BDEE605" w:rsidR="00E541DE" w:rsidRPr="009461CC" w:rsidRDefault="00DE3CC0" w:rsidP="00E541DE">
      <w:pPr>
        <w:pStyle w:val="NormalWeb"/>
        <w:numPr>
          <w:ilvl w:val="0"/>
          <w:numId w:val="29"/>
        </w:numPr>
      </w:pPr>
      <w:r>
        <w:rPr>
          <w:rStyle w:val="Strong"/>
          <w:b w:val="0"/>
          <w:bCs w:val="0"/>
          <w:lang w:val="lv"/>
        </w:rPr>
        <w:t>Ikgadējais jaunāko tehnoloģiju (SOA) apskats:</w:t>
      </w:r>
      <w:r>
        <w:rPr>
          <w:lang w:val="lv"/>
        </w:rPr>
        <w:t xml:space="preserve"> tiek veikts klīniskās prakses vadlīniju, starptautisko standartu un konkurētspējīgu tehnoloģiju novērtējums, lai nodrošinātu pastāvīgu atbilstību pašreizējai klīniskajai un tehniskajai praksei.</w:t>
      </w:r>
    </w:p>
    <w:p w14:paraId="6EE80A3F" w14:textId="77777777" w:rsidR="00E541DE" w:rsidRPr="009461CC" w:rsidRDefault="00E541DE" w:rsidP="00E541DE">
      <w:pPr>
        <w:pStyle w:val="NormalWeb"/>
        <w:numPr>
          <w:ilvl w:val="0"/>
          <w:numId w:val="29"/>
        </w:numPr>
      </w:pPr>
      <w:r>
        <w:rPr>
          <w:rStyle w:val="Strong"/>
          <w:b w:val="0"/>
          <w:bCs w:val="0"/>
          <w:lang w:val="lv"/>
        </w:rPr>
        <w:t>Nepārtraukta sūdzību un blakusparādību datu pārskatīšana:</w:t>
      </w:r>
      <w:r>
        <w:rPr>
          <w:lang w:val="lv"/>
        </w:rPr>
        <w:t xml:space="preserve"> Lai gan šī ir PMS aktivitāte, nevis PMCF, PMCF procesa ietvaros tiek izvērtēti galvenie atklājumi, lai noteiktu, vai nepieciešama papildu klīniskā novērošana.</w:t>
      </w:r>
    </w:p>
    <w:p w14:paraId="39597E9A" w14:textId="0ED38B1A" w:rsidR="009E1EBB" w:rsidRPr="009461CC" w:rsidRDefault="009E1EBB" w:rsidP="009E1EBB">
      <w:pPr>
        <w:pStyle w:val="NormalWeb"/>
      </w:pPr>
      <w:r>
        <w:rPr>
          <w:rStyle w:val="Strong"/>
          <w:lang w:val="lv"/>
        </w:rPr>
        <w:t>Plānotās PMCF aktivitātes</w:t>
      </w:r>
      <w:r>
        <w:rPr>
          <w:lang w:val="lv"/>
        </w:rPr>
        <w:br/>
        <w:t xml:space="preserve">Lai apkopotu mērķtiecīgus reālās pasaules pierādījumus par Atrieve vaskulārā </w:t>
      </w:r>
      <w:r w:rsidR="00921549">
        <w:rPr>
          <w:lang w:val="lv"/>
        </w:rPr>
        <w:t>Snare</w:t>
      </w:r>
      <w:r>
        <w:rPr>
          <w:lang w:val="lv"/>
        </w:rPr>
        <w:t xml:space="preserve"> komplektu, ir plānota šāda aktivitāte:</w:t>
      </w:r>
    </w:p>
    <w:p w14:paraId="395AA027" w14:textId="77777777" w:rsidR="009E1EBB" w:rsidRPr="009461CC" w:rsidRDefault="009E1EBB" w:rsidP="009E1EBB">
      <w:pPr>
        <w:pStyle w:val="NormalWeb"/>
        <w:numPr>
          <w:ilvl w:val="0"/>
          <w:numId w:val="32"/>
        </w:numPr>
      </w:pPr>
      <w:r>
        <w:rPr>
          <w:rStyle w:val="Strong"/>
          <w:lang w:val="lv"/>
        </w:rPr>
        <w:t>PMCF ārstu aptauja:</w:t>
      </w:r>
      <w:r>
        <w:rPr>
          <w:lang w:val="lv"/>
        </w:rPr>
        <w:br/>
        <w:t>klīnisko lietotāju vidū tiks veikta strukturēta aptauja, lai apkopotu viņu pieredzi ar ierīci, novērtētu tās veiktspēju ikdienas praksē un identificētu visas novērotās komplikācijas vai neparedzētus notikumus. Aptaujas rezultāti tiks analizēti un iekļauti PMCF izvērtēšanas ziņojumā. Konstatējumi palīdzēs pieņemt lēmumus par nepieciešamību veikt papildu PMCF aktivitātes vai atjaunināt klīniskās izvērtēšanas ziņojumu (CER) un riska pārvaldības ziņojumu (RMR).</w:t>
      </w:r>
    </w:p>
    <w:p w14:paraId="1DED8B40" w14:textId="68F63E0B" w:rsidR="00DE0007" w:rsidRPr="009461CC" w:rsidRDefault="00DE0007" w:rsidP="00DE0007">
      <w:pPr>
        <w:pStyle w:val="NormalWeb"/>
      </w:pPr>
      <w:r>
        <w:rPr>
          <w:rStyle w:val="Strong"/>
          <w:lang w:val="lv"/>
        </w:rPr>
        <w:t>PTKP pieejas pamatojums</w:t>
      </w:r>
      <w:r>
        <w:rPr>
          <w:lang w:val="lv"/>
        </w:rPr>
        <w:br/>
        <w:t xml:space="preserve">Pamatojoties uz pašreizējo klīnisko izvērtējumu, literatūras pierādījumiem un pieredzi pēc laišanas tirgū, nav konstatēti jauni vai potenciāli riski, kuru dēļ būtu nepieciešams veikt ierīcei specifisku klīnisko pētījumu. Esošās PMCF aktivitātes, ikgadējā literatūra un SOA apskati, ko papildina mērķtiecīgas ārstu atsauksmes, tiek uzskatīti par pietiekamiem, lai apstiprinātu šīs labi izveidotās III klases mantotās ierīces – Atrieve vaskulārā </w:t>
      </w:r>
      <w:r w:rsidR="00921549">
        <w:rPr>
          <w:lang w:val="lv"/>
        </w:rPr>
        <w:t>Snare</w:t>
      </w:r>
      <w:r>
        <w:rPr>
          <w:lang w:val="lv"/>
        </w:rPr>
        <w:t xml:space="preserve"> komplekta – pastāvīgo drošumu un veiktspēju.</w:t>
      </w:r>
    </w:p>
    <w:p w14:paraId="3DA3C9CA" w14:textId="77777777" w:rsidR="005B4422" w:rsidRPr="009461CC" w:rsidRDefault="005B4422" w:rsidP="005B4422">
      <w:pPr>
        <w:pStyle w:val="NormalWeb"/>
        <w:spacing w:before="0" w:beforeAutospacing="0" w:after="0" w:afterAutospacing="0"/>
      </w:pPr>
      <w:r>
        <w:rPr>
          <w:rStyle w:val="Strong"/>
          <w:lang w:val="lv"/>
        </w:rPr>
        <w:t>PMCF pārskats</w:t>
      </w:r>
    </w:p>
    <w:p w14:paraId="5C389055" w14:textId="14E4D114" w:rsidR="0094476E" w:rsidRDefault="00B04139" w:rsidP="007002E4">
      <w:pPr>
        <w:pStyle w:val="NormalWeb"/>
        <w:spacing w:before="0" w:beforeAutospacing="0" w:after="0" w:afterAutospacing="0"/>
      </w:pPr>
      <w:r>
        <w:rPr>
          <w:lang w:val="lv"/>
        </w:rPr>
        <w:t>PMCF pārskats tiek ģenerēts noteiktos intervālos un ikreiz, kad kļūst pieejama jauna informācija, kas var ietekmēt ieguvumu un riska profilu. Visi PMCF rezultāti tiek iekļauti klīniskās izvērtēšanas ziņojumā (CER), riska pārvaldības ziņojumā (RMR) un citos procesos pēc laišanas tirgū atbilstoši nepieciešamībai.</w:t>
      </w:r>
    </w:p>
    <w:p w14:paraId="09D946B7" w14:textId="77777777" w:rsidR="007002E4" w:rsidRPr="007002E4" w:rsidRDefault="007002E4" w:rsidP="007002E4">
      <w:pPr>
        <w:pStyle w:val="NormalWeb"/>
        <w:spacing w:before="0" w:beforeAutospacing="0" w:after="0" w:afterAutospacing="0"/>
      </w:pPr>
    </w:p>
    <w:p w14:paraId="748C3FE5" w14:textId="1D19292C" w:rsidR="00760400" w:rsidRPr="009461CC" w:rsidRDefault="00760400" w:rsidP="00F67A0E">
      <w:pPr>
        <w:pStyle w:val="Heading1"/>
        <w:numPr>
          <w:ilvl w:val="0"/>
          <w:numId w:val="2"/>
        </w:numPr>
        <w:rPr>
          <w:rFonts w:cs="Times New Roman"/>
        </w:rPr>
      </w:pPr>
      <w:bookmarkStart w:id="77" w:name="_Toc222741540"/>
      <w:r>
        <w:rPr>
          <w:rFonts w:cs="Times New Roman"/>
          <w:bCs/>
          <w:lang w:val="lv"/>
        </w:rPr>
        <w:t>Iespējamās diagnostikas vai terapeitiskās alternatīvas</w:t>
      </w:r>
      <w:bookmarkEnd w:id="77"/>
      <w:r>
        <w:rPr>
          <w:rFonts w:cs="Times New Roman"/>
          <w:bCs/>
          <w:lang w:val="lv"/>
        </w:rPr>
        <w:t xml:space="preserve"> </w:t>
      </w:r>
    </w:p>
    <w:p w14:paraId="60C316BA" w14:textId="4177FF86" w:rsidR="00042B91" w:rsidRPr="009461CC" w:rsidRDefault="008373C6" w:rsidP="00AB04FB">
      <w:pPr>
        <w:rPr>
          <w:rFonts w:cs="Times New Roman"/>
        </w:rPr>
      </w:pPr>
      <w:r>
        <w:rPr>
          <w:rFonts w:cs="Times New Roman"/>
          <w:lang w:val="lv"/>
        </w:rPr>
        <w:t>Saskaņā ar CER-029 Rev B, ir noteiktas trīs galvenās alternatīvas svešķermeņu izņemšanai no sirds un asinsvadu sistēmas. Ja iejaukšanās var radīt lielāku risku, asimptomātiskiem vai augsta riska ķirurģiskiem pacientiem ieteicama konservatīva ārstēšana, paļaujoties uz rūpīgu uzraudzību un attēldiagnostiku. Priekšroka tiek dota minimāli invazīvām metodēm, un cilpu slazdiem, īpaši zoskakla slazdiem, kas tiek plaši izmantotas gan standarta, gan sarežģītai izņemšanai. Knaibles nodrošina precīzu satvērienu un ir piemērotas sarežģītiem gadījumiem, piemēram, lūzumiem vai ieaugušām ierīcēm. Ķirurģiska izņemšana, piemēram, torakotomija vai sternotomija, ir galīgs variants tās invazīvā rakstura un augstāka riska pacientam dēļ. Kopumā endovaskulāra izņemšana joprojām ir aprūpes standarts, un ārstēšana tiek pielāgota pacienta stāvoklim un svešķermeņa īpašībām.</w:t>
      </w:r>
    </w:p>
    <w:p w14:paraId="2CDE6FBF" w14:textId="77777777" w:rsidR="00042B91" w:rsidRPr="009461CC" w:rsidRDefault="00042B91" w:rsidP="00F67A0E">
      <w:pPr>
        <w:pStyle w:val="Heading1"/>
        <w:numPr>
          <w:ilvl w:val="0"/>
          <w:numId w:val="2"/>
        </w:numPr>
        <w:rPr>
          <w:rFonts w:cs="Times New Roman"/>
        </w:rPr>
      </w:pPr>
      <w:bookmarkStart w:id="78" w:name="_Toc222741541"/>
      <w:r>
        <w:rPr>
          <w:rFonts w:cs="Times New Roman"/>
          <w:bCs/>
          <w:lang w:val="lv"/>
        </w:rPr>
        <w:lastRenderedPageBreak/>
        <w:t>Ieteicamais profils un apmācības lietotājiem</w:t>
      </w:r>
      <w:bookmarkEnd w:id="78"/>
    </w:p>
    <w:p w14:paraId="35173865" w14:textId="0C72FD3E" w:rsidR="00042B91" w:rsidRPr="009461CC" w:rsidRDefault="00A5239F" w:rsidP="00042B91">
      <w:pPr>
        <w:spacing w:after="0" w:afterAutospacing="0" w:line="240" w:lineRule="auto"/>
        <w:rPr>
          <w:rFonts w:eastAsia="Calibri" w:cs="Times New Roman"/>
          <w:szCs w:val="24"/>
        </w:rPr>
      </w:pPr>
      <w:r>
        <w:rPr>
          <w:rFonts w:eastAsia="Calibri" w:cs="Times New Roman"/>
          <w:szCs w:val="24"/>
          <w:lang w:val="lv"/>
        </w:rPr>
        <w:t>Izstrādājumu drīkst izmantot medicīniskie speciālisti un tikai kvalificēts personāls, kas ir apguvis tehniku.</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22741542"/>
      <w:r>
        <w:rPr>
          <w:rFonts w:cs="Times New Roman"/>
          <w:bCs/>
          <w:lang w:val="lv"/>
        </w:rPr>
        <w:t>Saskaņotie standarti / vispārējās specifikācijas</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lv"/>
              </w:rPr>
              <w:t>Argon atbilstības datums/versija</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lv"/>
              </w:rPr>
              <w:t>Standarta nosaukums</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lv"/>
              </w:rPr>
              <w:t>Marķēšana</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lv"/>
              </w:rPr>
              <w:t>EN ISO 15223-1:2021</w:t>
            </w:r>
          </w:p>
        </w:tc>
        <w:tc>
          <w:tcPr>
            <w:tcW w:w="3871" w:type="pct"/>
          </w:tcPr>
          <w:p w14:paraId="40A15B1C" w14:textId="77777777" w:rsidR="0094168A" w:rsidRPr="009461CC" w:rsidRDefault="0094168A" w:rsidP="00293453">
            <w:pPr>
              <w:spacing w:after="0" w:afterAutospacing="0"/>
              <w:rPr>
                <w:rFonts w:cs="Times New Roman"/>
                <w:sz w:val="22"/>
              </w:rPr>
            </w:pPr>
            <w:r>
              <w:rPr>
                <w:rFonts w:cs="Times New Roman"/>
                <w:sz w:val="22"/>
                <w:lang w:val="lv"/>
              </w:rPr>
              <w:t xml:space="preserve">Medicīniskās ierīces – simboli, kas lietojami medicīniskajās ierīcēs. </w:t>
            </w:r>
          </w:p>
          <w:p w14:paraId="093121E8" w14:textId="77777777" w:rsidR="0094168A" w:rsidRPr="009461CC" w:rsidRDefault="0094168A" w:rsidP="00293453">
            <w:pPr>
              <w:spacing w:after="0" w:afterAutospacing="0"/>
              <w:rPr>
                <w:rFonts w:cs="Times New Roman"/>
                <w:sz w:val="22"/>
              </w:rPr>
            </w:pPr>
            <w:r>
              <w:rPr>
                <w:rFonts w:cs="Times New Roman"/>
                <w:sz w:val="22"/>
                <w:lang w:val="lv"/>
              </w:rPr>
              <w:t xml:space="preserve">Etiķetes, marķējums un sniedzamā informācija – 1. daļa. Vispārīgās prasības. </w:t>
            </w:r>
          </w:p>
          <w:p w14:paraId="3CEE87DD" w14:textId="77777777" w:rsidR="0094168A" w:rsidRPr="009461CC" w:rsidRDefault="0094168A" w:rsidP="00293453">
            <w:pPr>
              <w:spacing w:after="0" w:afterAutospacing="0"/>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lv"/>
              </w:rPr>
              <w:t>EN ISO 20417:2021</w:t>
            </w:r>
          </w:p>
        </w:tc>
        <w:tc>
          <w:tcPr>
            <w:tcW w:w="3871" w:type="pct"/>
          </w:tcPr>
          <w:p w14:paraId="6EF6F718" w14:textId="77777777" w:rsidR="0094168A" w:rsidRPr="009461CC" w:rsidRDefault="0094168A" w:rsidP="00293453">
            <w:pPr>
              <w:spacing w:after="0" w:afterAutospacing="0"/>
              <w:rPr>
                <w:rFonts w:cs="Times New Roman"/>
                <w:sz w:val="22"/>
              </w:rPr>
            </w:pPr>
            <w:r>
              <w:rPr>
                <w:rFonts w:cs="Times New Roman"/>
                <w:sz w:val="22"/>
                <w:lang w:val="lv"/>
              </w:rPr>
              <w:t>Terminoloģija, simboli un informācija, kas sniedzama kopā ar medicīniskajām ierīcēm: informācija, ko ražotājs sniedz kopā ar medicīniskajām ierīcēm</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lv"/>
              </w:rPr>
              <w:t>Vispārīgie standarti – sterilizācija</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lv"/>
              </w:rPr>
              <w:t>ISO 10555-1:2013</w:t>
            </w:r>
          </w:p>
        </w:tc>
        <w:tc>
          <w:tcPr>
            <w:tcW w:w="3871" w:type="pct"/>
          </w:tcPr>
          <w:p w14:paraId="5B0C265F" w14:textId="77777777" w:rsidR="0094168A" w:rsidRPr="009461CC" w:rsidRDefault="0094168A" w:rsidP="00293453">
            <w:pPr>
              <w:spacing w:after="0" w:afterAutospacing="0"/>
              <w:rPr>
                <w:rFonts w:cs="Times New Roman"/>
                <w:sz w:val="22"/>
              </w:rPr>
            </w:pPr>
            <w:r>
              <w:rPr>
                <w:rFonts w:cs="Times New Roman"/>
                <w:sz w:val="22"/>
                <w:lang w:val="lv"/>
              </w:rPr>
              <w:t>Intravaskulāri katetri – Sterilie un vienreizlietojamie katetri – 1. daļa: Vispārīgās prasības</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lv"/>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lv"/>
              </w:rPr>
              <w:t>Medicīnisko ierīču sterilizācija. Prasības medicīniskām ierīcēm, kurām paredzēts lietot uzlīmi “STERILS”. Prasības pilnīgi sterilām medicīniskām ierīcēm</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lv"/>
              </w:rPr>
              <w:t>EN ISO 11135:2019</w:t>
            </w:r>
          </w:p>
        </w:tc>
        <w:tc>
          <w:tcPr>
            <w:tcW w:w="3871" w:type="pct"/>
          </w:tcPr>
          <w:p w14:paraId="1E9B7BED" w14:textId="77777777" w:rsidR="0094168A" w:rsidRPr="009461CC" w:rsidRDefault="0094168A" w:rsidP="00293453">
            <w:pPr>
              <w:spacing w:after="0" w:afterAutospacing="0"/>
              <w:rPr>
                <w:rFonts w:cs="Times New Roman"/>
                <w:sz w:val="22"/>
              </w:rPr>
            </w:pPr>
            <w:r>
              <w:rPr>
                <w:rFonts w:cs="Times New Roman"/>
                <w:sz w:val="22"/>
                <w:lang w:val="lv"/>
              </w:rPr>
              <w:t>Veselības aprūpes produktu sterilizācija – etilēnoksīds – 1. daļa. Prasības medicīnisko ierīču sterilizācijas procesa izstrādei, apstiprināšanai un regulārai kontrolei</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lv"/>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9461CC" w:rsidRDefault="0094168A" w:rsidP="00293453">
            <w:pPr>
              <w:spacing w:after="0" w:afterAutospacing="0"/>
              <w:rPr>
                <w:rFonts w:cs="Times New Roman"/>
                <w:sz w:val="22"/>
              </w:rPr>
            </w:pPr>
            <w:r>
              <w:rPr>
                <w:rFonts w:cs="Times New Roman"/>
                <w:sz w:val="22"/>
                <w:lang w:val="lv"/>
              </w:rPr>
              <w:t>Produkta apstiprināšana un procesa līdzvērtība etilēnoksīda sterilizācijai</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lv"/>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lv"/>
              </w:rPr>
              <w:t>Gaisa tīrības klasifikācija, tīrtelpas un ar tām saistītā kontrolētā vide. 1. daļa. Gaisa tīrības klasifikācija</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lv"/>
              </w:rPr>
              <w:t>EN ISO 14644-2:2015</w:t>
            </w:r>
          </w:p>
        </w:tc>
        <w:tc>
          <w:tcPr>
            <w:tcW w:w="3871" w:type="pct"/>
          </w:tcPr>
          <w:p w14:paraId="3AA6B4D4" w14:textId="77777777" w:rsidR="0094168A" w:rsidRPr="009461CC" w:rsidRDefault="0094168A" w:rsidP="00293453">
            <w:pPr>
              <w:spacing w:after="0" w:afterAutospacing="0"/>
              <w:rPr>
                <w:rFonts w:cs="Times New Roman"/>
                <w:sz w:val="22"/>
              </w:rPr>
            </w:pPr>
            <w:r>
              <w:rPr>
                <w:rFonts w:cs="Times New Roman"/>
                <w:sz w:val="22"/>
                <w:lang w:val="lv"/>
              </w:rPr>
              <w:t xml:space="preserve">Tīrtelpas un ar tām saistīta kontrolēta vide – 2. daļa. Uzraudzība, lai nodrošinātu pierādījumus par tīrtelpas atbilstību. </w:t>
            </w:r>
          </w:p>
          <w:p w14:paraId="2873EF60" w14:textId="77777777" w:rsidR="0094168A" w:rsidRPr="009461CC" w:rsidRDefault="0094168A" w:rsidP="00293453">
            <w:pPr>
              <w:spacing w:after="0" w:afterAutospacing="0"/>
              <w:rPr>
                <w:rFonts w:cs="Times New Roman"/>
                <w:sz w:val="22"/>
              </w:rPr>
            </w:pPr>
            <w:r>
              <w:rPr>
                <w:rFonts w:cs="Times New Roman"/>
                <w:sz w:val="22"/>
                <w:lang w:val="lv"/>
              </w:rPr>
              <w:t xml:space="preserve">ar gaisa tīrību saistītā veiktspēja pēc daļiņām. </w:t>
            </w:r>
          </w:p>
          <w:p w14:paraId="02B2FEDC" w14:textId="77777777" w:rsidR="0094168A" w:rsidRPr="009461CC" w:rsidRDefault="0094168A" w:rsidP="00293453">
            <w:pPr>
              <w:spacing w:after="0" w:afterAutospacing="0"/>
              <w:rPr>
                <w:rFonts w:cs="Times New Roman"/>
                <w:sz w:val="22"/>
              </w:rPr>
            </w:pPr>
            <w:r>
              <w:rPr>
                <w:rFonts w:cs="Times New Roman"/>
                <w:sz w:val="22"/>
                <w:lang w:val="lv"/>
              </w:rPr>
              <w:t>koncentrācija</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lv"/>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rPr>
            </w:pPr>
            <w:r>
              <w:rPr>
                <w:rFonts w:eastAsia="Times New Roman" w:cs="Times New Roman"/>
                <w:sz w:val="22"/>
                <w:lang w:val="lv"/>
              </w:rPr>
              <w:t>Medicīnisko ierīču sterilizācija – Mikrobioloģiskās metodes – 1. daļa. Mikroorganismu populācijas noteikšana uz produktiem</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lv"/>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lv"/>
              </w:rPr>
              <w:t>Medicīnisko ierīču bioloģiskais novērtējums. Atlikumi pēc sterilizēšanas ar etilēnoksīdu</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lv"/>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lv"/>
              </w:rPr>
              <w:t>Baktēriju endotoksīnu tests</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lv"/>
              </w:rPr>
              <w:t>Vispārīgie standarti</w:t>
            </w:r>
            <w:r>
              <w:rPr>
                <w:rFonts w:cs="Times New Roman"/>
                <w:sz w:val="22"/>
                <w:lang w:val="lv"/>
              </w:rPr>
              <w:t> </w:t>
            </w:r>
            <w:r>
              <w:rPr>
                <w:rFonts w:cs="Times New Roman"/>
                <w:b/>
                <w:bCs/>
                <w:sz w:val="22"/>
                <w:lang w:val="lv"/>
              </w:rPr>
              <w:t>– kvalitātes sistēmas</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lv"/>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rPr>
            </w:pPr>
            <w:r>
              <w:rPr>
                <w:rFonts w:eastAsia="Times New Roman" w:cs="Times New Roman"/>
                <w:sz w:val="22"/>
                <w:lang w:val="lv"/>
              </w:rPr>
              <w:t>Medicīniskās ierīces. Kvalitātes pārvaldības sistēmas. Prasības regulatīviem nolūkiem</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lv"/>
              </w:rPr>
              <w:t>Risku pārvaldība</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lv"/>
              </w:rPr>
              <w:t>EN ISO 14971:2019</w:t>
            </w:r>
          </w:p>
        </w:tc>
        <w:tc>
          <w:tcPr>
            <w:tcW w:w="3871" w:type="pct"/>
          </w:tcPr>
          <w:p w14:paraId="4457BE68" w14:textId="77777777" w:rsidR="0094168A" w:rsidRPr="009461CC" w:rsidRDefault="0094168A" w:rsidP="00293453">
            <w:pPr>
              <w:spacing w:after="0" w:afterAutospacing="0"/>
              <w:rPr>
                <w:rFonts w:cs="Times New Roman"/>
                <w:sz w:val="22"/>
              </w:rPr>
            </w:pPr>
            <w:r>
              <w:rPr>
                <w:rFonts w:cs="Times New Roman"/>
                <w:sz w:val="22"/>
                <w:lang w:val="lv"/>
              </w:rPr>
              <w:t>Medicīniskās ierīces – riska pārvaldības piemērošana medicīniskajām ierīcēm</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lv"/>
              </w:rPr>
              <w:t>Bioloģiskā drošība</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lv"/>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93453">
            <w:pPr>
              <w:spacing w:after="14" w:afterAutospacing="0"/>
              <w:rPr>
                <w:rFonts w:cs="Times New Roman"/>
                <w:sz w:val="22"/>
              </w:rPr>
            </w:pPr>
            <w:r>
              <w:rPr>
                <w:rFonts w:eastAsia="Arial" w:cs="Times New Roman"/>
                <w:sz w:val="22"/>
                <w:lang w:val="lv"/>
              </w:rPr>
              <w:t xml:space="preserve">Medicīnisko ierīču bioloģiskais novērtējums – 1. daļa: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lv"/>
              </w:rPr>
              <w:t xml:space="preserve">novērtēšana un testēšana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lv"/>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rPr>
            </w:pPr>
            <w:r>
              <w:rPr>
                <w:rFonts w:eastAsia="Arial" w:cs="Times New Roman"/>
                <w:sz w:val="22"/>
                <w:lang w:val="lv"/>
              </w:rPr>
              <w:t xml:space="preserve">Medicīnisko ierīču bioloģiskā novērtēšana -- 3. daļa. Genotoksicitātes, kancerogenitātes un reproduktīvās toksicitātes testi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lv"/>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rPr>
            </w:pPr>
            <w:r>
              <w:rPr>
                <w:rFonts w:eastAsia="Arial" w:cs="Times New Roman"/>
                <w:sz w:val="22"/>
                <w:lang w:val="lv"/>
              </w:rPr>
              <w:t xml:space="preserve">Medicīnisko ierīču bioloģiskais novērtējums – 4. daļa. Testu izvēle mijiedarbībām ar asinīm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lv"/>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rPr>
            </w:pPr>
            <w:r>
              <w:rPr>
                <w:rFonts w:eastAsia="Arial" w:cs="Times New Roman"/>
                <w:sz w:val="22"/>
                <w:lang w:val="lv"/>
              </w:rPr>
              <w:t xml:space="preserve">Medicīnisko ierīču bioloģiskā novērtēšana -- 5. daļa. In vitro citotoksicitātes testi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lv"/>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rPr>
            </w:pPr>
            <w:r>
              <w:rPr>
                <w:rFonts w:eastAsia="Arial" w:cs="Times New Roman"/>
                <w:sz w:val="22"/>
                <w:lang w:val="lv"/>
              </w:rPr>
              <w:t xml:space="preserve">Medicīnisko ierīču bioloģiskā novērtēšana -- 10. daļa. Kairinājuma un ādas sensibilizācijas testi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lv"/>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rPr>
            </w:pPr>
            <w:r>
              <w:rPr>
                <w:rFonts w:eastAsia="Arial" w:cs="Times New Roman"/>
                <w:sz w:val="22"/>
                <w:lang w:val="lv"/>
              </w:rPr>
              <w:t xml:space="preserve">Medicīnisko ierīču bioloģiskā novērtēšana -- 11. daļa. Sistēmiskās toksicitātes testi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lv"/>
              </w:rPr>
              <w:lastRenderedPageBreak/>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rPr>
            </w:pPr>
            <w:r>
              <w:rPr>
                <w:rFonts w:eastAsia="Arial" w:cs="Times New Roman"/>
                <w:sz w:val="22"/>
                <w:lang w:val="lv"/>
              </w:rPr>
              <w:t xml:space="preserve">Medicīnisko ierīču bioloģiskā novērtēšana -- 12. daļa. Paraugu sagatavošana un references materiāli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lv"/>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rPr>
            </w:pPr>
            <w:r>
              <w:rPr>
                <w:rFonts w:eastAsia="Arial" w:cs="Times New Roman"/>
                <w:sz w:val="22"/>
                <w:lang w:val="lv"/>
              </w:rPr>
              <w:t>Medicīnisko ierīču sastāvdaļu toksikoloģiskā riska novērtējums</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lv"/>
              </w:rPr>
              <w:t>Klīniskā izvērtēšana</w:t>
            </w:r>
          </w:p>
        </w:tc>
      </w:tr>
      <w:tr w:rsidR="00586415" w:rsidRPr="009461CC"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lv"/>
              </w:rPr>
              <w:t>MEDDEV 2.7/1 Rev4</w:t>
            </w:r>
          </w:p>
        </w:tc>
        <w:tc>
          <w:tcPr>
            <w:tcW w:w="3871" w:type="pct"/>
          </w:tcPr>
          <w:p w14:paraId="3D1D1121" w14:textId="77777777" w:rsidR="00586415" w:rsidRPr="009461CC" w:rsidRDefault="00586415" w:rsidP="00586415">
            <w:pPr>
              <w:spacing w:after="0" w:afterAutospacing="0"/>
              <w:rPr>
                <w:rFonts w:cs="Times New Roman"/>
                <w:sz w:val="22"/>
              </w:rPr>
            </w:pPr>
            <w:r>
              <w:rPr>
                <w:rFonts w:cs="Times New Roman"/>
                <w:sz w:val="22"/>
                <w:lang w:val="lv"/>
              </w:rPr>
              <w:t>Klīniskā novērtēšana: rokasgrāmata ražotājiem un paziņotajām iestādēm</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lv"/>
              </w:rPr>
              <w:t>Projektēšanas kontrole</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lv"/>
              </w:rPr>
              <w:t>EN ISO 14971</w:t>
            </w:r>
          </w:p>
        </w:tc>
        <w:tc>
          <w:tcPr>
            <w:tcW w:w="3871" w:type="pct"/>
          </w:tcPr>
          <w:p w14:paraId="55771886" w14:textId="77777777" w:rsidR="00586415" w:rsidRPr="009461CC" w:rsidRDefault="00586415" w:rsidP="00586415">
            <w:pPr>
              <w:spacing w:after="0" w:afterAutospacing="0"/>
              <w:rPr>
                <w:rFonts w:cs="Times New Roman"/>
                <w:sz w:val="22"/>
              </w:rPr>
            </w:pPr>
            <w:r>
              <w:rPr>
                <w:rFonts w:cs="Times New Roman"/>
                <w:sz w:val="22"/>
                <w:lang w:val="lv"/>
              </w:rPr>
              <w:t>Medicīniskās ierīces – riska vadības piemērošana medicīniskajām ierīcēm</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rPr>
            </w:pPr>
          </w:p>
        </w:tc>
        <w:tc>
          <w:tcPr>
            <w:tcW w:w="3871" w:type="pct"/>
          </w:tcPr>
          <w:p w14:paraId="20C1E190" w14:textId="77777777" w:rsidR="00586415" w:rsidRPr="009461CC" w:rsidRDefault="00586415" w:rsidP="00586415">
            <w:pPr>
              <w:spacing w:after="0" w:afterAutospacing="0"/>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lv"/>
              </w:rPr>
              <w:t>Lietojamība</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lv"/>
              </w:rPr>
              <w:t>IEC 62366-1:2015 un</w:t>
            </w:r>
          </w:p>
          <w:p w14:paraId="2D964E3D" w14:textId="77777777" w:rsidR="00586415" w:rsidRPr="009461CC" w:rsidRDefault="00586415" w:rsidP="00586415">
            <w:pPr>
              <w:spacing w:after="0" w:afterAutospacing="0"/>
              <w:rPr>
                <w:rFonts w:cs="Times New Roman"/>
                <w:sz w:val="22"/>
              </w:rPr>
            </w:pPr>
            <w:r>
              <w:rPr>
                <w:rFonts w:cs="Times New Roman"/>
                <w:sz w:val="22"/>
                <w:lang w:val="lv"/>
              </w:rPr>
              <w:t>IEC 62366-1:2015/ COR1:2016</w:t>
            </w:r>
          </w:p>
        </w:tc>
        <w:tc>
          <w:tcPr>
            <w:tcW w:w="3871" w:type="pct"/>
          </w:tcPr>
          <w:p w14:paraId="7A444F47" w14:textId="77777777" w:rsidR="00586415" w:rsidRPr="009461CC" w:rsidRDefault="00586415" w:rsidP="00586415">
            <w:pPr>
              <w:spacing w:after="0" w:afterAutospacing="0"/>
              <w:rPr>
                <w:rFonts w:cs="Times New Roman"/>
                <w:sz w:val="22"/>
              </w:rPr>
            </w:pPr>
            <w:r>
              <w:rPr>
                <w:rFonts w:cs="Times New Roman"/>
                <w:sz w:val="22"/>
                <w:lang w:val="lv"/>
              </w:rPr>
              <w:t>Medicīniskās ierīces – lietojamības inženierijas lietošana medicīniskajās ierīcēs</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lv"/>
              </w:rPr>
              <w:t>Iepakojums</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lv"/>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rPr>
            </w:pPr>
            <w:r>
              <w:rPr>
                <w:rFonts w:eastAsia="Arial" w:cs="Times New Roman"/>
                <w:sz w:val="22"/>
                <w:lang w:val="lv"/>
              </w:rPr>
              <w:t xml:space="preserve">Iepakojums pilnīgi sterilām medicīniskām ierīcēm. 1. daļa. Prasības, kas jāizvirza materiāliem, sterilajām barjersistēmām un iepakošanas sistēmām.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lv"/>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rPr>
            </w:pPr>
            <w:r>
              <w:rPr>
                <w:rFonts w:eastAsia="Arial" w:cs="Times New Roman"/>
                <w:sz w:val="22"/>
                <w:lang w:val="lv"/>
              </w:rPr>
              <w:t xml:space="preserve">Iepakojums pilnīgi sterilām medicīniskām ierīcēm. 2. daļa. Veidošanas, hermetizēšanas un aprīkošanas procesu validēšanas prasības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lv"/>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rPr>
            </w:pPr>
            <w:r>
              <w:rPr>
                <w:rFonts w:eastAsia="Arial" w:cs="Times New Roman"/>
                <w:sz w:val="22"/>
                <w:lang w:val="lv"/>
              </w:rPr>
              <w:t xml:space="preserve">Iepakošana -- Pilni, piepildīti transporta iepakojumi un vienību kravas -- Sagatavošana testēšanai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lv"/>
                </w:rPr>
                <w:t xml:space="preserve">ASTM D4169 </w:t>
              </w:r>
            </w:hyperlink>
            <w:r>
              <w:rPr>
                <w:rFonts w:eastAsia="Arial" w:cs="Times New Roman"/>
                <w:sz w:val="22"/>
                <w:lang w:val="lv"/>
              </w:rPr>
              <w:t>:2022</w:t>
            </w:r>
            <w:hyperlink r:id="rId15">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586415">
            <w:pPr>
              <w:spacing w:after="0" w:afterAutospacing="0"/>
              <w:rPr>
                <w:rFonts w:cs="Times New Roman"/>
                <w:sz w:val="22"/>
              </w:rPr>
            </w:pPr>
            <w:r>
              <w:rPr>
                <w:rFonts w:eastAsia="Arial" w:cs="Times New Roman"/>
                <w:sz w:val="22"/>
                <w:lang w:val="lv"/>
              </w:rPr>
              <w:t xml:space="preserve">Standarta prakse transportēšanas konteineru un sistēmu veiktspējas testēšanai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lv"/>
                </w:rPr>
                <w:t xml:space="preserve">ASTM F2096 </w:t>
              </w:r>
            </w:hyperlink>
            <w:hyperlink r:id="rId17">
              <w:r>
                <w:rPr>
                  <w:rFonts w:eastAsia="Arial" w:cs="Times New Roman"/>
                  <w:sz w:val="22"/>
                  <w:lang w:val="lv"/>
                </w:rPr>
                <w:t xml:space="preserve">– </w:t>
              </w:r>
            </w:hyperlink>
            <w:r>
              <w:rPr>
                <w:rFonts w:eastAsia="Arial" w:cs="Times New Roman"/>
                <w:sz w:val="22"/>
                <w:lang w:val="lv"/>
              </w:rPr>
              <w:t>20</w:t>
            </w:r>
            <w:hyperlink r:id="rId18">
              <w:r>
                <w:rPr>
                  <w:rFonts w:eastAsia="Arial" w:cs="Times New Roman"/>
                  <w:sz w:val="22"/>
                  <w:lang w:val="lv"/>
                </w:rPr>
                <w:t xml:space="preserve">11 (R2019) </w:t>
              </w:r>
            </w:hyperlink>
            <w:hyperlink r:id="rId19">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rPr>
            </w:pPr>
            <w:r>
              <w:rPr>
                <w:rFonts w:eastAsia="Arial" w:cs="Times New Roman"/>
                <w:sz w:val="22"/>
                <w:lang w:val="lv"/>
              </w:rPr>
              <w:t xml:space="preserve">Standarta testēšanas metode rupju noplūžu noteikšanai </w:t>
            </w:r>
          </w:p>
          <w:p w14:paraId="403EB0FF" w14:textId="77777777" w:rsidR="00586415" w:rsidRPr="009461CC" w:rsidRDefault="00586415" w:rsidP="00586415">
            <w:pPr>
              <w:spacing w:after="16" w:afterAutospacing="0"/>
              <w:rPr>
                <w:rFonts w:cs="Times New Roman"/>
                <w:sz w:val="22"/>
              </w:rPr>
            </w:pPr>
            <w:r>
              <w:rPr>
                <w:rFonts w:eastAsia="Arial" w:cs="Times New Roman"/>
                <w:sz w:val="22"/>
                <w:lang w:val="lv"/>
              </w:rPr>
              <w:t xml:space="preserve">medicīniskajā iepakojumā, izmantojot iekšējo spiedienu (burbuļu tests)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lv"/>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lv"/>
                </w:rPr>
                <w:t xml:space="preserve">ASTM F1929 </w:t>
              </w:r>
            </w:hyperlink>
            <w:hyperlink r:id="rId21">
              <w:r>
                <w:rPr>
                  <w:rFonts w:eastAsia="Arial" w:cs="Times New Roman"/>
                  <w:sz w:val="22"/>
                  <w:lang w:val="lv"/>
                </w:rPr>
                <w:t xml:space="preserve">- </w:t>
              </w:r>
            </w:hyperlink>
            <w:hyperlink r:id="rId22">
              <w:r>
                <w:rPr>
                  <w:rFonts w:eastAsia="Arial" w:cs="Times New Roman"/>
                  <w:sz w:val="22"/>
                  <w:lang w:val="lv"/>
                </w:rPr>
                <w:t xml:space="preserve">15 </w:t>
              </w:r>
            </w:hyperlink>
            <w:hyperlink r:id="rId23">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rPr>
            </w:pPr>
            <w:r>
              <w:rPr>
                <w:rFonts w:eastAsia="Arial" w:cs="Times New Roman"/>
                <w:sz w:val="22"/>
                <w:lang w:val="lv"/>
              </w:rPr>
              <w:t xml:space="preserve">Standarta testēšanas metode blīvējuma noplūžu noteikšanai porainā </w:t>
            </w:r>
          </w:p>
          <w:p w14:paraId="1449B41C" w14:textId="77777777" w:rsidR="00586415" w:rsidRPr="009461CC" w:rsidRDefault="00586415" w:rsidP="00586415">
            <w:pPr>
              <w:spacing w:after="0" w:afterAutospacing="0"/>
              <w:rPr>
                <w:rFonts w:cs="Times New Roman"/>
                <w:sz w:val="22"/>
              </w:rPr>
            </w:pPr>
            <w:r>
              <w:rPr>
                <w:rFonts w:eastAsia="Arial" w:cs="Times New Roman"/>
                <w:sz w:val="22"/>
                <w:lang w:val="lv"/>
              </w:rPr>
              <w:t xml:space="preserve">medicīniskajā iepakojumā, izmantojot krāsvielas penetrācijas metodi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lv"/>
                </w:rPr>
                <w:t xml:space="preserve">ASTM F88 / F88M </w:t>
              </w:r>
            </w:hyperlink>
            <w:hyperlink r:id="rId25">
              <w:r>
                <w:rPr>
                  <w:rFonts w:eastAsia="Arial" w:cs="Times New Roman"/>
                  <w:sz w:val="22"/>
                  <w:lang w:val="lv"/>
                </w:rPr>
                <w:t xml:space="preserve">- </w:t>
              </w:r>
            </w:hyperlink>
            <w:r>
              <w:rPr>
                <w:rFonts w:eastAsia="Arial" w:cs="Times New Roman"/>
                <w:sz w:val="22"/>
                <w:lang w:val="lv"/>
              </w:rPr>
              <w:t>2021</w:t>
            </w:r>
            <w:hyperlink r:id="rId26">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rPr>
            </w:pPr>
            <w:r>
              <w:rPr>
                <w:rFonts w:eastAsia="Arial" w:cs="Times New Roman"/>
                <w:sz w:val="22"/>
                <w:lang w:val="lv"/>
              </w:rPr>
              <w:t xml:space="preserve">Standarta testa metode elastīgu barjermateriālu blīvējuma izturības pārbaudei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lv"/>
                </w:rPr>
                <w:t xml:space="preserve">ASTM F1980 </w:t>
              </w:r>
            </w:hyperlink>
            <w:hyperlink r:id="rId28">
              <w:r>
                <w:rPr>
                  <w:rFonts w:eastAsia="Arial" w:cs="Times New Roman"/>
                  <w:sz w:val="22"/>
                  <w:lang w:val="lv"/>
                </w:rPr>
                <w:t xml:space="preserve">- </w:t>
              </w:r>
            </w:hyperlink>
            <w:r>
              <w:rPr>
                <w:rFonts w:eastAsia="Arial" w:cs="Times New Roman"/>
                <w:sz w:val="22"/>
                <w:lang w:val="lv"/>
              </w:rPr>
              <w:t>2021</w:t>
            </w:r>
            <w:hyperlink r:id="rId29">
              <w:r>
                <w:rPr>
                  <w:rFonts w:eastAsia="Arial" w:cs="Times New Roman"/>
                  <w:sz w:val="22"/>
                  <w:lang w:val="lv"/>
                </w:rPr>
                <w:t xml:space="preserve"> </w:t>
              </w:r>
            </w:hyperlink>
            <w:hyperlink r:id="rId30">
              <w:r>
                <w:rPr>
                  <w:rFonts w:eastAsia="Arial" w:cs="Times New Roman"/>
                  <w:sz w:val="22"/>
                  <w:lang w:val="lv"/>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rPr>
            </w:pPr>
            <w:r>
              <w:rPr>
                <w:rFonts w:eastAsia="Arial" w:cs="Times New Roman"/>
                <w:sz w:val="22"/>
                <w:lang w:val="lv"/>
              </w:rPr>
              <w:t xml:space="preserve">Standarta rokasgrāmata medicīnisko ierīču sterilo barjeru sistēmu paātrinātai novecošanai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lv"/>
              </w:rPr>
              <w:t>Klīniskā novērošana pēc laišanas tirgū</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lv"/>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lv"/>
              </w:rPr>
              <w:t>Klīniskās novērošanas pēc laišanas tirgū pētījumi</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lv"/>
              </w:rPr>
              <w:t>Uzraudzība</w:t>
            </w:r>
          </w:p>
        </w:tc>
      </w:tr>
      <w:tr w:rsidR="00586415" w:rsidRPr="009461CC"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lv"/>
              </w:rPr>
              <w:t>MEDDEV 2.12/1 Rev8</w:t>
            </w:r>
          </w:p>
        </w:tc>
        <w:tc>
          <w:tcPr>
            <w:tcW w:w="3871" w:type="pct"/>
          </w:tcPr>
          <w:p w14:paraId="1F13D90E" w14:textId="77777777" w:rsidR="00586415" w:rsidRPr="009461CC" w:rsidRDefault="00586415" w:rsidP="00586415">
            <w:pPr>
              <w:spacing w:after="0" w:afterAutospacing="0"/>
              <w:rPr>
                <w:rFonts w:cs="Times New Roman"/>
                <w:sz w:val="22"/>
              </w:rPr>
            </w:pPr>
            <w:r>
              <w:rPr>
                <w:rFonts w:cs="Times New Roman"/>
                <w:sz w:val="22"/>
                <w:lang w:val="lv"/>
              </w:rPr>
              <w:t>Vadlīnijas par medicīnisko ierīču uzraudzības sistēmu</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543"/>
      <w:r>
        <w:rPr>
          <w:rFonts w:cs="Times New Roman"/>
          <w:bCs/>
          <w:lang w:val="lv"/>
        </w:rPr>
        <w:t>Pārskatīto izdevumu vēsture</w:t>
      </w:r>
      <w:bookmarkEnd w:id="80"/>
      <w:bookmarkEnd w:id="81"/>
    </w:p>
    <w:tbl>
      <w:tblPr>
        <w:tblStyle w:val="TableGrid"/>
        <w:tblW w:w="5000" w:type="pct"/>
        <w:tblLook w:val="04A0" w:firstRow="1" w:lastRow="0" w:firstColumn="1" w:lastColumn="0" w:noHBand="0" w:noVBand="1"/>
      </w:tblPr>
      <w:tblGrid>
        <w:gridCol w:w="1341"/>
        <w:gridCol w:w="1458"/>
        <w:gridCol w:w="4772"/>
        <w:gridCol w:w="2859"/>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lv"/>
              </w:rPr>
              <w:t>Pārskatītais izdevums</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lv"/>
              </w:rPr>
              <w:t>Izdošanas datums</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lv"/>
              </w:rPr>
              <w:t>Izmaiņu apraksts</w:t>
            </w:r>
          </w:p>
        </w:tc>
        <w:tc>
          <w:tcPr>
            <w:tcW w:w="1393" w:type="pct"/>
          </w:tcPr>
          <w:p w14:paraId="3C9FD99C" w14:textId="77777777" w:rsidR="00601F87" w:rsidRPr="009461CC" w:rsidRDefault="00601F87" w:rsidP="00293453">
            <w:pPr>
              <w:spacing w:after="0" w:afterAutospacing="0"/>
              <w:rPr>
                <w:rFonts w:cs="Times New Roman"/>
                <w:b/>
                <w:sz w:val="22"/>
              </w:rPr>
            </w:pPr>
            <w:r>
              <w:rPr>
                <w:rFonts w:cs="Times New Roman"/>
                <w:b/>
                <w:bCs/>
                <w:sz w:val="22"/>
                <w:lang w:val="lv"/>
              </w:rPr>
              <w:t>Pārskatīšanu apstiprinājusi pilnvarotā iestāde?</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lv"/>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lv"/>
              </w:rPr>
              <w:t>2022. gada 22. maijs</w:t>
            </w:r>
          </w:p>
        </w:tc>
        <w:tc>
          <w:tcPr>
            <w:tcW w:w="2310" w:type="pct"/>
          </w:tcPr>
          <w:p w14:paraId="0B577D70" w14:textId="77777777" w:rsidR="00601F87" w:rsidRPr="009461CC" w:rsidRDefault="00601F87" w:rsidP="00293453">
            <w:pPr>
              <w:spacing w:after="0" w:afterAutospacing="0"/>
              <w:rPr>
                <w:rFonts w:cs="Times New Roman"/>
                <w:sz w:val="22"/>
              </w:rPr>
            </w:pPr>
            <w:r>
              <w:rPr>
                <w:rFonts w:cs="Times New Roman"/>
                <w:sz w:val="22"/>
                <w:lang w:val="lv"/>
              </w:rPr>
              <w:t>Sākotnējā iekšējā versija – BSI nav apstiprinājusi</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Pr>
                    <w:rFonts w:ascii="Segoe UI Symbol" w:eastAsia="MS Gothic" w:hAnsi="Segoe UI Symbol" w:cs="Segoe UI Symbol"/>
                    <w:sz w:val="22"/>
                    <w:lang w:val="lv"/>
                  </w:rPr>
                  <w:t>☒</w:t>
                </w:r>
              </w:sdtContent>
            </w:sdt>
            <w:r>
              <w:rPr>
                <w:rFonts w:eastAsia="MS Gothic"/>
                <w:sz w:val="22"/>
                <w:lang w:val="lv"/>
              </w:rPr>
              <w:t xml:space="preserve"> Tikai iekšējai lietošanai</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lv"/>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lv"/>
              </w:rPr>
              <w:t xml:space="preserve">2025. gada 15. decembris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Pr>
                <w:rFonts w:cs="Times New Roman"/>
                <w:sz w:val="22"/>
                <w:lang w:val="lv"/>
              </w:rPr>
              <w:t>Sākotnējā iesniegšana BSI pārskatīšanai</w:t>
            </w:r>
          </w:p>
          <w:p w14:paraId="17842BBC" w14:textId="53FA9776" w:rsidR="00601F87" w:rsidRPr="009461CC" w:rsidRDefault="00601F87" w:rsidP="00293453">
            <w:pPr>
              <w:spacing w:after="0" w:afterAutospacing="0"/>
              <w:rPr>
                <w:rFonts w:cs="Times New Roman"/>
                <w:sz w:val="22"/>
              </w:rPr>
            </w:pPr>
            <w:r>
              <w:rPr>
                <w:rFonts w:cs="Times New Roman"/>
                <w:sz w:val="22"/>
                <w:lang w:val="lv"/>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Pr>
                    <w:rFonts w:ascii="Segoe UI Symbol" w:eastAsia="MS Gothic" w:hAnsi="Segoe UI Symbol" w:cs="Segoe UI Symbol"/>
                    <w:sz w:val="22"/>
                    <w:lang w:val="lv"/>
                  </w:rPr>
                  <w:t>☒</w:t>
                </w:r>
              </w:sdtContent>
            </w:sdt>
            <w:r>
              <w:rPr>
                <w:rFonts w:eastAsia="MS Gothic"/>
                <w:sz w:val="22"/>
                <w:lang w:val="lv"/>
              </w:rPr>
              <w:t xml:space="preserve"> Jā </w:t>
            </w:r>
          </w:p>
          <w:p w14:paraId="52EB2E13" w14:textId="77777777" w:rsidR="006D6EA3" w:rsidRPr="009461CC" w:rsidRDefault="006D6EA3" w:rsidP="006D6EA3">
            <w:pPr>
              <w:spacing w:after="0" w:afterAutospacing="0"/>
              <w:rPr>
                <w:rFonts w:cs="Times New Roman"/>
                <w:sz w:val="22"/>
              </w:rPr>
            </w:pPr>
            <w:r>
              <w:rPr>
                <w:rFonts w:cs="Times New Roman"/>
                <w:sz w:val="22"/>
                <w:lang w:val="lv"/>
              </w:rPr>
              <w:t xml:space="preserve">Apstiprināšanas valoda: </w:t>
            </w:r>
          </w:p>
          <w:p w14:paraId="293F45BE" w14:textId="789551FE" w:rsidR="00CA46B0" w:rsidRPr="009461CC" w:rsidRDefault="006D6EA3" w:rsidP="006D6EA3">
            <w:pPr>
              <w:spacing w:after="0" w:afterAutospacing="0"/>
              <w:rPr>
                <w:rFonts w:cs="Times New Roman"/>
                <w:sz w:val="22"/>
              </w:rPr>
            </w:pPr>
            <w:r>
              <w:rPr>
                <w:rFonts w:cs="Times New Roman"/>
                <w:sz w:val="22"/>
                <w:lang w:val="lv"/>
              </w:rPr>
              <w:t>Latviski</w:t>
            </w:r>
          </w:p>
          <w:p w14:paraId="2C6B2388" w14:textId="23538238" w:rsidR="00601F87" w:rsidRPr="009461CC" w:rsidRDefault="006D6EA3" w:rsidP="006D6EA3">
            <w:pPr>
              <w:spacing w:after="0" w:afterAutospacing="0"/>
              <w:rPr>
                <w:rFonts w:cs="Times New Roman"/>
                <w:sz w:val="22"/>
                <w:highlight w:val="yellow"/>
              </w:rPr>
            </w:pPr>
            <w:r>
              <w:rPr>
                <w:rFonts w:ascii="Segoe UI Symbol" w:hAnsi="Segoe UI Symbol"/>
                <w:sz w:val="22"/>
                <w:lang w:val="lv"/>
              </w:rPr>
              <w:lastRenderedPageBreak/>
              <w:t>☐</w:t>
            </w:r>
            <w:r>
              <w:rPr>
                <w:sz w:val="22"/>
                <w:lang w:val="lv"/>
              </w:rPr>
              <w:t xml:space="preserve"> Nē (attiecas tikai uz IIa klases vai dažām IIb klases ierīcēm, kurām NB vēl nav apstiprinājusi SSCP)</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7D69" w14:textId="77777777" w:rsidR="00CA32B8" w:rsidRDefault="00CA32B8" w:rsidP="009855C3">
      <w:r>
        <w:separator/>
      </w:r>
    </w:p>
  </w:endnote>
  <w:endnote w:type="continuationSeparator" w:id="0">
    <w:p w14:paraId="46482D02" w14:textId="77777777" w:rsidR="00CA32B8" w:rsidRDefault="00CA32B8"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F44E82" w:rsidRDefault="003036AD" w:rsidP="009855C3">
    <w:pPr>
      <w:pStyle w:val="Footer"/>
      <w:rPr>
        <w:szCs w:val="24"/>
      </w:rPr>
    </w:pPr>
    <w:r>
      <w:rPr>
        <w:b/>
        <w:bCs/>
        <w:sz w:val="18"/>
        <w:szCs w:val="18"/>
        <w:lang w:val="lv"/>
      </w:rPr>
      <w:t xml:space="preserve">CAQ-QA-025-F1 </w:t>
    </w:r>
    <w:r>
      <w:rPr>
        <w:b/>
        <w:bCs/>
        <w:sz w:val="18"/>
        <w:szCs w:val="18"/>
        <w:lang w:val="lv"/>
      </w:rPr>
      <w:t>Rev G: drošuma un klīniskās veiktspējas kopsavilkums (SSCP)</w:t>
    </w:r>
    <w:r>
      <w:rPr>
        <w:lang w:val="lv"/>
      </w:rPr>
      <w:t xml:space="preserve"> </w:t>
    </w:r>
    <w:r>
      <w:rPr>
        <w:lang w:val="lv"/>
      </w:rPr>
      <w:tab/>
      <w:t xml:space="preserve">Lapa </w:t>
    </w:r>
    <w:r>
      <w:rPr>
        <w:lang w:val="lv"/>
      </w:rPr>
      <w:fldChar w:fldCharType="begin"/>
    </w:r>
    <w:r>
      <w:rPr>
        <w:lang w:val="lv"/>
      </w:rPr>
      <w:instrText xml:space="preserve"> PAGE  \* Arabic </w:instrText>
    </w:r>
    <w:r>
      <w:rPr>
        <w:lang w:val="lv"/>
      </w:rPr>
      <w:fldChar w:fldCharType="separate"/>
    </w:r>
    <w:r>
      <w:rPr>
        <w:lang w:val="lv"/>
      </w:rPr>
      <w:t>0</w:t>
    </w:r>
    <w:r>
      <w:rPr>
        <w:lang w:val="lv"/>
      </w:rPr>
      <w:fldChar w:fldCharType="end"/>
    </w:r>
    <w:r>
      <w:rPr>
        <w:lang w:val="lv"/>
      </w:rPr>
      <w:t xml:space="preserve"> no </w:t>
    </w:r>
    <w:r>
      <w:fldChar w:fldCharType="begin"/>
    </w:r>
    <w:r>
      <w:instrText xml:space="preserve"> NUMPAGES  </w:instrText>
    </w:r>
    <w:r>
      <w:fldChar w:fldCharType="separate"/>
    </w:r>
    <w:r>
      <w:rPr>
        <w:lang w:val="lv"/>
      </w:rPr>
      <w:t>12</w:t>
    </w:r>
    <w:r>
      <w:rPr>
        <w:lang w:val="lv"/>
      </w:rPr>
      <w:fldChar w:fldCharType="end"/>
    </w:r>
    <w:r>
      <w:rPr>
        <w:lang w:val="lv"/>
      </w:rPr>
      <w:t xml:space="preserve">  </w:t>
    </w:r>
    <w:r>
      <w:rPr>
        <w:lang w:val="lv"/>
      </w:rPr>
      <w:tab/>
    </w:r>
    <w:r>
      <w:rPr>
        <w:lang w:val="l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F959" w14:textId="77777777" w:rsidR="00CA32B8" w:rsidRDefault="00CA32B8" w:rsidP="009855C3">
      <w:r>
        <w:separator/>
      </w:r>
    </w:p>
  </w:footnote>
  <w:footnote w:type="continuationSeparator" w:id="0">
    <w:p w14:paraId="7E5502A8" w14:textId="77777777" w:rsidR="00CA32B8" w:rsidRDefault="00CA32B8"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59145F" w14:paraId="7E46E4C7" w14:textId="77777777" w:rsidTr="00B62140">
      <w:tc>
        <w:tcPr>
          <w:tcW w:w="3080" w:type="dxa"/>
        </w:tcPr>
        <w:p w14:paraId="184F2588" w14:textId="6EABB2E0" w:rsidR="00B62140" w:rsidRDefault="00B62140" w:rsidP="00B62140">
          <w:pPr>
            <w:pStyle w:val="Header"/>
            <w:jc w:val="left"/>
          </w:pPr>
          <w:r>
            <w:rPr>
              <w:noProof/>
              <w:lang w:val="lv"/>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lv"/>
            </w:rPr>
            <w:t>Drošuma un klīniskās veiktspējas kopsavilkums (SSCP)</w:t>
          </w:r>
        </w:p>
        <w:p w14:paraId="3BB3B2B1" w14:textId="1177CE20" w:rsidR="009F5769" w:rsidRPr="005450DC" w:rsidRDefault="009F5769" w:rsidP="009F5769">
          <w:pPr>
            <w:spacing w:after="0" w:afterAutospacing="0"/>
            <w:rPr>
              <w:rFonts w:ascii="Arial" w:hAnsi="Arial" w:cs="Arial"/>
              <w:sz w:val="18"/>
              <w:szCs w:val="18"/>
            </w:rPr>
          </w:pPr>
          <w:r>
            <w:rPr>
              <w:rFonts w:ascii="Arial" w:hAnsi="Arial" w:cs="Arial"/>
              <w:b/>
              <w:bCs/>
              <w:sz w:val="18"/>
              <w:szCs w:val="18"/>
              <w:lang w:val="lv"/>
            </w:rPr>
            <w:t xml:space="preserve">SSCP-0006: </w:t>
          </w:r>
          <w:bookmarkStart w:id="82" w:name="_Hlk196721157"/>
          <w:r>
            <w:rPr>
              <w:rFonts w:ascii="Arial" w:hAnsi="Arial" w:cs="Arial"/>
              <w:sz w:val="18"/>
              <w:szCs w:val="18"/>
              <w:lang w:val="lv"/>
            </w:rPr>
            <w:t xml:space="preserve">Atrieve vaskulārā </w:t>
          </w:r>
          <w:r w:rsidR="00921549">
            <w:rPr>
              <w:rFonts w:ascii="Arial" w:hAnsi="Arial" w:cs="Arial"/>
              <w:sz w:val="18"/>
              <w:szCs w:val="18"/>
              <w:lang w:val="lv"/>
            </w:rPr>
            <w:t>Snare</w:t>
          </w:r>
          <w:r>
            <w:rPr>
              <w:rFonts w:ascii="Arial" w:hAnsi="Arial" w:cs="Arial"/>
              <w:sz w:val="18"/>
              <w:szCs w:val="18"/>
              <w:lang w:val="lv"/>
            </w:rPr>
            <w:t xml:space="preserve"> komplekts</w:t>
          </w:r>
          <w:bookmarkEnd w:id="82"/>
        </w:p>
        <w:p w14:paraId="32066318" w14:textId="5996CDC6" w:rsidR="005450DC" w:rsidRPr="005450DC" w:rsidRDefault="005450DC" w:rsidP="005450DC">
          <w:pPr>
            <w:spacing w:after="0" w:afterAutospacing="0"/>
            <w:rPr>
              <w:rFonts w:ascii="Arial" w:hAnsi="Arial" w:cs="Arial"/>
              <w:sz w:val="18"/>
              <w:szCs w:val="18"/>
            </w:rPr>
          </w:pPr>
          <w:r>
            <w:rPr>
              <w:rFonts w:ascii="Arial" w:hAnsi="Arial" w:cs="Arial"/>
              <w:sz w:val="18"/>
              <w:szCs w:val="18"/>
              <w:lang w:val="lv"/>
            </w:rPr>
            <w:t>Pārskatītais izdevums: B</w:t>
          </w:r>
        </w:p>
        <w:p w14:paraId="2F5F8390" w14:textId="0ABFBBD1" w:rsidR="005450DC" w:rsidRPr="0059145F" w:rsidRDefault="005450DC" w:rsidP="005450DC">
          <w:pPr>
            <w:pStyle w:val="Header"/>
            <w:jc w:val="left"/>
            <w:rPr>
              <w:rFonts w:ascii="Arial" w:hAnsi="Arial" w:cs="Arial"/>
              <w:sz w:val="18"/>
              <w:lang w:val="it-IT"/>
            </w:rPr>
          </w:pPr>
          <w:r>
            <w:rPr>
              <w:rFonts w:ascii="Calibri" w:eastAsiaTheme="minorHAnsi" w:hAnsi="Calibri" w:cs="Calibri"/>
              <w:sz w:val="18"/>
              <w:szCs w:val="18"/>
              <w:lang w:val="lv"/>
            </w:rPr>
            <w:t>Argon atrašanās vieta: visas struktūrvienības</w:t>
          </w:r>
        </w:p>
      </w:tc>
    </w:tr>
  </w:tbl>
  <w:p w14:paraId="0BD58B4F" w14:textId="7DA38D57" w:rsidR="00B62140" w:rsidRPr="0059145F" w:rsidRDefault="00B62140" w:rsidP="00B62140">
    <w:pPr>
      <w:pStyle w:val="Header"/>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C5195"/>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145F"/>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4992"/>
    <w:rsid w:val="00706757"/>
    <w:rsid w:val="007076C9"/>
    <w:rsid w:val="00710948"/>
    <w:rsid w:val="00710EE4"/>
    <w:rsid w:val="00713233"/>
    <w:rsid w:val="0071436C"/>
    <w:rsid w:val="00716E6B"/>
    <w:rsid w:val="00717248"/>
    <w:rsid w:val="00720869"/>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23B2"/>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7F1C"/>
    <w:rsid w:val="008F6E85"/>
    <w:rsid w:val="00900933"/>
    <w:rsid w:val="0090367B"/>
    <w:rsid w:val="00905F56"/>
    <w:rsid w:val="00914027"/>
    <w:rsid w:val="009140CD"/>
    <w:rsid w:val="009214EC"/>
    <w:rsid w:val="00921549"/>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32B8"/>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2.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4482</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4</cp:revision>
  <cp:lastPrinted>2026-02-23T12:18:00Z</cp:lastPrinted>
  <dcterms:created xsi:type="dcterms:W3CDTF">2026-02-23T12:18:00Z</dcterms:created>
  <dcterms:modified xsi:type="dcterms:W3CDTF">2026-02-25T21:47:00Z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