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nl-NL"/>
        </w:rPr>
        <mc:AlternateContent>
          <mc:Choice Requires="wps">
            <w:drawing>
              <wp:anchor distT="0" distB="0" distL="114300" distR="114300" simplePos="0" relativeHeight="251659264" behindDoc="0" locked="0" layoutInCell="1" allowOverlap="1" wp14:anchorId="6FC0C8B7" wp14:editId="60B3B548">
                <wp:simplePos x="0" y="0"/>
                <wp:positionH relativeFrom="column">
                  <wp:posOffset>-191262</wp:posOffset>
                </wp:positionH>
                <wp:positionV relativeFrom="paragraph">
                  <wp:posOffset>68961</wp:posOffset>
                </wp:positionV>
                <wp:extent cx="6448425" cy="1291590"/>
                <wp:effectExtent l="25400" t="25400" r="41275" b="419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9159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BC3E84" w:rsidRDefault="006F0810" w:rsidP="006D00F2">
                            <w:pPr>
                              <w:pStyle w:val="Heading7"/>
                              <w:spacing w:after="0" w:afterAutospacing="0"/>
                              <w:rPr>
                                <w:sz w:val="32"/>
                                <w:szCs w:val="32"/>
                                <w:lang w:val="de-DE"/>
                              </w:rPr>
                            </w:pPr>
                            <w:r>
                              <w:rPr>
                                <w:bCs/>
                                <w:sz w:val="32"/>
                                <w:szCs w:val="32"/>
                                <w:lang w:val="nl-NL"/>
                              </w:rPr>
                              <w:t>SAMENVATTING VAN VEILIGHEID EN KLINISCHE PRESTATIES (SSCP)</w:t>
                            </w:r>
                          </w:p>
                          <w:p w14:paraId="0E1996B2" w14:textId="77777777" w:rsidR="005D4A52" w:rsidRDefault="005D4A52" w:rsidP="006D00F2">
                            <w:pPr>
                              <w:pStyle w:val="Heading7"/>
                              <w:spacing w:after="0" w:afterAutospacing="0"/>
                              <w:rPr>
                                <w:sz w:val="32"/>
                                <w:szCs w:val="32"/>
                              </w:rPr>
                            </w:pPr>
                            <w:r w:rsidRPr="008B131A">
                              <w:rPr>
                                <w:bCs/>
                                <w:sz w:val="32"/>
                                <w:szCs w:val="32"/>
                                <w:lang w:val="en-US"/>
                              </w:rPr>
                              <w:t>SSCP-0006</w:t>
                            </w:r>
                          </w:p>
                          <w:p w14:paraId="06B6F153" w14:textId="599470E0" w:rsidR="005D4A52" w:rsidRDefault="00F21B6F" w:rsidP="006D00F2">
                            <w:pPr>
                              <w:pStyle w:val="Heading7"/>
                              <w:spacing w:after="0" w:afterAutospacing="0"/>
                              <w:rPr>
                                <w:sz w:val="32"/>
                                <w:szCs w:val="32"/>
                              </w:rPr>
                            </w:pPr>
                            <w:r w:rsidRPr="00F21B6F">
                              <w:rPr>
                                <w:bCs/>
                                <w:sz w:val="32"/>
                                <w:szCs w:val="32"/>
                                <w:lang w:val="en-US"/>
                              </w:rPr>
                              <w:t>Atrieve™ Vasculaire Snare-kit</w:t>
                            </w:r>
                          </w:p>
                          <w:p w14:paraId="3354BBA5" w14:textId="08AF297F" w:rsidR="005D4A52" w:rsidRPr="005B469C" w:rsidRDefault="005D4A52" w:rsidP="006D00F2">
                            <w:pPr>
                              <w:spacing w:after="0" w:afterAutospacing="0"/>
                              <w:jc w:val="center"/>
                              <w:rPr>
                                <w:b/>
                                <w:bCs/>
                                <w:sz w:val="32"/>
                                <w:szCs w:val="32"/>
                              </w:rPr>
                            </w:pPr>
                            <w:r w:rsidRPr="008B131A">
                              <w:rPr>
                                <w:b/>
                                <w:bCs/>
                                <w:sz w:val="32"/>
                                <w:szCs w:val="32"/>
                              </w:rPr>
                              <w:t>DHF-82248</w:t>
                            </w:r>
                          </w:p>
                          <w:p w14:paraId="3CF39942" w14:textId="77777777" w:rsidR="0005411A" w:rsidRPr="00267292" w:rsidRDefault="0005411A" w:rsidP="009855C3"/>
                          <w:p w14:paraId="684B57C2" w14:textId="77777777" w:rsidR="0005411A" w:rsidRPr="00267292" w:rsidRDefault="0005411A" w:rsidP="009855C3">
                            <w:r>
                              <w:rPr>
                                <w:lang w:val="nl-NL"/>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05pt;margin-top:5.45pt;width:507.75pt;height:10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A1JAIAAD4EAAAOAAAAZHJzL2Uyb0RvYy54bWysU21v2yAQ/j5p/wHxfXEcJW1ixam6dJkm&#10;dS9Sux+AMbZRgWNAYme/fgdO06jbvkzjA+K44+HuuefWN4NW5CCcl2BKmk+mlAjDoZamLen3x927&#10;JSU+MFMzBUaU9Cg8vdm8fbPubSFm0IGqhSMIYnzR25J2IdgiyzzvhGZ+AlYYdDbgNAtoujarHesR&#10;XatsNp1eZT242jrgwnu8vRuddJPwm0bw8LVpvAhElRRzC2l3aa/inm3WrGgds53kpzTYP2ShmTT4&#10;6RnqjgVG9k7+BqUld+ChCRMOOoOmkVykGrCafPqqmoeOWZFqQXK8PdPk/x8s/3J4sN8cCcN7GLCB&#10;qQhv74E/eWJg2zHTilvnoO8Eq/HjPFKW9dYXp6eRal/4CFL1n6HGJrN9gAQ0NE5HVrBOgujYgOOZ&#10;dDEEwvHyaj5fzmcLSjj68tkqX6xSWzJWPD+3zoePAjSJh5I67GqCZ4d7H2I6rHgOib95ULLeSaWS&#10;4dpqqxw5MFTALq1UwaswZUhf0sV1vsAkubZ1SUMnzSPK4mnk5K+g07T+BKplQHErqUu6PAexIjL5&#10;wdRJeoFJNZ6xCGVO1EY2R17DUA0YGCmuoD4iyQ5GEePQ4aED95OSHgVcUv9jz5ygRH0y2KhVPp9H&#10;xSdjvrieoeEuPdWlhxmOUFg0JeNxG8Yp2Vsn2w5/GqVh4Bab28hE+0tWp7xRpKkbp4GKU3Bpp6iX&#10;sd/8AgAA//8DAFBLAwQUAAYACAAAACEAADfwdd4AAAAKAQAADwAAAGRycy9kb3ducmV2LnhtbEyP&#10;wU7DMBBE70j8g7VIvbV22hQlIU5VIcERibYHjk68xFbjdRS7bfr3mBMcV/M087bezW5gV5yC9SQh&#10;WwlgSJ3XlnoJp+PbsgAWoiKtBk8o4Y4Bds3jQ60q7W/0iddD7FkqoVApCSbGseI8dAadCis/IqXs&#10;209OxXROPdeTuqVyN/C1EM/cKUtpwagRXw1258PFSTjvuyNueSxKYz/y9us90GyDlIunef8CLOIc&#10;/2D41U/q0CSn1l9IBzZIWG5EltAUiBJYAspimwNrJayzfAO8qfn/F5ofAAAA//8DAFBLAQItABQA&#10;BgAIAAAAIQC2gziS/gAAAOEBAAATAAAAAAAAAAAAAAAAAAAAAABbQ29udGVudF9UeXBlc10ueG1s&#10;UEsBAi0AFAAGAAgAAAAhADj9If/WAAAAlAEAAAsAAAAAAAAAAAAAAAAALwEAAF9yZWxzLy5yZWxz&#10;UEsBAi0AFAAGAAgAAAAhABcvkDUkAgAAPgQAAA4AAAAAAAAAAAAAAAAALgIAAGRycy9lMm9Eb2Mu&#10;eG1sUEsBAi0AFAAGAAgAAAAhAAA38HXeAAAACgEAAA8AAAAAAAAAAAAAAAAAfgQAAGRycy9kb3du&#10;cmV2LnhtbFBLBQYAAAAABAAEAPMAAACJBQAAAAA=&#10;" strokeweight="4.5pt">
                <v:stroke linestyle="thinThick"/>
                <v:textbox>
                  <w:txbxContent>
                    <w:p w14:paraId="488C1F47" w14:textId="77777777" w:rsidR="0005411A" w:rsidRPr="00BC3E84" w:rsidRDefault="006F0810" w:rsidP="006D00F2">
                      <w:pPr>
                        <w:pStyle w:val="Heading7"/>
                        <w:spacing w:after="0" w:afterAutospacing="0"/>
                        <w:rPr>
                          <w:sz w:val="32"/>
                          <w:szCs w:val="32"/>
                          <w:lang w:val="de-DE"/>
                        </w:rPr>
                      </w:pPr>
                      <w:r>
                        <w:rPr>
                          <w:bCs/>
                          <w:sz w:val="32"/>
                          <w:szCs w:val="32"/>
                          <w:lang w:val="nl-NL"/>
                        </w:rPr>
                        <w:t>SAMENVATTING VAN VEILIGHEID EN KLINISCHE PRESTATIES (SSCP)</w:t>
                      </w:r>
                    </w:p>
                    <w:p w14:paraId="0E1996B2" w14:textId="77777777" w:rsidR="005D4A52" w:rsidRDefault="005D4A52" w:rsidP="006D00F2">
                      <w:pPr>
                        <w:pStyle w:val="Heading7"/>
                        <w:spacing w:after="0" w:afterAutospacing="0"/>
                        <w:rPr>
                          <w:sz w:val="32"/>
                          <w:szCs w:val="32"/>
                        </w:rPr>
                      </w:pPr>
                      <w:r w:rsidRPr="008B131A">
                        <w:rPr>
                          <w:bCs/>
                          <w:sz w:val="32"/>
                          <w:szCs w:val="32"/>
                          <w:lang w:val="en-US"/>
                        </w:rPr>
                        <w:t>SSCP-0006</w:t>
                      </w:r>
                    </w:p>
                    <w:p w14:paraId="06B6F153" w14:textId="599470E0" w:rsidR="005D4A52" w:rsidRDefault="00F21B6F" w:rsidP="006D00F2">
                      <w:pPr>
                        <w:pStyle w:val="Heading7"/>
                        <w:spacing w:after="0" w:afterAutospacing="0"/>
                        <w:rPr>
                          <w:sz w:val="32"/>
                          <w:szCs w:val="32"/>
                        </w:rPr>
                      </w:pPr>
                      <w:r w:rsidRPr="00F21B6F">
                        <w:rPr>
                          <w:bCs/>
                          <w:sz w:val="32"/>
                          <w:szCs w:val="32"/>
                          <w:lang w:val="en-US"/>
                        </w:rPr>
                        <w:t>Atrieve™ Vasculaire Snare-kit</w:t>
                      </w:r>
                    </w:p>
                    <w:p w14:paraId="3354BBA5" w14:textId="08AF297F" w:rsidR="005D4A52" w:rsidRPr="005B469C" w:rsidRDefault="005D4A52" w:rsidP="006D00F2">
                      <w:pPr>
                        <w:spacing w:after="0" w:afterAutospacing="0"/>
                        <w:jc w:val="center"/>
                        <w:rPr>
                          <w:b/>
                          <w:bCs/>
                          <w:sz w:val="32"/>
                          <w:szCs w:val="32"/>
                        </w:rPr>
                      </w:pPr>
                      <w:r w:rsidRPr="008B131A">
                        <w:rPr>
                          <w:b/>
                          <w:bCs/>
                          <w:sz w:val="32"/>
                          <w:szCs w:val="32"/>
                        </w:rPr>
                        <w:t>DHF-82248</w:t>
                      </w:r>
                    </w:p>
                    <w:p w14:paraId="3CF39942" w14:textId="77777777" w:rsidR="0005411A" w:rsidRPr="00267292" w:rsidRDefault="0005411A" w:rsidP="009855C3"/>
                    <w:p w14:paraId="684B57C2" w14:textId="77777777" w:rsidR="0005411A" w:rsidRPr="00267292" w:rsidRDefault="0005411A" w:rsidP="009855C3">
                      <w:r>
                        <w:rPr>
                          <w:lang w:val="nl-NL"/>
                        </w:rPr>
                        <w:t>[DATUM]</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nl-NL"/>
        </w:rPr>
        <w:t>Voor publicatie in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90"/>
        <w:gridCol w:w="2259"/>
        <w:gridCol w:w="6300"/>
      </w:tblGrid>
      <w:tr w:rsidR="00E91403" w:rsidRPr="009461CC" w14:paraId="481127A2" w14:textId="77777777" w:rsidTr="008B131A">
        <w:tc>
          <w:tcPr>
            <w:tcW w:w="1390"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nl-NL"/>
              </w:rPr>
              <w:t>ROL</w:t>
            </w:r>
          </w:p>
        </w:tc>
        <w:tc>
          <w:tcPr>
            <w:tcW w:w="2259"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nl-NL"/>
              </w:rPr>
              <w:t>AFD.</w:t>
            </w:r>
          </w:p>
        </w:tc>
        <w:tc>
          <w:tcPr>
            <w:tcW w:w="6300"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nl-NL"/>
              </w:rPr>
              <w:t>NAAM / TITEL</w:t>
            </w:r>
          </w:p>
        </w:tc>
      </w:tr>
      <w:tr w:rsidR="006E0847" w:rsidRPr="00BD0841" w14:paraId="45F6CF0D" w14:textId="77777777" w:rsidTr="008B131A">
        <w:trPr>
          <w:trHeight w:val="582"/>
        </w:trPr>
        <w:tc>
          <w:tcPr>
            <w:tcW w:w="1390"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nl-NL"/>
              </w:rPr>
              <w:t>Voorbereid door</w:t>
            </w:r>
          </w:p>
        </w:tc>
        <w:tc>
          <w:tcPr>
            <w:tcW w:w="2259"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nl-NL"/>
              </w:rPr>
              <w:t>Afdeling Regelgevende Zaken</w:t>
            </w:r>
          </w:p>
        </w:tc>
        <w:tc>
          <w:tcPr>
            <w:tcW w:w="6300" w:type="dxa"/>
            <w:tcBorders>
              <w:top w:val="double" w:sz="4" w:space="0" w:color="auto"/>
            </w:tcBorders>
          </w:tcPr>
          <w:p w14:paraId="360D10DB" w14:textId="77777777" w:rsidR="006E0847" w:rsidRPr="000619BF" w:rsidRDefault="006E0847" w:rsidP="006E0847">
            <w:pPr>
              <w:spacing w:after="0" w:afterAutospacing="0"/>
              <w:jc w:val="center"/>
              <w:rPr>
                <w:rFonts w:cs="Times New Roman"/>
                <w:szCs w:val="24"/>
                <w:lang w:val="fr-FR"/>
              </w:rPr>
            </w:pPr>
            <w:r w:rsidRPr="008B131A">
              <w:rPr>
                <w:rFonts w:cs="Times New Roman"/>
                <w:szCs w:val="24"/>
                <w:lang w:val="fr-FR"/>
              </w:rPr>
              <w:t>Nadira Lotus</w:t>
            </w:r>
          </w:p>
          <w:p w14:paraId="7BA00BEF" w14:textId="2E4C5FAD" w:rsidR="006E0847" w:rsidRPr="000619BF" w:rsidRDefault="006E0847" w:rsidP="006E0847">
            <w:pPr>
              <w:jc w:val="center"/>
              <w:rPr>
                <w:rFonts w:cs="Times New Roman"/>
                <w:szCs w:val="24"/>
                <w:lang w:val="fr-FR"/>
              </w:rPr>
            </w:pPr>
            <w:r w:rsidRPr="008B131A">
              <w:rPr>
                <w:rFonts w:cs="Times New Roman"/>
                <w:szCs w:val="24"/>
                <w:lang w:val="fr-FR"/>
              </w:rPr>
              <w:t>Manager, post-market surveillance</w:t>
            </w:r>
          </w:p>
        </w:tc>
      </w:tr>
    </w:tbl>
    <w:p w14:paraId="45EA3393" w14:textId="77777777" w:rsidR="00E91403" w:rsidRPr="000619BF" w:rsidRDefault="00E91403" w:rsidP="00E91403">
      <w:pPr>
        <w:jc w:val="center"/>
        <w:rPr>
          <w:rFonts w:cs="Times New Roman"/>
          <w:b/>
          <w:lang w:val="fr-FR"/>
        </w:rPr>
      </w:pPr>
    </w:p>
    <w:p w14:paraId="3ADE6C89" w14:textId="0496458B" w:rsidR="00E91403" w:rsidRPr="000619BF" w:rsidRDefault="00E91403" w:rsidP="00E91403">
      <w:pPr>
        <w:tabs>
          <w:tab w:val="center" w:pos="5220"/>
          <w:tab w:val="right" w:pos="10440"/>
        </w:tabs>
        <w:rPr>
          <w:rFonts w:cs="Times New Roman"/>
          <w:b/>
          <w:lang w:val="nl-NL"/>
        </w:rPr>
      </w:pPr>
      <w:r w:rsidRPr="008B131A">
        <w:rPr>
          <w:rFonts w:cs="Times New Roman"/>
          <w:lang w:val="fr-FR"/>
        </w:rPr>
        <w:tab/>
      </w:r>
      <w:r>
        <w:rPr>
          <w:rFonts w:cs="Times New Roman"/>
          <w:b/>
          <w:bCs/>
          <w:lang w:val="nl-NL"/>
        </w:rPr>
        <w:t>Matrix voor goedkeuring handtekeningen</w:t>
      </w:r>
      <w:r>
        <w:rPr>
          <w:rFonts w:cs="Times New Roman"/>
          <w:lang w:val="nl-NL"/>
        </w:rPr>
        <w:tab/>
      </w:r>
    </w:p>
    <w:p w14:paraId="01F684E3" w14:textId="77777777" w:rsidR="00E91403" w:rsidRPr="000619BF" w:rsidRDefault="00E91403" w:rsidP="00E91403">
      <w:pPr>
        <w:spacing w:after="60"/>
        <w:ind w:right="274"/>
        <w:rPr>
          <w:rFonts w:cs="Times New Roman"/>
          <w:sz w:val="20"/>
          <w:szCs w:val="20"/>
          <w:lang w:val="nl-NL"/>
        </w:rPr>
      </w:pPr>
      <w:r>
        <w:rPr>
          <w:rFonts w:cs="Times New Roman"/>
          <w:sz w:val="20"/>
          <w:szCs w:val="20"/>
          <w:lang w:val="nl-NL"/>
        </w:rPr>
        <w:t>Dit document moet door alle hieronder vermelde personen, of hun gevolmachtigden, worden nagekeken en goedgekeurd.</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63"/>
        <w:gridCol w:w="2086"/>
        <w:gridCol w:w="6300"/>
      </w:tblGrid>
      <w:tr w:rsidR="00E91403" w:rsidRPr="009461CC" w14:paraId="0DB197AA" w14:textId="77777777" w:rsidTr="008B131A">
        <w:trPr>
          <w:trHeight w:val="279"/>
        </w:trPr>
        <w:tc>
          <w:tcPr>
            <w:tcW w:w="1563"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nl-NL"/>
              </w:rPr>
              <w:t>ROL</w:t>
            </w:r>
          </w:p>
        </w:tc>
        <w:tc>
          <w:tcPr>
            <w:tcW w:w="2086"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nl-NL"/>
              </w:rPr>
              <w:t>AFD.</w:t>
            </w:r>
          </w:p>
        </w:tc>
        <w:tc>
          <w:tcPr>
            <w:tcW w:w="6300"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nl-NL"/>
              </w:rPr>
              <w:t>NAAM / TITEL</w:t>
            </w:r>
          </w:p>
        </w:tc>
      </w:tr>
      <w:tr w:rsidR="00386F47" w:rsidRPr="00BD0841" w14:paraId="658FB919" w14:textId="77777777" w:rsidTr="008B131A">
        <w:trPr>
          <w:trHeight w:val="606"/>
        </w:trPr>
        <w:tc>
          <w:tcPr>
            <w:tcW w:w="1563"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nl-NL"/>
              </w:rPr>
              <w:t>Goedkeuring</w:t>
            </w:r>
          </w:p>
        </w:tc>
        <w:tc>
          <w:tcPr>
            <w:tcW w:w="2086" w:type="dxa"/>
            <w:vAlign w:val="center"/>
          </w:tcPr>
          <w:p w14:paraId="4B304E07" w14:textId="2D98EABD" w:rsidR="00386F47" w:rsidRPr="009461CC" w:rsidRDefault="00386F47" w:rsidP="00386F47">
            <w:pPr>
              <w:jc w:val="center"/>
              <w:rPr>
                <w:rFonts w:cs="Times New Roman"/>
                <w:szCs w:val="24"/>
              </w:rPr>
            </w:pPr>
            <w:r>
              <w:rPr>
                <w:rFonts w:cs="Times New Roman"/>
                <w:szCs w:val="24"/>
                <w:lang w:val="nl-NL"/>
              </w:rPr>
              <w:t>Afdeling Klinische Zaken</w:t>
            </w:r>
          </w:p>
        </w:tc>
        <w:tc>
          <w:tcPr>
            <w:tcW w:w="6300" w:type="dxa"/>
            <w:vAlign w:val="center"/>
          </w:tcPr>
          <w:p w14:paraId="613876EC" w14:textId="77777777" w:rsidR="00386F47" w:rsidRPr="00BC3E84" w:rsidRDefault="00386F47" w:rsidP="00386F47">
            <w:pPr>
              <w:spacing w:after="0" w:afterAutospacing="0"/>
              <w:jc w:val="center"/>
              <w:rPr>
                <w:rFonts w:cs="Times New Roman"/>
                <w:szCs w:val="24"/>
                <w:lang w:val="de-DE"/>
              </w:rPr>
            </w:pPr>
            <w:r>
              <w:rPr>
                <w:rFonts w:cs="Times New Roman"/>
                <w:szCs w:val="24"/>
                <w:lang w:val="nl-NL"/>
              </w:rPr>
              <w:t>Danyel Carr</w:t>
            </w:r>
          </w:p>
          <w:p w14:paraId="172E4813" w14:textId="2E4F9175" w:rsidR="00386F47" w:rsidRPr="00BC3E84" w:rsidRDefault="00E03D31" w:rsidP="00386F47">
            <w:pPr>
              <w:jc w:val="center"/>
              <w:rPr>
                <w:rFonts w:cs="Times New Roman"/>
                <w:szCs w:val="24"/>
                <w:lang w:val="de-DE"/>
              </w:rPr>
            </w:pPr>
            <w:r>
              <w:rPr>
                <w:rFonts w:cs="Times New Roman"/>
                <w:szCs w:val="24"/>
                <w:lang w:val="nl-NL"/>
              </w:rPr>
              <w:t>Sr. Director, Klinische Zaken</w:t>
            </w:r>
          </w:p>
        </w:tc>
      </w:tr>
      <w:tr w:rsidR="00386F47" w:rsidRPr="009461CC" w14:paraId="526E9923" w14:textId="77777777" w:rsidTr="008B131A">
        <w:trPr>
          <w:trHeight w:val="624"/>
        </w:trPr>
        <w:tc>
          <w:tcPr>
            <w:tcW w:w="1563"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nl-NL"/>
              </w:rPr>
              <w:t>Goedkeuring</w:t>
            </w:r>
          </w:p>
        </w:tc>
        <w:tc>
          <w:tcPr>
            <w:tcW w:w="2086" w:type="dxa"/>
            <w:vAlign w:val="center"/>
          </w:tcPr>
          <w:p w14:paraId="4887D925" w14:textId="1B032CD4" w:rsidR="00386F47" w:rsidRPr="009461CC" w:rsidRDefault="00386F47" w:rsidP="00386F47">
            <w:pPr>
              <w:jc w:val="center"/>
              <w:rPr>
                <w:rFonts w:cs="Times New Roman"/>
                <w:szCs w:val="24"/>
              </w:rPr>
            </w:pPr>
            <w:r>
              <w:rPr>
                <w:rFonts w:cs="Times New Roman"/>
                <w:szCs w:val="24"/>
                <w:lang w:val="nl-NL"/>
              </w:rPr>
              <w:t xml:space="preserve">Kwaliteit </w:t>
            </w:r>
          </w:p>
        </w:tc>
        <w:tc>
          <w:tcPr>
            <w:tcW w:w="6300" w:type="dxa"/>
            <w:vAlign w:val="center"/>
          </w:tcPr>
          <w:p w14:paraId="3D954801" w14:textId="77777777" w:rsidR="00F07DD1" w:rsidRDefault="00F07DD1" w:rsidP="004065D7">
            <w:pPr>
              <w:spacing w:after="0" w:afterAutospacing="0"/>
              <w:jc w:val="center"/>
              <w:rPr>
                <w:rFonts w:cs="Times New Roman"/>
                <w:szCs w:val="24"/>
              </w:rPr>
            </w:pPr>
            <w:r w:rsidRPr="008B131A">
              <w:rPr>
                <w:rFonts w:cs="Times New Roman"/>
                <w:szCs w:val="24"/>
              </w:rPr>
              <w:t xml:space="preserve">James Stephens </w:t>
            </w:r>
          </w:p>
          <w:p w14:paraId="1EA24645" w14:textId="5BC698A1" w:rsidR="00386F47" w:rsidRPr="009461CC" w:rsidRDefault="00547353" w:rsidP="004065D7">
            <w:pPr>
              <w:spacing w:after="0" w:afterAutospacing="0"/>
              <w:jc w:val="center"/>
              <w:rPr>
                <w:rFonts w:cs="Times New Roman"/>
                <w:szCs w:val="24"/>
              </w:rPr>
            </w:pPr>
            <w:r w:rsidRPr="008B131A">
              <w:rPr>
                <w:rFonts w:cs="Times New Roman"/>
                <w:szCs w:val="24"/>
              </w:rPr>
              <w:t>Sr. Director, Quality Operations</w:t>
            </w:r>
          </w:p>
        </w:tc>
      </w:tr>
      <w:tr w:rsidR="00386F47" w:rsidRPr="009461CC" w14:paraId="01329AB2" w14:textId="77777777" w:rsidTr="008B131A">
        <w:trPr>
          <w:trHeight w:val="624"/>
        </w:trPr>
        <w:tc>
          <w:tcPr>
            <w:tcW w:w="1563"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nl-NL"/>
              </w:rPr>
              <w:t>Goedkeuring</w:t>
            </w:r>
          </w:p>
        </w:tc>
        <w:tc>
          <w:tcPr>
            <w:tcW w:w="2086" w:type="dxa"/>
            <w:vAlign w:val="center"/>
          </w:tcPr>
          <w:p w14:paraId="25EABF73" w14:textId="63DB84E6" w:rsidR="00386F47" w:rsidRPr="009461CC" w:rsidRDefault="00386F47" w:rsidP="00386F47">
            <w:pPr>
              <w:jc w:val="center"/>
              <w:rPr>
                <w:rFonts w:cs="Times New Roman"/>
                <w:szCs w:val="24"/>
              </w:rPr>
            </w:pPr>
            <w:r>
              <w:rPr>
                <w:rFonts w:cs="Times New Roman"/>
                <w:szCs w:val="24"/>
                <w:lang w:val="nl-NL"/>
              </w:rPr>
              <w:t xml:space="preserve">Regelgeving </w:t>
            </w:r>
          </w:p>
        </w:tc>
        <w:tc>
          <w:tcPr>
            <w:tcW w:w="6300" w:type="dxa"/>
            <w:vAlign w:val="center"/>
          </w:tcPr>
          <w:p w14:paraId="7676555E" w14:textId="77777777" w:rsidR="00386F47" w:rsidRPr="009461CC" w:rsidRDefault="00386F47" w:rsidP="00386F47">
            <w:pPr>
              <w:spacing w:after="0" w:afterAutospacing="0" w:line="240" w:lineRule="auto"/>
              <w:jc w:val="center"/>
              <w:rPr>
                <w:rFonts w:eastAsia="Times New Roman" w:cs="Times New Roman"/>
                <w:color w:val="000000" w:themeColor="text1"/>
                <w:szCs w:val="24"/>
              </w:rPr>
            </w:pPr>
            <w:r w:rsidRPr="008B131A">
              <w:rPr>
                <w:rFonts w:eastAsia="Times New Roman" w:cs="Times New Roman"/>
                <w:color w:val="000000" w:themeColor="text1"/>
                <w:szCs w:val="24"/>
              </w:rPr>
              <w:t>Scott Bishops</w:t>
            </w:r>
          </w:p>
          <w:p w14:paraId="39BF7685" w14:textId="4DD9DE97" w:rsidR="00386F47" w:rsidRPr="009461CC" w:rsidRDefault="00E950A1" w:rsidP="00386F47">
            <w:pPr>
              <w:jc w:val="center"/>
              <w:rPr>
                <w:rFonts w:cs="Times New Roman"/>
                <w:szCs w:val="24"/>
              </w:rPr>
            </w:pPr>
            <w:r w:rsidRPr="008B131A">
              <w:rPr>
                <w:rFonts w:eastAsia="Times New Roman" w:cs="Times New Roman"/>
                <w:color w:val="000000" w:themeColor="text1"/>
                <w:szCs w:val="24"/>
              </w:rPr>
              <w:t>VP, Global RA and QA</w:t>
            </w:r>
          </w:p>
        </w:tc>
      </w:tr>
    </w:tbl>
    <w:p w14:paraId="51DA0A01" w14:textId="5402C604" w:rsidR="00E91403" w:rsidRPr="009461CC" w:rsidRDefault="00E91403" w:rsidP="00E91403">
      <w:pPr>
        <w:jc w:val="center"/>
        <w:rPr>
          <w:rFonts w:cs="Times New Roman"/>
          <w:b/>
        </w:rPr>
      </w:pPr>
      <w:r>
        <w:rPr>
          <w:rFonts w:cs="Times New Roman"/>
          <w:b/>
          <w:bCs/>
          <w:lang w:val="nl-NL"/>
        </w:rPr>
        <w:t>Revisiegeschiedenis</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967"/>
        <w:gridCol w:w="1336"/>
        <w:gridCol w:w="1130"/>
        <w:gridCol w:w="3834"/>
        <w:gridCol w:w="2520"/>
      </w:tblGrid>
      <w:tr w:rsidR="00E91403" w:rsidRPr="009461CC" w14:paraId="38F29FD4" w14:textId="77777777" w:rsidTr="008B131A">
        <w:tc>
          <w:tcPr>
            <w:tcW w:w="967"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nl-NL"/>
              </w:rPr>
              <w:t>Revisie</w:t>
            </w:r>
          </w:p>
        </w:tc>
        <w:tc>
          <w:tcPr>
            <w:tcW w:w="1336"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nl-NL"/>
              </w:rPr>
              <w:t>Datum</w:t>
            </w:r>
          </w:p>
        </w:tc>
        <w:tc>
          <w:tcPr>
            <w:tcW w:w="113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nl-NL"/>
              </w:rPr>
              <w:t>Secties</w:t>
            </w:r>
          </w:p>
        </w:tc>
        <w:tc>
          <w:tcPr>
            <w:tcW w:w="3834"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nl-NL"/>
              </w:rPr>
              <w:t>Beschrijving herziening</w:t>
            </w:r>
          </w:p>
        </w:tc>
        <w:tc>
          <w:tcPr>
            <w:tcW w:w="2520"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nl-NL"/>
              </w:rPr>
              <w:t>Wijzigingsverzoek #</w:t>
            </w:r>
          </w:p>
        </w:tc>
      </w:tr>
      <w:tr w:rsidR="00740900" w:rsidRPr="009461CC" w14:paraId="47D66140" w14:textId="77777777" w:rsidTr="008B131A">
        <w:tc>
          <w:tcPr>
            <w:tcW w:w="967"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nl-NL"/>
              </w:rPr>
              <w:t>A</w:t>
            </w:r>
          </w:p>
        </w:tc>
        <w:tc>
          <w:tcPr>
            <w:tcW w:w="1336"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nl-NL"/>
              </w:rPr>
              <w:t>22-05-2022</w:t>
            </w:r>
          </w:p>
        </w:tc>
        <w:tc>
          <w:tcPr>
            <w:tcW w:w="113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nl-NL"/>
              </w:rPr>
              <w:t>Alle</w:t>
            </w:r>
          </w:p>
        </w:tc>
        <w:tc>
          <w:tcPr>
            <w:tcW w:w="3834" w:type="dxa"/>
            <w:tcBorders>
              <w:top w:val="double" w:sz="4" w:space="0" w:color="auto"/>
              <w:bottom w:val="single" w:sz="4" w:space="0" w:color="auto"/>
            </w:tcBorders>
          </w:tcPr>
          <w:p w14:paraId="3973A2E3" w14:textId="3D8B33BA" w:rsidR="00740900" w:rsidRPr="008B131A" w:rsidRDefault="00740900" w:rsidP="00740900">
            <w:pPr>
              <w:rPr>
                <w:rFonts w:cs="Times New Roman"/>
                <w:szCs w:val="24"/>
                <w:lang w:val="nl-NL"/>
              </w:rPr>
            </w:pPr>
            <w:r>
              <w:rPr>
                <w:rFonts w:cs="Times New Roman"/>
                <w:szCs w:val="24"/>
                <w:lang w:val="nl-NL"/>
              </w:rPr>
              <w:t>Initieel rapport, uitsluitend voor intern gebruik</w:t>
            </w:r>
          </w:p>
        </w:tc>
        <w:tc>
          <w:tcPr>
            <w:tcW w:w="2520"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nl-NL"/>
              </w:rPr>
              <w:t>N.v.t.</w:t>
            </w:r>
          </w:p>
        </w:tc>
      </w:tr>
      <w:tr w:rsidR="00923982" w:rsidRPr="009461CC" w14:paraId="495D8A1C" w14:textId="77777777" w:rsidTr="008B131A">
        <w:tc>
          <w:tcPr>
            <w:tcW w:w="967"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nl-NL"/>
              </w:rPr>
              <w:t>B</w:t>
            </w:r>
          </w:p>
        </w:tc>
        <w:tc>
          <w:tcPr>
            <w:tcW w:w="1336"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nl-NL"/>
              </w:rPr>
              <w:t>15-12-2025</w:t>
            </w:r>
          </w:p>
        </w:tc>
        <w:tc>
          <w:tcPr>
            <w:tcW w:w="113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nl-NL"/>
              </w:rPr>
              <w:t>Alle</w:t>
            </w:r>
          </w:p>
        </w:tc>
        <w:tc>
          <w:tcPr>
            <w:tcW w:w="3834"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nl-NL"/>
              </w:rPr>
              <w:t>EU MDR-inzending</w:t>
            </w:r>
          </w:p>
        </w:tc>
        <w:tc>
          <w:tcPr>
            <w:tcW w:w="2520"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nl-NL"/>
              </w:rPr>
              <w:t>07919</w:t>
            </w:r>
          </w:p>
        </w:tc>
      </w:tr>
    </w:tbl>
    <w:p w14:paraId="5C951A98" w14:textId="6A651DC3" w:rsidR="0005411A" w:rsidRPr="00BC3E84" w:rsidRDefault="00E91403" w:rsidP="00E91403">
      <w:pPr>
        <w:jc w:val="center"/>
        <w:rPr>
          <w:rFonts w:cs="Times New Roman"/>
          <w:lang w:val="de-DE"/>
        </w:rPr>
      </w:pPr>
      <w:r>
        <w:rPr>
          <w:rFonts w:cs="Times New Roman"/>
          <w:i/>
          <w:iCs/>
          <w:lang w:val="nl-NL"/>
        </w:rPr>
        <w:t>Opmerking: Goedkeuringen zullen worden vastgelegd via het bijbehorende wijzigingsverzoek.</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nl-NL"/>
        </w:rPr>
        <w:br w:type="page"/>
      </w:r>
      <w:r>
        <w:rPr>
          <w:rFonts w:cs="Times New Roman"/>
          <w:lang w:val="nl-NL"/>
        </w:rPr>
        <w:lastRenderedPageBreak/>
        <w:t>Inhoudsopgave</w:t>
      </w:r>
    </w:p>
    <w:p w14:paraId="0D5AFA24" w14:textId="313C8A3B" w:rsidR="00BC3E84" w:rsidRDefault="006F0810">
      <w:pPr>
        <w:pStyle w:val="TOC1"/>
        <w:rPr>
          <w:rFonts w:asciiTheme="minorHAnsi" w:eastAsiaTheme="minorEastAsia" w:hAnsiTheme="minorHAnsi" w:cstheme="minorBidi"/>
          <w:noProof/>
          <w:kern w:val="2"/>
          <w:lang w:eastAsia="zh-CN"/>
          <w14:ligatures w14:val="standardContextual"/>
        </w:rPr>
      </w:pPr>
      <w:r>
        <w:rPr>
          <w:lang w:val="nl-NL"/>
        </w:rPr>
        <w:fldChar w:fldCharType="begin"/>
      </w:r>
      <w:r>
        <w:instrText xml:space="preserve"> TOC \o "1-3" \h \z \u </w:instrText>
      </w:r>
      <w:r>
        <w:fldChar w:fldCharType="separate"/>
      </w:r>
      <w:hyperlink w:anchor="_Toc222741274" w:history="1">
        <w:r w:rsidR="00BC3E84" w:rsidRPr="008B56BD">
          <w:rPr>
            <w:rStyle w:val="Hyperlink"/>
            <w:noProof/>
          </w:rPr>
          <w:t>1.</w:t>
        </w:r>
        <w:r w:rsidR="00BC3E84">
          <w:rPr>
            <w:rFonts w:asciiTheme="minorHAnsi" w:eastAsiaTheme="minorEastAsia" w:hAnsiTheme="minorHAnsi" w:cstheme="minorBidi"/>
            <w:noProof/>
            <w:kern w:val="2"/>
            <w:lang w:eastAsia="zh-CN"/>
            <w14:ligatures w14:val="standardContextual"/>
          </w:rPr>
          <w:tab/>
        </w:r>
        <w:r w:rsidR="00BC3E84" w:rsidRPr="008B56BD">
          <w:rPr>
            <w:rStyle w:val="Hyperlink"/>
            <w:bCs/>
            <w:noProof/>
            <w:lang w:val="nl-NL"/>
          </w:rPr>
          <w:t>Omvang van deze samenvatting van de veiligheid en klinische prestaties (SSCP):</w:t>
        </w:r>
        <w:r w:rsidR="00BC3E84">
          <w:rPr>
            <w:noProof/>
            <w:webHidden/>
          </w:rPr>
          <w:tab/>
        </w:r>
        <w:r w:rsidR="00BC3E84">
          <w:rPr>
            <w:noProof/>
            <w:webHidden/>
          </w:rPr>
          <w:fldChar w:fldCharType="begin"/>
        </w:r>
        <w:r w:rsidR="00BC3E84">
          <w:rPr>
            <w:noProof/>
            <w:webHidden/>
          </w:rPr>
          <w:instrText xml:space="preserve"> PAGEREF _Toc222741274 \h </w:instrText>
        </w:r>
        <w:r w:rsidR="00BC3E84">
          <w:rPr>
            <w:noProof/>
            <w:webHidden/>
          </w:rPr>
        </w:r>
        <w:r w:rsidR="00BC3E84">
          <w:rPr>
            <w:noProof/>
            <w:webHidden/>
          </w:rPr>
          <w:fldChar w:fldCharType="separate"/>
        </w:r>
        <w:r w:rsidR="00661086">
          <w:rPr>
            <w:noProof/>
            <w:webHidden/>
          </w:rPr>
          <w:t>3</w:t>
        </w:r>
        <w:r w:rsidR="00BC3E84">
          <w:rPr>
            <w:noProof/>
            <w:webHidden/>
          </w:rPr>
          <w:fldChar w:fldCharType="end"/>
        </w:r>
      </w:hyperlink>
    </w:p>
    <w:p w14:paraId="763AFA10" w14:textId="5C9D7359"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75" w:history="1">
        <w:r w:rsidRPr="008B56BD">
          <w:rPr>
            <w:rStyle w:val="Hyperlink"/>
            <w:noProof/>
          </w:rPr>
          <w:t>1.1.</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Handelsnaam hulpmiddel:</w:t>
        </w:r>
        <w:r>
          <w:rPr>
            <w:noProof/>
            <w:webHidden/>
          </w:rPr>
          <w:tab/>
        </w:r>
        <w:r>
          <w:rPr>
            <w:noProof/>
            <w:webHidden/>
          </w:rPr>
          <w:fldChar w:fldCharType="begin"/>
        </w:r>
        <w:r>
          <w:rPr>
            <w:noProof/>
            <w:webHidden/>
          </w:rPr>
          <w:instrText xml:space="preserve"> PAGEREF _Toc222741275 \h </w:instrText>
        </w:r>
        <w:r>
          <w:rPr>
            <w:noProof/>
            <w:webHidden/>
          </w:rPr>
        </w:r>
        <w:r>
          <w:rPr>
            <w:noProof/>
            <w:webHidden/>
          </w:rPr>
          <w:fldChar w:fldCharType="separate"/>
        </w:r>
        <w:r w:rsidR="00661086">
          <w:rPr>
            <w:noProof/>
            <w:webHidden/>
          </w:rPr>
          <w:t>3</w:t>
        </w:r>
        <w:r>
          <w:rPr>
            <w:noProof/>
            <w:webHidden/>
          </w:rPr>
          <w:fldChar w:fldCharType="end"/>
        </w:r>
      </w:hyperlink>
    </w:p>
    <w:p w14:paraId="4F98207D" w14:textId="189F0BC6"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76" w:history="1">
        <w:r w:rsidRPr="008B56BD">
          <w:rPr>
            <w:rStyle w:val="Hyperlink"/>
            <w:noProof/>
          </w:rPr>
          <w:t>1.2.</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Beschrijving hulpmiddel, basis UDI-DI, en EU-classificatie:</w:t>
        </w:r>
        <w:r>
          <w:rPr>
            <w:noProof/>
            <w:webHidden/>
          </w:rPr>
          <w:tab/>
        </w:r>
        <w:r>
          <w:rPr>
            <w:noProof/>
            <w:webHidden/>
          </w:rPr>
          <w:fldChar w:fldCharType="begin"/>
        </w:r>
        <w:r>
          <w:rPr>
            <w:noProof/>
            <w:webHidden/>
          </w:rPr>
          <w:instrText xml:space="preserve"> PAGEREF _Toc222741276 \h </w:instrText>
        </w:r>
        <w:r>
          <w:rPr>
            <w:noProof/>
            <w:webHidden/>
          </w:rPr>
        </w:r>
        <w:r>
          <w:rPr>
            <w:noProof/>
            <w:webHidden/>
          </w:rPr>
          <w:fldChar w:fldCharType="separate"/>
        </w:r>
        <w:r w:rsidR="00661086">
          <w:rPr>
            <w:noProof/>
            <w:webHidden/>
          </w:rPr>
          <w:t>3</w:t>
        </w:r>
        <w:r>
          <w:rPr>
            <w:noProof/>
            <w:webHidden/>
          </w:rPr>
          <w:fldChar w:fldCharType="end"/>
        </w:r>
      </w:hyperlink>
    </w:p>
    <w:p w14:paraId="1A232BD0" w14:textId="3801344F"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77" w:history="1">
        <w:r w:rsidRPr="008B56BD">
          <w:rPr>
            <w:rStyle w:val="Hyperlink"/>
            <w:noProof/>
          </w:rPr>
          <w:t>1.3.</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Jaar van eerste uitgifte van het (CE) certificaat voor het hulpmiddel:</w:t>
        </w:r>
        <w:r>
          <w:rPr>
            <w:noProof/>
            <w:webHidden/>
          </w:rPr>
          <w:tab/>
        </w:r>
        <w:r>
          <w:rPr>
            <w:noProof/>
            <w:webHidden/>
          </w:rPr>
          <w:fldChar w:fldCharType="begin"/>
        </w:r>
        <w:r>
          <w:rPr>
            <w:noProof/>
            <w:webHidden/>
          </w:rPr>
          <w:instrText xml:space="preserve"> PAGEREF _Toc222741277 \h </w:instrText>
        </w:r>
        <w:r>
          <w:rPr>
            <w:noProof/>
            <w:webHidden/>
          </w:rPr>
        </w:r>
        <w:r>
          <w:rPr>
            <w:noProof/>
            <w:webHidden/>
          </w:rPr>
          <w:fldChar w:fldCharType="separate"/>
        </w:r>
        <w:r w:rsidR="00661086">
          <w:rPr>
            <w:noProof/>
            <w:webHidden/>
          </w:rPr>
          <w:t>3</w:t>
        </w:r>
        <w:r>
          <w:rPr>
            <w:noProof/>
            <w:webHidden/>
          </w:rPr>
          <w:fldChar w:fldCharType="end"/>
        </w:r>
      </w:hyperlink>
    </w:p>
    <w:p w14:paraId="52547A37" w14:textId="43BAB8E3"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78" w:history="1">
        <w:r w:rsidRPr="008B56BD">
          <w:rPr>
            <w:rStyle w:val="Hyperlink"/>
            <w:noProof/>
          </w:rPr>
          <w:t>1.4.</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Naam, adres en SRN van de fabrikant:</w:t>
        </w:r>
        <w:r>
          <w:rPr>
            <w:noProof/>
            <w:webHidden/>
          </w:rPr>
          <w:tab/>
        </w:r>
        <w:r>
          <w:rPr>
            <w:noProof/>
            <w:webHidden/>
          </w:rPr>
          <w:fldChar w:fldCharType="begin"/>
        </w:r>
        <w:r>
          <w:rPr>
            <w:noProof/>
            <w:webHidden/>
          </w:rPr>
          <w:instrText xml:space="preserve"> PAGEREF _Toc222741278 \h </w:instrText>
        </w:r>
        <w:r>
          <w:rPr>
            <w:noProof/>
            <w:webHidden/>
          </w:rPr>
        </w:r>
        <w:r>
          <w:rPr>
            <w:noProof/>
            <w:webHidden/>
          </w:rPr>
          <w:fldChar w:fldCharType="separate"/>
        </w:r>
        <w:r w:rsidR="00661086">
          <w:rPr>
            <w:noProof/>
            <w:webHidden/>
          </w:rPr>
          <w:t>4</w:t>
        </w:r>
        <w:r>
          <w:rPr>
            <w:noProof/>
            <w:webHidden/>
          </w:rPr>
          <w:fldChar w:fldCharType="end"/>
        </w:r>
      </w:hyperlink>
    </w:p>
    <w:p w14:paraId="0DE17DE7" w14:textId="3CA2E13F"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79" w:history="1">
        <w:r w:rsidRPr="008B56BD">
          <w:rPr>
            <w:rStyle w:val="Hyperlink"/>
            <w:noProof/>
          </w:rPr>
          <w:t>1.5.</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Naam en SRN van de gemachtigde vertegenwoordiger:</w:t>
        </w:r>
        <w:r>
          <w:rPr>
            <w:noProof/>
            <w:webHidden/>
          </w:rPr>
          <w:tab/>
        </w:r>
        <w:r>
          <w:rPr>
            <w:noProof/>
            <w:webHidden/>
          </w:rPr>
          <w:fldChar w:fldCharType="begin"/>
        </w:r>
        <w:r>
          <w:rPr>
            <w:noProof/>
            <w:webHidden/>
          </w:rPr>
          <w:instrText xml:space="preserve"> PAGEREF _Toc222741279 \h </w:instrText>
        </w:r>
        <w:r>
          <w:rPr>
            <w:noProof/>
            <w:webHidden/>
          </w:rPr>
        </w:r>
        <w:r>
          <w:rPr>
            <w:noProof/>
            <w:webHidden/>
          </w:rPr>
          <w:fldChar w:fldCharType="separate"/>
        </w:r>
        <w:r w:rsidR="00661086">
          <w:rPr>
            <w:noProof/>
            <w:webHidden/>
          </w:rPr>
          <w:t>4</w:t>
        </w:r>
        <w:r>
          <w:rPr>
            <w:noProof/>
            <w:webHidden/>
          </w:rPr>
          <w:fldChar w:fldCharType="end"/>
        </w:r>
      </w:hyperlink>
    </w:p>
    <w:p w14:paraId="1EA7CC4E" w14:textId="79ED16E1"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80" w:history="1">
        <w:r w:rsidRPr="008B56BD">
          <w:rPr>
            <w:rStyle w:val="Hyperlink"/>
            <w:noProof/>
          </w:rPr>
          <w:t>1.6.</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NB's naam en enig identificatienummer:</w:t>
        </w:r>
        <w:r>
          <w:rPr>
            <w:noProof/>
            <w:webHidden/>
          </w:rPr>
          <w:tab/>
        </w:r>
        <w:r>
          <w:rPr>
            <w:noProof/>
            <w:webHidden/>
          </w:rPr>
          <w:fldChar w:fldCharType="begin"/>
        </w:r>
        <w:r>
          <w:rPr>
            <w:noProof/>
            <w:webHidden/>
          </w:rPr>
          <w:instrText xml:space="preserve"> PAGEREF _Toc222741280 \h </w:instrText>
        </w:r>
        <w:r>
          <w:rPr>
            <w:noProof/>
            <w:webHidden/>
          </w:rPr>
        </w:r>
        <w:r>
          <w:rPr>
            <w:noProof/>
            <w:webHidden/>
          </w:rPr>
          <w:fldChar w:fldCharType="separate"/>
        </w:r>
        <w:r w:rsidR="00661086">
          <w:rPr>
            <w:noProof/>
            <w:webHidden/>
          </w:rPr>
          <w:t>4</w:t>
        </w:r>
        <w:r>
          <w:rPr>
            <w:noProof/>
            <w:webHidden/>
          </w:rPr>
          <w:fldChar w:fldCharType="end"/>
        </w:r>
      </w:hyperlink>
    </w:p>
    <w:p w14:paraId="26558775" w14:textId="5DE5D4D0"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81" w:history="1">
        <w:r w:rsidRPr="008B56BD">
          <w:rPr>
            <w:rStyle w:val="Hyperlink"/>
            <w:noProof/>
          </w:rPr>
          <w:t>2.</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Beoogd gebruik</w:t>
        </w:r>
        <w:r w:rsidR="007D723C">
          <w:rPr>
            <w:rStyle w:val="Hyperlink"/>
            <w:bCs/>
            <w:noProof/>
            <w:lang w:val="nl-NL"/>
          </w:rPr>
          <w:t>/doel</w:t>
        </w:r>
        <w:r w:rsidRPr="008B56BD">
          <w:rPr>
            <w:rStyle w:val="Hyperlink"/>
            <w:bCs/>
            <w:noProof/>
            <w:lang w:val="nl-NL"/>
          </w:rPr>
          <w:t xml:space="preserve"> van het hulpmiddel</w:t>
        </w:r>
        <w:r>
          <w:rPr>
            <w:noProof/>
            <w:webHidden/>
          </w:rPr>
          <w:tab/>
        </w:r>
        <w:r>
          <w:rPr>
            <w:noProof/>
            <w:webHidden/>
          </w:rPr>
          <w:fldChar w:fldCharType="begin"/>
        </w:r>
        <w:r>
          <w:rPr>
            <w:noProof/>
            <w:webHidden/>
          </w:rPr>
          <w:instrText xml:space="preserve"> PAGEREF _Toc222741281 \h </w:instrText>
        </w:r>
        <w:r>
          <w:rPr>
            <w:noProof/>
            <w:webHidden/>
          </w:rPr>
        </w:r>
        <w:r>
          <w:rPr>
            <w:noProof/>
            <w:webHidden/>
          </w:rPr>
          <w:fldChar w:fldCharType="separate"/>
        </w:r>
        <w:r w:rsidR="00661086">
          <w:rPr>
            <w:noProof/>
            <w:webHidden/>
          </w:rPr>
          <w:t>4</w:t>
        </w:r>
        <w:r>
          <w:rPr>
            <w:noProof/>
            <w:webHidden/>
          </w:rPr>
          <w:fldChar w:fldCharType="end"/>
        </w:r>
      </w:hyperlink>
    </w:p>
    <w:p w14:paraId="3A3A530B" w14:textId="78B7F5B8"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82" w:history="1">
        <w:r w:rsidRPr="008B56BD">
          <w:rPr>
            <w:rStyle w:val="Hyperlink"/>
            <w:noProof/>
          </w:rPr>
          <w:t>2.1.</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Beoogd doel/ beoogd gebruik</w:t>
        </w:r>
        <w:r>
          <w:rPr>
            <w:noProof/>
            <w:webHidden/>
          </w:rPr>
          <w:tab/>
          <w:t>4</w:t>
        </w:r>
      </w:hyperlink>
    </w:p>
    <w:p w14:paraId="6A90A808" w14:textId="445A7A1F"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83" w:history="1">
        <w:r w:rsidRPr="008B56BD">
          <w:rPr>
            <w:rStyle w:val="Hyperlink"/>
            <w:noProof/>
          </w:rPr>
          <w:t>2.2.</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Indicatie voor gebruik</w:t>
        </w:r>
        <w:r>
          <w:rPr>
            <w:noProof/>
            <w:webHidden/>
          </w:rPr>
          <w:tab/>
          <w:t>4</w:t>
        </w:r>
      </w:hyperlink>
    </w:p>
    <w:p w14:paraId="4A8B2F58" w14:textId="0274C0B8"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84" w:history="1">
        <w:r w:rsidRPr="008B56BD">
          <w:rPr>
            <w:rStyle w:val="Hyperlink"/>
            <w:noProof/>
          </w:rPr>
          <w:t>2.3.</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Doelpopulatie</w:t>
        </w:r>
        <w:r>
          <w:rPr>
            <w:noProof/>
            <w:webHidden/>
          </w:rPr>
          <w:tab/>
        </w:r>
        <w:r>
          <w:rPr>
            <w:noProof/>
            <w:webHidden/>
          </w:rPr>
          <w:fldChar w:fldCharType="begin"/>
        </w:r>
        <w:r>
          <w:rPr>
            <w:noProof/>
            <w:webHidden/>
          </w:rPr>
          <w:instrText xml:space="preserve"> PAGEREF _Toc222741284 \h </w:instrText>
        </w:r>
        <w:r>
          <w:rPr>
            <w:noProof/>
            <w:webHidden/>
          </w:rPr>
        </w:r>
        <w:r>
          <w:rPr>
            <w:noProof/>
            <w:webHidden/>
          </w:rPr>
          <w:fldChar w:fldCharType="separate"/>
        </w:r>
        <w:r w:rsidR="00661086">
          <w:rPr>
            <w:noProof/>
            <w:webHidden/>
          </w:rPr>
          <w:t>5</w:t>
        </w:r>
        <w:r>
          <w:rPr>
            <w:noProof/>
            <w:webHidden/>
          </w:rPr>
          <w:fldChar w:fldCharType="end"/>
        </w:r>
      </w:hyperlink>
    </w:p>
    <w:p w14:paraId="58A42726" w14:textId="544115AD"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85" w:history="1">
        <w:r w:rsidRPr="008B56BD">
          <w:rPr>
            <w:rStyle w:val="Hyperlink"/>
            <w:noProof/>
          </w:rPr>
          <w:t>2.4.</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Contra-indicaties</w:t>
        </w:r>
        <w:r>
          <w:rPr>
            <w:noProof/>
            <w:webHidden/>
          </w:rPr>
          <w:tab/>
        </w:r>
        <w:r>
          <w:rPr>
            <w:noProof/>
            <w:webHidden/>
          </w:rPr>
          <w:fldChar w:fldCharType="begin"/>
        </w:r>
        <w:r>
          <w:rPr>
            <w:noProof/>
            <w:webHidden/>
          </w:rPr>
          <w:instrText xml:space="preserve"> PAGEREF _Toc222741285 \h </w:instrText>
        </w:r>
        <w:r>
          <w:rPr>
            <w:noProof/>
            <w:webHidden/>
          </w:rPr>
        </w:r>
        <w:r>
          <w:rPr>
            <w:noProof/>
            <w:webHidden/>
          </w:rPr>
          <w:fldChar w:fldCharType="separate"/>
        </w:r>
        <w:r w:rsidR="00661086">
          <w:rPr>
            <w:noProof/>
            <w:webHidden/>
          </w:rPr>
          <w:t>5</w:t>
        </w:r>
        <w:r>
          <w:rPr>
            <w:noProof/>
            <w:webHidden/>
          </w:rPr>
          <w:fldChar w:fldCharType="end"/>
        </w:r>
      </w:hyperlink>
    </w:p>
    <w:p w14:paraId="2C7EB107" w14:textId="191BD286"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86" w:history="1">
        <w:r w:rsidRPr="008B56BD">
          <w:rPr>
            <w:rStyle w:val="Hyperlink"/>
            <w:noProof/>
          </w:rPr>
          <w:t>3.</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Beschrijving hulpmiddel</w:t>
        </w:r>
        <w:r>
          <w:rPr>
            <w:noProof/>
            <w:webHidden/>
          </w:rPr>
          <w:tab/>
        </w:r>
        <w:r>
          <w:rPr>
            <w:noProof/>
            <w:webHidden/>
          </w:rPr>
          <w:fldChar w:fldCharType="begin"/>
        </w:r>
        <w:r>
          <w:rPr>
            <w:noProof/>
            <w:webHidden/>
          </w:rPr>
          <w:instrText xml:space="preserve"> PAGEREF _Toc222741286 \h </w:instrText>
        </w:r>
        <w:r>
          <w:rPr>
            <w:noProof/>
            <w:webHidden/>
          </w:rPr>
        </w:r>
        <w:r>
          <w:rPr>
            <w:noProof/>
            <w:webHidden/>
          </w:rPr>
          <w:fldChar w:fldCharType="separate"/>
        </w:r>
        <w:r w:rsidR="00661086">
          <w:rPr>
            <w:noProof/>
            <w:webHidden/>
          </w:rPr>
          <w:t>5</w:t>
        </w:r>
        <w:r>
          <w:rPr>
            <w:noProof/>
            <w:webHidden/>
          </w:rPr>
          <w:fldChar w:fldCharType="end"/>
        </w:r>
      </w:hyperlink>
    </w:p>
    <w:p w14:paraId="135A1351" w14:textId="460E31DA"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87" w:history="1">
        <w:r w:rsidRPr="008B56BD">
          <w:rPr>
            <w:rStyle w:val="Hyperlink"/>
            <w:noProof/>
          </w:rPr>
          <w:t>3.1.</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Beschrijving van het hulpmiddel</w:t>
        </w:r>
        <w:r>
          <w:rPr>
            <w:noProof/>
            <w:webHidden/>
          </w:rPr>
          <w:tab/>
        </w:r>
        <w:r>
          <w:rPr>
            <w:noProof/>
            <w:webHidden/>
          </w:rPr>
          <w:fldChar w:fldCharType="begin"/>
        </w:r>
        <w:r>
          <w:rPr>
            <w:noProof/>
            <w:webHidden/>
          </w:rPr>
          <w:instrText xml:space="preserve"> PAGEREF _Toc222741287 \h </w:instrText>
        </w:r>
        <w:r>
          <w:rPr>
            <w:noProof/>
            <w:webHidden/>
          </w:rPr>
        </w:r>
        <w:r>
          <w:rPr>
            <w:noProof/>
            <w:webHidden/>
          </w:rPr>
          <w:fldChar w:fldCharType="separate"/>
        </w:r>
        <w:r w:rsidR="00661086">
          <w:rPr>
            <w:noProof/>
            <w:webHidden/>
          </w:rPr>
          <w:t>5</w:t>
        </w:r>
        <w:r>
          <w:rPr>
            <w:noProof/>
            <w:webHidden/>
          </w:rPr>
          <w:fldChar w:fldCharType="end"/>
        </w:r>
      </w:hyperlink>
    </w:p>
    <w:p w14:paraId="01A3BFA1" w14:textId="5E0BCEDA"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88" w:history="1">
        <w:r w:rsidRPr="008B56BD">
          <w:rPr>
            <w:rStyle w:val="Hyperlink"/>
            <w:noProof/>
          </w:rPr>
          <w:t>3.2.</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Vorige varianten en hun verschillen</w:t>
        </w:r>
        <w:r>
          <w:rPr>
            <w:noProof/>
            <w:webHidden/>
          </w:rPr>
          <w:tab/>
          <w:t>5</w:t>
        </w:r>
      </w:hyperlink>
    </w:p>
    <w:p w14:paraId="01FB359F" w14:textId="060B6800"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89" w:history="1">
        <w:r w:rsidRPr="008B56BD">
          <w:rPr>
            <w:rStyle w:val="Hyperlink"/>
            <w:noProof/>
          </w:rPr>
          <w:t>3.3.</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Accessoires, compatibele apparaten en andere producten die in combinatie worden gebruikt</w:t>
        </w:r>
        <w:r>
          <w:rPr>
            <w:noProof/>
            <w:webHidden/>
          </w:rPr>
          <w:tab/>
          <w:t>5</w:t>
        </w:r>
      </w:hyperlink>
    </w:p>
    <w:p w14:paraId="1D44B5BC" w14:textId="6E2EC2B1"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90" w:history="1">
        <w:r w:rsidRPr="008B56BD">
          <w:rPr>
            <w:rStyle w:val="Hyperlink"/>
            <w:noProof/>
          </w:rPr>
          <w:t>4.</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Risico's en waarschuwingen</w:t>
        </w:r>
        <w:r>
          <w:rPr>
            <w:noProof/>
            <w:webHidden/>
          </w:rPr>
          <w:tab/>
        </w:r>
        <w:r>
          <w:rPr>
            <w:noProof/>
            <w:webHidden/>
          </w:rPr>
          <w:fldChar w:fldCharType="begin"/>
        </w:r>
        <w:r>
          <w:rPr>
            <w:noProof/>
            <w:webHidden/>
          </w:rPr>
          <w:instrText xml:space="preserve"> PAGEREF _Toc222741290 \h </w:instrText>
        </w:r>
        <w:r>
          <w:rPr>
            <w:noProof/>
            <w:webHidden/>
          </w:rPr>
        </w:r>
        <w:r>
          <w:rPr>
            <w:noProof/>
            <w:webHidden/>
          </w:rPr>
          <w:fldChar w:fldCharType="separate"/>
        </w:r>
        <w:r w:rsidR="00661086">
          <w:rPr>
            <w:noProof/>
            <w:webHidden/>
          </w:rPr>
          <w:t>6</w:t>
        </w:r>
        <w:r>
          <w:rPr>
            <w:noProof/>
            <w:webHidden/>
          </w:rPr>
          <w:fldChar w:fldCharType="end"/>
        </w:r>
      </w:hyperlink>
    </w:p>
    <w:p w14:paraId="6FFCA946" w14:textId="1C50269D" w:rsidR="00BC3E84" w:rsidRDefault="00BC3E84">
      <w:pPr>
        <w:pStyle w:val="TOC1"/>
        <w:rPr>
          <w:rFonts w:asciiTheme="minorHAnsi" w:eastAsiaTheme="minorEastAsia" w:hAnsiTheme="minorHAnsi" w:cstheme="minorBidi"/>
          <w:noProof/>
          <w:kern w:val="2"/>
          <w:lang w:eastAsia="zh-CN"/>
          <w14:ligatures w14:val="standardContextual"/>
        </w:rPr>
      </w:pPr>
      <w:hyperlink w:anchor="_Toc222741291" w:history="1">
        <w:r w:rsidRPr="008B56BD">
          <w:rPr>
            <w:rStyle w:val="Hyperlink"/>
            <w:noProof/>
          </w:rPr>
          <w:t>4.1.</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Resterende risico's en ongewenste bijwerkingen</w:t>
        </w:r>
        <w:r>
          <w:rPr>
            <w:noProof/>
            <w:webHidden/>
          </w:rPr>
          <w:tab/>
        </w:r>
        <w:r>
          <w:rPr>
            <w:noProof/>
            <w:webHidden/>
          </w:rPr>
          <w:fldChar w:fldCharType="begin"/>
        </w:r>
        <w:r>
          <w:rPr>
            <w:noProof/>
            <w:webHidden/>
          </w:rPr>
          <w:instrText xml:space="preserve"> PAGEREF _Toc222741291 \h </w:instrText>
        </w:r>
        <w:r>
          <w:rPr>
            <w:noProof/>
            <w:webHidden/>
          </w:rPr>
        </w:r>
        <w:r>
          <w:rPr>
            <w:noProof/>
            <w:webHidden/>
          </w:rPr>
          <w:fldChar w:fldCharType="separate"/>
        </w:r>
        <w:r w:rsidR="00661086">
          <w:rPr>
            <w:noProof/>
            <w:webHidden/>
          </w:rPr>
          <w:t>6</w:t>
        </w:r>
        <w:r>
          <w:rPr>
            <w:noProof/>
            <w:webHidden/>
          </w:rPr>
          <w:fldChar w:fldCharType="end"/>
        </w:r>
      </w:hyperlink>
    </w:p>
    <w:p w14:paraId="4AF6C7EB" w14:textId="7EA18391"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92" w:history="1">
        <w:r w:rsidRPr="008B56BD">
          <w:rPr>
            <w:rStyle w:val="Hyperlink"/>
            <w:noProof/>
          </w:rPr>
          <w:t>4.2.</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Waarschuwingen en voorzorgsmaatregelen</w:t>
        </w:r>
        <w:r>
          <w:rPr>
            <w:noProof/>
            <w:webHidden/>
          </w:rPr>
          <w:tab/>
          <w:t>6</w:t>
        </w:r>
      </w:hyperlink>
    </w:p>
    <w:p w14:paraId="78607096" w14:textId="15413B07"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93" w:history="1">
        <w:r w:rsidRPr="008B56BD">
          <w:rPr>
            <w:rStyle w:val="Hyperlink"/>
            <w:noProof/>
          </w:rPr>
          <w:t>4.3.</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Andere relevante veiligheidsaspecten, met inbegrip van een samenvatting van eventuele corrigerende maatregelen in verband met de veiligheid op het terrein (FSCA, met inbegrip van FSN), indien van toepassing</w:t>
        </w:r>
        <w:r>
          <w:rPr>
            <w:noProof/>
            <w:webHidden/>
          </w:rPr>
          <w:tab/>
          <w:t>7</w:t>
        </w:r>
      </w:hyperlink>
    </w:p>
    <w:p w14:paraId="26CC321D" w14:textId="02823E02"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94" w:history="1">
        <w:r w:rsidRPr="008B56BD">
          <w:rPr>
            <w:rStyle w:val="Hyperlink"/>
            <w:noProof/>
          </w:rPr>
          <w:t>5.</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Samenvatting van de klinische evaluatie en klinische follow-up na het in de handel brengen (PMCF)</w:t>
        </w:r>
        <w:r>
          <w:rPr>
            <w:noProof/>
            <w:webHidden/>
          </w:rPr>
          <w:tab/>
          <w:t>7</w:t>
        </w:r>
      </w:hyperlink>
    </w:p>
    <w:p w14:paraId="02AB5389" w14:textId="59918A9F"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95" w:history="1">
        <w:r w:rsidRPr="008B56BD">
          <w:rPr>
            <w:rStyle w:val="Hyperlink"/>
            <w:noProof/>
          </w:rPr>
          <w:t>5.1.</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Samenvatting van klinische gegevens in verband met een gelijkwaardig apparaat, indien van toepassing</w:t>
        </w:r>
        <w:r>
          <w:rPr>
            <w:noProof/>
            <w:webHidden/>
          </w:rPr>
          <w:tab/>
          <w:t>8</w:t>
        </w:r>
      </w:hyperlink>
    </w:p>
    <w:p w14:paraId="01B06FD0" w14:textId="3F7FE2EF"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96" w:history="1">
        <w:r w:rsidRPr="008B56BD">
          <w:rPr>
            <w:rStyle w:val="Hyperlink"/>
            <w:noProof/>
          </w:rPr>
          <w:t>5.2.</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Samenvatting van klinische gegevens uit onderzoek van het hulpmiddel vóór de CE-markering, indien van toepassing</w:t>
        </w:r>
        <w:r>
          <w:rPr>
            <w:noProof/>
            <w:webHidden/>
          </w:rPr>
          <w:tab/>
          <w:t>8</w:t>
        </w:r>
      </w:hyperlink>
    </w:p>
    <w:p w14:paraId="68BE2527" w14:textId="2831CE41"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97" w:history="1">
        <w:r w:rsidRPr="008B56BD">
          <w:rPr>
            <w:rStyle w:val="Hyperlink"/>
            <w:noProof/>
          </w:rPr>
          <w:t>5.3.</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Samenvatting van klinische gegevens van andere bronnen, indien van toepassing</w:t>
        </w:r>
        <w:r>
          <w:rPr>
            <w:noProof/>
            <w:webHidden/>
          </w:rPr>
          <w:tab/>
          <w:t>8</w:t>
        </w:r>
      </w:hyperlink>
    </w:p>
    <w:p w14:paraId="61A4288C" w14:textId="19C26EE1"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98" w:history="1">
        <w:r w:rsidRPr="008B56BD">
          <w:rPr>
            <w:rStyle w:val="Hyperlink"/>
            <w:noProof/>
          </w:rPr>
          <w:t>5.4.</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Een globaal overzicht van de klinische prestaties en veiligheid</w:t>
        </w:r>
        <w:r>
          <w:rPr>
            <w:noProof/>
            <w:webHidden/>
          </w:rPr>
          <w:tab/>
          <w:t>9</w:t>
        </w:r>
      </w:hyperlink>
    </w:p>
    <w:p w14:paraId="71B45DD2" w14:textId="53246A5B"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299" w:history="1">
        <w:r w:rsidRPr="008B56BD">
          <w:rPr>
            <w:rStyle w:val="Hyperlink"/>
            <w:noProof/>
          </w:rPr>
          <w:t>5.5.</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Lopende of geplande klinische post-market follow-up</w:t>
        </w:r>
        <w:r>
          <w:rPr>
            <w:noProof/>
            <w:webHidden/>
          </w:rPr>
          <w:tab/>
        </w:r>
        <w:r>
          <w:rPr>
            <w:noProof/>
            <w:webHidden/>
          </w:rPr>
          <w:fldChar w:fldCharType="begin"/>
        </w:r>
        <w:r>
          <w:rPr>
            <w:noProof/>
            <w:webHidden/>
          </w:rPr>
          <w:instrText xml:space="preserve"> PAGEREF _Toc222741299 \h </w:instrText>
        </w:r>
        <w:r>
          <w:rPr>
            <w:noProof/>
            <w:webHidden/>
          </w:rPr>
        </w:r>
        <w:r>
          <w:rPr>
            <w:noProof/>
            <w:webHidden/>
          </w:rPr>
          <w:fldChar w:fldCharType="separate"/>
        </w:r>
        <w:r>
          <w:rPr>
            <w:noProof/>
            <w:webHidden/>
          </w:rPr>
          <w:t>10</w:t>
        </w:r>
        <w:r>
          <w:rPr>
            <w:noProof/>
            <w:webHidden/>
          </w:rPr>
          <w:fldChar w:fldCharType="end"/>
        </w:r>
      </w:hyperlink>
    </w:p>
    <w:p w14:paraId="2F802EC3" w14:textId="3710FCE0"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300" w:history="1">
        <w:r w:rsidRPr="008B56BD">
          <w:rPr>
            <w:rStyle w:val="Hyperlink"/>
            <w:noProof/>
          </w:rPr>
          <w:t>6.</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Mogelijke diagnostische of therapeutische alternatieven</w:t>
        </w:r>
        <w:r>
          <w:rPr>
            <w:noProof/>
            <w:webHidden/>
          </w:rPr>
          <w:tab/>
        </w:r>
        <w:r>
          <w:rPr>
            <w:noProof/>
            <w:webHidden/>
          </w:rPr>
          <w:fldChar w:fldCharType="begin"/>
        </w:r>
        <w:r>
          <w:rPr>
            <w:noProof/>
            <w:webHidden/>
          </w:rPr>
          <w:instrText xml:space="preserve"> PAGEREF _Toc222741300 \h </w:instrText>
        </w:r>
        <w:r>
          <w:rPr>
            <w:noProof/>
            <w:webHidden/>
          </w:rPr>
        </w:r>
        <w:r>
          <w:rPr>
            <w:noProof/>
            <w:webHidden/>
          </w:rPr>
          <w:fldChar w:fldCharType="separate"/>
        </w:r>
        <w:r>
          <w:rPr>
            <w:noProof/>
            <w:webHidden/>
          </w:rPr>
          <w:t>11</w:t>
        </w:r>
        <w:r>
          <w:rPr>
            <w:noProof/>
            <w:webHidden/>
          </w:rPr>
          <w:fldChar w:fldCharType="end"/>
        </w:r>
      </w:hyperlink>
    </w:p>
    <w:p w14:paraId="638EB0DA" w14:textId="21C1F2B8"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301" w:history="1">
        <w:r w:rsidRPr="008B56BD">
          <w:rPr>
            <w:rStyle w:val="Hyperlink"/>
            <w:noProof/>
          </w:rPr>
          <w:t>7.</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Voorgesteld profiel en opleiding van gebruikers</w:t>
        </w:r>
        <w:r>
          <w:rPr>
            <w:noProof/>
            <w:webHidden/>
          </w:rPr>
          <w:tab/>
        </w:r>
        <w:r>
          <w:rPr>
            <w:noProof/>
            <w:webHidden/>
          </w:rPr>
          <w:fldChar w:fldCharType="begin"/>
        </w:r>
        <w:r>
          <w:rPr>
            <w:noProof/>
            <w:webHidden/>
          </w:rPr>
          <w:instrText xml:space="preserve"> PAGEREF _Toc222741301 \h </w:instrText>
        </w:r>
        <w:r>
          <w:rPr>
            <w:noProof/>
            <w:webHidden/>
          </w:rPr>
        </w:r>
        <w:r>
          <w:rPr>
            <w:noProof/>
            <w:webHidden/>
          </w:rPr>
          <w:fldChar w:fldCharType="separate"/>
        </w:r>
        <w:r>
          <w:rPr>
            <w:noProof/>
            <w:webHidden/>
          </w:rPr>
          <w:t>11</w:t>
        </w:r>
        <w:r>
          <w:rPr>
            <w:noProof/>
            <w:webHidden/>
          </w:rPr>
          <w:fldChar w:fldCharType="end"/>
        </w:r>
      </w:hyperlink>
    </w:p>
    <w:p w14:paraId="74237601" w14:textId="2889526A"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302" w:history="1">
        <w:r w:rsidRPr="008B56BD">
          <w:rPr>
            <w:rStyle w:val="Hyperlink"/>
            <w:noProof/>
          </w:rPr>
          <w:t>8.</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Geharmoniseerde normen / gemeenschappelijke specificaties</w:t>
        </w:r>
        <w:r>
          <w:rPr>
            <w:noProof/>
            <w:webHidden/>
          </w:rPr>
          <w:tab/>
        </w:r>
        <w:r>
          <w:rPr>
            <w:noProof/>
            <w:webHidden/>
          </w:rPr>
          <w:fldChar w:fldCharType="begin"/>
        </w:r>
        <w:r>
          <w:rPr>
            <w:noProof/>
            <w:webHidden/>
          </w:rPr>
          <w:instrText xml:space="preserve"> PAGEREF _Toc222741302 \h </w:instrText>
        </w:r>
        <w:r>
          <w:rPr>
            <w:noProof/>
            <w:webHidden/>
          </w:rPr>
        </w:r>
        <w:r>
          <w:rPr>
            <w:noProof/>
            <w:webHidden/>
          </w:rPr>
          <w:fldChar w:fldCharType="separate"/>
        </w:r>
        <w:r>
          <w:rPr>
            <w:noProof/>
            <w:webHidden/>
          </w:rPr>
          <w:t>11</w:t>
        </w:r>
        <w:r>
          <w:rPr>
            <w:noProof/>
            <w:webHidden/>
          </w:rPr>
          <w:fldChar w:fldCharType="end"/>
        </w:r>
      </w:hyperlink>
    </w:p>
    <w:p w14:paraId="0F730A43" w14:textId="372B709E" w:rsidR="00BC3E84" w:rsidRDefault="00BD0841">
      <w:pPr>
        <w:pStyle w:val="TOC1"/>
        <w:rPr>
          <w:rFonts w:asciiTheme="minorHAnsi" w:eastAsiaTheme="minorEastAsia" w:hAnsiTheme="minorHAnsi" w:cstheme="minorBidi"/>
          <w:noProof/>
          <w:kern w:val="2"/>
          <w:lang w:eastAsia="zh-CN"/>
          <w14:ligatures w14:val="standardContextual"/>
        </w:rPr>
      </w:pPr>
      <w:hyperlink w:anchor="_Toc222741303" w:history="1">
        <w:r w:rsidRPr="008B56BD">
          <w:rPr>
            <w:rStyle w:val="Hyperlink"/>
            <w:noProof/>
          </w:rPr>
          <w:t>9.</w:t>
        </w:r>
        <w:r>
          <w:rPr>
            <w:rFonts w:asciiTheme="minorHAnsi" w:eastAsiaTheme="minorEastAsia" w:hAnsiTheme="minorHAnsi" w:cstheme="minorBidi"/>
            <w:noProof/>
            <w:kern w:val="2"/>
            <w:lang w:eastAsia="zh-CN"/>
            <w14:ligatures w14:val="standardContextual"/>
          </w:rPr>
          <w:tab/>
        </w:r>
        <w:r w:rsidRPr="008B56BD">
          <w:rPr>
            <w:rStyle w:val="Hyperlink"/>
            <w:bCs/>
            <w:noProof/>
            <w:lang w:val="nl-NL"/>
          </w:rPr>
          <w:t>Revisiegeschiedenis</w:t>
        </w:r>
        <w:r>
          <w:rPr>
            <w:noProof/>
            <w:webHidden/>
          </w:rPr>
          <w:tab/>
        </w:r>
        <w:r>
          <w:rPr>
            <w:noProof/>
            <w:webHidden/>
          </w:rPr>
          <w:fldChar w:fldCharType="begin"/>
        </w:r>
        <w:r>
          <w:rPr>
            <w:noProof/>
            <w:webHidden/>
          </w:rPr>
          <w:instrText xml:space="preserve"> PAGEREF _Toc222741303 \h </w:instrText>
        </w:r>
        <w:r>
          <w:rPr>
            <w:noProof/>
            <w:webHidden/>
          </w:rPr>
        </w:r>
        <w:r>
          <w:rPr>
            <w:noProof/>
            <w:webHidden/>
          </w:rPr>
          <w:fldChar w:fldCharType="separate"/>
        </w:r>
        <w:r>
          <w:rPr>
            <w:noProof/>
            <w:webHidden/>
          </w:rPr>
          <w:t>13</w:t>
        </w:r>
        <w:r>
          <w:rPr>
            <w:noProof/>
            <w:webHidden/>
          </w:rPr>
          <w:fldChar w:fldCharType="end"/>
        </w:r>
      </w:hyperlink>
    </w:p>
    <w:p w14:paraId="29D6E5E3" w14:textId="4B5D7698"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nl-NL"/>
        </w:rPr>
        <w:br w:type="page"/>
      </w:r>
    </w:p>
    <w:p w14:paraId="453DC774" w14:textId="77777777" w:rsidR="00221CEF" w:rsidRPr="00BC3E84" w:rsidRDefault="00221CEF" w:rsidP="00042B91">
      <w:pPr>
        <w:pStyle w:val="Heading7"/>
        <w:spacing w:after="0" w:afterAutospacing="0"/>
        <w:rPr>
          <w:lang w:val="de-DE"/>
        </w:rPr>
      </w:pPr>
      <w:r>
        <w:rPr>
          <w:bCs/>
          <w:lang w:val="nl-NL"/>
        </w:rPr>
        <w:lastRenderedPageBreak/>
        <w:t>Samenvatting van veiligheid en klinische prestaties</w:t>
      </w:r>
    </w:p>
    <w:p w14:paraId="2D567C3A" w14:textId="4D6B7954" w:rsidR="00221CEF" w:rsidRPr="00BC3E84" w:rsidRDefault="00221CEF" w:rsidP="00042B91">
      <w:pPr>
        <w:spacing w:after="0" w:afterAutospacing="0" w:line="240" w:lineRule="auto"/>
        <w:rPr>
          <w:rFonts w:cs="Times New Roman"/>
          <w:lang w:val="de-DE"/>
        </w:rPr>
      </w:pPr>
      <w:r>
        <w:rPr>
          <w:rFonts w:cs="Times New Roman"/>
          <w:lang w:val="nl-NL"/>
        </w:rPr>
        <w:t>Deze Samenvatting van veiligheid en klinische prestaties (SSCP) is bedoeld om het publiek toegang te geven tot een bijgewerkte samenvatting van de belangrijkste aspecten van de klinische en veiligheidsprestaties van het hulpmiddel.</w:t>
      </w:r>
    </w:p>
    <w:p w14:paraId="549AF428" w14:textId="35F6904C" w:rsidR="00221CEF" w:rsidRPr="00BC3E84" w:rsidRDefault="00221CEF" w:rsidP="00042B91">
      <w:pPr>
        <w:spacing w:after="0" w:afterAutospacing="0" w:line="240" w:lineRule="auto"/>
        <w:rPr>
          <w:rFonts w:cs="Times New Roman"/>
          <w:lang w:val="de-DE"/>
        </w:rPr>
      </w:pPr>
      <w:r>
        <w:rPr>
          <w:rFonts w:cs="Times New Roman"/>
          <w:lang w:val="nl-NL"/>
        </w:rPr>
        <w:t>De SSCP is niet bedoeld ter vervanging van de Gebruiksaanwijzing als het belangrijkste document om een veilig gebruik van het hulpmiddel te waarborgen, en is evenmin bedoeld om de beoogde gebruikers of patiënten diagnostische of therapeutische suggesties te geven.</w:t>
      </w:r>
    </w:p>
    <w:p w14:paraId="6E1D4297" w14:textId="77777777" w:rsidR="00042B91" w:rsidRPr="00BC3E84" w:rsidRDefault="00042B91" w:rsidP="00042B91">
      <w:pPr>
        <w:spacing w:after="0" w:afterAutospacing="0" w:line="240" w:lineRule="auto"/>
        <w:rPr>
          <w:rFonts w:cs="Times New Roman"/>
          <w:lang w:val="de-DE"/>
        </w:rPr>
      </w:pPr>
    </w:p>
    <w:p w14:paraId="57958E5A" w14:textId="739089BF" w:rsidR="00221CEF" w:rsidRPr="00BC3E84" w:rsidRDefault="00221CEF" w:rsidP="00042B91">
      <w:pPr>
        <w:spacing w:after="0" w:afterAutospacing="0" w:line="240" w:lineRule="auto"/>
        <w:rPr>
          <w:rFonts w:cs="Times New Roman"/>
          <w:lang w:val="de-DE"/>
        </w:rPr>
      </w:pPr>
      <w:r>
        <w:rPr>
          <w:rFonts w:cs="Times New Roman"/>
          <w:lang w:val="nl-NL"/>
        </w:rPr>
        <w:t>De volgende informatie is bestemd voor gebruikers en zorgverleners.</w:t>
      </w:r>
    </w:p>
    <w:p w14:paraId="18A77BED" w14:textId="77777777" w:rsidR="00042B91" w:rsidRPr="00BC3E84" w:rsidRDefault="00042B91" w:rsidP="00042B91">
      <w:pPr>
        <w:spacing w:after="0" w:afterAutospacing="0" w:line="240" w:lineRule="auto"/>
        <w:rPr>
          <w:rFonts w:cs="Times New Roman"/>
          <w:lang w:val="de-DE"/>
        </w:rPr>
      </w:pPr>
    </w:p>
    <w:p w14:paraId="6E5276B4" w14:textId="2AFD9220" w:rsidR="00042B91" w:rsidRPr="00BC3E84" w:rsidRDefault="006F0810" w:rsidP="00F67A0E">
      <w:pPr>
        <w:pStyle w:val="Heading1"/>
        <w:numPr>
          <w:ilvl w:val="0"/>
          <w:numId w:val="2"/>
        </w:numPr>
        <w:rPr>
          <w:rFonts w:cs="Times New Roman"/>
          <w:lang w:val="de-DE"/>
        </w:rPr>
      </w:pPr>
      <w:bookmarkStart w:id="0" w:name="_Toc222741274"/>
      <w:r>
        <w:rPr>
          <w:rFonts w:cs="Times New Roman"/>
          <w:bCs/>
          <w:lang w:val="nl-NL"/>
        </w:rPr>
        <w:t>Omvang van deze samenvatting van de veiligheid en klinische prestaties (SSCP):</w:t>
      </w:r>
      <w:bookmarkEnd w:id="0"/>
    </w:p>
    <w:p w14:paraId="5CDBAEA3" w14:textId="77777777" w:rsidR="00042B91" w:rsidRPr="00BC3E84" w:rsidRDefault="00042B91" w:rsidP="00042B91">
      <w:pPr>
        <w:spacing w:after="0" w:afterAutospacing="0" w:line="240" w:lineRule="auto"/>
        <w:rPr>
          <w:rFonts w:cs="Times New Roman"/>
          <w:lang w:val="de-DE"/>
        </w:rPr>
      </w:pPr>
    </w:p>
    <w:p w14:paraId="45E5BCB2" w14:textId="6E901CD2" w:rsidR="00AA2E04" w:rsidRPr="009461CC" w:rsidRDefault="00221CEF" w:rsidP="00042B91">
      <w:pPr>
        <w:pStyle w:val="Heading1"/>
        <w:rPr>
          <w:rFonts w:cs="Times New Roman"/>
        </w:rPr>
      </w:pPr>
      <w:bookmarkStart w:id="1" w:name="_Toc222741275"/>
      <w:r>
        <w:rPr>
          <w:rFonts w:cs="Times New Roman"/>
          <w:bCs/>
          <w:lang w:val="nl-NL"/>
        </w:rPr>
        <w:t>Handelsnaam hulpmiddel:</w:t>
      </w:r>
      <w:bookmarkEnd w:id="1"/>
      <w:r>
        <w:rPr>
          <w:rFonts w:cs="Times New Roman"/>
          <w:bCs/>
          <w:lang w:val="nl-NL"/>
        </w:rPr>
        <w:t xml:space="preserve"> </w:t>
      </w:r>
    </w:p>
    <w:p w14:paraId="29AE9E59" w14:textId="56D3C976" w:rsidR="00042B91" w:rsidRPr="009461CC" w:rsidRDefault="00982459" w:rsidP="001E6921">
      <w:pPr>
        <w:spacing w:after="0" w:afterAutospacing="0" w:line="240" w:lineRule="auto"/>
        <w:ind w:left="792"/>
        <w:rPr>
          <w:rFonts w:cs="Times New Roman"/>
        </w:rPr>
      </w:pPr>
      <w:r>
        <w:rPr>
          <w:rFonts w:cs="Times New Roman"/>
          <w:lang w:val="nl-NL"/>
        </w:rPr>
        <w:t xml:space="preserve">Atrieve </w:t>
      </w:r>
      <w:r w:rsidR="00F21B6F" w:rsidRPr="00F21B6F">
        <w:rPr>
          <w:rFonts w:cs="Times New Roman"/>
          <w:lang w:val="nl-NL"/>
        </w:rPr>
        <w:t>Vasculaire</w:t>
      </w:r>
      <w:r w:rsidR="00F21B6F" w:rsidRPr="00F21B6F" w:rsidDel="00F21B6F">
        <w:rPr>
          <w:rFonts w:cs="Times New Roman"/>
          <w:lang w:val="nl-NL"/>
        </w:rPr>
        <w:t xml:space="preserve"> </w:t>
      </w:r>
      <w:r w:rsidR="007F04F5">
        <w:rPr>
          <w:rFonts w:cs="Times New Roman"/>
          <w:lang w:val="nl-NL"/>
        </w:rPr>
        <w:t>Snare-kit</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8B131A" w:rsidRDefault="00221CEF" w:rsidP="00042B91">
      <w:pPr>
        <w:pStyle w:val="Heading1"/>
        <w:rPr>
          <w:rFonts w:cs="Times New Roman"/>
          <w:lang w:val="nb-NO"/>
        </w:rPr>
      </w:pPr>
      <w:bookmarkStart w:id="2" w:name="_Toc222741276"/>
      <w:r>
        <w:rPr>
          <w:rFonts w:cs="Times New Roman"/>
          <w:bCs/>
          <w:lang w:val="nl-NL"/>
        </w:rPr>
        <w:t>Beschrijving hulpmiddel, basis UDI-DI, en EU-classificatie:</w:t>
      </w:r>
      <w:bookmarkEnd w:id="2"/>
    </w:p>
    <w:tbl>
      <w:tblPr>
        <w:tblStyle w:val="TableGrid"/>
        <w:tblW w:w="0" w:type="auto"/>
        <w:tblLook w:val="04A0" w:firstRow="1" w:lastRow="0" w:firstColumn="1" w:lastColumn="0" w:noHBand="0" w:noVBand="1"/>
      </w:tblPr>
      <w:tblGrid>
        <w:gridCol w:w="3795"/>
        <w:gridCol w:w="1603"/>
        <w:gridCol w:w="1350"/>
        <w:gridCol w:w="1266"/>
        <w:gridCol w:w="2416"/>
      </w:tblGrid>
      <w:tr w:rsidR="006266F5" w:rsidRPr="009461CC" w14:paraId="77A15E5D" w14:textId="77777777" w:rsidTr="00536EDE">
        <w:tc>
          <w:tcPr>
            <w:tcW w:w="3795" w:type="dxa"/>
            <w:shd w:val="clear" w:color="auto" w:fill="E7E6E6" w:themeFill="background2"/>
          </w:tcPr>
          <w:p w14:paraId="6089AC65" w14:textId="5ACA6E64" w:rsidR="006266F5" w:rsidRPr="00BC3E84" w:rsidRDefault="006266F5" w:rsidP="0015690A">
            <w:pPr>
              <w:jc w:val="center"/>
              <w:rPr>
                <w:rFonts w:cs="Times New Roman"/>
                <w:b/>
                <w:bCs/>
                <w:lang w:val="de-DE"/>
              </w:rPr>
            </w:pPr>
            <w:r>
              <w:rPr>
                <w:rFonts w:cs="Times New Roman"/>
                <w:b/>
                <w:bCs/>
                <w:lang w:val="nl-NL"/>
              </w:rPr>
              <w:t>Naam en beschrijving van het hulpmiddel</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lang w:val="nl-NL"/>
              </w:rPr>
              <w:t>C</w:t>
            </w:r>
            <w:r>
              <w:rPr>
                <w:rFonts w:cs="Times New Roman"/>
                <w:b/>
                <w:bCs/>
                <w:lang w:val="nl-NL"/>
              </w:rPr>
              <w:t>lassificatie</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nl-NL"/>
              </w:rPr>
              <w:t>GMDN-code</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nl-NL"/>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nl-NL"/>
              </w:rPr>
              <w:t>Basis UDI-DI</w:t>
            </w:r>
          </w:p>
        </w:tc>
      </w:tr>
      <w:tr w:rsidR="006266F5" w:rsidRPr="009461CC" w14:paraId="72288A12" w14:textId="77777777" w:rsidTr="006266F5">
        <w:tc>
          <w:tcPr>
            <w:tcW w:w="3795" w:type="dxa"/>
          </w:tcPr>
          <w:p w14:paraId="04AE147E" w14:textId="7B56D359" w:rsidR="006266F5" w:rsidRPr="008B131A" w:rsidRDefault="00F21B6F" w:rsidP="005B3E76">
            <w:pPr>
              <w:rPr>
                <w:rFonts w:cs="Times New Roman"/>
                <w:lang w:val="nb-NO"/>
              </w:rPr>
            </w:pPr>
            <w:r w:rsidRPr="00F21B6F">
              <w:rPr>
                <w:rFonts w:cs="Times New Roman"/>
                <w:lang w:val="nl-NL"/>
              </w:rPr>
              <w:t>Atrieve Vasculaire Snare™-kit</w:t>
            </w:r>
            <w:r w:rsidR="006266F5">
              <w:rPr>
                <w:rFonts w:cs="Times New Roman"/>
                <w:lang w:val="nl-NL"/>
              </w:rPr>
              <w:t>, 6-10 mm diameter x 120 cm snare, 6F x 100 cm katheter</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nl-NL"/>
              </w:rPr>
              <w:t>Klasse III</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nl-NL"/>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nl-NL"/>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nl-NL"/>
              </w:rPr>
              <w:t>088633329000132</w:t>
            </w:r>
          </w:p>
        </w:tc>
      </w:tr>
      <w:tr w:rsidR="006266F5" w:rsidRPr="00F21B6F" w14:paraId="674985B4" w14:textId="77777777" w:rsidTr="006266F5">
        <w:tc>
          <w:tcPr>
            <w:tcW w:w="3795" w:type="dxa"/>
          </w:tcPr>
          <w:p w14:paraId="1845B978" w14:textId="36F6CA25" w:rsidR="006266F5" w:rsidRPr="008B131A" w:rsidRDefault="00F21B6F" w:rsidP="005B3E76">
            <w:pPr>
              <w:rPr>
                <w:rFonts w:cs="Times New Roman"/>
                <w:lang w:val="nb-NO"/>
              </w:rPr>
            </w:pPr>
            <w:r w:rsidRPr="00F21B6F">
              <w:rPr>
                <w:rFonts w:cs="Times New Roman"/>
                <w:lang w:val="nl-NL"/>
              </w:rPr>
              <w:t>Atrieve Vasculaire Snare™-kit</w:t>
            </w:r>
            <w:r w:rsidR="006266F5">
              <w:rPr>
                <w:rFonts w:cs="Times New Roman"/>
                <w:lang w:val="nl-NL"/>
              </w:rPr>
              <w:t xml:space="preserve">, 9-15 mm diameter x 120 cm snare, 6F x 100 cm katheter </w:t>
            </w:r>
          </w:p>
        </w:tc>
        <w:tc>
          <w:tcPr>
            <w:tcW w:w="1603" w:type="dxa"/>
            <w:vMerge/>
          </w:tcPr>
          <w:p w14:paraId="0F2DCD20" w14:textId="77777777" w:rsidR="006266F5" w:rsidRPr="008B131A" w:rsidRDefault="006266F5" w:rsidP="005B3E76">
            <w:pPr>
              <w:rPr>
                <w:rFonts w:cs="Times New Roman"/>
                <w:lang w:val="nb-NO"/>
              </w:rPr>
            </w:pPr>
          </w:p>
        </w:tc>
        <w:tc>
          <w:tcPr>
            <w:tcW w:w="1350" w:type="dxa"/>
            <w:vMerge/>
          </w:tcPr>
          <w:p w14:paraId="45E8FDD8" w14:textId="4AADF8C7" w:rsidR="006266F5" w:rsidRPr="008B131A" w:rsidRDefault="006266F5" w:rsidP="005B3E76">
            <w:pPr>
              <w:rPr>
                <w:rFonts w:cs="Times New Roman"/>
                <w:lang w:val="nb-NO"/>
              </w:rPr>
            </w:pPr>
          </w:p>
        </w:tc>
        <w:tc>
          <w:tcPr>
            <w:tcW w:w="1266" w:type="dxa"/>
            <w:vMerge/>
          </w:tcPr>
          <w:p w14:paraId="165F2BBA" w14:textId="77777777" w:rsidR="006266F5" w:rsidRPr="008B131A" w:rsidRDefault="006266F5" w:rsidP="005B3E76">
            <w:pPr>
              <w:rPr>
                <w:rFonts w:cs="Times New Roman"/>
                <w:lang w:val="nb-NO"/>
              </w:rPr>
            </w:pPr>
          </w:p>
        </w:tc>
        <w:tc>
          <w:tcPr>
            <w:tcW w:w="2416" w:type="dxa"/>
            <w:vMerge/>
          </w:tcPr>
          <w:p w14:paraId="5C1D3365" w14:textId="77777777" w:rsidR="006266F5" w:rsidRPr="008B131A" w:rsidRDefault="006266F5" w:rsidP="005B3E76">
            <w:pPr>
              <w:rPr>
                <w:rFonts w:cs="Times New Roman"/>
                <w:lang w:val="nb-NO"/>
              </w:rPr>
            </w:pPr>
          </w:p>
        </w:tc>
      </w:tr>
      <w:tr w:rsidR="006266F5" w:rsidRPr="00F21B6F" w14:paraId="1B0B0E25" w14:textId="77777777" w:rsidTr="006266F5">
        <w:tc>
          <w:tcPr>
            <w:tcW w:w="3795" w:type="dxa"/>
          </w:tcPr>
          <w:p w14:paraId="0A9B2655" w14:textId="3C7A0907" w:rsidR="006266F5" w:rsidRPr="008B131A" w:rsidRDefault="00F21B6F" w:rsidP="005B3E76">
            <w:pPr>
              <w:rPr>
                <w:rFonts w:cs="Times New Roman"/>
                <w:lang w:val="nb-NO"/>
              </w:rPr>
            </w:pPr>
            <w:r w:rsidRPr="00F21B6F">
              <w:rPr>
                <w:rFonts w:cs="Times New Roman"/>
                <w:lang w:val="nl-NL"/>
              </w:rPr>
              <w:t>Atrieve Vasculaire Snare™-kit</w:t>
            </w:r>
            <w:r w:rsidR="006266F5">
              <w:rPr>
                <w:rFonts w:cs="Times New Roman"/>
                <w:lang w:val="nl-NL"/>
              </w:rPr>
              <w:t xml:space="preserve">, 12-20 mm diameter x 120 cm snare, 6F x 100 cm katheter </w:t>
            </w:r>
          </w:p>
        </w:tc>
        <w:tc>
          <w:tcPr>
            <w:tcW w:w="1603" w:type="dxa"/>
            <w:vMerge/>
          </w:tcPr>
          <w:p w14:paraId="4F42F09B" w14:textId="77777777" w:rsidR="006266F5" w:rsidRPr="008B131A" w:rsidRDefault="006266F5" w:rsidP="005B3E76">
            <w:pPr>
              <w:rPr>
                <w:rFonts w:cs="Times New Roman"/>
                <w:lang w:val="nb-NO"/>
              </w:rPr>
            </w:pPr>
          </w:p>
        </w:tc>
        <w:tc>
          <w:tcPr>
            <w:tcW w:w="1350" w:type="dxa"/>
            <w:vMerge/>
          </w:tcPr>
          <w:p w14:paraId="7D1A397B" w14:textId="2F1838AC" w:rsidR="006266F5" w:rsidRPr="008B131A" w:rsidRDefault="006266F5" w:rsidP="005B3E76">
            <w:pPr>
              <w:rPr>
                <w:rFonts w:cs="Times New Roman"/>
                <w:lang w:val="nb-NO"/>
              </w:rPr>
            </w:pPr>
          </w:p>
        </w:tc>
        <w:tc>
          <w:tcPr>
            <w:tcW w:w="1266" w:type="dxa"/>
            <w:vMerge/>
          </w:tcPr>
          <w:p w14:paraId="721C2322" w14:textId="77777777" w:rsidR="006266F5" w:rsidRPr="008B131A" w:rsidRDefault="006266F5" w:rsidP="005B3E76">
            <w:pPr>
              <w:rPr>
                <w:rFonts w:cs="Times New Roman"/>
                <w:lang w:val="nb-NO"/>
              </w:rPr>
            </w:pPr>
          </w:p>
        </w:tc>
        <w:tc>
          <w:tcPr>
            <w:tcW w:w="2416" w:type="dxa"/>
            <w:vMerge/>
          </w:tcPr>
          <w:p w14:paraId="3C7CCE81" w14:textId="77777777" w:rsidR="006266F5" w:rsidRPr="008B131A" w:rsidRDefault="006266F5" w:rsidP="005B3E76">
            <w:pPr>
              <w:rPr>
                <w:rFonts w:cs="Times New Roman"/>
                <w:lang w:val="nb-NO"/>
              </w:rPr>
            </w:pPr>
          </w:p>
        </w:tc>
      </w:tr>
      <w:tr w:rsidR="006266F5" w:rsidRPr="00F21B6F" w14:paraId="06B07953" w14:textId="77777777" w:rsidTr="006266F5">
        <w:tc>
          <w:tcPr>
            <w:tcW w:w="3795" w:type="dxa"/>
          </w:tcPr>
          <w:p w14:paraId="122A6EC5" w14:textId="49B10C8F" w:rsidR="006266F5" w:rsidRPr="008B131A" w:rsidRDefault="00F21B6F" w:rsidP="005B3E76">
            <w:pPr>
              <w:rPr>
                <w:rFonts w:cs="Times New Roman"/>
                <w:lang w:val="nb-NO"/>
              </w:rPr>
            </w:pPr>
            <w:r w:rsidRPr="00F21B6F">
              <w:rPr>
                <w:rFonts w:cs="Times New Roman"/>
                <w:lang w:val="nl-NL"/>
              </w:rPr>
              <w:t>Atrieve Vasculaire Snare™-kit</w:t>
            </w:r>
            <w:r w:rsidR="006266F5">
              <w:rPr>
                <w:rFonts w:cs="Times New Roman"/>
                <w:lang w:val="nl-NL"/>
              </w:rPr>
              <w:t xml:space="preserve">, 18-30 mm diameter x 120 cm snare, 7F x 100 cm katheter </w:t>
            </w:r>
          </w:p>
        </w:tc>
        <w:tc>
          <w:tcPr>
            <w:tcW w:w="1603" w:type="dxa"/>
            <w:vMerge/>
          </w:tcPr>
          <w:p w14:paraId="1913C875" w14:textId="77777777" w:rsidR="006266F5" w:rsidRPr="008B131A" w:rsidRDefault="006266F5" w:rsidP="005B3E76">
            <w:pPr>
              <w:rPr>
                <w:rFonts w:cs="Times New Roman"/>
                <w:lang w:val="nb-NO"/>
              </w:rPr>
            </w:pPr>
          </w:p>
        </w:tc>
        <w:tc>
          <w:tcPr>
            <w:tcW w:w="1350" w:type="dxa"/>
            <w:vMerge/>
          </w:tcPr>
          <w:p w14:paraId="00E8406E" w14:textId="7131A855" w:rsidR="006266F5" w:rsidRPr="008B131A" w:rsidRDefault="006266F5" w:rsidP="005B3E76">
            <w:pPr>
              <w:rPr>
                <w:rFonts w:cs="Times New Roman"/>
                <w:lang w:val="nb-NO"/>
              </w:rPr>
            </w:pPr>
          </w:p>
        </w:tc>
        <w:tc>
          <w:tcPr>
            <w:tcW w:w="1266" w:type="dxa"/>
            <w:vMerge/>
          </w:tcPr>
          <w:p w14:paraId="68FC6CAA" w14:textId="77777777" w:rsidR="006266F5" w:rsidRPr="008B131A" w:rsidRDefault="006266F5" w:rsidP="005B3E76">
            <w:pPr>
              <w:rPr>
                <w:rFonts w:cs="Times New Roman"/>
                <w:lang w:val="nb-NO"/>
              </w:rPr>
            </w:pPr>
          </w:p>
        </w:tc>
        <w:tc>
          <w:tcPr>
            <w:tcW w:w="2416" w:type="dxa"/>
            <w:vMerge/>
          </w:tcPr>
          <w:p w14:paraId="36E19225" w14:textId="77777777" w:rsidR="006266F5" w:rsidRPr="008B131A" w:rsidRDefault="006266F5" w:rsidP="005B3E76">
            <w:pPr>
              <w:rPr>
                <w:rFonts w:cs="Times New Roman"/>
                <w:lang w:val="nb-NO"/>
              </w:rPr>
            </w:pPr>
          </w:p>
        </w:tc>
      </w:tr>
      <w:tr w:rsidR="006266F5" w:rsidRPr="00F21B6F" w14:paraId="70E2EDC2" w14:textId="77777777" w:rsidTr="006266F5">
        <w:tc>
          <w:tcPr>
            <w:tcW w:w="3795" w:type="dxa"/>
          </w:tcPr>
          <w:p w14:paraId="3B2B1D80" w14:textId="1423E141" w:rsidR="006266F5" w:rsidRPr="008B131A" w:rsidRDefault="00F21B6F" w:rsidP="005B3E76">
            <w:pPr>
              <w:rPr>
                <w:rFonts w:cs="Times New Roman"/>
                <w:lang w:val="nb-NO"/>
              </w:rPr>
            </w:pPr>
            <w:r w:rsidRPr="00F21B6F">
              <w:rPr>
                <w:rFonts w:cs="Times New Roman"/>
                <w:lang w:val="nl-NL"/>
              </w:rPr>
              <w:t>Atrieve Vasculaire Snare™-kit</w:t>
            </w:r>
            <w:r w:rsidR="006266F5">
              <w:rPr>
                <w:rFonts w:cs="Times New Roman"/>
                <w:lang w:val="nl-NL"/>
              </w:rPr>
              <w:t>, 27-45 mm diameter x 120 cm snare, 7F x 100 cm katheter</w:t>
            </w:r>
          </w:p>
        </w:tc>
        <w:tc>
          <w:tcPr>
            <w:tcW w:w="1603" w:type="dxa"/>
            <w:vMerge/>
          </w:tcPr>
          <w:p w14:paraId="5D298385" w14:textId="77777777" w:rsidR="006266F5" w:rsidRPr="008B131A" w:rsidRDefault="006266F5" w:rsidP="005B3E76">
            <w:pPr>
              <w:rPr>
                <w:rFonts w:cs="Times New Roman"/>
                <w:lang w:val="nb-NO"/>
              </w:rPr>
            </w:pPr>
          </w:p>
        </w:tc>
        <w:tc>
          <w:tcPr>
            <w:tcW w:w="1350" w:type="dxa"/>
            <w:vMerge/>
          </w:tcPr>
          <w:p w14:paraId="001781C2" w14:textId="46419622" w:rsidR="006266F5" w:rsidRPr="008B131A" w:rsidRDefault="006266F5" w:rsidP="005B3E76">
            <w:pPr>
              <w:rPr>
                <w:rFonts w:cs="Times New Roman"/>
                <w:lang w:val="nb-NO"/>
              </w:rPr>
            </w:pPr>
          </w:p>
        </w:tc>
        <w:tc>
          <w:tcPr>
            <w:tcW w:w="1266" w:type="dxa"/>
            <w:vMerge/>
          </w:tcPr>
          <w:p w14:paraId="20D9A32E" w14:textId="77777777" w:rsidR="006266F5" w:rsidRPr="008B131A" w:rsidRDefault="006266F5" w:rsidP="005B3E76">
            <w:pPr>
              <w:rPr>
                <w:rFonts w:cs="Times New Roman"/>
                <w:lang w:val="nb-NO"/>
              </w:rPr>
            </w:pPr>
          </w:p>
        </w:tc>
        <w:tc>
          <w:tcPr>
            <w:tcW w:w="2416" w:type="dxa"/>
            <w:vMerge/>
          </w:tcPr>
          <w:p w14:paraId="5855DBED" w14:textId="77777777" w:rsidR="006266F5" w:rsidRPr="008B131A" w:rsidRDefault="006266F5" w:rsidP="005B3E76">
            <w:pPr>
              <w:rPr>
                <w:rFonts w:cs="Times New Roman"/>
                <w:lang w:val="nb-NO"/>
              </w:rPr>
            </w:pPr>
          </w:p>
        </w:tc>
      </w:tr>
      <w:tr w:rsidR="006266F5" w:rsidRPr="00F21B6F" w14:paraId="7E3403A6" w14:textId="77777777" w:rsidTr="006266F5">
        <w:tc>
          <w:tcPr>
            <w:tcW w:w="3795" w:type="dxa"/>
          </w:tcPr>
          <w:p w14:paraId="675708BF" w14:textId="754E429E" w:rsidR="006266F5" w:rsidRPr="008B131A" w:rsidRDefault="00F21B6F" w:rsidP="005B3E76">
            <w:pPr>
              <w:rPr>
                <w:rFonts w:cs="Times New Roman"/>
                <w:lang w:val="nb-NO"/>
              </w:rPr>
            </w:pPr>
            <w:r w:rsidRPr="00F21B6F">
              <w:rPr>
                <w:rFonts w:cs="Times New Roman"/>
                <w:lang w:val="nl-NL"/>
              </w:rPr>
              <w:t>Atrieve Vasculaire Snare™-kit</w:t>
            </w:r>
            <w:r w:rsidR="006266F5">
              <w:rPr>
                <w:rFonts w:cs="Times New Roman"/>
                <w:lang w:val="nl-NL"/>
              </w:rPr>
              <w:t xml:space="preserve">, 2-4 mm diameter x 175 cm snare, 3.2F x 150 cm katheter </w:t>
            </w:r>
          </w:p>
        </w:tc>
        <w:tc>
          <w:tcPr>
            <w:tcW w:w="1603" w:type="dxa"/>
            <w:vMerge/>
          </w:tcPr>
          <w:p w14:paraId="4005AAE7" w14:textId="77777777" w:rsidR="006266F5" w:rsidRPr="008B131A" w:rsidRDefault="006266F5" w:rsidP="005B3E76">
            <w:pPr>
              <w:rPr>
                <w:rFonts w:cs="Times New Roman"/>
                <w:lang w:val="nb-NO"/>
              </w:rPr>
            </w:pPr>
          </w:p>
        </w:tc>
        <w:tc>
          <w:tcPr>
            <w:tcW w:w="1350" w:type="dxa"/>
            <w:vMerge/>
          </w:tcPr>
          <w:p w14:paraId="10F77F80" w14:textId="1EEE88E0" w:rsidR="006266F5" w:rsidRPr="008B131A" w:rsidRDefault="006266F5" w:rsidP="005B3E76">
            <w:pPr>
              <w:rPr>
                <w:rFonts w:cs="Times New Roman"/>
                <w:lang w:val="nb-NO"/>
              </w:rPr>
            </w:pPr>
          </w:p>
        </w:tc>
        <w:tc>
          <w:tcPr>
            <w:tcW w:w="1266" w:type="dxa"/>
            <w:vMerge/>
          </w:tcPr>
          <w:p w14:paraId="01E30B80" w14:textId="77777777" w:rsidR="006266F5" w:rsidRPr="008B131A" w:rsidRDefault="006266F5" w:rsidP="005B3E76">
            <w:pPr>
              <w:rPr>
                <w:rFonts w:cs="Times New Roman"/>
                <w:lang w:val="nb-NO"/>
              </w:rPr>
            </w:pPr>
          </w:p>
        </w:tc>
        <w:tc>
          <w:tcPr>
            <w:tcW w:w="2416" w:type="dxa"/>
            <w:vMerge/>
          </w:tcPr>
          <w:p w14:paraId="7E3CD13D" w14:textId="77777777" w:rsidR="006266F5" w:rsidRPr="008B131A" w:rsidRDefault="006266F5" w:rsidP="005B3E76">
            <w:pPr>
              <w:rPr>
                <w:rFonts w:cs="Times New Roman"/>
                <w:lang w:val="nb-NO"/>
              </w:rPr>
            </w:pPr>
          </w:p>
        </w:tc>
      </w:tr>
      <w:tr w:rsidR="006266F5" w:rsidRPr="00F21B6F" w14:paraId="163BEE28" w14:textId="77777777" w:rsidTr="006266F5">
        <w:tc>
          <w:tcPr>
            <w:tcW w:w="3795" w:type="dxa"/>
          </w:tcPr>
          <w:p w14:paraId="2C7CFD34" w14:textId="05B2CEE7" w:rsidR="006266F5" w:rsidRPr="008B131A" w:rsidRDefault="00F21B6F" w:rsidP="005B3E76">
            <w:pPr>
              <w:rPr>
                <w:rFonts w:cs="Times New Roman"/>
                <w:lang w:val="nb-NO"/>
              </w:rPr>
            </w:pPr>
            <w:r w:rsidRPr="00F21B6F">
              <w:rPr>
                <w:rFonts w:cs="Times New Roman"/>
                <w:lang w:val="nl-NL"/>
              </w:rPr>
              <w:t>Atrieve Vasculaire Snare™-kit</w:t>
            </w:r>
            <w:r w:rsidR="006266F5">
              <w:rPr>
                <w:rFonts w:cs="Times New Roman"/>
                <w:lang w:val="nl-NL"/>
              </w:rPr>
              <w:t>, 4-8 mm diameter x 175 cm snare, 3.2F x 150 cm katheter</w:t>
            </w:r>
          </w:p>
        </w:tc>
        <w:tc>
          <w:tcPr>
            <w:tcW w:w="1603" w:type="dxa"/>
            <w:vMerge/>
          </w:tcPr>
          <w:p w14:paraId="796C4314" w14:textId="77777777" w:rsidR="006266F5" w:rsidRPr="008B131A" w:rsidRDefault="006266F5" w:rsidP="005B3E76">
            <w:pPr>
              <w:rPr>
                <w:rFonts w:cs="Times New Roman"/>
                <w:lang w:val="nb-NO"/>
              </w:rPr>
            </w:pPr>
          </w:p>
        </w:tc>
        <w:tc>
          <w:tcPr>
            <w:tcW w:w="1350" w:type="dxa"/>
            <w:vMerge/>
          </w:tcPr>
          <w:p w14:paraId="520A7E25" w14:textId="5F41C696" w:rsidR="006266F5" w:rsidRPr="008B131A" w:rsidRDefault="006266F5" w:rsidP="005B3E76">
            <w:pPr>
              <w:rPr>
                <w:rFonts w:cs="Times New Roman"/>
                <w:lang w:val="nb-NO"/>
              </w:rPr>
            </w:pPr>
          </w:p>
        </w:tc>
        <w:tc>
          <w:tcPr>
            <w:tcW w:w="1266" w:type="dxa"/>
            <w:vMerge/>
          </w:tcPr>
          <w:p w14:paraId="77962B81" w14:textId="77777777" w:rsidR="006266F5" w:rsidRPr="008B131A" w:rsidRDefault="006266F5" w:rsidP="005B3E76">
            <w:pPr>
              <w:rPr>
                <w:rFonts w:cs="Times New Roman"/>
                <w:lang w:val="nb-NO"/>
              </w:rPr>
            </w:pPr>
          </w:p>
        </w:tc>
        <w:tc>
          <w:tcPr>
            <w:tcW w:w="2416" w:type="dxa"/>
            <w:vMerge/>
          </w:tcPr>
          <w:p w14:paraId="570FDA70" w14:textId="77777777" w:rsidR="006266F5" w:rsidRPr="008B131A" w:rsidRDefault="006266F5" w:rsidP="005B3E76">
            <w:pPr>
              <w:rPr>
                <w:rFonts w:cs="Times New Roman"/>
                <w:lang w:val="nb-NO"/>
              </w:rPr>
            </w:pPr>
          </w:p>
        </w:tc>
      </w:tr>
    </w:tbl>
    <w:p w14:paraId="2DAE4D4B" w14:textId="77777777" w:rsidR="00AA2E04" w:rsidRPr="008B131A" w:rsidRDefault="00AA2E04" w:rsidP="00AA3694">
      <w:pPr>
        <w:pStyle w:val="Heading1"/>
        <w:numPr>
          <w:ilvl w:val="0"/>
          <w:numId w:val="0"/>
        </w:numPr>
        <w:rPr>
          <w:rFonts w:cs="Times New Roman"/>
          <w:lang w:val="nb-NO"/>
        </w:rPr>
      </w:pPr>
    </w:p>
    <w:p w14:paraId="4B18C73D" w14:textId="72C79B52" w:rsidR="009855C3" w:rsidRPr="008B131A" w:rsidRDefault="009855C3" w:rsidP="00042B91">
      <w:pPr>
        <w:pStyle w:val="Heading1"/>
        <w:rPr>
          <w:rFonts w:cs="Times New Roman"/>
          <w:lang w:val="nb-NO"/>
        </w:rPr>
      </w:pPr>
      <w:bookmarkStart w:id="3" w:name="_Toc222741277"/>
      <w:r>
        <w:rPr>
          <w:rFonts w:cs="Times New Roman"/>
          <w:bCs/>
          <w:lang w:val="nl-NL"/>
        </w:rPr>
        <w:t>Jaar van eerste uitgifte van het (CE) certificaat voor het hulpmiddel:</w:t>
      </w:r>
      <w:bookmarkEnd w:id="3"/>
      <w:r>
        <w:rPr>
          <w:rFonts w:cs="Times New Roman"/>
          <w:bCs/>
          <w:lang w:val="nl-NL"/>
        </w:rPr>
        <w:t xml:space="preserve"> </w:t>
      </w:r>
    </w:p>
    <w:p w14:paraId="76BA3EF9" w14:textId="1469CA1B" w:rsidR="00713233" w:rsidRPr="008B131A" w:rsidRDefault="00780A59" w:rsidP="00E714ED">
      <w:pPr>
        <w:spacing w:after="0" w:afterAutospacing="0" w:line="240" w:lineRule="auto"/>
        <w:ind w:left="792"/>
        <w:rPr>
          <w:rFonts w:cs="Times New Roman"/>
          <w:lang w:val="nl-NL"/>
        </w:rPr>
      </w:pPr>
      <w:r>
        <w:rPr>
          <w:rFonts w:cs="Times New Roman"/>
          <w:lang w:val="nl-NL"/>
        </w:rPr>
        <w:t xml:space="preserve">De Atrieve </w:t>
      </w:r>
      <w:r w:rsidR="00F21B6F" w:rsidRPr="00F21B6F">
        <w:rPr>
          <w:rFonts w:cs="Times New Roman"/>
          <w:lang w:val="nl-NL"/>
        </w:rPr>
        <w:t>Vasculaire</w:t>
      </w:r>
      <w:r w:rsidR="00F21B6F" w:rsidRPr="00F21B6F" w:rsidDel="00F21B6F">
        <w:rPr>
          <w:rFonts w:cs="Times New Roman"/>
          <w:lang w:val="nl-NL"/>
        </w:rPr>
        <w:t xml:space="preserve"> </w:t>
      </w:r>
      <w:r w:rsidR="007F04F5">
        <w:rPr>
          <w:rFonts w:cs="Times New Roman"/>
          <w:lang w:val="nl-NL"/>
        </w:rPr>
        <w:t>Snare-kit</w:t>
      </w:r>
      <w:r>
        <w:rPr>
          <w:rFonts w:cs="Times New Roman"/>
          <w:lang w:val="nl-NL"/>
        </w:rPr>
        <w:t xml:space="preserve"> ontving in 2010 het CE-keurmerk (CE 608298) onder de MDD </w:t>
      </w:r>
    </w:p>
    <w:p w14:paraId="6B157940" w14:textId="77777777" w:rsidR="00FE78AD" w:rsidRPr="008B131A" w:rsidRDefault="00FE78AD" w:rsidP="00E714ED">
      <w:pPr>
        <w:spacing w:after="0" w:afterAutospacing="0" w:line="240" w:lineRule="auto"/>
        <w:ind w:left="792"/>
        <w:rPr>
          <w:rFonts w:cs="Times New Roman"/>
          <w:lang w:val="nl-NL"/>
        </w:rPr>
      </w:pPr>
    </w:p>
    <w:p w14:paraId="10A04209" w14:textId="75FC9DEC" w:rsidR="009855C3" w:rsidRPr="00BC3E84" w:rsidRDefault="009855C3" w:rsidP="00042B91">
      <w:pPr>
        <w:pStyle w:val="Heading1"/>
        <w:rPr>
          <w:rFonts w:cs="Times New Roman"/>
          <w:lang w:val="de-DE"/>
        </w:rPr>
      </w:pPr>
      <w:r>
        <w:rPr>
          <w:rFonts w:cs="Times New Roman"/>
          <w:bCs/>
          <w:lang w:val="nl-NL"/>
        </w:rPr>
        <w:lastRenderedPageBreak/>
        <w:t xml:space="preserve"> </w:t>
      </w:r>
      <w:bookmarkStart w:id="4" w:name="_Toc222741278"/>
      <w:r>
        <w:rPr>
          <w:rFonts w:cs="Times New Roman"/>
          <w:bCs/>
          <w:lang w:val="nl-NL"/>
        </w:rPr>
        <w:t>Naam, adres en SRN van de fabrikant:</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nl-NL"/>
              </w:rPr>
              <w:t>Gegevens van de fabrikant</w:t>
            </w:r>
          </w:p>
        </w:tc>
      </w:tr>
      <w:tr w:rsidR="00493B5B" w:rsidRPr="009461CC" w14:paraId="49F686BA" w14:textId="77777777" w:rsidTr="00272DEA">
        <w:trPr>
          <w:trHeight w:val="489"/>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nl-NL"/>
              </w:rPr>
              <w:t>Fabrikant SRN: US-MF-000002324</w:t>
            </w:r>
          </w:p>
        </w:tc>
        <w:tc>
          <w:tcPr>
            <w:tcW w:w="2759" w:type="pct"/>
          </w:tcPr>
          <w:p w14:paraId="61E93080" w14:textId="77777777" w:rsidR="00493B5B" w:rsidRPr="009461CC" w:rsidRDefault="00493B5B" w:rsidP="00AA3694">
            <w:pPr>
              <w:spacing w:after="0" w:afterAutospacing="0"/>
              <w:rPr>
                <w:szCs w:val="24"/>
              </w:rPr>
            </w:pPr>
            <w:r w:rsidRPr="008B131A">
              <w:rPr>
                <w:szCs w:val="24"/>
              </w:rPr>
              <w:t>Naam: Argon Medical Devices, Inc.</w:t>
            </w:r>
          </w:p>
        </w:tc>
      </w:tr>
      <w:tr w:rsidR="00493B5B" w:rsidRPr="009461CC" w14:paraId="03F91594" w14:textId="77777777" w:rsidTr="00272DEA">
        <w:trPr>
          <w:trHeight w:val="525"/>
        </w:trPr>
        <w:tc>
          <w:tcPr>
            <w:tcW w:w="2241" w:type="pct"/>
          </w:tcPr>
          <w:p w14:paraId="119B5A73" w14:textId="77777777" w:rsidR="00493B5B" w:rsidRPr="008B131A" w:rsidRDefault="00493B5B" w:rsidP="008B131A">
            <w:pPr>
              <w:spacing w:after="0" w:afterAutospacing="0"/>
              <w:rPr>
                <w:spacing w:val="-2"/>
                <w:szCs w:val="24"/>
                <w:lang w:val="nl-NL"/>
              </w:rPr>
            </w:pPr>
            <w:r>
              <w:rPr>
                <w:szCs w:val="24"/>
                <w:lang w:val="nl-NL"/>
              </w:rPr>
              <w:t>Voornaam en achternaam Contactpersoon: Scott 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nl-NL"/>
              </w:rPr>
              <w:t>E-mailadres:</w:t>
            </w:r>
            <w:r>
              <w:rPr>
                <w:sz w:val="22"/>
                <w:lang w:val="nl-NL"/>
              </w:rPr>
              <w:t xml:space="preserve"> </w:t>
            </w:r>
            <w:hyperlink r:id="rId7" w:history="1">
              <w:r>
                <w:rPr>
                  <w:color w:val="0563C1"/>
                  <w:szCs w:val="24"/>
                  <w:u w:val="single"/>
                  <w:lang w:val="nl-NL"/>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nl-NL"/>
              </w:rPr>
              <w:t>Telefoonnummer: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sidRPr="008B131A">
              <w:rPr>
                <w:szCs w:val="24"/>
              </w:rPr>
              <w:t>Adres:</w:t>
            </w:r>
          </w:p>
          <w:p w14:paraId="041EA64B" w14:textId="77777777" w:rsidR="001533A4" w:rsidRPr="009461CC" w:rsidRDefault="001533A4" w:rsidP="009709B4">
            <w:pPr>
              <w:widowControl w:val="0"/>
              <w:autoSpaceDE w:val="0"/>
              <w:autoSpaceDN w:val="0"/>
              <w:spacing w:after="0" w:afterAutospacing="0"/>
              <w:rPr>
                <w:spacing w:val="-2"/>
                <w:szCs w:val="24"/>
              </w:rPr>
            </w:pPr>
            <w:r w:rsidRPr="008B131A">
              <w:rPr>
                <w:szCs w:val="24"/>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sidRPr="008B131A">
              <w:rPr>
                <w:szCs w:val="24"/>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nl-NL"/>
              </w:rPr>
              <w:t>USA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0619BF" w:rsidRDefault="00887E5D" w:rsidP="00AA3694">
      <w:pPr>
        <w:pStyle w:val="Heading1"/>
        <w:rPr>
          <w:rFonts w:cs="Times New Roman"/>
          <w:lang w:val="de-DE"/>
        </w:rPr>
      </w:pPr>
      <w:bookmarkStart w:id="5" w:name="_Toc222741279"/>
      <w:r>
        <w:rPr>
          <w:rFonts w:cs="Times New Roman"/>
          <w:bCs/>
          <w:lang w:val="nl-NL"/>
        </w:rPr>
        <w:t>Naam en SRN van de gemachtigde vertegenwoordiger:</w:t>
      </w:r>
      <w:bookmarkEnd w:id="5"/>
    </w:p>
    <w:tbl>
      <w:tblPr>
        <w:tblStyle w:val="TableGrid2"/>
        <w:tblW w:w="5000" w:type="pct"/>
        <w:tblLook w:val="04A0" w:firstRow="1" w:lastRow="0" w:firstColumn="1" w:lastColumn="0" w:noHBand="0" w:noVBand="1"/>
      </w:tblPr>
      <w:tblGrid>
        <w:gridCol w:w="4675"/>
        <w:gridCol w:w="5755"/>
      </w:tblGrid>
      <w:tr w:rsidR="008A210D" w:rsidRPr="00BD0841" w14:paraId="5389928F" w14:textId="77777777" w:rsidTr="00272DEA">
        <w:tc>
          <w:tcPr>
            <w:tcW w:w="5000" w:type="pct"/>
            <w:gridSpan w:val="2"/>
            <w:shd w:val="clear" w:color="auto" w:fill="D9D9D9" w:themeFill="background1" w:themeFillShade="D9"/>
          </w:tcPr>
          <w:p w14:paraId="7FB4BB7C" w14:textId="77777777" w:rsidR="008A210D" w:rsidRPr="000619BF" w:rsidRDefault="008A210D" w:rsidP="008A210D">
            <w:pPr>
              <w:spacing w:after="0" w:afterAutospacing="0"/>
              <w:jc w:val="center"/>
              <w:rPr>
                <w:b/>
                <w:bCs/>
                <w:szCs w:val="24"/>
                <w:lang w:val="de-DE"/>
              </w:rPr>
            </w:pPr>
            <w:r>
              <w:rPr>
                <w:b/>
                <w:bCs/>
                <w:szCs w:val="24"/>
                <w:lang w:val="nl-NL"/>
              </w:rPr>
              <w:t>Informatie over de gemachtigde vertegenwoordiger</w:t>
            </w:r>
          </w:p>
        </w:tc>
      </w:tr>
      <w:tr w:rsidR="008A210D" w:rsidRPr="009461CC"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nl-NL"/>
              </w:rPr>
              <w:t>SRN: NL-AR-000000116</w:t>
            </w:r>
          </w:p>
        </w:tc>
        <w:tc>
          <w:tcPr>
            <w:tcW w:w="2759" w:type="pct"/>
          </w:tcPr>
          <w:p w14:paraId="25BF63FC" w14:textId="77777777" w:rsidR="008A210D" w:rsidRPr="000619BF" w:rsidRDefault="008A210D" w:rsidP="008A210D">
            <w:pPr>
              <w:widowControl w:val="0"/>
              <w:autoSpaceDE w:val="0"/>
              <w:autoSpaceDN w:val="0"/>
              <w:spacing w:before="119" w:after="0" w:afterAutospacing="0"/>
              <w:rPr>
                <w:bCs/>
                <w:szCs w:val="24"/>
                <w:lang w:val="de-DE"/>
              </w:rPr>
            </w:pPr>
            <w:r>
              <w:rPr>
                <w:szCs w:val="24"/>
                <w:lang w:val="nl-NL"/>
              </w:rPr>
              <w:t>Naam van de gemachtigde</w:t>
            </w:r>
            <w:r>
              <w:rPr>
                <w:b/>
                <w:bCs/>
                <w:szCs w:val="24"/>
                <w:lang w:val="nl-NL"/>
              </w:rPr>
              <w:t xml:space="preserve"> </w:t>
            </w:r>
            <w:r>
              <w:rPr>
                <w:szCs w:val="24"/>
                <w:lang w:val="nl-NL"/>
              </w:rPr>
              <w:t>vertegenwoordiger:</w:t>
            </w:r>
          </w:p>
          <w:p w14:paraId="3A6B7B5C" w14:textId="77777777" w:rsidR="008A210D" w:rsidRPr="009461CC" w:rsidRDefault="008A210D" w:rsidP="008A210D">
            <w:pPr>
              <w:spacing w:after="0" w:afterAutospacing="0"/>
              <w:rPr>
                <w:szCs w:val="24"/>
              </w:rPr>
            </w:pPr>
            <w:r>
              <w:rPr>
                <w:szCs w:val="24"/>
                <w:lang w:val="nl-NL"/>
              </w:rPr>
              <w:t>Emergo Europe</w:t>
            </w:r>
          </w:p>
        </w:tc>
      </w:tr>
      <w:tr w:rsidR="008A210D" w:rsidRPr="00BD0841" w14:paraId="7AE34B46" w14:textId="77777777" w:rsidTr="00272DEA">
        <w:trPr>
          <w:trHeight w:val="525"/>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nl-NL"/>
              </w:rPr>
              <w:t>Contactinformatie: Vigilance Team</w:t>
            </w:r>
          </w:p>
        </w:tc>
        <w:tc>
          <w:tcPr>
            <w:tcW w:w="2759" w:type="pct"/>
          </w:tcPr>
          <w:p w14:paraId="2A3CD5D0" w14:textId="77777777" w:rsidR="008A210D" w:rsidRPr="000619BF" w:rsidRDefault="008A210D" w:rsidP="008A210D">
            <w:pPr>
              <w:widowControl w:val="0"/>
              <w:autoSpaceDE w:val="0"/>
              <w:autoSpaceDN w:val="0"/>
              <w:spacing w:before="39" w:after="0" w:afterAutospacing="0"/>
              <w:rPr>
                <w:spacing w:val="-2"/>
                <w:szCs w:val="24"/>
                <w:lang w:val="pt-BR"/>
              </w:rPr>
            </w:pPr>
            <w:r>
              <w:rPr>
                <w:szCs w:val="24"/>
                <w:lang w:val="nl-NL"/>
              </w:rPr>
              <w:t xml:space="preserve">E-mailadres: </w:t>
            </w:r>
            <w:hyperlink r:id="rId8" w:history="1">
              <w:r>
                <w:rPr>
                  <w:color w:val="0563C1"/>
                  <w:szCs w:val="24"/>
                  <w:u w:val="single"/>
                  <w:lang w:val="nl-NL"/>
                </w:rPr>
                <w:t>EmergoVigilance@ul.com</w:t>
              </w:r>
            </w:hyperlink>
          </w:p>
        </w:tc>
      </w:tr>
      <w:tr w:rsidR="008A210D" w:rsidRPr="00F21B6F"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nl-NL"/>
              </w:rPr>
              <w:t>Telefoonnummer: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nl-NL"/>
              </w:rPr>
              <w:t>Fax:+31 (0)70 346 7299</w:t>
            </w:r>
          </w:p>
        </w:tc>
        <w:tc>
          <w:tcPr>
            <w:tcW w:w="2759" w:type="pct"/>
          </w:tcPr>
          <w:p w14:paraId="2F414254" w14:textId="77777777" w:rsidR="008A210D" w:rsidRPr="000619BF" w:rsidRDefault="008A210D" w:rsidP="009709B4">
            <w:pPr>
              <w:widowControl w:val="0"/>
              <w:autoSpaceDE w:val="0"/>
              <w:autoSpaceDN w:val="0"/>
              <w:spacing w:after="0" w:afterAutospacing="0"/>
              <w:rPr>
                <w:spacing w:val="-2"/>
                <w:szCs w:val="24"/>
                <w:lang w:val="de-DE"/>
              </w:rPr>
            </w:pPr>
            <w:r>
              <w:rPr>
                <w:szCs w:val="24"/>
                <w:lang w:val="nl-NL"/>
              </w:rPr>
              <w:t>Adres</w:t>
            </w:r>
          </w:p>
          <w:p w14:paraId="759A4A48" w14:textId="397B37B0" w:rsidR="008A210D" w:rsidRPr="000619BF" w:rsidRDefault="008A210D" w:rsidP="009709B4">
            <w:pPr>
              <w:widowControl w:val="0"/>
              <w:autoSpaceDE w:val="0"/>
              <w:autoSpaceDN w:val="0"/>
              <w:spacing w:after="0" w:afterAutospacing="0"/>
              <w:rPr>
                <w:spacing w:val="-2"/>
                <w:szCs w:val="24"/>
                <w:lang w:val="de-DE"/>
              </w:rPr>
            </w:pPr>
            <w:r>
              <w:rPr>
                <w:szCs w:val="24"/>
                <w:lang w:val="nl-NL"/>
              </w:rPr>
              <w:t>Straatnaam en huisnummer:</w:t>
            </w:r>
            <w:r w:rsidR="00D730BE">
              <w:rPr>
                <w:szCs w:val="24"/>
                <w:lang w:val="nl-NL"/>
              </w:rPr>
              <w:t xml:space="preserve"> </w:t>
            </w:r>
            <w:r w:rsidR="00D730BE">
              <w:rPr>
                <w:sz w:val="22"/>
                <w:lang w:val="nl-NL"/>
              </w:rPr>
              <w:t>60</w:t>
            </w:r>
            <w:r>
              <w:rPr>
                <w:szCs w:val="24"/>
                <w:lang w:val="nl-NL"/>
              </w:rPr>
              <w:t xml:space="preserve"> Westervoortsedijk</w:t>
            </w:r>
            <w:r>
              <w:rPr>
                <w:sz w:val="22"/>
                <w:lang w:val="nl-NL"/>
              </w:rPr>
              <w:t xml:space="preserve"> </w:t>
            </w:r>
          </w:p>
          <w:p w14:paraId="3B20AE15" w14:textId="77777777" w:rsidR="008A210D" w:rsidRPr="008B131A" w:rsidRDefault="008A210D" w:rsidP="009709B4">
            <w:pPr>
              <w:widowControl w:val="0"/>
              <w:autoSpaceDE w:val="0"/>
              <w:autoSpaceDN w:val="0"/>
              <w:spacing w:after="0" w:afterAutospacing="0"/>
              <w:rPr>
                <w:spacing w:val="-2"/>
                <w:szCs w:val="24"/>
                <w:lang w:val="de-DE"/>
              </w:rPr>
            </w:pPr>
            <w:r>
              <w:rPr>
                <w:szCs w:val="24"/>
                <w:lang w:val="nl-NL"/>
              </w:rPr>
              <w:t>Stad: Arnhem</w:t>
            </w:r>
          </w:p>
          <w:p w14:paraId="6FC33444" w14:textId="77777777" w:rsidR="008A210D" w:rsidRPr="008B131A" w:rsidRDefault="008A210D" w:rsidP="009709B4">
            <w:pPr>
              <w:widowControl w:val="0"/>
              <w:autoSpaceDE w:val="0"/>
              <w:autoSpaceDN w:val="0"/>
              <w:spacing w:after="0" w:afterAutospacing="0"/>
              <w:rPr>
                <w:spacing w:val="-2"/>
                <w:szCs w:val="24"/>
                <w:lang w:val="nb-NO"/>
              </w:rPr>
            </w:pPr>
            <w:r>
              <w:rPr>
                <w:szCs w:val="24"/>
                <w:lang w:val="nl-NL"/>
              </w:rPr>
              <w:t>Postcode: 6827 AT</w:t>
            </w:r>
          </w:p>
          <w:p w14:paraId="2EB91056" w14:textId="77777777" w:rsidR="008A210D" w:rsidRPr="008B131A" w:rsidRDefault="008A210D" w:rsidP="009709B4">
            <w:pPr>
              <w:widowControl w:val="0"/>
              <w:autoSpaceDE w:val="0"/>
              <w:autoSpaceDN w:val="0"/>
              <w:spacing w:after="0" w:afterAutospacing="0"/>
              <w:rPr>
                <w:spacing w:val="-2"/>
                <w:szCs w:val="24"/>
                <w:lang w:val="nb-NO"/>
              </w:rPr>
            </w:pPr>
            <w:r>
              <w:rPr>
                <w:szCs w:val="24"/>
                <w:lang w:val="nl-NL"/>
              </w:rPr>
              <w:t>Land: Nederland</w:t>
            </w:r>
          </w:p>
        </w:tc>
      </w:tr>
    </w:tbl>
    <w:p w14:paraId="1624A296" w14:textId="77777777" w:rsidR="009855C3" w:rsidRPr="008B131A" w:rsidRDefault="009855C3" w:rsidP="00042B91">
      <w:pPr>
        <w:spacing w:after="0" w:afterAutospacing="0" w:line="240" w:lineRule="auto"/>
        <w:ind w:left="1440"/>
        <w:rPr>
          <w:rFonts w:cs="Times New Roman"/>
          <w:lang w:val="nb-NO"/>
        </w:rPr>
      </w:pPr>
    </w:p>
    <w:p w14:paraId="6CE36BA3" w14:textId="292AEF0B" w:rsidR="006517A0" w:rsidRPr="000619BF" w:rsidRDefault="009855C3" w:rsidP="003074B3">
      <w:pPr>
        <w:pStyle w:val="Heading1"/>
        <w:rPr>
          <w:rFonts w:cs="Times New Roman"/>
          <w:lang w:val="de-DE"/>
        </w:rPr>
      </w:pPr>
      <w:bookmarkStart w:id="6" w:name="_Toc222741280"/>
      <w:r>
        <w:rPr>
          <w:rFonts w:cs="Times New Roman"/>
          <w:bCs/>
          <w:lang w:val="nl-NL"/>
        </w:rPr>
        <w:t>NB's naam en enig identificatienummer:</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7015"/>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nl-NL"/>
              </w:rPr>
              <w:t>Aangemelde instantie</w:t>
            </w:r>
          </w:p>
        </w:tc>
      </w:tr>
      <w:tr w:rsidR="00272DEA" w:rsidRPr="009461CC" w14:paraId="0B814508" w14:textId="77777777" w:rsidTr="008B131A">
        <w:trPr>
          <w:trHeight w:val="269"/>
          <w:jc w:val="center"/>
        </w:trPr>
        <w:tc>
          <w:tcPr>
            <w:tcW w:w="1637"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nl-NL"/>
              </w:rPr>
              <w:t>Naam:</w:t>
            </w:r>
          </w:p>
        </w:tc>
        <w:tc>
          <w:tcPr>
            <w:tcW w:w="3363" w:type="pct"/>
            <w:vAlign w:val="center"/>
          </w:tcPr>
          <w:p w14:paraId="5863E627" w14:textId="77777777" w:rsidR="003074B3" w:rsidRPr="009461CC" w:rsidRDefault="003074B3" w:rsidP="00D730BE">
            <w:pPr>
              <w:suppressAutoHyphens/>
              <w:spacing w:after="0" w:afterAutospacing="0" w:line="240" w:lineRule="exact"/>
              <w:rPr>
                <w:rFonts w:eastAsia="Times New Roman" w:cs="Times New Roman"/>
                <w:bCs/>
                <w:szCs w:val="24"/>
              </w:rPr>
            </w:pPr>
            <w:r w:rsidRPr="008B131A">
              <w:rPr>
                <w:rFonts w:cs="Times New Roman"/>
                <w:szCs w:val="24"/>
              </w:rPr>
              <w:t>The British Standards Institution (BSI) Group the Netherlands B.V.</w:t>
            </w:r>
          </w:p>
        </w:tc>
      </w:tr>
      <w:tr w:rsidR="003074B3" w:rsidRPr="007D723C" w14:paraId="65281175" w14:textId="77777777" w:rsidTr="008B131A">
        <w:trPr>
          <w:trHeight w:val="728"/>
          <w:jc w:val="center"/>
        </w:trPr>
        <w:tc>
          <w:tcPr>
            <w:tcW w:w="1637"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nl-NL"/>
              </w:rPr>
              <w:t>Adres:</w:t>
            </w:r>
          </w:p>
        </w:tc>
        <w:tc>
          <w:tcPr>
            <w:tcW w:w="3363" w:type="pct"/>
          </w:tcPr>
          <w:p w14:paraId="727CFF1E" w14:textId="77777777" w:rsidR="003074B3" w:rsidRPr="008B131A" w:rsidRDefault="003074B3" w:rsidP="00B066F7">
            <w:pPr>
              <w:suppressAutoHyphens/>
              <w:spacing w:after="0" w:afterAutospacing="0" w:line="240" w:lineRule="exact"/>
              <w:contextualSpacing/>
              <w:rPr>
                <w:rFonts w:eastAsia="Times New Roman" w:cs="Times New Roman"/>
                <w:bCs/>
                <w:szCs w:val="24"/>
                <w:lang w:val="nl-NL"/>
              </w:rPr>
            </w:pPr>
            <w:r>
              <w:rPr>
                <w:rFonts w:eastAsia="Times New Roman" w:cs="Times New Roman"/>
                <w:szCs w:val="24"/>
                <w:lang w:val="nl-NL"/>
              </w:rPr>
              <w:t>John M. Keynesplein 9</w:t>
            </w:r>
          </w:p>
          <w:p w14:paraId="4054093A" w14:textId="77777777" w:rsidR="003074B3" w:rsidRPr="008B131A" w:rsidRDefault="003074B3" w:rsidP="00B066F7">
            <w:pPr>
              <w:suppressAutoHyphens/>
              <w:spacing w:after="0" w:afterAutospacing="0" w:line="240" w:lineRule="exact"/>
              <w:contextualSpacing/>
              <w:rPr>
                <w:rFonts w:eastAsia="Times New Roman" w:cs="Times New Roman"/>
                <w:bCs/>
                <w:szCs w:val="24"/>
                <w:lang w:val="nl-NL"/>
              </w:rPr>
            </w:pPr>
            <w:r>
              <w:rPr>
                <w:rFonts w:eastAsia="Times New Roman" w:cs="Times New Roman"/>
                <w:szCs w:val="24"/>
                <w:lang w:val="nl-NL"/>
              </w:rPr>
              <w:t>1066 EP Amsterdam</w:t>
            </w:r>
          </w:p>
          <w:p w14:paraId="72F2BC20" w14:textId="77777777" w:rsidR="003074B3" w:rsidRPr="008B131A" w:rsidRDefault="003074B3" w:rsidP="00B066F7">
            <w:pPr>
              <w:suppressAutoHyphens/>
              <w:spacing w:after="0" w:afterAutospacing="0" w:line="240" w:lineRule="exact"/>
              <w:contextualSpacing/>
              <w:rPr>
                <w:rFonts w:eastAsia="Times New Roman" w:cs="Times New Roman"/>
                <w:bCs/>
                <w:szCs w:val="24"/>
                <w:lang w:val="nl-NL"/>
              </w:rPr>
            </w:pPr>
            <w:r>
              <w:rPr>
                <w:rFonts w:eastAsia="Times New Roman" w:cs="Times New Roman"/>
                <w:szCs w:val="24"/>
                <w:lang w:val="nl-NL"/>
              </w:rPr>
              <w:t xml:space="preserve"> Nederland</w:t>
            </w:r>
          </w:p>
        </w:tc>
      </w:tr>
      <w:tr w:rsidR="003074B3" w:rsidRPr="009461CC" w14:paraId="7A858549" w14:textId="77777777" w:rsidTr="008B131A">
        <w:trPr>
          <w:trHeight w:val="351"/>
          <w:jc w:val="center"/>
        </w:trPr>
        <w:tc>
          <w:tcPr>
            <w:tcW w:w="1637"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nl-NL"/>
              </w:rPr>
              <w:t>Website:</w:t>
            </w:r>
          </w:p>
        </w:tc>
        <w:tc>
          <w:tcPr>
            <w:tcW w:w="3363"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9" w:history="1">
              <w:r>
                <w:rPr>
                  <w:rFonts w:eastAsia="Times New Roman" w:cs="Times New Roman"/>
                  <w:color w:val="0000FF"/>
                  <w:szCs w:val="24"/>
                  <w:u w:val="single"/>
                  <w:lang w:val="nl-NL"/>
                </w:rPr>
                <w:t>www.bsigroup.com</w:t>
              </w:r>
            </w:hyperlink>
            <w:r>
              <w:rPr>
                <w:rFonts w:eastAsia="Times New Roman" w:cs="Times New Roman"/>
                <w:szCs w:val="24"/>
                <w:lang w:val="nl-NL"/>
              </w:rPr>
              <w:t xml:space="preserve"> </w:t>
            </w:r>
          </w:p>
        </w:tc>
      </w:tr>
      <w:tr w:rsidR="003074B3" w:rsidRPr="009461CC" w14:paraId="242654B6" w14:textId="77777777" w:rsidTr="008B131A">
        <w:trPr>
          <w:trHeight w:val="251"/>
          <w:jc w:val="center"/>
        </w:trPr>
        <w:tc>
          <w:tcPr>
            <w:tcW w:w="1637"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nl-NL"/>
              </w:rPr>
              <w:t>Telefoon:</w:t>
            </w:r>
          </w:p>
        </w:tc>
        <w:tc>
          <w:tcPr>
            <w:tcW w:w="3363"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nl-NL"/>
              </w:rPr>
              <w:t>+31 (0)20 346 07 80</w:t>
            </w:r>
          </w:p>
        </w:tc>
      </w:tr>
      <w:tr w:rsidR="003074B3" w:rsidRPr="009461CC" w14:paraId="3445789F" w14:textId="77777777" w:rsidTr="008B131A">
        <w:trPr>
          <w:trHeight w:val="251"/>
          <w:jc w:val="center"/>
        </w:trPr>
        <w:tc>
          <w:tcPr>
            <w:tcW w:w="1637"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nl-NL"/>
              </w:rPr>
              <w:t>Fax:</w:t>
            </w:r>
          </w:p>
        </w:tc>
        <w:tc>
          <w:tcPr>
            <w:tcW w:w="3363"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nl-NL"/>
              </w:rPr>
              <w:t>+31 (0)20 346 07 81</w:t>
            </w:r>
          </w:p>
        </w:tc>
      </w:tr>
      <w:tr w:rsidR="003074B3" w:rsidRPr="009461CC" w14:paraId="108563A6" w14:textId="77777777" w:rsidTr="008B131A">
        <w:trPr>
          <w:trHeight w:val="77"/>
          <w:jc w:val="center"/>
        </w:trPr>
        <w:tc>
          <w:tcPr>
            <w:tcW w:w="1637"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nl-NL"/>
              </w:rPr>
              <w:t>Nummer aangemelde instantie:</w:t>
            </w:r>
            <w:r>
              <w:rPr>
                <w:rFonts w:eastAsia="Times New Roman" w:cs="Times New Roman"/>
                <w:szCs w:val="24"/>
                <w:lang w:val="nl-NL"/>
              </w:rPr>
              <w:tab/>
            </w:r>
          </w:p>
        </w:tc>
        <w:tc>
          <w:tcPr>
            <w:tcW w:w="3363"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nl-NL"/>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14707759" w:rsidR="00AA2E04" w:rsidRPr="008B131A" w:rsidRDefault="00F21B6F" w:rsidP="00F67A0E">
      <w:pPr>
        <w:pStyle w:val="Heading1"/>
        <w:numPr>
          <w:ilvl w:val="0"/>
          <w:numId w:val="2"/>
        </w:numPr>
        <w:rPr>
          <w:rFonts w:cs="Times New Roman"/>
          <w:lang w:val="nb-NO"/>
        </w:rPr>
      </w:pPr>
      <w:bookmarkStart w:id="7" w:name="_Toc222741281"/>
      <w:r w:rsidRPr="00F21B6F">
        <w:rPr>
          <w:rFonts w:cs="Times New Roman"/>
          <w:bCs/>
          <w:lang w:val="nl-NL"/>
        </w:rPr>
        <w:t>Beoogd gebruik/doel van het hulpmiddel</w:t>
      </w:r>
      <w:bookmarkEnd w:id="7"/>
      <w:r w:rsidR="00AA2E04">
        <w:rPr>
          <w:rFonts w:cs="Times New Roman"/>
          <w:bCs/>
          <w:lang w:val="nl-NL"/>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nl-NL"/>
        </w:rPr>
        <w:t>Referenties:</w:t>
      </w:r>
    </w:p>
    <w:p w14:paraId="5CC3EE9B" w14:textId="1A780D49" w:rsidR="00042B91" w:rsidRPr="009461CC" w:rsidRDefault="00FE5B73" w:rsidP="00042B91">
      <w:pPr>
        <w:spacing w:after="0" w:afterAutospacing="0" w:line="240" w:lineRule="auto"/>
        <w:rPr>
          <w:rFonts w:cs="Times New Roman"/>
        </w:rPr>
      </w:pPr>
      <w:r>
        <w:rPr>
          <w:rFonts w:cs="Times New Roman"/>
          <w:lang w:val="nl-NL"/>
        </w:rPr>
        <w:t>Referentienummers: X9585730-0321-EU Rev A</w:t>
      </w:r>
    </w:p>
    <w:p w14:paraId="1254EE9F" w14:textId="77777777" w:rsidR="00FE5B73" w:rsidRPr="009461CC" w:rsidRDefault="00FE5B73" w:rsidP="00042B91">
      <w:pPr>
        <w:spacing w:after="0" w:afterAutospacing="0" w:line="240" w:lineRule="auto"/>
        <w:rPr>
          <w:rFonts w:cs="Times New Roman"/>
        </w:rPr>
      </w:pPr>
    </w:p>
    <w:p w14:paraId="39A6DB15" w14:textId="58ED6DAB" w:rsidR="006F0810" w:rsidRPr="009461CC" w:rsidRDefault="00B7112F" w:rsidP="00042B91">
      <w:pPr>
        <w:pStyle w:val="Heading1"/>
        <w:rPr>
          <w:rFonts w:cs="Times New Roman"/>
        </w:rPr>
      </w:pPr>
      <w:r>
        <w:rPr>
          <w:rFonts w:cs="Times New Roman"/>
          <w:bCs/>
          <w:lang w:val="nl-NL"/>
        </w:rPr>
        <w:t xml:space="preserve"> </w:t>
      </w:r>
      <w:bookmarkStart w:id="8" w:name="_Toc222741282"/>
      <w:r>
        <w:rPr>
          <w:rFonts w:cs="Times New Roman"/>
          <w:bCs/>
          <w:lang w:val="nl-NL"/>
        </w:rPr>
        <w:t>Beoogd doel/ beoogd gebruik</w:t>
      </w:r>
      <w:bookmarkEnd w:id="8"/>
    </w:p>
    <w:p w14:paraId="5F55F24F" w14:textId="20556298" w:rsidR="009B569A" w:rsidRPr="008B131A" w:rsidRDefault="00B82FB3" w:rsidP="00B82FB3">
      <w:pPr>
        <w:rPr>
          <w:rFonts w:cs="Times New Roman"/>
          <w:shd w:val="clear" w:color="auto" w:fill="FFFFFF"/>
          <w:lang w:val="nl-NL"/>
        </w:rPr>
      </w:pPr>
      <w:r>
        <w:rPr>
          <w:rFonts w:cs="Times New Roman"/>
          <w:shd w:val="clear" w:color="auto" w:fill="FFFFFF"/>
          <w:lang w:val="nl-NL"/>
        </w:rPr>
        <w:t>Bedoeld voor gebruik in het cardiovasculaire systeem of een hol orgaan om vreemde voorwerpen te verwijderen en te manipuleren.</w:t>
      </w:r>
    </w:p>
    <w:p w14:paraId="0540FB4C" w14:textId="6BE36C7A" w:rsidR="006F0810" w:rsidRPr="009461CC" w:rsidRDefault="006F0810" w:rsidP="00042B91">
      <w:pPr>
        <w:pStyle w:val="Heading1"/>
        <w:rPr>
          <w:rFonts w:cs="Times New Roman"/>
        </w:rPr>
      </w:pPr>
      <w:bookmarkStart w:id="9" w:name="_Toc222741283"/>
      <w:r>
        <w:rPr>
          <w:rFonts w:cs="Times New Roman"/>
          <w:bCs/>
          <w:lang w:val="nl-NL"/>
        </w:rPr>
        <w:t>Indicatie voor gebruik</w:t>
      </w:r>
      <w:bookmarkEnd w:id="9"/>
    </w:p>
    <w:p w14:paraId="24ADD508" w14:textId="77777777" w:rsidR="00235AAE" w:rsidRPr="000619BF" w:rsidRDefault="00235AAE" w:rsidP="00235AAE">
      <w:pPr>
        <w:widowControl w:val="0"/>
        <w:rPr>
          <w:rFonts w:cs="Times New Roman"/>
          <w:lang w:val="nl-NL"/>
        </w:rPr>
      </w:pPr>
      <w:r>
        <w:rPr>
          <w:rFonts w:cs="Times New Roman"/>
          <w:lang w:val="nl-NL"/>
        </w:rPr>
        <w:lastRenderedPageBreak/>
        <w:t>Bedoeld voor gebruik in het cardiovasculaire systeem of een hol orgaan om vreemde voorwerpen te verwijderen en te manipuleren. Manipulatieprocedures omvatten het herpositioneren van inwendige veneuze katheters, het strippen van inwendige veneuze katheter-fibrinehulzen en hulp bij centrale veneuze toegangsprocedures voor venapunctie.</w:t>
      </w:r>
    </w:p>
    <w:p w14:paraId="498EAE44" w14:textId="77777777" w:rsidR="00D20FA4" w:rsidRPr="009461CC" w:rsidRDefault="00D20FA4" w:rsidP="008B131A">
      <w:pPr>
        <w:pStyle w:val="Heading1"/>
        <w:spacing w:line="228" w:lineRule="auto"/>
        <w:rPr>
          <w:rFonts w:cs="Times New Roman"/>
        </w:rPr>
      </w:pPr>
      <w:bookmarkStart w:id="10" w:name="_Toc222741284"/>
      <w:r>
        <w:rPr>
          <w:rFonts w:cs="Times New Roman"/>
          <w:bCs/>
          <w:lang w:val="nl-NL"/>
        </w:rPr>
        <w:t>Doelpopulatie</w:t>
      </w:r>
      <w:bookmarkEnd w:id="10"/>
    </w:p>
    <w:p w14:paraId="099A3585" w14:textId="77777777" w:rsidR="003B70D7" w:rsidRPr="000619BF" w:rsidRDefault="003B70D7" w:rsidP="008B131A">
      <w:pPr>
        <w:pStyle w:val="pf0"/>
        <w:widowControl w:val="0"/>
        <w:spacing w:before="0" w:beforeAutospacing="0" w:after="0" w:afterAutospacing="0" w:line="228" w:lineRule="auto"/>
        <w:rPr>
          <w:lang w:val="de-DE"/>
        </w:rPr>
      </w:pPr>
      <w:r>
        <w:rPr>
          <w:lang w:val="nl-NL"/>
        </w:rPr>
        <w:t>Volwassen patiënten, waaronder ouderen, ongeacht geslacht, ras of etniciteit.</w:t>
      </w:r>
    </w:p>
    <w:p w14:paraId="3621B4F1" w14:textId="77777777" w:rsidR="003B70D7" w:rsidRPr="008B131A" w:rsidRDefault="003B70D7" w:rsidP="008B131A">
      <w:pPr>
        <w:pStyle w:val="pf0"/>
        <w:widowControl w:val="0"/>
        <w:spacing w:before="0" w:beforeAutospacing="0" w:after="0" w:afterAutospacing="0" w:line="228" w:lineRule="auto"/>
        <w:rPr>
          <w:sz w:val="14"/>
          <w:szCs w:val="14"/>
          <w:lang w:val="de-DE"/>
        </w:rPr>
      </w:pPr>
    </w:p>
    <w:p w14:paraId="28F544BD" w14:textId="4F93A450" w:rsidR="006F0810" w:rsidRPr="009461CC" w:rsidRDefault="006F0810" w:rsidP="008B131A">
      <w:pPr>
        <w:pStyle w:val="Heading1"/>
        <w:spacing w:line="228" w:lineRule="auto"/>
        <w:rPr>
          <w:rFonts w:cs="Times New Roman"/>
        </w:rPr>
      </w:pPr>
      <w:bookmarkStart w:id="11" w:name="_Toc222741285"/>
      <w:r>
        <w:rPr>
          <w:rFonts w:cs="Times New Roman"/>
          <w:bCs/>
          <w:lang w:val="nl-NL"/>
        </w:rPr>
        <w:t>Contra-indicaties</w:t>
      </w:r>
      <w:bookmarkEnd w:id="11"/>
    </w:p>
    <w:p w14:paraId="169E24EB" w14:textId="77777777" w:rsidR="00AA3502" w:rsidRPr="008B131A" w:rsidRDefault="00AA3502" w:rsidP="008B131A">
      <w:pPr>
        <w:pStyle w:val="ListParagraph"/>
        <w:numPr>
          <w:ilvl w:val="0"/>
          <w:numId w:val="31"/>
        </w:numPr>
        <w:spacing w:after="0" w:afterAutospacing="0" w:line="228" w:lineRule="auto"/>
        <w:jc w:val="both"/>
        <w:rPr>
          <w:rFonts w:eastAsia="Times New Roman" w:cs="Times New Roman"/>
          <w:lang w:val="nl-NL"/>
        </w:rPr>
      </w:pPr>
      <w:r>
        <w:rPr>
          <w:rFonts w:cs="Times New Roman"/>
          <w:color w:val="000000"/>
          <w:lang w:val="nl-NL"/>
        </w:rPr>
        <w:t>Dit hulpmiddel is niet bedoeld voor het verwijderen van vreemde voorwerpen die vastzitten door weefselingroei</w:t>
      </w:r>
      <w:r>
        <w:rPr>
          <w:rFonts w:cs="Times New Roman"/>
          <w:color w:val="4472C4" w:themeColor="accent1"/>
          <w:lang w:val="nl-NL"/>
        </w:rPr>
        <w:t>.</w:t>
      </w:r>
    </w:p>
    <w:p w14:paraId="4BFB00B8" w14:textId="77777777" w:rsidR="00AA3502" w:rsidRPr="008B131A" w:rsidRDefault="00AA3502" w:rsidP="008B131A">
      <w:pPr>
        <w:pStyle w:val="ListParagraph"/>
        <w:numPr>
          <w:ilvl w:val="0"/>
          <w:numId w:val="31"/>
        </w:numPr>
        <w:spacing w:after="0" w:afterAutospacing="0" w:line="228" w:lineRule="auto"/>
        <w:jc w:val="both"/>
        <w:rPr>
          <w:rFonts w:eastAsia="Times New Roman" w:cs="Times New Roman"/>
          <w:lang w:val="nl-NL"/>
        </w:rPr>
      </w:pPr>
      <w:r>
        <w:rPr>
          <w:rFonts w:eastAsia="Times New Roman" w:cs="Times New Roman"/>
          <w:lang w:val="nl-NL"/>
        </w:rPr>
        <w:t>Het hulpmiddel mag niet worden gebruikt voor het verwijderen van een fibrinehuls in aanwezigheid van septumdefecten of een open foramen ovale.</w:t>
      </w:r>
    </w:p>
    <w:p w14:paraId="77577945" w14:textId="77777777" w:rsidR="00AA3502" w:rsidRPr="008B131A" w:rsidRDefault="00AA3502" w:rsidP="008B131A">
      <w:pPr>
        <w:pStyle w:val="ListParagraph"/>
        <w:numPr>
          <w:ilvl w:val="0"/>
          <w:numId w:val="31"/>
        </w:numPr>
        <w:spacing w:after="0" w:afterAutospacing="0" w:line="228" w:lineRule="auto"/>
        <w:jc w:val="both"/>
        <w:rPr>
          <w:rFonts w:eastAsia="Times New Roman" w:cs="Times New Roman"/>
          <w:lang w:val="nb-NO"/>
        </w:rPr>
      </w:pPr>
      <w:r>
        <w:rPr>
          <w:rFonts w:eastAsia="Times New Roman" w:cs="Times New Roman"/>
          <w:lang w:val="nl-NL"/>
        </w:rPr>
        <w:t>Dit hulpmiddel is niet bedoeld voor het verwijderen van geïmplanteerde pacemakerelektroden.</w:t>
      </w:r>
    </w:p>
    <w:p w14:paraId="764D1032" w14:textId="77777777" w:rsidR="00761873" w:rsidRPr="008B131A" w:rsidRDefault="00761873" w:rsidP="00761873">
      <w:pPr>
        <w:pStyle w:val="ListParagraph"/>
        <w:spacing w:after="0" w:afterAutospacing="0"/>
        <w:ind w:left="1440"/>
        <w:rPr>
          <w:rFonts w:cs="Times New Roman"/>
          <w:sz w:val="12"/>
          <w:szCs w:val="10"/>
          <w:lang w:val="nb-NO"/>
        </w:rPr>
      </w:pPr>
    </w:p>
    <w:p w14:paraId="0A9D601E" w14:textId="53FB771D" w:rsidR="00760400" w:rsidRPr="009461CC" w:rsidRDefault="00D20FA4" w:rsidP="00F67A0E">
      <w:pPr>
        <w:pStyle w:val="Heading1"/>
        <w:numPr>
          <w:ilvl w:val="0"/>
          <w:numId w:val="2"/>
        </w:numPr>
        <w:rPr>
          <w:rFonts w:cs="Times New Roman"/>
        </w:rPr>
      </w:pPr>
      <w:bookmarkStart w:id="12" w:name="_Toc222741286"/>
      <w:r>
        <w:rPr>
          <w:rFonts w:cs="Times New Roman"/>
          <w:bCs/>
          <w:lang w:val="nl-NL"/>
        </w:rPr>
        <w:t>Beschrijving hulpmiddel</w:t>
      </w:r>
      <w:bookmarkEnd w:id="12"/>
    </w:p>
    <w:p w14:paraId="7115673A" w14:textId="77777777" w:rsidR="00042B91" w:rsidRPr="008B131A" w:rsidRDefault="00042B91" w:rsidP="00042B91">
      <w:pPr>
        <w:spacing w:after="0" w:afterAutospacing="0" w:line="240" w:lineRule="auto"/>
        <w:rPr>
          <w:rFonts w:cs="Times New Roman"/>
          <w:sz w:val="12"/>
          <w:szCs w:val="10"/>
        </w:rPr>
      </w:pPr>
    </w:p>
    <w:p w14:paraId="33649869" w14:textId="52085753" w:rsidR="00D20FA4" w:rsidRPr="009461CC" w:rsidRDefault="00D20FA4" w:rsidP="00042B91">
      <w:pPr>
        <w:pStyle w:val="Heading1"/>
        <w:rPr>
          <w:rFonts w:cs="Times New Roman"/>
        </w:rPr>
      </w:pPr>
      <w:bookmarkStart w:id="13" w:name="_Toc222741287"/>
      <w:r>
        <w:rPr>
          <w:rFonts w:cs="Times New Roman"/>
          <w:bCs/>
          <w:lang w:val="nl-NL"/>
        </w:rPr>
        <w:t>Beschrijving van het hulpmiddel</w:t>
      </w:r>
      <w:bookmarkEnd w:id="13"/>
      <w:r>
        <w:rPr>
          <w:rFonts w:cs="Times New Roman"/>
          <w:bCs/>
          <w:lang w:val="nl-NL"/>
        </w:rPr>
        <w:t xml:space="preserve"> </w:t>
      </w:r>
    </w:p>
    <w:p w14:paraId="3DAFEC6E" w14:textId="7F63F519" w:rsidR="00994DB9" w:rsidRPr="000619BF" w:rsidRDefault="00994DB9" w:rsidP="008B131A">
      <w:pPr>
        <w:spacing w:line="228" w:lineRule="auto"/>
        <w:rPr>
          <w:rFonts w:cs="Times New Roman"/>
          <w:lang w:val="de-DE"/>
        </w:rPr>
      </w:pPr>
      <w:bookmarkStart w:id="14" w:name="_Hlk169187630"/>
      <w:r>
        <w:rPr>
          <w:rFonts w:cs="Times New Roman"/>
          <w:lang w:val="nl-NL"/>
        </w:rPr>
        <w:t xml:space="preserve">De Atrieve™ </w:t>
      </w:r>
      <w:r w:rsidR="00F21B6F" w:rsidRPr="00F21B6F">
        <w:rPr>
          <w:rFonts w:cs="Times New Roman"/>
          <w:lang w:val="nl-NL"/>
        </w:rPr>
        <w:t>Vasculaire</w:t>
      </w:r>
      <w:r w:rsidR="00F21B6F" w:rsidDel="00F21B6F">
        <w:rPr>
          <w:rFonts w:cs="Times New Roman"/>
          <w:lang w:val="nl-NL"/>
        </w:rPr>
        <w:t xml:space="preserve"> </w:t>
      </w:r>
      <w:r w:rsidR="007F04F5">
        <w:rPr>
          <w:rFonts w:cs="Times New Roman"/>
          <w:lang w:val="nl-NL"/>
        </w:rPr>
        <w:t>Snare-kit</w:t>
      </w:r>
      <w:r>
        <w:rPr>
          <w:rFonts w:cs="Times New Roman"/>
          <w:lang w:val="nl-NL"/>
        </w:rPr>
        <w:t xml:space="preserve"> bestaat uit een snare-hulpmiddel met drie voorgevormde lussen, vervaardigd van superelastisch nitinol en platina. De lussen zijn niet verweven en kunnen ten opzichte van elkaar verschuiven. De lussen van de snare kunnen in de afleverkatheter worden ingebracht zonder risico op blijvende vervorming van het hulpmiddel. De Atrieve </w:t>
      </w:r>
      <w:r w:rsidR="00F21B6F" w:rsidRPr="00F21B6F">
        <w:rPr>
          <w:rFonts w:cs="Times New Roman"/>
          <w:lang w:val="nl-NL"/>
        </w:rPr>
        <w:t>Vasculaire</w:t>
      </w:r>
      <w:r w:rsidR="00F21B6F" w:rsidDel="00F21B6F">
        <w:rPr>
          <w:rFonts w:cs="Times New Roman"/>
          <w:lang w:val="nl-NL"/>
        </w:rPr>
        <w:t xml:space="preserve"> </w:t>
      </w:r>
      <w:r w:rsidR="007F04F5">
        <w:rPr>
          <w:rFonts w:cs="Times New Roman"/>
          <w:lang w:val="nl-NL"/>
        </w:rPr>
        <w:t>Snare-kit</w:t>
      </w:r>
      <w:r>
        <w:rPr>
          <w:rFonts w:cs="Times New Roman"/>
          <w:lang w:val="nl-NL"/>
        </w:rPr>
        <w:t xml:space="preserve"> omvat tevens een afleverkatheter, een draaigreep en een introducer. De afleverkatheter heeft een radiopake markeringsband aan het distale uiteinde. Het product wordt geleverd in een beschermende ringhouder. Het apparaat is bedoeld voor eenmalig gebruik en wordt steriel (ethyleenoxide) geleverd, klaar voor gebruik.</w:t>
      </w:r>
    </w:p>
    <w:p w14:paraId="210E0750" w14:textId="0637610D" w:rsidR="00994DB9" w:rsidRPr="000619BF" w:rsidRDefault="00994DB9" w:rsidP="00994DB9">
      <w:pPr>
        <w:rPr>
          <w:rFonts w:cs="Times New Roman"/>
          <w:lang w:val="de-DE"/>
        </w:rPr>
      </w:pPr>
      <w:r>
        <w:rPr>
          <w:rFonts w:cs="Times New Roman"/>
          <w:lang w:val="nl-NL"/>
        </w:rPr>
        <w:t xml:space="preserve">De Atrieve™ </w:t>
      </w:r>
      <w:r w:rsidR="00F21B6F" w:rsidRPr="00F21B6F">
        <w:rPr>
          <w:rFonts w:cs="Times New Roman"/>
          <w:lang w:val="nl-NL"/>
        </w:rPr>
        <w:t>Vasculaire</w:t>
      </w:r>
      <w:r w:rsidR="00F21B6F" w:rsidDel="00F21B6F">
        <w:rPr>
          <w:rFonts w:cs="Times New Roman"/>
          <w:lang w:val="nl-NL"/>
        </w:rPr>
        <w:t xml:space="preserve"> </w:t>
      </w:r>
      <w:r w:rsidR="007F04F5">
        <w:rPr>
          <w:rFonts w:cs="Times New Roman"/>
          <w:lang w:val="nl-NL"/>
        </w:rPr>
        <w:t>Snare-kit</w:t>
      </w:r>
      <w:r>
        <w:rPr>
          <w:rFonts w:cs="Times New Roman"/>
          <w:lang w:val="nl-NL"/>
        </w:rPr>
        <w:t xml:space="preserve"> is verkrijgbaar in de volgende maten:</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Pr>
                <w:rFonts w:cs="Times New Roman"/>
                <w:lang w:val="nl-NL"/>
              </w:rPr>
              <w:t>Diameterbereik van de snare</w:t>
            </w:r>
          </w:p>
        </w:tc>
        <w:tc>
          <w:tcPr>
            <w:tcW w:w="1274" w:type="pct"/>
          </w:tcPr>
          <w:p w14:paraId="2775F724" w14:textId="77777777" w:rsidR="00994DB9" w:rsidRPr="009461CC" w:rsidRDefault="00994DB9" w:rsidP="0022766F">
            <w:pPr>
              <w:widowControl w:val="0"/>
              <w:rPr>
                <w:rFonts w:cs="Times New Roman"/>
              </w:rPr>
            </w:pPr>
            <w:r>
              <w:rPr>
                <w:rFonts w:cs="Times New Roman"/>
                <w:lang w:val="nl-NL"/>
              </w:rPr>
              <w:t>Lengte van de snare</w:t>
            </w:r>
          </w:p>
        </w:tc>
        <w:tc>
          <w:tcPr>
            <w:tcW w:w="1123" w:type="pct"/>
          </w:tcPr>
          <w:p w14:paraId="7396E037" w14:textId="77777777" w:rsidR="00994DB9" w:rsidRPr="009461CC" w:rsidRDefault="00994DB9" w:rsidP="0022766F">
            <w:pPr>
              <w:widowControl w:val="0"/>
              <w:rPr>
                <w:rFonts w:cs="Times New Roman"/>
              </w:rPr>
            </w:pPr>
            <w:r>
              <w:rPr>
                <w:rFonts w:cs="Times New Roman"/>
                <w:lang w:val="nl-NL"/>
              </w:rPr>
              <w:t>Maat van het afleversysteem</w:t>
            </w:r>
          </w:p>
        </w:tc>
        <w:tc>
          <w:tcPr>
            <w:tcW w:w="1250" w:type="pct"/>
          </w:tcPr>
          <w:p w14:paraId="7E248A66" w14:textId="77777777" w:rsidR="00994DB9" w:rsidRPr="009461CC" w:rsidRDefault="00994DB9" w:rsidP="0022766F">
            <w:pPr>
              <w:widowControl w:val="0"/>
              <w:rPr>
                <w:rFonts w:cs="Times New Roman"/>
              </w:rPr>
            </w:pPr>
            <w:r>
              <w:rPr>
                <w:rFonts w:cs="Times New Roman"/>
                <w:lang w:val="nl-NL"/>
              </w:rPr>
              <w:t>Katheterlengte</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nl-NL"/>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nl-NL"/>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nl-NL"/>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nl-NL"/>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nl-NL"/>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nl-NL"/>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nl-NL"/>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nl-NL"/>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nl-NL"/>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nl-NL"/>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nl-NL"/>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nl-NL"/>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nl-NL"/>
              </w:rPr>
              <w:t>9-15 mm</w:t>
            </w:r>
          </w:p>
        </w:tc>
        <w:tc>
          <w:tcPr>
            <w:tcW w:w="1274" w:type="pct"/>
          </w:tcPr>
          <w:p w14:paraId="6E08B1BC" w14:textId="77777777" w:rsidR="00994DB9" w:rsidRPr="009461CC" w:rsidRDefault="00994DB9" w:rsidP="0022766F">
            <w:pPr>
              <w:widowControl w:val="0"/>
              <w:rPr>
                <w:rFonts w:cs="Times New Roman"/>
              </w:rPr>
            </w:pPr>
            <w:r>
              <w:rPr>
                <w:rFonts w:cs="Times New Roman"/>
                <w:lang w:val="nl-NL"/>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nl-NL"/>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nl-NL"/>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nl-NL"/>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nl-NL"/>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nl-NL"/>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nl-NL"/>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nl-NL"/>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nl-NL"/>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nl-NL"/>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nl-NL"/>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nl-NL"/>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nl-NL"/>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nl-NL"/>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nl-NL"/>
              </w:rPr>
              <w:t>100 cm</w:t>
            </w:r>
          </w:p>
        </w:tc>
      </w:tr>
    </w:tbl>
    <w:p w14:paraId="5D27461E" w14:textId="77777777" w:rsidR="000F4DF1" w:rsidRPr="008B131A" w:rsidRDefault="000F4DF1" w:rsidP="00994DB9">
      <w:pPr>
        <w:rPr>
          <w:rFonts w:cs="Times New Roman"/>
          <w:sz w:val="2"/>
          <w:szCs w:val="2"/>
        </w:rPr>
      </w:pPr>
    </w:p>
    <w:p w14:paraId="4C7769AE" w14:textId="77777777" w:rsidR="00D20FA4" w:rsidRPr="009461CC" w:rsidRDefault="00D20FA4" w:rsidP="00042B91">
      <w:pPr>
        <w:pStyle w:val="Heading1"/>
        <w:rPr>
          <w:rFonts w:cs="Times New Roman"/>
        </w:rPr>
      </w:pPr>
      <w:bookmarkStart w:id="15" w:name="_Toc222741288"/>
      <w:bookmarkEnd w:id="14"/>
      <w:r>
        <w:rPr>
          <w:rFonts w:cs="Times New Roman"/>
          <w:bCs/>
          <w:lang w:val="nl-NL"/>
        </w:rPr>
        <w:t>Vorige varianten en hun verschillen</w:t>
      </w:r>
      <w:bookmarkEnd w:id="15"/>
    </w:p>
    <w:p w14:paraId="060329F5" w14:textId="3AA8BB73" w:rsidR="00042B91" w:rsidRPr="008B131A" w:rsidRDefault="009D7E33" w:rsidP="007B0F04">
      <w:pPr>
        <w:ind w:left="792"/>
        <w:rPr>
          <w:rFonts w:cs="Times New Roman"/>
          <w:lang w:val="nl-NL"/>
        </w:rPr>
      </w:pPr>
      <w:r>
        <w:rPr>
          <w:rFonts w:cs="Times New Roman"/>
          <w:lang w:val="nl-NL"/>
        </w:rPr>
        <w:t>Deze paragraaf is niet van toepassing (n.v.t.).</w:t>
      </w:r>
    </w:p>
    <w:p w14:paraId="26363C05" w14:textId="77777777" w:rsidR="00760400" w:rsidRPr="008B131A" w:rsidRDefault="00760400" w:rsidP="00042B91">
      <w:pPr>
        <w:pStyle w:val="Heading1"/>
        <w:rPr>
          <w:rFonts w:cs="Times New Roman"/>
          <w:lang w:val="nl-NL"/>
        </w:rPr>
      </w:pPr>
      <w:bookmarkStart w:id="16" w:name="_Toc222741289"/>
      <w:r>
        <w:rPr>
          <w:rFonts w:cs="Times New Roman"/>
          <w:bCs/>
          <w:lang w:val="nl-NL"/>
        </w:rPr>
        <w:t>Accessoires, compatibele apparaten en andere producten die in combinatie worden gebruikt</w:t>
      </w:r>
      <w:bookmarkEnd w:id="16"/>
    </w:p>
    <w:p w14:paraId="21F32064" w14:textId="43F5E737" w:rsidR="00C02BC0" w:rsidRPr="008B131A" w:rsidRDefault="00C02BC0" w:rsidP="007B0F04">
      <w:pPr>
        <w:spacing w:after="0" w:afterAutospacing="0"/>
        <w:ind w:left="792"/>
        <w:rPr>
          <w:rFonts w:cs="Times New Roman"/>
          <w:lang w:val="nb-NO"/>
        </w:rPr>
      </w:pPr>
      <w:r>
        <w:rPr>
          <w:rFonts w:cs="Times New Roman"/>
          <w:lang w:val="nl-NL"/>
        </w:rPr>
        <w:t xml:space="preserve">De accessoires van de Atrieve </w:t>
      </w:r>
      <w:r w:rsidR="00F21B6F" w:rsidRPr="00F21B6F">
        <w:rPr>
          <w:rFonts w:cs="Times New Roman"/>
          <w:lang w:val="nl-NL"/>
        </w:rPr>
        <w:t>Vasculaire</w:t>
      </w:r>
      <w:r>
        <w:rPr>
          <w:rFonts w:cs="Times New Roman"/>
          <w:lang w:val="nl-NL"/>
        </w:rPr>
        <w:t xml:space="preserve"> </w:t>
      </w:r>
      <w:r w:rsidR="007F04F5">
        <w:rPr>
          <w:rFonts w:cs="Times New Roman"/>
          <w:lang w:val="nl-NL"/>
        </w:rPr>
        <w:t>Snare-kit</w:t>
      </w:r>
      <w:r>
        <w:rPr>
          <w:rFonts w:cs="Times New Roman"/>
          <w:lang w:val="nl-NL"/>
        </w:rPr>
        <w:t xml:space="preserve"> omvatten de afleverkatheter, een introducer en een draaigreep (pin bankschroef).</w:t>
      </w:r>
    </w:p>
    <w:p w14:paraId="17CCC4B6" w14:textId="77777777" w:rsidR="00042B91" w:rsidRPr="008B131A" w:rsidRDefault="00042B91" w:rsidP="00042B91">
      <w:pPr>
        <w:spacing w:after="0" w:afterAutospacing="0" w:line="240" w:lineRule="auto"/>
        <w:rPr>
          <w:rFonts w:cs="Times New Roman"/>
          <w:i/>
          <w:color w:val="FF0000"/>
          <w:lang w:val="nb-NO"/>
        </w:rPr>
      </w:pPr>
    </w:p>
    <w:p w14:paraId="45C0A245" w14:textId="61A622A4" w:rsidR="008745ED" w:rsidRPr="009461CC" w:rsidRDefault="008745ED" w:rsidP="00F67A0E">
      <w:pPr>
        <w:pStyle w:val="Heading1"/>
        <w:numPr>
          <w:ilvl w:val="0"/>
          <w:numId w:val="2"/>
        </w:numPr>
        <w:rPr>
          <w:rFonts w:cs="Times New Roman"/>
        </w:rPr>
      </w:pPr>
      <w:bookmarkStart w:id="17" w:name="_Toc222741290"/>
      <w:r>
        <w:rPr>
          <w:rFonts w:cs="Times New Roman"/>
          <w:bCs/>
          <w:lang w:val="nl-NL"/>
        </w:rPr>
        <w:lastRenderedPageBreak/>
        <w:t>Risico's en waarschuwingen</w:t>
      </w:r>
      <w:bookmarkEnd w:id="17"/>
    </w:p>
    <w:p w14:paraId="3D8BE6E3" w14:textId="77777777" w:rsidR="00042B91" w:rsidRPr="008B131A" w:rsidRDefault="00042B91" w:rsidP="00042B91">
      <w:pPr>
        <w:spacing w:after="0" w:afterAutospacing="0" w:line="240" w:lineRule="auto"/>
        <w:rPr>
          <w:rFonts w:cs="Times New Roman"/>
          <w:sz w:val="12"/>
          <w:szCs w:val="10"/>
        </w:rPr>
      </w:pPr>
    </w:p>
    <w:p w14:paraId="04F70349" w14:textId="6FD2DA8D" w:rsidR="008745ED" w:rsidRPr="009461CC" w:rsidRDefault="008745ED" w:rsidP="00042B91">
      <w:pPr>
        <w:pStyle w:val="Heading1"/>
        <w:rPr>
          <w:rFonts w:cs="Times New Roman"/>
        </w:rPr>
      </w:pPr>
      <w:bookmarkStart w:id="18" w:name="_Toc222741291"/>
      <w:r>
        <w:rPr>
          <w:rFonts w:cs="Times New Roman"/>
          <w:bCs/>
          <w:lang w:val="nl-NL"/>
        </w:rPr>
        <w:t>Resterende risico's en ongewenste bijwerkingen</w:t>
      </w:r>
      <w:bookmarkEnd w:id="18"/>
    </w:p>
    <w:p w14:paraId="2F64097C" w14:textId="607FF4A5" w:rsidR="00D15BBE" w:rsidRPr="000619BF" w:rsidRDefault="00C64987" w:rsidP="008D7F1C">
      <w:pPr>
        <w:ind w:left="792"/>
        <w:rPr>
          <w:rFonts w:cs="Times New Roman"/>
          <w:lang w:val="de-DE"/>
        </w:rPr>
      </w:pPr>
      <w:r>
        <w:rPr>
          <w:rFonts w:cs="Times New Roman"/>
          <w:lang w:val="nl-NL"/>
        </w:rPr>
        <w:t xml:space="preserve">Volgens RMR-0011 Rev H werd het volgende risico-batenprofiel voor het product beschreven: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671"/>
        <w:gridCol w:w="1890"/>
        <w:gridCol w:w="4495"/>
      </w:tblGrid>
      <w:tr w:rsidR="00FE471B" w:rsidRPr="009461CC" w14:paraId="15FC12E9" w14:textId="77777777" w:rsidTr="00FE471B">
        <w:trPr>
          <w:trHeight w:val="620"/>
        </w:trPr>
        <w:tc>
          <w:tcPr>
            <w:tcW w:w="1138" w:type="pct"/>
            <w:shd w:val="clear" w:color="auto" w:fill="BFBFBF"/>
            <w:vAlign w:val="center"/>
          </w:tcPr>
          <w:p w14:paraId="024816D8" w14:textId="77777777" w:rsidR="00453251" w:rsidRPr="009461CC" w:rsidRDefault="00453251" w:rsidP="008B131A">
            <w:pPr>
              <w:pStyle w:val="TableHeading-Font10"/>
              <w:spacing w:line="216" w:lineRule="auto"/>
              <w:rPr>
                <w:rFonts w:ascii="Times New Roman" w:hAnsi="Times New Roman" w:cs="Times New Roman"/>
              </w:rPr>
            </w:pPr>
            <w:r>
              <w:rPr>
                <w:rFonts w:ascii="Times New Roman" w:hAnsi="Times New Roman" w:cs="Times New Roman"/>
                <w:lang w:val="nl-NL"/>
              </w:rPr>
              <w:t>Resultaat</w:t>
            </w:r>
            <w:bookmarkStart w:id="19" w:name="_Toc86391902"/>
            <w:bookmarkEnd w:id="19"/>
          </w:p>
        </w:tc>
        <w:tc>
          <w:tcPr>
            <w:tcW w:w="801" w:type="pct"/>
            <w:shd w:val="clear" w:color="auto" w:fill="BFBFBF"/>
          </w:tcPr>
          <w:p w14:paraId="22A108AE" w14:textId="77777777" w:rsidR="00453251" w:rsidRPr="009461CC" w:rsidRDefault="00453251" w:rsidP="008B131A">
            <w:pPr>
              <w:pStyle w:val="TableHeading-Font10"/>
              <w:spacing w:line="216" w:lineRule="auto"/>
              <w:rPr>
                <w:rFonts w:ascii="Times New Roman" w:hAnsi="Times New Roman" w:cs="Times New Roman"/>
              </w:rPr>
            </w:pPr>
            <w:r>
              <w:rPr>
                <w:rFonts w:ascii="Times New Roman" w:hAnsi="Times New Roman" w:cs="Times New Roman"/>
                <w:lang w:val="nl-NL"/>
              </w:rPr>
              <w:t>SOA</w:t>
            </w:r>
            <w:r>
              <w:rPr>
                <w:rFonts w:ascii="Times New Roman" w:hAnsi="Times New Roman" w:cs="Times New Roman"/>
                <w:lang w:val="nl-NL"/>
              </w:rPr>
              <w:br/>
              <w:t>Algemeen bereik</w:t>
            </w:r>
          </w:p>
        </w:tc>
        <w:tc>
          <w:tcPr>
            <w:tcW w:w="906" w:type="pct"/>
            <w:shd w:val="clear" w:color="auto" w:fill="BFBFBF"/>
            <w:vAlign w:val="center"/>
          </w:tcPr>
          <w:p w14:paraId="16D6B523" w14:textId="77777777" w:rsidR="00453251" w:rsidRPr="008B131A" w:rsidRDefault="00453251" w:rsidP="008B131A">
            <w:pPr>
              <w:pStyle w:val="TableHeading-Font10"/>
              <w:spacing w:line="216" w:lineRule="auto"/>
              <w:rPr>
                <w:rFonts w:ascii="Times New Roman" w:hAnsi="Times New Roman" w:cs="Times New Roman"/>
                <w:lang w:val="nb-NO"/>
              </w:rPr>
            </w:pPr>
            <w:r>
              <w:rPr>
                <w:rFonts w:ascii="Times New Roman" w:hAnsi="Times New Roman" w:cs="Times New Roman"/>
                <w:lang w:val="nl-NL"/>
              </w:rPr>
              <w:t>Hulpmiddel van de concurrent</w:t>
            </w:r>
          </w:p>
          <w:p w14:paraId="45EFB37E" w14:textId="77777777" w:rsidR="00453251" w:rsidRPr="008B131A" w:rsidRDefault="00453251" w:rsidP="008B131A">
            <w:pPr>
              <w:pStyle w:val="TableHeading-Font10"/>
              <w:spacing w:line="216" w:lineRule="auto"/>
              <w:rPr>
                <w:rFonts w:ascii="Times New Roman" w:hAnsi="Times New Roman" w:cs="Times New Roman"/>
                <w:lang w:val="nb-NO"/>
              </w:rPr>
            </w:pPr>
            <w:r>
              <w:rPr>
                <w:rFonts w:ascii="Times New Roman" w:hAnsi="Times New Roman" w:cs="Times New Roman"/>
                <w:lang w:val="nl-NL"/>
              </w:rPr>
              <w:t>Algemeen bereik</w:t>
            </w:r>
            <w:bookmarkStart w:id="20" w:name="_Toc86391905"/>
            <w:bookmarkEnd w:id="20"/>
          </w:p>
        </w:tc>
        <w:tc>
          <w:tcPr>
            <w:tcW w:w="2155" w:type="pct"/>
            <w:shd w:val="clear" w:color="auto" w:fill="BFBFBF"/>
            <w:vAlign w:val="center"/>
          </w:tcPr>
          <w:p w14:paraId="17C5AFF5" w14:textId="77777777" w:rsidR="00453251" w:rsidRPr="009461CC" w:rsidRDefault="00453251" w:rsidP="008B131A">
            <w:pPr>
              <w:pStyle w:val="TableHeading-Font10"/>
              <w:spacing w:line="216" w:lineRule="auto"/>
              <w:rPr>
                <w:rFonts w:ascii="Times New Roman" w:hAnsi="Times New Roman" w:cs="Times New Roman"/>
              </w:rPr>
            </w:pPr>
            <w:r>
              <w:rPr>
                <w:rFonts w:ascii="Times New Roman" w:hAnsi="Times New Roman" w:cs="Times New Roman"/>
                <w:lang w:val="nl-NL"/>
              </w:rPr>
              <w:t>Acceptatiecriteria</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8B131A">
            <w:pPr>
              <w:pStyle w:val="TableTextLeft"/>
              <w:spacing w:line="216" w:lineRule="auto"/>
              <w:rPr>
                <w:rFonts w:ascii="Times New Roman" w:hAnsi="Times New Roman" w:cs="Times New Roman"/>
                <w:b/>
                <w:bCs/>
              </w:rPr>
            </w:pPr>
            <w:r>
              <w:rPr>
                <w:rFonts w:ascii="Times New Roman" w:hAnsi="Times New Roman" w:cs="Times New Roman"/>
                <w:b/>
                <w:bCs/>
                <w:iCs w:val="0"/>
                <w:lang w:val="nl-NL"/>
              </w:rPr>
              <w:t>Veiligheid</w:t>
            </w:r>
          </w:p>
        </w:tc>
      </w:tr>
      <w:tr w:rsidR="00FE471B" w:rsidRPr="009461CC" w14:paraId="2ECEC40D" w14:textId="77777777" w:rsidTr="00FE471B">
        <w:tc>
          <w:tcPr>
            <w:tcW w:w="1138" w:type="pct"/>
          </w:tcPr>
          <w:p w14:paraId="01C3E100" w14:textId="77777777" w:rsidR="00453251" w:rsidRPr="009461CC" w:rsidRDefault="00453251" w:rsidP="008B131A">
            <w:pPr>
              <w:pStyle w:val="TableTextLeft"/>
              <w:spacing w:line="216" w:lineRule="auto"/>
              <w:rPr>
                <w:rFonts w:ascii="Times New Roman" w:hAnsi="Times New Roman" w:cs="Times New Roman"/>
              </w:rPr>
            </w:pPr>
            <w:r>
              <w:rPr>
                <w:rFonts w:ascii="Times New Roman" w:hAnsi="Times New Roman" w:cs="Times New Roman"/>
                <w:iCs w:val="0"/>
                <w:lang w:val="nl-NL"/>
              </w:rPr>
              <w:t>Bloeden</w:t>
            </w:r>
            <w:bookmarkStart w:id="23" w:name="_Toc86391910"/>
            <w:bookmarkEnd w:id="23"/>
          </w:p>
        </w:tc>
        <w:tc>
          <w:tcPr>
            <w:tcW w:w="801" w:type="pct"/>
            <w:vAlign w:val="center"/>
          </w:tcPr>
          <w:p w14:paraId="529B6FA7" w14:textId="77777777" w:rsidR="00453251" w:rsidRPr="009461CC" w:rsidRDefault="00453251" w:rsidP="008B131A">
            <w:pPr>
              <w:pStyle w:val="TableTextLeft"/>
              <w:spacing w:line="216" w:lineRule="auto"/>
              <w:jc w:val="center"/>
              <w:rPr>
                <w:rFonts w:ascii="Times New Roman" w:hAnsi="Times New Roman" w:cs="Times New Roman"/>
                <w:iCs w:val="0"/>
              </w:rPr>
            </w:pPr>
            <w:r>
              <w:rPr>
                <w:rFonts w:ascii="Times New Roman" w:hAnsi="Times New Roman" w:cs="Times New Roman"/>
                <w:iCs w:val="0"/>
                <w:lang w:val="nl-NL"/>
              </w:rPr>
              <w:t>0-3%</w:t>
            </w:r>
          </w:p>
        </w:tc>
        <w:tc>
          <w:tcPr>
            <w:tcW w:w="906" w:type="pct"/>
            <w:vAlign w:val="center"/>
          </w:tcPr>
          <w:p w14:paraId="30172B6B" w14:textId="77777777" w:rsidR="00453251" w:rsidRPr="009461CC" w:rsidRDefault="00453251" w:rsidP="008B131A">
            <w:pPr>
              <w:pStyle w:val="TableTextLeft"/>
              <w:spacing w:line="216" w:lineRule="auto"/>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nl-NL"/>
              </w:rPr>
              <w:t>0-0,6%</w:t>
            </w:r>
          </w:p>
        </w:tc>
        <w:tc>
          <w:tcPr>
            <w:tcW w:w="2155" w:type="pct"/>
            <w:vAlign w:val="center"/>
          </w:tcPr>
          <w:p w14:paraId="03E978DF" w14:textId="77777777" w:rsidR="00453251" w:rsidRPr="009461CC" w:rsidRDefault="00453251" w:rsidP="008B131A">
            <w:pPr>
              <w:pStyle w:val="TableTextLeft"/>
              <w:spacing w:line="216" w:lineRule="auto"/>
              <w:rPr>
                <w:rFonts w:ascii="Times New Roman" w:hAnsi="Times New Roman" w:cs="Times New Roman"/>
              </w:rPr>
            </w:pPr>
            <w:bookmarkStart w:id="26" w:name="_Toc86391914"/>
            <w:bookmarkEnd w:id="26"/>
            <w:r>
              <w:rPr>
                <w:rFonts w:ascii="Times New Roman" w:hAnsi="Times New Roman" w:cs="Times New Roman"/>
                <w:iCs w:val="0"/>
                <w:lang w:val="nl-NL"/>
              </w:rPr>
              <w:t xml:space="preserve">Bloedingspercentages </w:t>
            </w:r>
            <w:r>
              <w:rPr>
                <w:rFonts w:ascii="Times New Roman" w:hAnsi="Times New Roman" w:cs="Times New Roman"/>
                <w:b/>
                <w:bCs/>
                <w:iCs w:val="0"/>
                <w:lang w:val="nl-NL"/>
              </w:rPr>
              <w:t>lager dan 3%</w:t>
            </w:r>
          </w:p>
        </w:tc>
        <w:bookmarkStart w:id="27" w:name="_Toc86391915"/>
        <w:bookmarkEnd w:id="27"/>
      </w:tr>
      <w:tr w:rsidR="00FE471B" w:rsidRPr="009461CC" w14:paraId="770200CA" w14:textId="77777777" w:rsidTr="00FE471B">
        <w:tc>
          <w:tcPr>
            <w:tcW w:w="1138" w:type="pct"/>
          </w:tcPr>
          <w:p w14:paraId="4D43F3AC" w14:textId="77777777" w:rsidR="00453251" w:rsidRPr="009461CC" w:rsidRDefault="00453251" w:rsidP="008B131A">
            <w:pPr>
              <w:pStyle w:val="TableTextLeft"/>
              <w:spacing w:line="216" w:lineRule="auto"/>
              <w:rPr>
                <w:rFonts w:ascii="Times New Roman" w:eastAsia="MS Mincho" w:hAnsi="Times New Roman" w:cs="Times New Roman"/>
              </w:rPr>
            </w:pPr>
            <w:r>
              <w:rPr>
                <w:rFonts w:ascii="Times New Roman" w:hAnsi="Times New Roman" w:cs="Times New Roman"/>
                <w:iCs w:val="0"/>
                <w:lang w:val="nl-NL"/>
              </w:rPr>
              <w:t>Perforatie/weefselschade</w:t>
            </w:r>
            <w:bookmarkStart w:id="28" w:name="_Toc86391916"/>
            <w:bookmarkEnd w:id="28"/>
          </w:p>
        </w:tc>
        <w:tc>
          <w:tcPr>
            <w:tcW w:w="801" w:type="pct"/>
            <w:vAlign w:val="center"/>
          </w:tcPr>
          <w:p w14:paraId="42E7FC3B" w14:textId="77777777" w:rsidR="00453251" w:rsidRPr="009461CC" w:rsidRDefault="00453251" w:rsidP="008B131A">
            <w:pPr>
              <w:pStyle w:val="TableTextLeft"/>
              <w:spacing w:line="216" w:lineRule="auto"/>
              <w:jc w:val="center"/>
              <w:rPr>
                <w:rFonts w:ascii="Times New Roman" w:hAnsi="Times New Roman" w:cs="Times New Roman"/>
                <w:iCs w:val="0"/>
              </w:rPr>
            </w:pPr>
            <w:r>
              <w:rPr>
                <w:rFonts w:ascii="Times New Roman" w:hAnsi="Times New Roman" w:cs="Times New Roman"/>
                <w:iCs w:val="0"/>
                <w:lang w:val="nl-NL"/>
              </w:rPr>
              <w:t>0-1,7%</w:t>
            </w:r>
          </w:p>
        </w:tc>
        <w:tc>
          <w:tcPr>
            <w:tcW w:w="906" w:type="pct"/>
            <w:vAlign w:val="center"/>
          </w:tcPr>
          <w:p w14:paraId="58C428BE" w14:textId="77777777" w:rsidR="00453251" w:rsidRPr="009461CC" w:rsidRDefault="00453251" w:rsidP="008B131A">
            <w:pPr>
              <w:pStyle w:val="TableTextLeft"/>
              <w:spacing w:line="216" w:lineRule="auto"/>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nl-NL"/>
              </w:rPr>
              <w:t>0-4,0%</w:t>
            </w:r>
          </w:p>
        </w:tc>
        <w:tc>
          <w:tcPr>
            <w:tcW w:w="2155" w:type="pct"/>
            <w:vAlign w:val="center"/>
          </w:tcPr>
          <w:p w14:paraId="785BDB89" w14:textId="77777777" w:rsidR="00453251" w:rsidRPr="009461CC" w:rsidRDefault="00453251" w:rsidP="008B131A">
            <w:pPr>
              <w:pStyle w:val="TableTextLeft"/>
              <w:spacing w:line="216" w:lineRule="auto"/>
              <w:rPr>
                <w:rFonts w:ascii="Times New Roman" w:hAnsi="Times New Roman" w:cs="Times New Roman"/>
                <w:b/>
                <w:bCs/>
              </w:rPr>
            </w:pPr>
            <w:bookmarkStart w:id="31" w:name="_Toc86391920"/>
            <w:bookmarkEnd w:id="31"/>
            <w:r>
              <w:rPr>
                <w:rFonts w:ascii="Times New Roman" w:hAnsi="Times New Roman" w:cs="Times New Roman"/>
                <w:iCs w:val="0"/>
                <w:lang w:val="nl-NL"/>
              </w:rPr>
              <w:t xml:space="preserve">Perforatie-/weefselschadepercentages </w:t>
            </w:r>
            <w:r>
              <w:rPr>
                <w:rFonts w:ascii="Times New Roman" w:hAnsi="Times New Roman" w:cs="Times New Roman"/>
                <w:b/>
                <w:bCs/>
                <w:iCs w:val="0"/>
                <w:lang w:val="nl-NL"/>
              </w:rPr>
              <w:t>lager dan 4%</w:t>
            </w:r>
          </w:p>
        </w:tc>
        <w:bookmarkStart w:id="32" w:name="_Toc86391921"/>
        <w:bookmarkEnd w:id="32"/>
      </w:tr>
      <w:tr w:rsidR="00FE471B" w:rsidRPr="009461CC" w14:paraId="3D17E0CA" w14:textId="77777777" w:rsidTr="00FE471B">
        <w:tc>
          <w:tcPr>
            <w:tcW w:w="1138" w:type="pct"/>
          </w:tcPr>
          <w:p w14:paraId="22E5467D" w14:textId="77777777" w:rsidR="00453251" w:rsidRPr="009461CC" w:rsidRDefault="00453251" w:rsidP="008B131A">
            <w:pPr>
              <w:pStyle w:val="TableTextLeft"/>
              <w:spacing w:line="216" w:lineRule="auto"/>
              <w:rPr>
                <w:rFonts w:ascii="Times New Roman" w:hAnsi="Times New Roman" w:cs="Times New Roman"/>
              </w:rPr>
            </w:pPr>
            <w:r>
              <w:rPr>
                <w:rFonts w:ascii="Times New Roman" w:hAnsi="Times New Roman" w:cs="Times New Roman"/>
                <w:iCs w:val="0"/>
                <w:lang w:val="nl-NL"/>
              </w:rPr>
              <w:t>Luchtembolie</w:t>
            </w:r>
            <w:bookmarkStart w:id="33" w:name="_Toc86391922"/>
            <w:bookmarkEnd w:id="33"/>
          </w:p>
        </w:tc>
        <w:tc>
          <w:tcPr>
            <w:tcW w:w="801" w:type="pct"/>
            <w:vAlign w:val="center"/>
          </w:tcPr>
          <w:p w14:paraId="50CDDBB0" w14:textId="77777777" w:rsidR="00453251" w:rsidRPr="009461CC" w:rsidRDefault="00453251" w:rsidP="008B131A">
            <w:pPr>
              <w:pStyle w:val="TableTextLeft"/>
              <w:spacing w:line="216" w:lineRule="auto"/>
              <w:jc w:val="center"/>
              <w:rPr>
                <w:rFonts w:ascii="Times New Roman" w:hAnsi="Times New Roman" w:cs="Times New Roman"/>
                <w:iCs w:val="0"/>
              </w:rPr>
            </w:pPr>
            <w:r>
              <w:rPr>
                <w:rFonts w:ascii="Times New Roman" w:hAnsi="Times New Roman" w:cs="Times New Roman"/>
                <w:iCs w:val="0"/>
                <w:lang w:val="nl-NL"/>
              </w:rPr>
              <w:t>0 - 2,1%</w:t>
            </w:r>
          </w:p>
        </w:tc>
        <w:tc>
          <w:tcPr>
            <w:tcW w:w="906" w:type="pct"/>
            <w:vAlign w:val="center"/>
          </w:tcPr>
          <w:p w14:paraId="0471C436" w14:textId="77777777" w:rsidR="00453251" w:rsidRPr="009461CC" w:rsidRDefault="00453251" w:rsidP="008B131A">
            <w:pPr>
              <w:pStyle w:val="TableTextLeft"/>
              <w:spacing w:line="216" w:lineRule="auto"/>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nl-NL"/>
              </w:rPr>
              <w:t>0-0,6%</w:t>
            </w:r>
          </w:p>
        </w:tc>
        <w:tc>
          <w:tcPr>
            <w:tcW w:w="2155" w:type="pct"/>
            <w:vAlign w:val="center"/>
          </w:tcPr>
          <w:p w14:paraId="1B80F3DB" w14:textId="77777777" w:rsidR="00453251" w:rsidRPr="009461CC" w:rsidRDefault="00453251" w:rsidP="008B131A">
            <w:pPr>
              <w:pStyle w:val="TableTextLeft"/>
              <w:spacing w:line="216" w:lineRule="auto"/>
              <w:rPr>
                <w:rFonts w:ascii="Times New Roman" w:hAnsi="Times New Roman" w:cs="Times New Roman"/>
                <w:b/>
                <w:bCs/>
              </w:rPr>
            </w:pPr>
            <w:bookmarkStart w:id="36" w:name="_Toc86391926"/>
            <w:bookmarkEnd w:id="36"/>
            <w:r>
              <w:rPr>
                <w:rFonts w:ascii="Times New Roman" w:hAnsi="Times New Roman" w:cs="Times New Roman"/>
                <w:iCs w:val="0"/>
                <w:lang w:val="nl-NL"/>
              </w:rPr>
              <w:t xml:space="preserve">Embolie </w:t>
            </w:r>
            <w:r>
              <w:rPr>
                <w:rFonts w:ascii="Times New Roman" w:hAnsi="Times New Roman" w:cs="Times New Roman"/>
                <w:b/>
                <w:bCs/>
                <w:iCs w:val="0"/>
                <w:lang w:val="nl-NL"/>
              </w:rPr>
              <w:t>minder dan 2,1%</w:t>
            </w:r>
          </w:p>
        </w:tc>
        <w:bookmarkStart w:id="37" w:name="_Toc86391927"/>
        <w:bookmarkEnd w:id="37"/>
      </w:tr>
      <w:tr w:rsidR="00FE471B" w:rsidRPr="009461CC" w14:paraId="33FEDA6C" w14:textId="77777777" w:rsidTr="00FE471B">
        <w:tc>
          <w:tcPr>
            <w:tcW w:w="1138" w:type="pct"/>
          </w:tcPr>
          <w:p w14:paraId="5817831E" w14:textId="77777777" w:rsidR="00453251" w:rsidRPr="009461CC" w:rsidRDefault="00453251" w:rsidP="008B131A">
            <w:pPr>
              <w:pStyle w:val="TableTextLeft"/>
              <w:spacing w:line="216" w:lineRule="auto"/>
              <w:rPr>
                <w:rFonts w:ascii="Times New Roman" w:hAnsi="Times New Roman" w:cs="Times New Roman"/>
              </w:rPr>
            </w:pPr>
            <w:r>
              <w:rPr>
                <w:rFonts w:ascii="Times New Roman" w:hAnsi="Times New Roman" w:cs="Times New Roman"/>
                <w:iCs w:val="0"/>
                <w:lang w:val="nl-NL"/>
              </w:rPr>
              <w:t>Infectie</w:t>
            </w:r>
            <w:bookmarkStart w:id="38" w:name="_Toc86391928"/>
            <w:bookmarkEnd w:id="38"/>
          </w:p>
        </w:tc>
        <w:tc>
          <w:tcPr>
            <w:tcW w:w="801" w:type="pct"/>
            <w:vAlign w:val="center"/>
          </w:tcPr>
          <w:p w14:paraId="190DF8A8" w14:textId="77777777" w:rsidR="00453251" w:rsidRPr="009461CC" w:rsidRDefault="00453251" w:rsidP="008B131A">
            <w:pPr>
              <w:pStyle w:val="TableTextLeft"/>
              <w:spacing w:line="216" w:lineRule="auto"/>
              <w:jc w:val="center"/>
              <w:rPr>
                <w:rFonts w:ascii="Times New Roman" w:hAnsi="Times New Roman" w:cs="Times New Roman"/>
                <w:iCs w:val="0"/>
              </w:rPr>
            </w:pPr>
            <w:r>
              <w:rPr>
                <w:rFonts w:ascii="Times New Roman" w:hAnsi="Times New Roman" w:cs="Times New Roman"/>
                <w:iCs w:val="0"/>
                <w:lang w:val="nl-NL"/>
              </w:rPr>
              <w:t>0%</w:t>
            </w:r>
          </w:p>
        </w:tc>
        <w:tc>
          <w:tcPr>
            <w:tcW w:w="906" w:type="pct"/>
            <w:vAlign w:val="center"/>
          </w:tcPr>
          <w:p w14:paraId="480907F1" w14:textId="77777777" w:rsidR="00453251" w:rsidRPr="009461CC" w:rsidRDefault="00453251" w:rsidP="008B131A">
            <w:pPr>
              <w:pStyle w:val="TableTextLeft"/>
              <w:spacing w:line="216" w:lineRule="auto"/>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nl-NL"/>
              </w:rPr>
              <w:t>0%</w:t>
            </w:r>
          </w:p>
        </w:tc>
        <w:tc>
          <w:tcPr>
            <w:tcW w:w="2155" w:type="pct"/>
            <w:vAlign w:val="center"/>
          </w:tcPr>
          <w:p w14:paraId="1D828A42" w14:textId="77777777" w:rsidR="00453251" w:rsidRPr="009461CC" w:rsidRDefault="00453251" w:rsidP="008B131A">
            <w:pPr>
              <w:pStyle w:val="TableTextLeft"/>
              <w:spacing w:line="216" w:lineRule="auto"/>
              <w:rPr>
                <w:rFonts w:ascii="Times New Roman" w:hAnsi="Times New Roman" w:cs="Times New Roman"/>
                <w:b/>
                <w:bCs/>
              </w:rPr>
            </w:pPr>
            <w:bookmarkStart w:id="41" w:name="_Toc86391932"/>
            <w:bookmarkEnd w:id="41"/>
            <w:r>
              <w:rPr>
                <w:rFonts w:ascii="Times New Roman" w:hAnsi="Times New Roman" w:cs="Times New Roman"/>
                <w:iCs w:val="0"/>
                <w:lang w:val="nl-NL"/>
              </w:rPr>
              <w:t xml:space="preserve">Infectie </w:t>
            </w:r>
            <w:r>
              <w:rPr>
                <w:rFonts w:ascii="Times New Roman" w:hAnsi="Times New Roman" w:cs="Times New Roman"/>
                <w:b/>
                <w:bCs/>
                <w:iCs w:val="0"/>
                <w:lang w:val="nl-NL"/>
              </w:rPr>
              <w:t>minder dan 0%</w:t>
            </w:r>
          </w:p>
        </w:tc>
        <w:bookmarkStart w:id="42" w:name="_Toc86391933"/>
        <w:bookmarkEnd w:id="42"/>
      </w:tr>
      <w:tr w:rsidR="00FE471B" w:rsidRPr="009461CC" w14:paraId="00F9D43C" w14:textId="77777777" w:rsidTr="00FE471B">
        <w:tc>
          <w:tcPr>
            <w:tcW w:w="1138" w:type="pct"/>
          </w:tcPr>
          <w:p w14:paraId="530E2FE9" w14:textId="77777777" w:rsidR="00453251" w:rsidRPr="009461CC" w:rsidRDefault="00453251" w:rsidP="008B131A">
            <w:pPr>
              <w:pStyle w:val="TableTextLeft"/>
              <w:spacing w:line="216" w:lineRule="auto"/>
              <w:rPr>
                <w:rFonts w:ascii="Times New Roman" w:hAnsi="Times New Roman" w:cs="Times New Roman"/>
              </w:rPr>
            </w:pPr>
            <w:r>
              <w:rPr>
                <w:rFonts w:ascii="Times New Roman" w:hAnsi="Times New Roman" w:cs="Times New Roman"/>
                <w:iCs w:val="0"/>
                <w:lang w:val="nl-NL"/>
              </w:rPr>
              <w:t>Allergische reactie</w:t>
            </w:r>
            <w:bookmarkStart w:id="43" w:name="_Toc86391934"/>
            <w:bookmarkEnd w:id="43"/>
          </w:p>
        </w:tc>
        <w:tc>
          <w:tcPr>
            <w:tcW w:w="801" w:type="pct"/>
            <w:vAlign w:val="center"/>
          </w:tcPr>
          <w:p w14:paraId="6250CCD8" w14:textId="77777777" w:rsidR="00453251" w:rsidRPr="009461CC" w:rsidRDefault="00453251" w:rsidP="008B131A">
            <w:pPr>
              <w:pStyle w:val="TableTextLeft"/>
              <w:spacing w:line="216" w:lineRule="auto"/>
              <w:jc w:val="center"/>
              <w:rPr>
                <w:rFonts w:ascii="Times New Roman" w:hAnsi="Times New Roman" w:cs="Times New Roman"/>
                <w:iCs w:val="0"/>
              </w:rPr>
            </w:pPr>
            <w:r>
              <w:rPr>
                <w:rFonts w:ascii="Times New Roman" w:hAnsi="Times New Roman" w:cs="Times New Roman"/>
                <w:iCs w:val="0"/>
                <w:lang w:val="nl-NL"/>
              </w:rPr>
              <w:t>0%</w:t>
            </w:r>
          </w:p>
        </w:tc>
        <w:tc>
          <w:tcPr>
            <w:tcW w:w="906" w:type="pct"/>
            <w:vAlign w:val="center"/>
          </w:tcPr>
          <w:p w14:paraId="50CF5415" w14:textId="77777777" w:rsidR="00453251" w:rsidRPr="009461CC" w:rsidRDefault="00453251" w:rsidP="008B131A">
            <w:pPr>
              <w:pStyle w:val="TableTextLeft"/>
              <w:spacing w:line="216" w:lineRule="auto"/>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nl-NL"/>
              </w:rPr>
              <w:t>0%</w:t>
            </w:r>
          </w:p>
        </w:tc>
        <w:tc>
          <w:tcPr>
            <w:tcW w:w="2155" w:type="pct"/>
            <w:vAlign w:val="center"/>
          </w:tcPr>
          <w:p w14:paraId="3CD98CC2" w14:textId="77777777" w:rsidR="00453251" w:rsidRPr="009461CC" w:rsidRDefault="00453251" w:rsidP="008B131A">
            <w:pPr>
              <w:pStyle w:val="TableTextLeft"/>
              <w:spacing w:line="216" w:lineRule="auto"/>
              <w:rPr>
                <w:rFonts w:ascii="Times New Roman" w:hAnsi="Times New Roman" w:cs="Times New Roman"/>
                <w:b/>
                <w:bCs/>
              </w:rPr>
            </w:pPr>
            <w:bookmarkStart w:id="46" w:name="_Toc86391938"/>
            <w:bookmarkEnd w:id="46"/>
            <w:r>
              <w:rPr>
                <w:rFonts w:ascii="Times New Roman" w:hAnsi="Times New Roman" w:cs="Times New Roman"/>
                <w:iCs w:val="0"/>
                <w:lang w:val="nl-NL"/>
              </w:rPr>
              <w:t xml:space="preserve">Allergische reactie </w:t>
            </w:r>
            <w:r>
              <w:rPr>
                <w:rFonts w:ascii="Times New Roman" w:hAnsi="Times New Roman" w:cs="Times New Roman"/>
                <w:b/>
                <w:bCs/>
                <w:iCs w:val="0"/>
                <w:lang w:val="nl-NL"/>
              </w:rPr>
              <w:t>minder dan 0%</w:t>
            </w:r>
          </w:p>
        </w:tc>
        <w:bookmarkStart w:id="47" w:name="_Toc86391939"/>
        <w:bookmarkEnd w:id="47"/>
      </w:tr>
      <w:tr w:rsidR="00FE471B" w:rsidRPr="009461CC" w14:paraId="027FF060" w14:textId="77777777" w:rsidTr="00FE471B">
        <w:trPr>
          <w:trHeight w:val="197"/>
        </w:trPr>
        <w:tc>
          <w:tcPr>
            <w:tcW w:w="1138" w:type="pct"/>
          </w:tcPr>
          <w:p w14:paraId="0B4FA88A" w14:textId="77777777" w:rsidR="00453251" w:rsidRPr="009461CC" w:rsidRDefault="00453251" w:rsidP="008B131A">
            <w:pPr>
              <w:pStyle w:val="TableTextLeft"/>
              <w:spacing w:line="216" w:lineRule="auto"/>
              <w:rPr>
                <w:rFonts w:ascii="Times New Roman" w:hAnsi="Times New Roman" w:cs="Times New Roman"/>
              </w:rPr>
            </w:pPr>
            <w:r>
              <w:rPr>
                <w:rFonts w:ascii="Times New Roman" w:hAnsi="Times New Roman" w:cs="Times New Roman"/>
                <w:iCs w:val="0"/>
                <w:lang w:val="nl-NL"/>
              </w:rPr>
              <w:t>Pijn</w:t>
            </w:r>
            <w:bookmarkStart w:id="48" w:name="_Toc86391940"/>
            <w:bookmarkEnd w:id="48"/>
          </w:p>
        </w:tc>
        <w:tc>
          <w:tcPr>
            <w:tcW w:w="801" w:type="pct"/>
            <w:vAlign w:val="center"/>
          </w:tcPr>
          <w:p w14:paraId="0A016617" w14:textId="77777777" w:rsidR="00453251" w:rsidRPr="009461CC" w:rsidRDefault="00453251" w:rsidP="008B131A">
            <w:pPr>
              <w:pStyle w:val="TableTextLeft"/>
              <w:spacing w:line="216" w:lineRule="auto"/>
              <w:jc w:val="center"/>
              <w:rPr>
                <w:rFonts w:ascii="Times New Roman" w:hAnsi="Times New Roman" w:cs="Times New Roman"/>
                <w:iCs w:val="0"/>
              </w:rPr>
            </w:pPr>
            <w:r>
              <w:rPr>
                <w:rFonts w:ascii="Times New Roman" w:hAnsi="Times New Roman" w:cs="Times New Roman"/>
                <w:iCs w:val="0"/>
                <w:lang w:val="nl-NL"/>
              </w:rPr>
              <w:t>0%</w:t>
            </w:r>
          </w:p>
        </w:tc>
        <w:tc>
          <w:tcPr>
            <w:tcW w:w="906" w:type="pct"/>
            <w:vAlign w:val="center"/>
          </w:tcPr>
          <w:p w14:paraId="72B648EC" w14:textId="77777777" w:rsidR="00453251" w:rsidRPr="009461CC" w:rsidRDefault="00453251" w:rsidP="008B131A">
            <w:pPr>
              <w:pStyle w:val="TableTextLeft"/>
              <w:spacing w:line="216" w:lineRule="auto"/>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nl-NL"/>
              </w:rPr>
              <w:t>0%</w:t>
            </w:r>
          </w:p>
        </w:tc>
        <w:tc>
          <w:tcPr>
            <w:tcW w:w="2155" w:type="pct"/>
            <w:vAlign w:val="center"/>
          </w:tcPr>
          <w:p w14:paraId="56186FA5" w14:textId="77777777" w:rsidR="00453251" w:rsidRPr="009461CC" w:rsidRDefault="00453251" w:rsidP="008B131A">
            <w:pPr>
              <w:pStyle w:val="TableTextLeft"/>
              <w:spacing w:line="216" w:lineRule="auto"/>
              <w:rPr>
                <w:rFonts w:ascii="Times New Roman" w:hAnsi="Times New Roman" w:cs="Times New Roman"/>
                <w:b/>
                <w:bCs/>
              </w:rPr>
            </w:pPr>
            <w:bookmarkStart w:id="51" w:name="_Toc86391944"/>
            <w:bookmarkEnd w:id="51"/>
            <w:r>
              <w:rPr>
                <w:rFonts w:ascii="Times New Roman" w:hAnsi="Times New Roman" w:cs="Times New Roman"/>
                <w:iCs w:val="0"/>
                <w:lang w:val="nl-NL"/>
              </w:rPr>
              <w:t xml:space="preserve">Pijn </w:t>
            </w:r>
            <w:r>
              <w:rPr>
                <w:rFonts w:ascii="Times New Roman" w:hAnsi="Times New Roman" w:cs="Times New Roman"/>
                <w:b/>
                <w:bCs/>
                <w:iCs w:val="0"/>
                <w:lang w:val="nl-NL"/>
              </w:rPr>
              <w:t>minder dan 0%</w:t>
            </w:r>
          </w:p>
        </w:tc>
        <w:bookmarkStart w:id="52" w:name="_Toc86391945"/>
        <w:bookmarkEnd w:id="52"/>
      </w:tr>
      <w:tr w:rsidR="00FE471B" w:rsidRPr="009461CC" w14:paraId="28252FD0" w14:textId="77777777" w:rsidTr="00FE471B">
        <w:tc>
          <w:tcPr>
            <w:tcW w:w="1138" w:type="pct"/>
          </w:tcPr>
          <w:p w14:paraId="013547C7" w14:textId="77777777" w:rsidR="00453251" w:rsidRPr="009461CC" w:rsidRDefault="00453251" w:rsidP="008B131A">
            <w:pPr>
              <w:pStyle w:val="TableTextLeft"/>
              <w:spacing w:line="216" w:lineRule="auto"/>
              <w:rPr>
                <w:rFonts w:ascii="Times New Roman" w:hAnsi="Times New Roman" w:cs="Times New Roman"/>
              </w:rPr>
            </w:pPr>
            <w:r>
              <w:rPr>
                <w:rFonts w:ascii="Times New Roman" w:hAnsi="Times New Roman" w:cs="Times New Roman"/>
                <w:iCs w:val="0"/>
                <w:lang w:val="nl-NL"/>
              </w:rPr>
              <w:t>Algemene complicaties</w:t>
            </w:r>
            <w:bookmarkStart w:id="53" w:name="_Toc86391946"/>
            <w:bookmarkEnd w:id="53"/>
          </w:p>
        </w:tc>
        <w:tc>
          <w:tcPr>
            <w:tcW w:w="801" w:type="pct"/>
            <w:vAlign w:val="center"/>
          </w:tcPr>
          <w:p w14:paraId="740F59E9" w14:textId="77777777" w:rsidR="00453251" w:rsidRPr="009461CC" w:rsidRDefault="00453251" w:rsidP="008B131A">
            <w:pPr>
              <w:pStyle w:val="TableTextLeft"/>
              <w:spacing w:line="216" w:lineRule="auto"/>
              <w:jc w:val="center"/>
              <w:rPr>
                <w:rFonts w:ascii="Times New Roman" w:hAnsi="Times New Roman" w:cs="Times New Roman"/>
                <w:iCs w:val="0"/>
              </w:rPr>
            </w:pPr>
            <w:r>
              <w:rPr>
                <w:rFonts w:ascii="Times New Roman" w:hAnsi="Times New Roman" w:cs="Times New Roman"/>
                <w:iCs w:val="0"/>
                <w:lang w:val="nl-NL"/>
              </w:rPr>
              <w:t>0-5,2%</w:t>
            </w:r>
          </w:p>
        </w:tc>
        <w:tc>
          <w:tcPr>
            <w:tcW w:w="906" w:type="pct"/>
            <w:vAlign w:val="center"/>
          </w:tcPr>
          <w:p w14:paraId="0BF92E76" w14:textId="77777777" w:rsidR="00453251" w:rsidRPr="009461CC" w:rsidRDefault="00453251" w:rsidP="008B131A">
            <w:pPr>
              <w:pStyle w:val="TableTextLeft"/>
              <w:spacing w:line="216" w:lineRule="auto"/>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nl-NL"/>
              </w:rPr>
              <w:t>0-4%</w:t>
            </w:r>
          </w:p>
        </w:tc>
        <w:tc>
          <w:tcPr>
            <w:tcW w:w="2155" w:type="pct"/>
            <w:vAlign w:val="center"/>
          </w:tcPr>
          <w:p w14:paraId="71781E09" w14:textId="77777777" w:rsidR="00453251" w:rsidRPr="009461CC" w:rsidRDefault="00453251" w:rsidP="008B131A">
            <w:pPr>
              <w:pStyle w:val="TableTextLeft"/>
              <w:spacing w:line="216" w:lineRule="auto"/>
              <w:rPr>
                <w:rFonts w:ascii="Times New Roman" w:hAnsi="Times New Roman" w:cs="Times New Roman"/>
              </w:rPr>
            </w:pPr>
            <w:bookmarkStart w:id="56" w:name="_Toc86391950"/>
            <w:bookmarkEnd w:id="56"/>
            <w:r>
              <w:rPr>
                <w:rFonts w:ascii="Times New Roman" w:hAnsi="Times New Roman" w:cs="Times New Roman"/>
                <w:iCs w:val="0"/>
                <w:lang w:val="nl-NL"/>
              </w:rPr>
              <w:t xml:space="preserve">Algemene complicaties </w:t>
            </w:r>
            <w:r>
              <w:rPr>
                <w:rFonts w:ascii="Times New Roman" w:hAnsi="Times New Roman" w:cs="Times New Roman"/>
                <w:b/>
                <w:bCs/>
                <w:iCs w:val="0"/>
                <w:lang w:val="nl-NL"/>
              </w:rPr>
              <w:t>minder dan 5,2%</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8B131A">
            <w:pPr>
              <w:pStyle w:val="TableTextLeft"/>
              <w:spacing w:line="216" w:lineRule="auto"/>
              <w:rPr>
                <w:rFonts w:ascii="Times New Roman" w:hAnsi="Times New Roman" w:cs="Times New Roman"/>
              </w:rPr>
            </w:pPr>
            <w:r>
              <w:rPr>
                <w:rFonts w:ascii="Times New Roman" w:hAnsi="Times New Roman" w:cs="Times New Roman"/>
                <w:b/>
                <w:bCs/>
                <w:iCs w:val="0"/>
                <w:lang w:val="nl-NL"/>
              </w:rPr>
              <w:t>Prestatie</w:t>
            </w:r>
          </w:p>
        </w:tc>
      </w:tr>
      <w:tr w:rsidR="00FE471B" w:rsidRPr="009461CC" w14:paraId="6F720CB6" w14:textId="77777777" w:rsidTr="00FE471B">
        <w:tc>
          <w:tcPr>
            <w:tcW w:w="1138" w:type="pct"/>
            <w:vAlign w:val="center"/>
          </w:tcPr>
          <w:p w14:paraId="60785A5D" w14:textId="77777777" w:rsidR="00453251" w:rsidRPr="009461CC" w:rsidRDefault="00453251" w:rsidP="008B131A">
            <w:pPr>
              <w:pStyle w:val="TableTextLeft"/>
              <w:spacing w:line="216" w:lineRule="auto"/>
              <w:rPr>
                <w:rFonts w:ascii="Times New Roman" w:hAnsi="Times New Roman" w:cs="Times New Roman"/>
              </w:rPr>
            </w:pPr>
            <w:r>
              <w:rPr>
                <w:rFonts w:ascii="Times New Roman" w:hAnsi="Times New Roman" w:cs="Times New Roman"/>
                <w:iCs w:val="0"/>
                <w:lang w:val="nl-NL"/>
              </w:rPr>
              <w:t xml:space="preserve">Technisch succespercentage </w:t>
            </w:r>
            <w:bookmarkStart w:id="58" w:name="_Toc86391954"/>
            <w:bookmarkEnd w:id="58"/>
          </w:p>
        </w:tc>
        <w:tc>
          <w:tcPr>
            <w:tcW w:w="801" w:type="pct"/>
            <w:vAlign w:val="center"/>
          </w:tcPr>
          <w:p w14:paraId="042F9BC6" w14:textId="77777777" w:rsidR="00453251" w:rsidRPr="009461CC" w:rsidDel="002D4462" w:rsidRDefault="00453251" w:rsidP="008B131A">
            <w:pPr>
              <w:pStyle w:val="TableTextLeft"/>
              <w:spacing w:line="216" w:lineRule="auto"/>
              <w:jc w:val="center"/>
              <w:rPr>
                <w:rFonts w:ascii="Times New Roman" w:hAnsi="Times New Roman" w:cs="Times New Roman"/>
                <w:iCs w:val="0"/>
              </w:rPr>
            </w:pPr>
            <w:r>
              <w:rPr>
                <w:rFonts w:ascii="Times New Roman" w:hAnsi="Times New Roman" w:cs="Times New Roman"/>
                <w:iCs w:val="0"/>
                <w:lang w:val="nl-NL"/>
              </w:rPr>
              <w:t>82,8–100%</w:t>
            </w:r>
          </w:p>
        </w:tc>
        <w:tc>
          <w:tcPr>
            <w:tcW w:w="906" w:type="pct"/>
            <w:vAlign w:val="center"/>
          </w:tcPr>
          <w:p w14:paraId="3177A351" w14:textId="77777777" w:rsidR="00453251" w:rsidRPr="009461CC" w:rsidRDefault="00453251" w:rsidP="008B131A">
            <w:pPr>
              <w:pStyle w:val="TableTextLeft"/>
              <w:spacing w:line="216" w:lineRule="auto"/>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nl-NL"/>
              </w:rPr>
              <w:t>82,0-100%</w:t>
            </w:r>
          </w:p>
        </w:tc>
        <w:tc>
          <w:tcPr>
            <w:tcW w:w="2155" w:type="pct"/>
            <w:vAlign w:val="center"/>
          </w:tcPr>
          <w:p w14:paraId="55C13098" w14:textId="77777777" w:rsidR="00453251" w:rsidRPr="009461CC" w:rsidRDefault="00453251" w:rsidP="008B131A">
            <w:pPr>
              <w:pStyle w:val="TableTextLeft"/>
              <w:spacing w:line="216" w:lineRule="auto"/>
              <w:rPr>
                <w:rFonts w:ascii="Times New Roman" w:hAnsi="Times New Roman" w:cs="Times New Roman"/>
              </w:rPr>
            </w:pPr>
            <w:bookmarkStart w:id="61" w:name="_Toc86391958"/>
            <w:bookmarkEnd w:id="61"/>
            <w:r>
              <w:rPr>
                <w:rFonts w:ascii="Times New Roman" w:hAnsi="Times New Roman" w:cs="Times New Roman"/>
                <w:iCs w:val="0"/>
                <w:lang w:val="nl-NL"/>
              </w:rPr>
              <w:t xml:space="preserve">Technisch succespercentage </w:t>
            </w:r>
            <w:r>
              <w:rPr>
                <w:rFonts w:ascii="Times New Roman" w:hAnsi="Times New Roman" w:cs="Times New Roman"/>
                <w:b/>
                <w:bCs/>
                <w:iCs w:val="0"/>
                <w:lang w:val="nl-NL"/>
              </w:rPr>
              <w:t>hoger dan 82,0%</w:t>
            </w:r>
          </w:p>
        </w:tc>
        <w:bookmarkStart w:id="62" w:name="_Toc86391959"/>
        <w:bookmarkEnd w:id="62"/>
      </w:tr>
      <w:tr w:rsidR="00FE471B" w:rsidRPr="009461CC" w14:paraId="4E839B51" w14:textId="77777777" w:rsidTr="00FE471B">
        <w:tc>
          <w:tcPr>
            <w:tcW w:w="1138" w:type="pct"/>
            <w:vAlign w:val="center"/>
          </w:tcPr>
          <w:p w14:paraId="055E85A0" w14:textId="77777777" w:rsidR="00453251" w:rsidRPr="009461CC" w:rsidRDefault="00453251" w:rsidP="008B131A">
            <w:pPr>
              <w:pStyle w:val="TableTextLeft"/>
              <w:spacing w:line="216" w:lineRule="auto"/>
              <w:rPr>
                <w:rFonts w:ascii="Times New Roman" w:eastAsia="MS Mincho" w:hAnsi="Times New Roman" w:cs="Times New Roman"/>
              </w:rPr>
            </w:pPr>
            <w:r>
              <w:rPr>
                <w:rFonts w:ascii="Times New Roman" w:hAnsi="Times New Roman" w:cs="Times New Roman"/>
                <w:iCs w:val="0"/>
                <w:lang w:val="nl-NL"/>
              </w:rPr>
              <w:t xml:space="preserve">Klinisch succespercentage </w:t>
            </w:r>
            <w:bookmarkStart w:id="63" w:name="_Toc86391960"/>
            <w:bookmarkEnd w:id="63"/>
          </w:p>
        </w:tc>
        <w:tc>
          <w:tcPr>
            <w:tcW w:w="801" w:type="pct"/>
            <w:vAlign w:val="center"/>
          </w:tcPr>
          <w:p w14:paraId="163906FF" w14:textId="77777777" w:rsidR="00453251" w:rsidRPr="009461CC" w:rsidRDefault="00453251" w:rsidP="008B131A">
            <w:pPr>
              <w:pStyle w:val="TableTextLeft"/>
              <w:spacing w:line="216" w:lineRule="auto"/>
              <w:jc w:val="center"/>
              <w:rPr>
                <w:rFonts w:ascii="Times New Roman" w:hAnsi="Times New Roman" w:cs="Times New Roman"/>
                <w:iCs w:val="0"/>
              </w:rPr>
            </w:pPr>
            <w:r>
              <w:rPr>
                <w:rFonts w:ascii="Times New Roman" w:hAnsi="Times New Roman" w:cs="Times New Roman"/>
                <w:iCs w:val="0"/>
                <w:lang w:val="nl-NL"/>
              </w:rPr>
              <w:t>95,2-100%</w:t>
            </w:r>
          </w:p>
        </w:tc>
        <w:tc>
          <w:tcPr>
            <w:tcW w:w="906" w:type="pct"/>
            <w:vAlign w:val="center"/>
          </w:tcPr>
          <w:p w14:paraId="24CE1D22" w14:textId="77777777" w:rsidR="00453251" w:rsidRPr="009461CC" w:rsidRDefault="00453251" w:rsidP="008B131A">
            <w:pPr>
              <w:pStyle w:val="TableTextLeft"/>
              <w:spacing w:line="216" w:lineRule="auto"/>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nl-NL"/>
              </w:rPr>
              <w:t>92,3-100%</w:t>
            </w:r>
          </w:p>
        </w:tc>
        <w:tc>
          <w:tcPr>
            <w:tcW w:w="2155" w:type="pct"/>
            <w:vAlign w:val="center"/>
          </w:tcPr>
          <w:p w14:paraId="1240798C" w14:textId="77777777" w:rsidR="00453251" w:rsidRPr="009461CC" w:rsidRDefault="00453251" w:rsidP="008B131A">
            <w:pPr>
              <w:pStyle w:val="TableTextLeft"/>
              <w:spacing w:line="216" w:lineRule="auto"/>
              <w:rPr>
                <w:rFonts w:ascii="Times New Roman" w:hAnsi="Times New Roman" w:cs="Times New Roman"/>
              </w:rPr>
            </w:pPr>
            <w:bookmarkStart w:id="66" w:name="_Toc86391964"/>
            <w:bookmarkEnd w:id="66"/>
            <w:r>
              <w:rPr>
                <w:rFonts w:ascii="Times New Roman" w:hAnsi="Times New Roman" w:cs="Times New Roman"/>
                <w:iCs w:val="0"/>
                <w:lang w:val="nl-NL"/>
              </w:rPr>
              <w:t xml:space="preserve">Klinisch succespercentage </w:t>
            </w:r>
            <w:r>
              <w:rPr>
                <w:rFonts w:ascii="Times New Roman" w:hAnsi="Times New Roman" w:cs="Times New Roman"/>
                <w:b/>
                <w:bCs/>
                <w:iCs w:val="0"/>
                <w:lang w:val="nl-NL"/>
              </w:rPr>
              <w:t>hoger dan 92,3%</w:t>
            </w:r>
          </w:p>
        </w:tc>
        <w:bookmarkStart w:id="67" w:name="_Toc86391965"/>
        <w:bookmarkEnd w:id="67"/>
      </w:tr>
    </w:tbl>
    <w:p w14:paraId="47F3BE56" w14:textId="61264A9B" w:rsidR="00941D63" w:rsidRDefault="00941D63" w:rsidP="00BD0841">
      <w:pPr>
        <w:spacing w:before="100" w:beforeAutospacing="1" w:after="0" w:afterAutospacing="0" w:line="228" w:lineRule="auto"/>
        <w:rPr>
          <w:rFonts w:eastAsia="Times New Roman" w:cs="Times New Roman"/>
          <w:szCs w:val="24"/>
          <w:lang w:val="nl-NL"/>
        </w:rPr>
      </w:pPr>
      <w:r>
        <w:rPr>
          <w:rFonts w:eastAsia="Times New Roman" w:cs="Times New Roman"/>
          <w:szCs w:val="24"/>
          <w:lang w:val="nl-NL"/>
        </w:rPr>
        <w:t xml:space="preserve">De Atrieve </w:t>
      </w:r>
      <w:r w:rsidR="00F21B6F" w:rsidRPr="00F21B6F">
        <w:rPr>
          <w:rFonts w:cs="Times New Roman"/>
          <w:lang w:val="nl-NL"/>
        </w:rPr>
        <w:t>Vasculaire</w:t>
      </w:r>
      <w:r w:rsidR="00F21B6F" w:rsidDel="00F21B6F">
        <w:rPr>
          <w:rFonts w:eastAsia="Times New Roman" w:cs="Times New Roman"/>
          <w:szCs w:val="24"/>
          <w:lang w:val="nl-NL"/>
        </w:rPr>
        <w:t xml:space="preserve"> </w:t>
      </w:r>
      <w:r w:rsidR="007F04F5">
        <w:rPr>
          <w:rFonts w:eastAsia="Times New Roman" w:cs="Times New Roman"/>
          <w:szCs w:val="24"/>
          <w:lang w:val="nl-NL"/>
        </w:rPr>
        <w:t>Snare-kit</w:t>
      </w:r>
      <w:r>
        <w:rPr>
          <w:rFonts w:eastAsia="Times New Roman" w:cs="Times New Roman"/>
          <w:szCs w:val="24"/>
          <w:lang w:val="nl-NL"/>
        </w:rPr>
        <w:t xml:space="preserve"> vertoont een aanvaardbaar risicoprofiel zonder resterende risico’s die als onaanvaardbaar zijn geclassificeerd. Mogelijke nadelige gevolgen voor de patiënt, zoals bloedingen, embolieën, infecties en weefselbeschadiging, zijn zeldzaam en vallen binnen de acceptabele normen van de sector. Veelvoorkomende faalwijzen, zoals het losraken van componenten of weerstand van het hulpmiddel, komen zelden voor en zijn goed beheerst.</w:t>
      </w:r>
    </w:p>
    <w:p w14:paraId="657C3E6A" w14:textId="77777777" w:rsidR="00BD0841" w:rsidRPr="008B131A" w:rsidRDefault="00BD0841" w:rsidP="008B131A">
      <w:pPr>
        <w:spacing w:after="0" w:afterAutospacing="0" w:line="228" w:lineRule="auto"/>
        <w:rPr>
          <w:rFonts w:eastAsia="Times New Roman" w:cs="Times New Roman"/>
          <w:sz w:val="16"/>
          <w:szCs w:val="16"/>
          <w:lang w:val="nl-NL"/>
        </w:rPr>
      </w:pPr>
    </w:p>
    <w:p w14:paraId="6CD9B2F8" w14:textId="27B9DB44" w:rsidR="00941D63" w:rsidRPr="000619BF" w:rsidRDefault="00941D63" w:rsidP="008B131A">
      <w:pPr>
        <w:spacing w:line="228" w:lineRule="auto"/>
        <w:rPr>
          <w:rFonts w:eastAsia="Times New Roman" w:cs="Times New Roman"/>
          <w:szCs w:val="24"/>
          <w:lang w:val="nl-NL"/>
        </w:rPr>
      </w:pPr>
      <w:r>
        <w:rPr>
          <w:rFonts w:eastAsia="Times New Roman" w:cs="Times New Roman"/>
          <w:szCs w:val="24"/>
          <w:lang w:val="nl-NL"/>
        </w:rPr>
        <w:t>Alle vastgestelde risico's worden behandeld via etikettering, waarschuwingen en gebruiksaanwijzingen. Het algemene risico is vergelijkbaar met dat van alternatieve behandelingen en de voordelen van veilige, minimaal invasieve verwijdering van vreemde voorwerpen wegen op tegen de risico’s. Tijdens post-market monitoring zijn geen nieuwe risico’s vastgesteld.</w:t>
      </w:r>
    </w:p>
    <w:p w14:paraId="503092B6" w14:textId="15AAF628" w:rsidR="000F0AC2" w:rsidRPr="009461CC" w:rsidRDefault="008745ED" w:rsidP="001035F0">
      <w:pPr>
        <w:pStyle w:val="Heading1"/>
        <w:rPr>
          <w:rFonts w:cs="Times New Roman"/>
        </w:rPr>
      </w:pPr>
      <w:bookmarkStart w:id="68" w:name="_Toc222741292"/>
      <w:r>
        <w:rPr>
          <w:rFonts w:cs="Times New Roman"/>
          <w:bCs/>
          <w:lang w:val="nl-NL"/>
        </w:rPr>
        <w:t>Waarschuwingen en voorzorgsmaatregelen</w:t>
      </w:r>
      <w:bookmarkEnd w:id="68"/>
    </w:p>
    <w:p w14:paraId="3AFFFB2C" w14:textId="56B6C6C3" w:rsidR="00A030DC" w:rsidRPr="000619BF" w:rsidRDefault="00C64987" w:rsidP="006F12B6">
      <w:pPr>
        <w:spacing w:after="0" w:afterAutospacing="0" w:line="240" w:lineRule="auto"/>
        <w:ind w:left="792"/>
        <w:rPr>
          <w:rFonts w:cs="Times New Roman"/>
          <w:iCs/>
          <w:lang w:val="pt-BR"/>
        </w:rPr>
      </w:pPr>
      <w:r>
        <w:rPr>
          <w:rFonts w:cs="Times New Roman"/>
          <w:lang w:val="nl-NL"/>
        </w:rPr>
        <w:t>Referentie IFU 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nl-NL"/>
        </w:rPr>
        <w:t>Waarschuwingen:</w:t>
      </w:r>
    </w:p>
    <w:p w14:paraId="6D12BCC6" w14:textId="77777777" w:rsidR="00C13612" w:rsidRPr="009461CC" w:rsidRDefault="00C13612" w:rsidP="008B131A">
      <w:pPr>
        <w:numPr>
          <w:ilvl w:val="0"/>
          <w:numId w:val="22"/>
        </w:numPr>
        <w:spacing w:after="0" w:afterAutospacing="0" w:line="228" w:lineRule="auto"/>
        <w:ind w:left="360"/>
        <w:contextualSpacing/>
        <w:jc w:val="both"/>
        <w:rPr>
          <w:rFonts w:eastAsia="Times New Roman" w:cs="Times New Roman"/>
          <w:szCs w:val="24"/>
        </w:rPr>
      </w:pPr>
      <w:r>
        <w:rPr>
          <w:rFonts w:eastAsia="Times New Roman" w:cs="Times New Roman"/>
          <w:szCs w:val="24"/>
          <w:lang w:val="nl-NL"/>
        </w:rPr>
        <w:t>Dit hulpmiddel is ontworpen, getest en vervaardigd voor gebruik bij één patiënt. Hergebruik of herverwerking van dit hulpmiddel kan leiden tot falen ervan en daaropvolgend letsel bij de patiënt. Het herverwerken en/of hersteriliseren van dit hulpmiddel kan het risico op contaminatie en infectie bij de patiënt met zich meebrengen. Dit hulpmiddel niet hergebruiken, herverwerken of opnieuw steriliseren.</w:t>
      </w:r>
    </w:p>
    <w:p w14:paraId="02E0F1FE" w14:textId="77777777" w:rsidR="00C13612" w:rsidRPr="000619BF" w:rsidRDefault="00C13612" w:rsidP="008B131A">
      <w:pPr>
        <w:numPr>
          <w:ilvl w:val="0"/>
          <w:numId w:val="22"/>
        </w:numPr>
        <w:spacing w:after="0" w:afterAutospacing="0" w:line="228" w:lineRule="auto"/>
        <w:ind w:left="360"/>
        <w:contextualSpacing/>
        <w:jc w:val="both"/>
        <w:rPr>
          <w:rFonts w:eastAsia="Times New Roman" w:cs="Times New Roman"/>
          <w:szCs w:val="24"/>
          <w:lang w:val="de-DE"/>
        </w:rPr>
      </w:pPr>
      <w:r>
        <w:rPr>
          <w:rFonts w:eastAsia="Times New Roman" w:cs="Times New Roman"/>
          <w:szCs w:val="24"/>
          <w:lang w:val="nl-NL"/>
        </w:rPr>
        <w:t>Controleer vóór gebruik de integriteit van de verpakking.</w:t>
      </w:r>
    </w:p>
    <w:p w14:paraId="0AB04CB5" w14:textId="77777777" w:rsidR="00C13612" w:rsidRPr="000619BF" w:rsidRDefault="00C13612" w:rsidP="008B131A">
      <w:pPr>
        <w:numPr>
          <w:ilvl w:val="0"/>
          <w:numId w:val="22"/>
        </w:numPr>
        <w:spacing w:after="0" w:afterAutospacing="0" w:line="228" w:lineRule="auto"/>
        <w:ind w:left="360"/>
        <w:contextualSpacing/>
        <w:jc w:val="both"/>
        <w:rPr>
          <w:rFonts w:eastAsia="Times New Roman" w:cs="Times New Roman"/>
          <w:szCs w:val="24"/>
          <w:lang w:val="de-DE"/>
        </w:rPr>
      </w:pPr>
      <w:r>
        <w:rPr>
          <w:rFonts w:eastAsia="Times New Roman" w:cs="Times New Roman"/>
          <w:szCs w:val="24"/>
          <w:lang w:val="nl-NL"/>
        </w:rPr>
        <w:t>Niet gebruiken als de verpakking open of beschadigd is of als de vervaldatum is overschreden.</w:t>
      </w:r>
    </w:p>
    <w:p w14:paraId="287B6E69" w14:textId="77777777" w:rsidR="00C13612" w:rsidRPr="000619BF" w:rsidRDefault="00C13612" w:rsidP="008B131A">
      <w:pPr>
        <w:numPr>
          <w:ilvl w:val="0"/>
          <w:numId w:val="22"/>
        </w:numPr>
        <w:spacing w:after="0" w:afterAutospacing="0" w:line="228" w:lineRule="auto"/>
        <w:ind w:left="360"/>
        <w:contextualSpacing/>
        <w:jc w:val="both"/>
        <w:rPr>
          <w:rFonts w:eastAsia="Times New Roman" w:cs="Times New Roman"/>
          <w:szCs w:val="24"/>
          <w:lang w:val="de-DE"/>
        </w:rPr>
      </w:pPr>
      <w:r>
        <w:rPr>
          <w:rFonts w:eastAsia="Times New Roman" w:cs="Times New Roman"/>
          <w:szCs w:val="24"/>
          <w:lang w:val="nl-NL"/>
        </w:rPr>
        <w:t>Niet doorgaan met gebruik als een van de componenten tijdens de procedure beschadigd raakt.</w:t>
      </w:r>
    </w:p>
    <w:p w14:paraId="22477486" w14:textId="77777777" w:rsidR="00C13612" w:rsidRPr="000619BF" w:rsidRDefault="00C13612" w:rsidP="008B131A">
      <w:pPr>
        <w:numPr>
          <w:ilvl w:val="0"/>
          <w:numId w:val="22"/>
        </w:numPr>
        <w:spacing w:after="0" w:afterAutospacing="0" w:line="228" w:lineRule="auto"/>
        <w:ind w:left="360"/>
        <w:contextualSpacing/>
        <w:jc w:val="both"/>
        <w:rPr>
          <w:rFonts w:eastAsia="Times New Roman" w:cs="Times New Roman"/>
          <w:szCs w:val="24"/>
          <w:lang w:val="de-DE"/>
        </w:rPr>
      </w:pPr>
      <w:r>
        <w:rPr>
          <w:rFonts w:eastAsia="Times New Roman" w:cs="Times New Roman"/>
          <w:szCs w:val="24"/>
          <w:lang w:val="nl-NL"/>
        </w:rPr>
        <w:t>Nitinol is een nikkel-titaniumlegering. Mogelijke reacties kunnen optreden bij patiënten die gevoelig zijn voor nikkel.</w:t>
      </w:r>
    </w:p>
    <w:p w14:paraId="2A4E00BA" w14:textId="77777777" w:rsidR="00C13612" w:rsidRPr="000619BF" w:rsidRDefault="00C13612" w:rsidP="008B131A">
      <w:pPr>
        <w:numPr>
          <w:ilvl w:val="0"/>
          <w:numId w:val="22"/>
        </w:numPr>
        <w:spacing w:after="0" w:afterAutospacing="0" w:line="228" w:lineRule="auto"/>
        <w:ind w:left="360"/>
        <w:contextualSpacing/>
        <w:jc w:val="both"/>
        <w:rPr>
          <w:rFonts w:eastAsia="Times New Roman" w:cs="Times New Roman"/>
          <w:szCs w:val="24"/>
          <w:lang w:val="de-DE"/>
        </w:rPr>
      </w:pPr>
      <w:r>
        <w:rPr>
          <w:rFonts w:eastAsia="Times New Roman" w:cs="Times New Roman"/>
          <w:szCs w:val="24"/>
          <w:lang w:val="nl-NL"/>
        </w:rPr>
        <w:lastRenderedPageBreak/>
        <w:t>Mogelijke reacties kunnen optreden bij patiënten die gevoelig zijn voor platina.</w:t>
      </w:r>
    </w:p>
    <w:p w14:paraId="0D7E98B5" w14:textId="77777777" w:rsidR="00C13612" w:rsidRPr="000619BF" w:rsidRDefault="00C13612" w:rsidP="008B131A">
      <w:pPr>
        <w:keepLines/>
        <w:numPr>
          <w:ilvl w:val="0"/>
          <w:numId w:val="22"/>
        </w:numPr>
        <w:autoSpaceDE w:val="0"/>
        <w:autoSpaceDN w:val="0"/>
        <w:adjustRightInd w:val="0"/>
        <w:spacing w:after="0" w:afterAutospacing="0" w:line="228" w:lineRule="auto"/>
        <w:ind w:left="360"/>
        <w:jc w:val="both"/>
        <w:rPr>
          <w:rFonts w:eastAsia="Times New Roman" w:cs="Times New Roman"/>
          <w:szCs w:val="24"/>
          <w:lang w:val="de-DE"/>
        </w:rPr>
      </w:pPr>
      <w:r>
        <w:rPr>
          <w:rFonts w:eastAsia="Times New Roman" w:cs="Times New Roman"/>
          <w:szCs w:val="24"/>
          <w:lang w:val="nl-NL"/>
        </w:rPr>
        <w:t>Voorzichtigheid is geboden bij het gebruik van dit hulpmiddel voor het verwijderen van een grote fibrinehuls, om het risico van longembolie te minimaliseren.</w:t>
      </w:r>
    </w:p>
    <w:p w14:paraId="4CB50B44" w14:textId="77777777" w:rsidR="00C13612" w:rsidRPr="000619BF" w:rsidRDefault="00C13612" w:rsidP="008B131A">
      <w:pPr>
        <w:keepLines/>
        <w:numPr>
          <w:ilvl w:val="0"/>
          <w:numId w:val="22"/>
        </w:numPr>
        <w:autoSpaceDE w:val="0"/>
        <w:autoSpaceDN w:val="0"/>
        <w:adjustRightInd w:val="0"/>
        <w:spacing w:after="0" w:afterAutospacing="0" w:line="228" w:lineRule="auto"/>
        <w:ind w:left="360"/>
        <w:jc w:val="both"/>
        <w:rPr>
          <w:rFonts w:eastAsia="Times New Roman" w:cs="Times New Roman"/>
          <w:szCs w:val="24"/>
          <w:lang w:val="nl-NL"/>
        </w:rPr>
      </w:pPr>
      <w:r>
        <w:rPr>
          <w:rFonts w:eastAsia="Times New Roman" w:cs="Times New Roman"/>
          <w:szCs w:val="24"/>
          <w:lang w:val="nl-NL"/>
        </w:rPr>
        <w:t>Bij sommige ingrepen kunnen bloedingen optreden via de hub van de leveringskatheter. Een hemostaseklep (niet bijgeleverd) kan aan de afleverkatheter worden bevestigd om het bloeden te beperken, indien nodig of naar oordeel van de arts.</w:t>
      </w:r>
    </w:p>
    <w:p w14:paraId="7C5DC59D" w14:textId="77777777" w:rsidR="0084795E" w:rsidRPr="008B131A" w:rsidRDefault="0084795E" w:rsidP="00FE6595">
      <w:pPr>
        <w:spacing w:after="0" w:afterAutospacing="0" w:line="240" w:lineRule="auto"/>
        <w:ind w:left="792"/>
        <w:rPr>
          <w:rFonts w:cs="Times New Roman"/>
          <w:iCs/>
          <w:sz w:val="16"/>
          <w:szCs w:val="14"/>
          <w:lang w:val="nl-NL"/>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nl-NL"/>
        </w:rPr>
        <w:t>Voorzorgsmaatregelen:</w:t>
      </w:r>
    </w:p>
    <w:p w14:paraId="043EE8E1" w14:textId="19335F09" w:rsidR="00533C0A" w:rsidRPr="000619BF" w:rsidRDefault="00533C0A" w:rsidP="00533C0A">
      <w:pPr>
        <w:numPr>
          <w:ilvl w:val="0"/>
          <w:numId w:val="23"/>
        </w:numPr>
        <w:spacing w:after="0" w:afterAutospacing="0" w:line="240" w:lineRule="auto"/>
        <w:contextualSpacing/>
        <w:jc w:val="both"/>
        <w:rPr>
          <w:rFonts w:eastAsia="Times New Roman" w:cs="Times New Roman"/>
          <w:szCs w:val="24"/>
          <w:lang w:val="de-DE"/>
        </w:rPr>
      </w:pPr>
      <w:r>
        <w:rPr>
          <w:rFonts w:eastAsia="Times New Roman" w:cs="Times New Roman"/>
          <w:szCs w:val="24"/>
          <w:lang w:val="nl-NL"/>
        </w:rPr>
        <w:t>Trekkrachten die tijdens het verwijderen van de fibrinehuls op katheters worden uitgeoefend, kunnen inwendige katheters met een diameter van 6 French of kleiner beschadigen, uitrekken of breken. Gebruik geen overmatige trekkracht bij het verwijderen van de fibrinehuls</w:t>
      </w:r>
      <w:r w:rsidR="007F04F5">
        <w:rPr>
          <w:rFonts w:eastAsia="Times New Roman" w:cs="Times New Roman"/>
          <w:szCs w:val="24"/>
          <w:lang w:val="nl-NL"/>
        </w:rPr>
        <w:t xml:space="preserve"> </w:t>
      </w:r>
      <w:r>
        <w:rPr>
          <w:rFonts w:eastAsia="Times New Roman" w:cs="Times New Roman"/>
          <w:szCs w:val="24"/>
          <w:lang w:val="nl-NL"/>
        </w:rPr>
        <w:t>van katheters met een diameter van 6 French of kleiner.</w:t>
      </w:r>
    </w:p>
    <w:p w14:paraId="7C78A400" w14:textId="77777777" w:rsidR="00533C0A" w:rsidRPr="000619BF" w:rsidRDefault="00533C0A" w:rsidP="00533C0A">
      <w:pPr>
        <w:numPr>
          <w:ilvl w:val="0"/>
          <w:numId w:val="23"/>
        </w:numPr>
        <w:spacing w:after="0" w:afterAutospacing="0" w:line="240" w:lineRule="auto"/>
        <w:contextualSpacing/>
        <w:jc w:val="both"/>
        <w:rPr>
          <w:rFonts w:eastAsia="Times New Roman" w:cs="Times New Roman"/>
          <w:szCs w:val="24"/>
          <w:lang w:val="de-DE"/>
        </w:rPr>
      </w:pPr>
      <w:r>
        <w:rPr>
          <w:rFonts w:eastAsia="Times New Roman" w:cs="Times New Roman"/>
          <w:szCs w:val="24"/>
          <w:lang w:val="nl-NL"/>
        </w:rPr>
        <w:t>Gebruik geen overmatige kracht bij het inbrengen van de katheter via een introducer.</w:t>
      </w:r>
    </w:p>
    <w:p w14:paraId="68E7CD6A" w14:textId="77777777" w:rsidR="009E4BE1" w:rsidRPr="008B131A" w:rsidRDefault="009E4BE1" w:rsidP="00DB582A">
      <w:pPr>
        <w:spacing w:after="0" w:afterAutospacing="0" w:line="240" w:lineRule="auto"/>
        <w:rPr>
          <w:rFonts w:cs="Times New Roman"/>
          <w:b/>
          <w:bCs/>
          <w:iCs/>
          <w:sz w:val="16"/>
          <w:szCs w:val="14"/>
          <w:lang w:val="de-DE"/>
        </w:rPr>
      </w:pPr>
    </w:p>
    <w:p w14:paraId="1F2A8F23" w14:textId="7550D298" w:rsidR="00481A9E" w:rsidRPr="000619BF" w:rsidRDefault="00481A9E" w:rsidP="008B131A">
      <w:pPr>
        <w:spacing w:after="120" w:afterAutospacing="0" w:line="228" w:lineRule="auto"/>
        <w:ind w:firstLine="720"/>
        <w:jc w:val="both"/>
        <w:rPr>
          <w:rFonts w:eastAsia="Times New Roman" w:cs="Times New Roman"/>
          <w:b/>
          <w:szCs w:val="24"/>
          <w:lang w:val="de-DE"/>
        </w:rPr>
      </w:pPr>
      <w:r>
        <w:rPr>
          <w:rFonts w:eastAsia="Times New Roman" w:cs="Times New Roman"/>
          <w:b/>
          <w:bCs/>
          <w:szCs w:val="24"/>
          <w:lang w:val="nl-NL"/>
        </w:rPr>
        <w:t xml:space="preserve">Risico’s en bijwerkingen </w:t>
      </w:r>
    </w:p>
    <w:p w14:paraId="3EC1F3BA" w14:textId="77777777" w:rsidR="00481A9E" w:rsidRPr="000619BF" w:rsidRDefault="00481A9E" w:rsidP="008B131A">
      <w:pPr>
        <w:spacing w:after="0" w:afterAutospacing="0" w:line="216" w:lineRule="auto"/>
        <w:jc w:val="both"/>
        <w:rPr>
          <w:rFonts w:eastAsia="Times New Roman" w:cs="Times New Roman"/>
          <w:szCs w:val="24"/>
          <w:lang w:val="de-DE"/>
        </w:rPr>
      </w:pPr>
      <w:r>
        <w:rPr>
          <w:rFonts w:eastAsia="Times New Roman" w:cs="Times New Roman"/>
          <w:szCs w:val="24"/>
          <w:lang w:val="nl-NL"/>
        </w:rPr>
        <w:t>Mogelijke complicaties zijn onder meer, maar niet uitsluitend:</w:t>
      </w:r>
    </w:p>
    <w:p w14:paraId="31B00162" w14:textId="77777777" w:rsidR="00481A9E" w:rsidRPr="009461CC" w:rsidRDefault="00481A9E" w:rsidP="008B131A">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nl-NL"/>
        </w:rPr>
        <w:t>Embolisatie</w:t>
      </w:r>
    </w:p>
    <w:p w14:paraId="4831EC23" w14:textId="77777777" w:rsidR="00481A9E" w:rsidRPr="009461CC" w:rsidRDefault="00481A9E" w:rsidP="008B131A">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nl-NL"/>
        </w:rPr>
        <w:t>Beroerte</w:t>
      </w:r>
    </w:p>
    <w:p w14:paraId="3E3CC4E5" w14:textId="77777777" w:rsidR="00481A9E" w:rsidRPr="008B131A" w:rsidRDefault="00481A9E" w:rsidP="008B131A">
      <w:pPr>
        <w:widowControl w:val="0"/>
        <w:numPr>
          <w:ilvl w:val="0"/>
          <w:numId w:val="24"/>
        </w:numPr>
        <w:spacing w:after="0" w:afterAutospacing="0" w:line="216" w:lineRule="auto"/>
        <w:contextualSpacing/>
        <w:jc w:val="both"/>
        <w:rPr>
          <w:rFonts w:eastAsia="Times New Roman" w:cs="Times New Roman"/>
          <w:szCs w:val="24"/>
          <w:lang w:val="nb-NO"/>
        </w:rPr>
      </w:pPr>
      <w:r>
        <w:rPr>
          <w:rFonts w:eastAsia="Times New Roman" w:cs="Times New Roman"/>
          <w:szCs w:val="24"/>
          <w:lang w:val="nl-NL"/>
        </w:rPr>
        <w:t>Hartinfarct (afhankelijk van de plaatsing)</w:t>
      </w:r>
    </w:p>
    <w:p w14:paraId="3C5A584A" w14:textId="77777777" w:rsidR="00481A9E" w:rsidRPr="009461CC" w:rsidRDefault="00481A9E" w:rsidP="008B131A">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nl-NL"/>
        </w:rPr>
        <w:t>Longembolie</w:t>
      </w:r>
    </w:p>
    <w:p w14:paraId="70F9D337" w14:textId="77777777" w:rsidR="00481A9E" w:rsidRPr="009461CC" w:rsidRDefault="00481A9E" w:rsidP="008B131A">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nl-NL"/>
        </w:rPr>
        <w:t>Vaatperforatie</w:t>
      </w:r>
    </w:p>
    <w:p w14:paraId="3B28D7FF" w14:textId="77777777" w:rsidR="00481A9E" w:rsidRPr="009461CC" w:rsidRDefault="00481A9E" w:rsidP="008B131A">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nl-NL"/>
        </w:rPr>
        <w:t>Beklemming van het hulpmiddel</w:t>
      </w:r>
    </w:p>
    <w:p w14:paraId="33ABECFB" w14:textId="77777777" w:rsidR="00D558E5" w:rsidRPr="009461CC" w:rsidRDefault="00481A9E" w:rsidP="008B131A">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nl-NL"/>
        </w:rPr>
        <w:t>Bloeding/hemorragie</w:t>
      </w:r>
    </w:p>
    <w:p w14:paraId="0A9BFD81" w14:textId="77777777" w:rsidR="00D558E5" w:rsidRPr="008B131A" w:rsidRDefault="00D558E5" w:rsidP="00D558E5">
      <w:pPr>
        <w:widowControl w:val="0"/>
        <w:spacing w:after="0" w:afterAutospacing="0" w:line="240" w:lineRule="auto"/>
        <w:contextualSpacing/>
        <w:jc w:val="both"/>
        <w:rPr>
          <w:rFonts w:eastAsia="Times New Roman" w:cs="Times New Roman"/>
          <w:sz w:val="8"/>
          <w:szCs w:val="8"/>
        </w:rPr>
      </w:pPr>
    </w:p>
    <w:p w14:paraId="6EEBEC55" w14:textId="65AF2143" w:rsidR="00A80721" w:rsidRPr="009461CC" w:rsidRDefault="00A80721" w:rsidP="008B131A">
      <w:pPr>
        <w:widowControl w:val="0"/>
        <w:spacing w:after="0" w:afterAutospacing="0" w:line="228" w:lineRule="auto"/>
        <w:contextualSpacing/>
        <w:jc w:val="both"/>
        <w:rPr>
          <w:rFonts w:eastAsia="Times New Roman" w:cs="Times New Roman"/>
          <w:szCs w:val="24"/>
        </w:rPr>
      </w:pPr>
      <w:r>
        <w:rPr>
          <w:rFonts w:eastAsia="Times New Roman" w:cs="Times New Roman"/>
          <w:szCs w:val="24"/>
          <w:lang w:val="nl-NL"/>
        </w:rPr>
        <w:t>Klinische voordelen.</w:t>
      </w:r>
    </w:p>
    <w:p w14:paraId="12CF44E5" w14:textId="43FB6807" w:rsidR="00481A9E" w:rsidRPr="008B131A" w:rsidRDefault="00A80721" w:rsidP="008B131A">
      <w:pPr>
        <w:spacing w:after="120" w:afterAutospacing="0" w:line="228" w:lineRule="auto"/>
        <w:jc w:val="both"/>
        <w:rPr>
          <w:rFonts w:eastAsia="Times New Roman" w:cs="Times New Roman"/>
          <w:szCs w:val="24"/>
          <w:lang w:val="nl-NL"/>
        </w:rPr>
      </w:pPr>
      <w:r>
        <w:rPr>
          <w:rFonts w:eastAsia="Times New Roman" w:cs="Times New Roman"/>
          <w:szCs w:val="24"/>
          <w:lang w:val="nl-NL"/>
        </w:rPr>
        <w:t xml:space="preserve">De Atrieve </w:t>
      </w:r>
      <w:r w:rsidR="00F21B6F" w:rsidRPr="00F21B6F">
        <w:rPr>
          <w:rFonts w:cs="Times New Roman"/>
          <w:lang w:val="nl-NL"/>
        </w:rPr>
        <w:t>Vasculaire</w:t>
      </w:r>
      <w:r w:rsidR="00F21B6F" w:rsidDel="00F21B6F">
        <w:rPr>
          <w:rFonts w:eastAsia="Times New Roman" w:cs="Times New Roman"/>
          <w:szCs w:val="24"/>
          <w:lang w:val="nl-NL"/>
        </w:rPr>
        <w:t xml:space="preserve"> </w:t>
      </w:r>
      <w:r>
        <w:rPr>
          <w:rFonts w:eastAsia="Times New Roman" w:cs="Times New Roman"/>
          <w:szCs w:val="24"/>
          <w:lang w:val="nl-NL"/>
        </w:rPr>
        <w:t>Snare biedt de patiënt een direct voordeel doordat vreemde voorwerpen percutaan kunnen worden verwijderd en gemanipuleerd, met minder complicaties en risico’s in vergelijking met een chirurgische ingreep.</w:t>
      </w:r>
    </w:p>
    <w:p w14:paraId="5240AF40" w14:textId="3E5A2DE2" w:rsidR="00042B91" w:rsidRPr="009461CC" w:rsidRDefault="00BB36B1" w:rsidP="008B131A">
      <w:pPr>
        <w:spacing w:after="0" w:afterAutospacing="0" w:line="228" w:lineRule="auto"/>
        <w:rPr>
          <w:rFonts w:cs="Times New Roman"/>
          <w:iCs/>
        </w:rPr>
      </w:pPr>
      <w:r>
        <w:rPr>
          <w:rFonts w:cs="Times New Roman"/>
          <w:lang w:val="nl-NL"/>
        </w:rPr>
        <w:t>Kortstondig, minder dan 60 minuten.</w:t>
      </w:r>
    </w:p>
    <w:p w14:paraId="393C5ED9" w14:textId="77777777" w:rsidR="00E14C97" w:rsidRPr="009461CC" w:rsidRDefault="00E14C97" w:rsidP="008B131A">
      <w:pPr>
        <w:spacing w:after="0" w:afterAutospacing="0" w:line="228" w:lineRule="auto"/>
        <w:rPr>
          <w:rFonts w:cs="Times New Roman"/>
          <w:i/>
          <w:color w:val="FF0000"/>
        </w:rPr>
      </w:pPr>
    </w:p>
    <w:p w14:paraId="09A94B0F" w14:textId="4E664EE0" w:rsidR="00760400" w:rsidRPr="008B131A" w:rsidRDefault="008745ED" w:rsidP="008B131A">
      <w:pPr>
        <w:pStyle w:val="Heading1"/>
        <w:spacing w:line="228" w:lineRule="auto"/>
        <w:rPr>
          <w:rFonts w:cs="Times New Roman"/>
          <w:lang w:val="nb-NO"/>
        </w:rPr>
      </w:pPr>
      <w:bookmarkStart w:id="69" w:name="_Toc222741293"/>
      <w:r>
        <w:rPr>
          <w:rFonts w:cs="Times New Roman"/>
          <w:bCs/>
          <w:lang w:val="nl-NL"/>
        </w:rPr>
        <w:t>Andere relevante veiligheidsaspecten, met inbegrip van een samenvatting van eventuele corrigerende maatregelen in verband met de veiligheid op het terrein (FSCA, met inbegrip van FSN), indien van toepassing</w:t>
      </w:r>
      <w:bookmarkEnd w:id="69"/>
    </w:p>
    <w:p w14:paraId="65E21D1D" w14:textId="58A43005" w:rsidR="004F5057" w:rsidRPr="008B131A" w:rsidRDefault="00FC52C8" w:rsidP="008B131A">
      <w:pPr>
        <w:spacing w:line="228" w:lineRule="auto"/>
        <w:rPr>
          <w:rFonts w:cs="Times New Roman"/>
          <w:lang w:val="nl-NL"/>
        </w:rPr>
      </w:pPr>
      <w:r>
        <w:rPr>
          <w:rFonts w:cs="Times New Roman"/>
          <w:lang w:val="nl-NL"/>
        </w:rPr>
        <w:t>Er hebben zich gedurende de rapportageperiode geen Field Safety Corrective Actions (FSCA) of terugroepacties voorgedaan.</w:t>
      </w:r>
    </w:p>
    <w:p w14:paraId="21FC0F42" w14:textId="6F4CDE71" w:rsidR="008745ED" w:rsidRPr="000619BF" w:rsidRDefault="008745ED" w:rsidP="008B131A">
      <w:pPr>
        <w:pStyle w:val="Heading1"/>
        <w:numPr>
          <w:ilvl w:val="0"/>
          <w:numId w:val="2"/>
        </w:numPr>
        <w:spacing w:line="228" w:lineRule="auto"/>
        <w:rPr>
          <w:rFonts w:cs="Times New Roman"/>
          <w:lang w:val="de-DE"/>
        </w:rPr>
      </w:pPr>
      <w:bookmarkStart w:id="70" w:name="_Toc222741294"/>
      <w:r>
        <w:rPr>
          <w:rFonts w:cs="Times New Roman"/>
          <w:bCs/>
          <w:lang w:val="nl-NL"/>
        </w:rPr>
        <w:t>Samenvatting van de klinische evaluatie en klinische follow-up na het in de handel brengen (PMCF)</w:t>
      </w:r>
      <w:bookmarkEnd w:id="70"/>
    </w:p>
    <w:p w14:paraId="7CA310DE" w14:textId="55A28851" w:rsidR="00DA4404" w:rsidRDefault="00DA4404" w:rsidP="00BD0841">
      <w:pPr>
        <w:spacing w:after="0" w:afterAutospacing="0" w:line="228" w:lineRule="auto"/>
        <w:rPr>
          <w:rFonts w:cs="Times New Roman"/>
          <w:lang w:val="nl-NL"/>
        </w:rPr>
      </w:pPr>
      <w:r>
        <w:rPr>
          <w:rFonts w:cs="Times New Roman"/>
          <w:lang w:val="nl-NL"/>
        </w:rPr>
        <w:t xml:space="preserve">Het Clinical Evaluation Report (CER-029 Rev B) bevestigt dat de Atrieve </w:t>
      </w:r>
      <w:r w:rsidR="00F21B6F" w:rsidRPr="00F21B6F">
        <w:rPr>
          <w:rFonts w:cs="Times New Roman"/>
          <w:lang w:val="nl-NL"/>
        </w:rPr>
        <w:t>Vasculaire</w:t>
      </w:r>
      <w:r w:rsidR="00F21B6F" w:rsidDel="00F21B6F">
        <w:rPr>
          <w:rFonts w:cs="Times New Roman"/>
          <w:lang w:val="nl-NL"/>
        </w:rPr>
        <w:t xml:space="preserve"> </w:t>
      </w:r>
      <w:r w:rsidR="007F04F5">
        <w:rPr>
          <w:rFonts w:cs="Times New Roman"/>
          <w:lang w:val="nl-NL"/>
        </w:rPr>
        <w:t>Snare-kit</w:t>
      </w:r>
      <w:r>
        <w:rPr>
          <w:rFonts w:cs="Times New Roman"/>
          <w:lang w:val="nl-NL"/>
        </w:rPr>
        <w:t xml:space="preserve"> klinisch veilig en effectief is voor het verwijderen en manipuleren van vreemde voorwerpen in het cardiovasculaire systeem. Het wordt voornamelijk gebruikt door getrainde medische professionals bij minimaal invasieve procedures.</w:t>
      </w:r>
    </w:p>
    <w:p w14:paraId="4B3E53B9" w14:textId="77777777" w:rsidR="00BD0841" w:rsidRPr="008B131A" w:rsidRDefault="00BD0841" w:rsidP="008B131A">
      <w:pPr>
        <w:spacing w:after="0" w:afterAutospacing="0" w:line="228" w:lineRule="auto"/>
        <w:rPr>
          <w:rFonts w:cs="Times New Roman"/>
          <w:sz w:val="16"/>
          <w:szCs w:val="14"/>
          <w:lang w:val="nl-NL"/>
        </w:rPr>
      </w:pPr>
    </w:p>
    <w:p w14:paraId="065C32D9" w14:textId="36044E92" w:rsidR="00DA4404" w:rsidRPr="000619BF" w:rsidRDefault="00DA4404" w:rsidP="008B131A">
      <w:pPr>
        <w:spacing w:after="0" w:afterAutospacing="0" w:line="228" w:lineRule="auto"/>
        <w:rPr>
          <w:rFonts w:cs="Times New Roman"/>
          <w:lang w:val="de-DE"/>
        </w:rPr>
      </w:pPr>
      <w:r>
        <w:rPr>
          <w:rFonts w:cs="Times New Roman"/>
          <w:lang w:val="nl-NL"/>
        </w:rPr>
        <w:t>De evaluatie, gebaseerd op literatuuronderzoek, klinische ervaring en post-marketgegevens, toont hoge technische en klinische succespercentages aan. Complicaties zoals bloedingen, embolieën, infecties of allergische reacties zijn zeldzaam en vallen binnen acceptabele klinische grenzen.</w:t>
      </w:r>
    </w:p>
    <w:p w14:paraId="0DAD67AD" w14:textId="4FF5EA89" w:rsidR="00DA4404" w:rsidRDefault="00DA4404" w:rsidP="008B131A">
      <w:pPr>
        <w:spacing w:after="0" w:afterAutospacing="0" w:line="228" w:lineRule="auto"/>
        <w:rPr>
          <w:rFonts w:cs="Times New Roman"/>
          <w:lang w:val="nl-NL"/>
        </w:rPr>
      </w:pPr>
      <w:r>
        <w:rPr>
          <w:rFonts w:cs="Times New Roman"/>
          <w:lang w:val="nl-NL"/>
        </w:rPr>
        <w:lastRenderedPageBreak/>
        <w:t>Er zijn geen nieuwe veiligheidsproblemen of onverwachte risico's vastgesteld. Het hulpmiddel presteert vergelijkbaar met soortgelijke producten op de markt en behoudt een consistent risico-batenprofiel.</w:t>
      </w:r>
    </w:p>
    <w:p w14:paraId="4DC40A78" w14:textId="77777777" w:rsidR="00BD0841" w:rsidRPr="008B131A" w:rsidRDefault="00BD0841" w:rsidP="008B131A">
      <w:pPr>
        <w:spacing w:after="0" w:afterAutospacing="0" w:line="228" w:lineRule="auto"/>
        <w:rPr>
          <w:rFonts w:cs="Times New Roman"/>
          <w:sz w:val="16"/>
          <w:szCs w:val="14"/>
          <w:lang w:val="nl-NL"/>
        </w:rPr>
      </w:pPr>
    </w:p>
    <w:p w14:paraId="745B2F11" w14:textId="506F1A62" w:rsidR="00257EE2" w:rsidRDefault="00DA4404" w:rsidP="008B131A">
      <w:pPr>
        <w:spacing w:after="0" w:afterAutospacing="0" w:line="228" w:lineRule="auto"/>
        <w:rPr>
          <w:rFonts w:cs="Times New Roman"/>
          <w:lang w:val="nl-NL"/>
        </w:rPr>
      </w:pPr>
      <w:r>
        <w:rPr>
          <w:rFonts w:cs="Times New Roman"/>
          <w:lang w:val="nl-NL"/>
        </w:rPr>
        <w:t>Kortom, de Atrieve Snare presteert betrouwbaar en heeft een uitstekende veiligheidsgeschiedenis, wat het voortdurende gebruik ervan in klinische omgevingen rechtvaardigt.</w:t>
      </w:r>
    </w:p>
    <w:p w14:paraId="0294893D" w14:textId="77777777" w:rsidR="00BD0841" w:rsidRPr="008B131A" w:rsidRDefault="00BD0841" w:rsidP="008B131A">
      <w:pPr>
        <w:spacing w:after="0" w:afterAutospacing="0" w:line="228" w:lineRule="auto"/>
        <w:rPr>
          <w:rFonts w:cs="Times New Roman"/>
          <w:sz w:val="16"/>
          <w:szCs w:val="14"/>
          <w:highlight w:val="yellow"/>
          <w:lang w:val="de-DE"/>
        </w:rPr>
      </w:pPr>
    </w:p>
    <w:p w14:paraId="491E112E" w14:textId="43F380B5" w:rsidR="005A5584" w:rsidRDefault="005A5584" w:rsidP="008B131A">
      <w:pPr>
        <w:spacing w:after="0" w:afterAutospacing="0" w:line="228" w:lineRule="auto"/>
        <w:rPr>
          <w:rFonts w:cs="Times New Roman"/>
          <w:lang w:val="nl-NL"/>
        </w:rPr>
      </w:pPr>
      <w:r>
        <w:rPr>
          <w:rFonts w:cs="Times New Roman"/>
          <w:lang w:val="nl-NL"/>
        </w:rPr>
        <w:t>Het Post-Market Clinical Follow-Up Plan (PMCFP) voor Atrieve beschrijft een gestructureerde aanpak om de veiligheid en prestaties na marktintroductie te monitoren. Deze apparaten van klasse III worden gebruikt om vreemde voorwerpen in het cardiovasculaire systeem te verwijderen of te manipuleren en zijn bedoeld voor tijdelijk gebruik.</w:t>
      </w:r>
    </w:p>
    <w:p w14:paraId="740F6086" w14:textId="77777777" w:rsidR="00BD0841" w:rsidRPr="008B131A" w:rsidRDefault="00BD0841" w:rsidP="008B131A">
      <w:pPr>
        <w:spacing w:after="0" w:afterAutospacing="0" w:line="228" w:lineRule="auto"/>
        <w:rPr>
          <w:rFonts w:cs="Times New Roman"/>
          <w:sz w:val="16"/>
          <w:szCs w:val="14"/>
          <w:lang w:val="nl-NL"/>
        </w:rPr>
      </w:pPr>
    </w:p>
    <w:p w14:paraId="72FE8271" w14:textId="5FE4B52E" w:rsidR="00042B91" w:rsidRDefault="005A5584" w:rsidP="00BD0841">
      <w:pPr>
        <w:spacing w:after="0" w:afterAutospacing="0" w:line="228" w:lineRule="auto"/>
        <w:rPr>
          <w:rFonts w:cs="Times New Roman"/>
          <w:lang w:val="nl-NL"/>
        </w:rPr>
      </w:pPr>
      <w:r>
        <w:rPr>
          <w:rFonts w:cs="Times New Roman"/>
          <w:lang w:val="nl-NL"/>
        </w:rPr>
        <w:t>De PMCF-activiteiten zijn gebaseerd op algemene methoden, waaronder jaarlijkse literatuuronderzoeken, monitoring van databases met ongewenste voorvallen (bijv. MAUDE) en analyse van post-market surveillance-rapporten. Deze inspanningen zijn erop gericht de voortdurende veiligheid en effectiviteit te bevestigen, nieuwe risico's te identificeren en gebruik buiten de voorgeschreven indicatie op te sporen. Klinische gegevens van vergelijkbare hulpmiddelen worden ook beoordeeld om uitkomsten te benchmarken.</w:t>
      </w:r>
    </w:p>
    <w:p w14:paraId="2A5D48E2" w14:textId="77777777" w:rsidR="00BD0841" w:rsidRPr="000619BF" w:rsidRDefault="00BD0841" w:rsidP="008B131A">
      <w:pPr>
        <w:spacing w:after="0" w:afterAutospacing="0" w:line="228" w:lineRule="auto"/>
        <w:rPr>
          <w:rFonts w:cs="Times New Roman"/>
          <w:lang w:val="de-DE"/>
        </w:rPr>
      </w:pPr>
    </w:p>
    <w:p w14:paraId="33785C59" w14:textId="7AB0634B" w:rsidR="008745ED" w:rsidRPr="000619BF" w:rsidRDefault="008745ED" w:rsidP="008B131A">
      <w:pPr>
        <w:pStyle w:val="Heading1"/>
        <w:spacing w:line="228" w:lineRule="auto"/>
        <w:rPr>
          <w:rFonts w:cs="Times New Roman"/>
          <w:lang w:val="de-DE"/>
        </w:rPr>
      </w:pPr>
      <w:bookmarkStart w:id="71" w:name="_Toc222741295"/>
      <w:r>
        <w:rPr>
          <w:rFonts w:cs="Times New Roman"/>
          <w:bCs/>
          <w:lang w:val="nl-NL"/>
        </w:rPr>
        <w:t>Samenvatting van klinische gegevens in verband met een gelijkwaardig apparaat, indien van toepassing</w:t>
      </w:r>
      <w:bookmarkEnd w:id="71"/>
      <w:r>
        <w:rPr>
          <w:rFonts w:cs="Times New Roman"/>
          <w:bCs/>
          <w:lang w:val="nl-NL"/>
        </w:rPr>
        <w:t xml:space="preserve"> </w:t>
      </w:r>
    </w:p>
    <w:p w14:paraId="62C65035" w14:textId="2ED3F324" w:rsidR="00B763A0" w:rsidRPr="008B131A" w:rsidRDefault="00F24AE3" w:rsidP="008B131A">
      <w:pPr>
        <w:spacing w:line="228" w:lineRule="auto"/>
        <w:ind w:firstLine="360"/>
        <w:rPr>
          <w:rFonts w:cs="Times New Roman"/>
          <w:lang w:val="nl-NL"/>
        </w:rPr>
      </w:pPr>
      <w:r>
        <w:rPr>
          <w:rFonts w:cs="Times New Roman"/>
          <w:lang w:val="nl-NL"/>
        </w:rPr>
        <w:t>Deze paragraaf is niet van toepassing (n.v.t.).</w:t>
      </w:r>
    </w:p>
    <w:p w14:paraId="46CE7D79" w14:textId="2B10E133" w:rsidR="008745ED" w:rsidRPr="008B131A" w:rsidRDefault="008745ED" w:rsidP="008B131A">
      <w:pPr>
        <w:pStyle w:val="Heading1"/>
        <w:spacing w:line="228" w:lineRule="auto"/>
        <w:rPr>
          <w:rFonts w:cs="Times New Roman"/>
          <w:lang w:val="nb-NO"/>
        </w:rPr>
      </w:pPr>
      <w:bookmarkStart w:id="72" w:name="_Toc222741296"/>
      <w:r>
        <w:rPr>
          <w:rFonts w:cs="Times New Roman"/>
          <w:bCs/>
          <w:lang w:val="nl-NL"/>
        </w:rPr>
        <w:t>Samenvatting van klinische gegevens uit onderzoek van het hulpmiddel vóór de CE-markering, indien van toepassing</w:t>
      </w:r>
      <w:bookmarkEnd w:id="72"/>
      <w:r>
        <w:rPr>
          <w:rFonts w:cs="Times New Roman"/>
          <w:bCs/>
          <w:lang w:val="nl-NL"/>
        </w:rPr>
        <w:t xml:space="preserve"> </w:t>
      </w:r>
    </w:p>
    <w:p w14:paraId="27B7D18D" w14:textId="3346219F" w:rsidR="004846A6" w:rsidRPr="008B131A" w:rsidRDefault="00F604C9" w:rsidP="008B131A">
      <w:pPr>
        <w:spacing w:line="228" w:lineRule="auto"/>
        <w:ind w:left="360"/>
        <w:rPr>
          <w:rFonts w:cs="Times New Roman"/>
          <w:lang w:val="nl-NL"/>
        </w:rPr>
      </w:pPr>
      <w:bookmarkStart w:id="73" w:name="_Hlk196514030"/>
      <w:r>
        <w:rPr>
          <w:rFonts w:cs="Times New Roman"/>
          <w:lang w:val="nl-NL"/>
        </w:rPr>
        <w:t>Deze paragraaf is niet van toepassing (n.v.t.).</w:t>
      </w:r>
    </w:p>
    <w:p w14:paraId="7A896071" w14:textId="00061818" w:rsidR="008745ED" w:rsidRDefault="008745ED" w:rsidP="00BD0841">
      <w:pPr>
        <w:pStyle w:val="Heading1"/>
        <w:spacing w:line="228" w:lineRule="auto"/>
        <w:rPr>
          <w:rFonts w:cs="Times New Roman"/>
          <w:bCs/>
          <w:lang w:val="nl-NL"/>
        </w:rPr>
      </w:pPr>
      <w:bookmarkStart w:id="74" w:name="_Toc222741297"/>
      <w:bookmarkEnd w:id="73"/>
      <w:r>
        <w:rPr>
          <w:rFonts w:cs="Times New Roman"/>
          <w:bCs/>
          <w:lang w:val="nl-NL"/>
        </w:rPr>
        <w:t>Samenvatting van klinische gegevens van andere bronnen, indien van toepassing</w:t>
      </w:r>
      <w:bookmarkEnd w:id="74"/>
      <w:r>
        <w:rPr>
          <w:rFonts w:cs="Times New Roman"/>
          <w:bCs/>
          <w:lang w:val="nl-NL"/>
        </w:rPr>
        <w:t xml:space="preserve"> </w:t>
      </w:r>
    </w:p>
    <w:p w14:paraId="1022B463" w14:textId="77777777" w:rsidR="00BD0841" w:rsidRPr="008B131A" w:rsidRDefault="00BD0841" w:rsidP="008B131A">
      <w:pPr>
        <w:spacing w:after="0" w:afterAutospacing="0"/>
        <w:rPr>
          <w:sz w:val="18"/>
          <w:szCs w:val="16"/>
          <w:lang w:val="nl-NL"/>
        </w:rPr>
      </w:pPr>
    </w:p>
    <w:p w14:paraId="3F1ED76E" w14:textId="5FADBA51" w:rsidR="006C2B68" w:rsidRDefault="0037599D" w:rsidP="008B131A">
      <w:pPr>
        <w:spacing w:after="0" w:afterAutospacing="0" w:line="228" w:lineRule="auto"/>
        <w:rPr>
          <w:rFonts w:eastAsia="Times New Roman" w:cs="Times New Roman"/>
          <w:szCs w:val="24"/>
          <w:lang w:val="nl-NL"/>
        </w:rPr>
      </w:pPr>
      <w:r>
        <w:rPr>
          <w:rFonts w:eastAsia="Times New Roman" w:cs="Times New Roman"/>
          <w:szCs w:val="24"/>
          <w:lang w:val="nl-NL"/>
        </w:rPr>
        <w:t>CER-029 Rev B wordt ondersteund door een uitgebreide beoordeling van externe klinische gegevens, waaronder:</w:t>
      </w:r>
    </w:p>
    <w:p w14:paraId="337A3BFC" w14:textId="77777777" w:rsidR="00BD0841" w:rsidRPr="008B131A" w:rsidRDefault="00BD0841" w:rsidP="008B131A">
      <w:pPr>
        <w:spacing w:after="0" w:afterAutospacing="0" w:line="228" w:lineRule="auto"/>
        <w:rPr>
          <w:rFonts w:eastAsia="Times New Roman" w:cs="Times New Roman"/>
          <w:sz w:val="16"/>
          <w:szCs w:val="16"/>
          <w:lang w:val="de-DE"/>
        </w:rPr>
      </w:pPr>
    </w:p>
    <w:p w14:paraId="421058D0" w14:textId="26D1A572" w:rsidR="00FB1FDD" w:rsidRDefault="00FC5667" w:rsidP="008B131A">
      <w:pPr>
        <w:spacing w:after="0" w:afterAutospacing="0" w:line="228" w:lineRule="auto"/>
        <w:rPr>
          <w:rFonts w:cs="Times New Roman"/>
          <w:lang w:val="nl-NL"/>
        </w:rPr>
      </w:pPr>
      <w:r>
        <w:rPr>
          <w:rFonts w:cs="Times New Roman"/>
          <w:szCs w:val="24"/>
          <w:lang w:val="nl-NL"/>
        </w:rPr>
        <w:t>State-of-the-Art (SOA)-literatuur: Een systematische review van 579 artikelen identificeerde 16 relevante studies over vergelijkbare hulpmiddelen en procedures. Deze onderzoeken toonden hoge technische succespercentages (≥91,2%) en lage complicatiepercentages (≤1,1%) aan, waarmee normen voor veiligheid en prestaties werden vastgesteld.</w:t>
      </w:r>
      <w:r>
        <w:rPr>
          <w:rFonts w:cs="Times New Roman"/>
          <w:lang w:val="nl-NL"/>
        </w:rPr>
        <w:t xml:space="preserve"> </w:t>
      </w:r>
    </w:p>
    <w:p w14:paraId="036982E8" w14:textId="77777777" w:rsidR="00BD0841" w:rsidRPr="008B131A" w:rsidRDefault="00BD0841" w:rsidP="008B131A">
      <w:pPr>
        <w:spacing w:after="0" w:afterAutospacing="0" w:line="228" w:lineRule="auto"/>
        <w:rPr>
          <w:rFonts w:cs="Times New Roman"/>
          <w:sz w:val="16"/>
          <w:szCs w:val="14"/>
          <w:lang w:val="nl-NL"/>
        </w:rPr>
      </w:pPr>
    </w:p>
    <w:p w14:paraId="7C6B59FC" w14:textId="77777777" w:rsidR="00FB1FDD" w:rsidRDefault="00D23267" w:rsidP="008B131A">
      <w:pPr>
        <w:spacing w:after="0" w:afterAutospacing="0" w:line="228" w:lineRule="auto"/>
        <w:rPr>
          <w:rFonts w:cs="Times New Roman"/>
          <w:lang w:val="nl-NL"/>
        </w:rPr>
      </w:pPr>
      <w:r>
        <w:rPr>
          <w:rFonts w:cs="Times New Roman"/>
          <w:szCs w:val="24"/>
          <w:lang w:val="nl-NL"/>
        </w:rPr>
        <w:t>Literatuur over concurrerende hulpmiddelen: Acht studies naar vergelijkbare hulpmiddelen (bijv. EN Snare, GooseNeck, CloverSnare) bevestigden vergelijkbare veiligheids- en werkzaamheidsprofielen, wat de standaardbehandelingsstatus van vasculaire snares versterkt.</w:t>
      </w:r>
      <w:r>
        <w:rPr>
          <w:rFonts w:cs="Times New Roman"/>
          <w:lang w:val="nl-NL"/>
        </w:rPr>
        <w:t xml:space="preserve"> </w:t>
      </w:r>
    </w:p>
    <w:p w14:paraId="2A995B85" w14:textId="77777777" w:rsidR="00BD0841" w:rsidRPr="008B131A" w:rsidRDefault="00BD0841" w:rsidP="008B131A">
      <w:pPr>
        <w:spacing w:after="0" w:afterAutospacing="0" w:line="228" w:lineRule="auto"/>
        <w:rPr>
          <w:rFonts w:cs="Times New Roman"/>
          <w:sz w:val="16"/>
          <w:szCs w:val="14"/>
          <w:lang w:val="nl-NL"/>
        </w:rPr>
      </w:pPr>
    </w:p>
    <w:p w14:paraId="2910073B" w14:textId="4049ACE7" w:rsidR="004846A6" w:rsidRDefault="009B4453" w:rsidP="008B131A">
      <w:pPr>
        <w:spacing w:after="0" w:afterAutospacing="0" w:line="228" w:lineRule="auto"/>
        <w:rPr>
          <w:rFonts w:eastAsia="Times New Roman" w:cs="Times New Roman"/>
          <w:szCs w:val="24"/>
          <w:lang w:val="nl-NL"/>
        </w:rPr>
      </w:pPr>
      <w:r>
        <w:rPr>
          <w:rFonts w:eastAsia="Times New Roman" w:cs="Times New Roman"/>
          <w:szCs w:val="24"/>
          <w:lang w:val="nl-NL"/>
        </w:rPr>
        <w:t>Klinische richtlijnen: Aanbevelingen van professionele verenigingen (bijv. SIR, ESC, KDOQI) ondersteunen het gebruik van percutane verwijderingsmethoden, waaronder lussen, als eerstelijnsbehandeling voor het verwijderen van vreemde voorwerpen uit het cardiovasculaire systeem.</w:t>
      </w:r>
    </w:p>
    <w:p w14:paraId="1BD150CB" w14:textId="77777777" w:rsidR="00BD0841" w:rsidRPr="008B131A" w:rsidRDefault="00BD0841" w:rsidP="008B131A">
      <w:pPr>
        <w:spacing w:after="0" w:afterAutospacing="0" w:line="228" w:lineRule="auto"/>
        <w:rPr>
          <w:rFonts w:eastAsia="Times New Roman" w:cs="Times New Roman"/>
          <w:sz w:val="16"/>
          <w:szCs w:val="16"/>
          <w:lang w:val="nl-NL"/>
        </w:rPr>
      </w:pPr>
    </w:p>
    <w:p w14:paraId="661EF380" w14:textId="29BB1CA1" w:rsidR="00516D79" w:rsidRDefault="00516D79" w:rsidP="008B131A">
      <w:pPr>
        <w:spacing w:after="0" w:afterAutospacing="0" w:line="228" w:lineRule="auto"/>
        <w:rPr>
          <w:rFonts w:eastAsia="Times New Roman" w:cs="Times New Roman"/>
          <w:szCs w:val="24"/>
          <w:lang w:val="nl-NL"/>
        </w:rPr>
      </w:pPr>
      <w:r>
        <w:rPr>
          <w:rFonts w:eastAsia="Times New Roman" w:cs="Times New Roman"/>
          <w:szCs w:val="24"/>
          <w:lang w:val="nl-NL"/>
        </w:rPr>
        <w:t>Literatuur over het betreffende hulpmiddel: Dertien publicaties (waaronder casusverslagen en retrospectieve studies) over Atrieve toonden 100% technisch succes en 94,5% klinisch succes, met minimale ongewenste voorvallen. Sommige prestatiecijfers presteerden iets minder goed dan de SOA-benchmarks, maar bleven binnen acceptabele klinische grenzen.</w:t>
      </w:r>
    </w:p>
    <w:p w14:paraId="5D93CB96" w14:textId="77777777" w:rsidR="00BD0841" w:rsidRPr="008B131A" w:rsidRDefault="00BD0841" w:rsidP="008B131A">
      <w:pPr>
        <w:spacing w:after="0" w:afterAutospacing="0" w:line="228" w:lineRule="auto"/>
        <w:rPr>
          <w:rFonts w:eastAsia="Times New Roman" w:cs="Times New Roman"/>
          <w:sz w:val="16"/>
          <w:szCs w:val="16"/>
          <w:lang w:val="de-DE"/>
        </w:rPr>
      </w:pPr>
    </w:p>
    <w:p w14:paraId="66F22352" w14:textId="28F3CCF3" w:rsidR="004846A6" w:rsidRDefault="004846A6" w:rsidP="008B131A">
      <w:pPr>
        <w:spacing w:after="0" w:afterAutospacing="0" w:line="228" w:lineRule="auto"/>
        <w:rPr>
          <w:rFonts w:eastAsia="Times New Roman" w:cs="Times New Roman"/>
          <w:szCs w:val="24"/>
          <w:lang w:val="nl-NL"/>
        </w:rPr>
      </w:pPr>
      <w:r>
        <w:rPr>
          <w:rFonts w:eastAsia="Times New Roman" w:cs="Times New Roman"/>
          <w:szCs w:val="24"/>
          <w:lang w:val="nl-NL"/>
        </w:rPr>
        <w:lastRenderedPageBreak/>
        <w:t>Daarnaast bevat het rapport Post-Market Surveillance (PMS)-gegevens die zijn verzameld via gestructureerde surveillanceplannen voor het Atrieve-product. Dit omvat het bijhouden van klachten en ongewenste voorvallen gedurende vijf jaar, evenals corrigerende maatregelen. Ondanks de hoge verkoopcijfers wereldwijd, lieten de PMS-gegevens geen nieuwe veiligheidstrends of onverwachte risico's zien, wat het veiligheidsprofiel van de apparaten onder praktijkomstandigheden bevestigt.</w:t>
      </w:r>
    </w:p>
    <w:p w14:paraId="44BA02DA" w14:textId="77777777" w:rsidR="00BD0841" w:rsidRPr="008B131A" w:rsidRDefault="00BD0841" w:rsidP="008B131A">
      <w:pPr>
        <w:spacing w:after="0" w:afterAutospacing="0" w:line="228" w:lineRule="auto"/>
        <w:rPr>
          <w:rFonts w:eastAsia="Times New Roman" w:cs="Times New Roman"/>
          <w:sz w:val="16"/>
          <w:szCs w:val="16"/>
          <w:lang w:val="nl-NL"/>
        </w:rPr>
      </w:pPr>
    </w:p>
    <w:p w14:paraId="6527D03E" w14:textId="73944EC6" w:rsidR="004846A6" w:rsidRDefault="004846A6" w:rsidP="00BD0841">
      <w:pPr>
        <w:spacing w:after="0" w:afterAutospacing="0" w:line="228" w:lineRule="auto"/>
        <w:rPr>
          <w:rFonts w:eastAsia="Times New Roman" w:cs="Times New Roman"/>
          <w:szCs w:val="24"/>
          <w:lang w:val="nl-NL"/>
        </w:rPr>
      </w:pPr>
      <w:r>
        <w:rPr>
          <w:rFonts w:eastAsia="Times New Roman" w:cs="Times New Roman"/>
          <w:szCs w:val="24"/>
          <w:lang w:val="nl-NL"/>
        </w:rPr>
        <w:t>Ten slotte tonen niet-klinische gegevens, waaronder laboratoriumtests en biocompatibiliteitsonderzoeken, aan dat de apparaten voldoen aan alle ontwerp- en wettelijke normen. Hoewel er geen klinische onderzoeken naar deze hulpmiddelen zijn uitgevoerd, werd dit gerechtvaardigd door uitgebreide gegevens uit de literatuur, post-marketbronnen en het gebruik van eerdere generaties hulpmiddelen. Al met al ondersteunen deze verschillende gegevensbronnen gezamenlijk de veiligheid en werkzaamheid van de apparaten in overeenstemming met de EU MDR-vereisten.</w:t>
      </w:r>
    </w:p>
    <w:p w14:paraId="4599C787" w14:textId="77777777" w:rsidR="00BD0841" w:rsidRPr="000619BF" w:rsidRDefault="00BD0841" w:rsidP="008B131A">
      <w:pPr>
        <w:spacing w:after="0" w:afterAutospacing="0" w:line="228" w:lineRule="auto"/>
        <w:rPr>
          <w:rFonts w:eastAsia="Times New Roman" w:cs="Times New Roman"/>
          <w:szCs w:val="24"/>
          <w:lang w:val="de-DE"/>
        </w:rPr>
      </w:pPr>
    </w:p>
    <w:p w14:paraId="0F01E5AD" w14:textId="2BD461FF" w:rsidR="008745ED" w:rsidRPr="000619BF" w:rsidRDefault="008745ED" w:rsidP="008B131A">
      <w:pPr>
        <w:pStyle w:val="Heading1"/>
        <w:spacing w:line="228" w:lineRule="auto"/>
        <w:rPr>
          <w:rFonts w:cs="Times New Roman"/>
          <w:lang w:val="de-DE"/>
        </w:rPr>
      </w:pPr>
      <w:bookmarkStart w:id="75" w:name="_Toc222741298"/>
      <w:r>
        <w:rPr>
          <w:rFonts w:cs="Times New Roman"/>
          <w:bCs/>
          <w:lang w:val="nl-NL"/>
        </w:rPr>
        <w:t>Een globaal overzicht van de klinische prestaties en veiligheid</w:t>
      </w:r>
      <w:bookmarkEnd w:id="75"/>
      <w:r>
        <w:rPr>
          <w:rFonts w:cs="Times New Roman"/>
          <w:bCs/>
          <w:lang w:val="nl-NL"/>
        </w:rPr>
        <w:t xml:space="preserve"> </w:t>
      </w:r>
    </w:p>
    <w:p w14:paraId="7C1B956B" w14:textId="77777777" w:rsidR="009977D7" w:rsidRPr="008B131A" w:rsidRDefault="009977D7" w:rsidP="008B131A">
      <w:pPr>
        <w:spacing w:after="0" w:afterAutospacing="0" w:line="228" w:lineRule="auto"/>
        <w:rPr>
          <w:rFonts w:eastAsia="Times New Roman" w:cs="Times New Roman"/>
          <w:iCs/>
          <w:sz w:val="16"/>
          <w:szCs w:val="16"/>
          <w:lang w:val="de-DE"/>
        </w:rPr>
      </w:pPr>
    </w:p>
    <w:p w14:paraId="068544DB" w14:textId="49AC9DE9" w:rsidR="00D52DF8" w:rsidRPr="000619BF" w:rsidRDefault="00D52DF8" w:rsidP="008B131A">
      <w:pPr>
        <w:spacing w:after="0" w:afterAutospacing="0" w:line="228" w:lineRule="auto"/>
        <w:rPr>
          <w:rFonts w:eastAsia="Times New Roman" w:cs="Times New Roman"/>
          <w:iCs/>
          <w:szCs w:val="24"/>
          <w:lang w:val="de-DE"/>
        </w:rPr>
      </w:pPr>
      <w:r>
        <w:rPr>
          <w:rFonts w:eastAsia="Times New Roman" w:cs="Times New Roman"/>
          <w:szCs w:val="24"/>
          <w:lang w:val="nl-NL"/>
        </w:rPr>
        <w:t xml:space="preserve">Op basis van de X9585730-0321-EU Rev A en CER-029 Rev B voor de Atrieve </w:t>
      </w:r>
      <w:r w:rsidR="00F21B6F" w:rsidRPr="00F21B6F">
        <w:rPr>
          <w:rFonts w:cs="Times New Roman"/>
          <w:lang w:val="nl-NL"/>
        </w:rPr>
        <w:t>Vasculaire</w:t>
      </w:r>
      <w:r w:rsidR="00F21B6F" w:rsidDel="00F21B6F">
        <w:rPr>
          <w:rFonts w:eastAsia="Times New Roman" w:cs="Times New Roman"/>
          <w:szCs w:val="24"/>
          <w:lang w:val="nl-NL"/>
        </w:rPr>
        <w:t xml:space="preserve"> </w:t>
      </w:r>
      <w:r w:rsidR="007F04F5">
        <w:rPr>
          <w:rFonts w:eastAsia="Times New Roman" w:cs="Times New Roman"/>
          <w:szCs w:val="24"/>
          <w:lang w:val="nl-NL"/>
        </w:rPr>
        <w:t>Snare-kit</w:t>
      </w:r>
      <w:r>
        <w:rPr>
          <w:rFonts w:eastAsia="Times New Roman" w:cs="Times New Roman"/>
          <w:szCs w:val="24"/>
          <w:lang w:val="nl-NL"/>
        </w:rPr>
        <w:t xml:space="preserve"> zijn de algemene klinische prestaties en het veiligheidsprofiel van het hulpmiddel gunstig en consistent met de verwachtingen voor het beoogde gebruik.</w:t>
      </w:r>
    </w:p>
    <w:p w14:paraId="3508FD3D" w14:textId="77777777" w:rsidR="002E59B4" w:rsidRPr="008B131A" w:rsidRDefault="002E59B4" w:rsidP="008B131A">
      <w:pPr>
        <w:spacing w:after="0" w:afterAutospacing="0" w:line="228" w:lineRule="auto"/>
        <w:rPr>
          <w:rFonts w:eastAsia="Times New Roman" w:cs="Times New Roman"/>
          <w:iCs/>
          <w:sz w:val="16"/>
          <w:szCs w:val="16"/>
          <w:lang w:val="de-DE"/>
        </w:rPr>
      </w:pPr>
    </w:p>
    <w:p w14:paraId="0A303358" w14:textId="24357A0A" w:rsidR="00C361CA" w:rsidRPr="000619BF" w:rsidRDefault="005C642C" w:rsidP="008B131A">
      <w:pPr>
        <w:spacing w:after="0" w:afterAutospacing="0" w:line="228" w:lineRule="auto"/>
        <w:rPr>
          <w:rFonts w:cs="Times New Roman"/>
          <w:lang w:val="de-DE"/>
        </w:rPr>
      </w:pPr>
      <w:r>
        <w:rPr>
          <w:rFonts w:cs="Times New Roman"/>
          <w:lang w:val="nl-NL"/>
        </w:rPr>
        <w:t xml:space="preserve">Het hulpmiddel is ontworpen voor de </w:t>
      </w:r>
      <w:r>
        <w:rPr>
          <w:rStyle w:val="Strong"/>
          <w:rFonts w:cs="Times New Roman"/>
          <w:lang w:val="nl-NL"/>
        </w:rPr>
        <w:t>percutane verwijdering en manipulatie van vreemde voorwerpen</w:t>
      </w:r>
      <w:r>
        <w:rPr>
          <w:rFonts w:cs="Times New Roman"/>
          <w:lang w:val="nl-NL"/>
        </w:rPr>
        <w:t xml:space="preserve"> in het cardiovasculaire systeem of een hol orgaan. De belangrijkste klinische voordelen zijn onder meer minimaal invasieve verwijdering, een lager risico voor de patiënt en minder complicaties in vergelijking met chirurgische alternatieven.</w:t>
      </w:r>
    </w:p>
    <w:p w14:paraId="0DE0B963" w14:textId="77777777" w:rsidR="005C642C" w:rsidRPr="008B131A" w:rsidRDefault="005C642C" w:rsidP="008B131A">
      <w:pPr>
        <w:spacing w:after="0" w:afterAutospacing="0" w:line="228" w:lineRule="auto"/>
        <w:rPr>
          <w:rFonts w:eastAsia="Times New Roman" w:cs="Times New Roman"/>
          <w:iCs/>
          <w:sz w:val="16"/>
          <w:szCs w:val="16"/>
          <w:lang w:val="de-DE"/>
        </w:rPr>
      </w:pPr>
    </w:p>
    <w:p w14:paraId="2DA4A118" w14:textId="58FE2B84" w:rsidR="00C97841" w:rsidRPr="000619BF" w:rsidRDefault="00B26297" w:rsidP="008B131A">
      <w:pPr>
        <w:spacing w:after="0" w:afterAutospacing="0" w:line="228" w:lineRule="auto"/>
        <w:rPr>
          <w:rFonts w:eastAsia="Times New Roman" w:cs="Times New Roman"/>
          <w:iCs/>
          <w:szCs w:val="24"/>
          <w:lang w:val="de-DE"/>
        </w:rPr>
      </w:pPr>
      <w:r>
        <w:rPr>
          <w:rFonts w:eastAsia="Times New Roman" w:cs="Times New Roman"/>
          <w:szCs w:val="24"/>
          <w:lang w:val="nl-NL"/>
        </w:rPr>
        <w:t>De klinische evaluatie definieert de volgende uitkomstmaten:</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8B131A">
            <w:pPr>
              <w:spacing w:after="0" w:afterAutospacing="0" w:line="216" w:lineRule="auto"/>
              <w:jc w:val="center"/>
              <w:rPr>
                <w:rFonts w:eastAsia="Times New Roman" w:cs="Times New Roman"/>
                <w:b/>
                <w:bCs/>
              </w:rPr>
            </w:pPr>
            <w:r>
              <w:rPr>
                <w:rFonts w:eastAsia="Times New Roman" w:cs="Times New Roman"/>
                <w:b/>
                <w:bCs/>
                <w:lang w:val="nl-NL"/>
              </w:rPr>
              <w:t>Prestatiemetingen</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8B131A">
            <w:pPr>
              <w:spacing w:after="0" w:afterAutospacing="0" w:line="216" w:lineRule="auto"/>
              <w:jc w:val="center"/>
              <w:rPr>
                <w:rFonts w:eastAsia="Times New Roman" w:cs="Times New Roman"/>
                <w:b/>
                <w:bCs/>
              </w:rPr>
            </w:pPr>
            <w:r>
              <w:rPr>
                <w:rFonts w:eastAsia="Times New Roman" w:cs="Times New Roman"/>
                <w:b/>
                <w:bCs/>
                <w:lang w:val="nl-NL"/>
              </w:rPr>
              <w:t>Uitkomstmaat</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8B131A">
            <w:pPr>
              <w:spacing w:after="0" w:afterAutospacing="0" w:line="216" w:lineRule="auto"/>
              <w:jc w:val="center"/>
              <w:rPr>
                <w:rFonts w:eastAsia="Times New Roman" w:cs="Times New Roman"/>
                <w:b/>
                <w:bCs/>
              </w:rPr>
            </w:pPr>
            <w:r>
              <w:rPr>
                <w:rFonts w:eastAsia="Times New Roman" w:cs="Times New Roman"/>
                <w:b/>
                <w:bCs/>
                <w:lang w:val="nl-NL"/>
              </w:rPr>
              <w:t>Definitie</w:t>
            </w:r>
          </w:p>
        </w:tc>
      </w:tr>
      <w:tr w:rsidR="00942C1E" w:rsidRPr="00BD0841"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8B131A">
            <w:pPr>
              <w:spacing w:after="0" w:afterAutospacing="0" w:line="216" w:lineRule="auto"/>
              <w:jc w:val="center"/>
              <w:rPr>
                <w:rFonts w:eastAsia="Times New Roman" w:cs="Times New Roman"/>
              </w:rPr>
            </w:pPr>
            <w:r>
              <w:rPr>
                <w:rFonts w:eastAsia="Times New Roman" w:cs="Times New Roman"/>
                <w:b/>
                <w:bCs/>
                <w:lang w:val="nl-NL"/>
              </w:rPr>
              <w:t>Klinisch succespercentage</w:t>
            </w:r>
          </w:p>
        </w:tc>
        <w:tc>
          <w:tcPr>
            <w:tcW w:w="3514" w:type="pct"/>
            <w:tcMar>
              <w:top w:w="120" w:type="dxa"/>
              <w:left w:w="180" w:type="dxa"/>
              <w:bottom w:w="105" w:type="dxa"/>
              <w:right w:w="120" w:type="dxa"/>
            </w:tcMar>
            <w:hideMark/>
          </w:tcPr>
          <w:p w14:paraId="55E25C25" w14:textId="77777777" w:rsidR="00942C1E" w:rsidRPr="000619BF" w:rsidRDefault="00942C1E" w:rsidP="008B131A">
            <w:pPr>
              <w:spacing w:after="0" w:afterAutospacing="0" w:line="216" w:lineRule="auto"/>
              <w:jc w:val="center"/>
              <w:rPr>
                <w:rFonts w:eastAsia="Times New Roman" w:cs="Times New Roman"/>
                <w:lang w:val="de-DE"/>
              </w:rPr>
            </w:pPr>
            <w:r>
              <w:rPr>
                <w:rFonts w:eastAsia="Times New Roman" w:cs="Times New Roman"/>
                <w:lang w:val="nl-NL"/>
              </w:rPr>
              <w:t>Succesvolle verwijdering/manipulatie van vreemde voorwerpen</w:t>
            </w:r>
          </w:p>
        </w:tc>
      </w:tr>
      <w:tr w:rsidR="00942C1E" w:rsidRPr="007D723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8B131A">
            <w:pPr>
              <w:spacing w:after="0" w:afterAutospacing="0" w:line="216" w:lineRule="auto"/>
              <w:jc w:val="center"/>
              <w:rPr>
                <w:rFonts w:eastAsia="Times New Roman" w:cs="Times New Roman"/>
              </w:rPr>
            </w:pPr>
            <w:r>
              <w:rPr>
                <w:rFonts w:eastAsia="Times New Roman" w:cs="Times New Roman"/>
                <w:b/>
                <w:bCs/>
                <w:lang w:val="nl-NL"/>
              </w:rPr>
              <w:t>Klinisch succespercentage</w:t>
            </w:r>
          </w:p>
        </w:tc>
        <w:tc>
          <w:tcPr>
            <w:tcW w:w="3514" w:type="pct"/>
            <w:tcMar>
              <w:top w:w="120" w:type="dxa"/>
              <w:left w:w="180" w:type="dxa"/>
              <w:bottom w:w="90" w:type="dxa"/>
              <w:right w:w="120" w:type="dxa"/>
            </w:tcMar>
            <w:hideMark/>
          </w:tcPr>
          <w:p w14:paraId="01FCEBA5" w14:textId="77777777" w:rsidR="00942C1E" w:rsidRPr="008B131A" w:rsidRDefault="00942C1E" w:rsidP="008B131A">
            <w:pPr>
              <w:spacing w:after="0" w:afterAutospacing="0" w:line="216" w:lineRule="auto"/>
              <w:jc w:val="center"/>
              <w:rPr>
                <w:rFonts w:eastAsia="Times New Roman" w:cs="Times New Roman"/>
                <w:lang w:val="nl-NL"/>
              </w:rPr>
            </w:pPr>
            <w:r>
              <w:rPr>
                <w:rFonts w:eastAsia="Times New Roman" w:cs="Times New Roman"/>
                <w:lang w:val="nl-NL"/>
              </w:rPr>
              <w:t>Succesvolle verwijdering/manipulatie zonder procedurele complicaties</w:t>
            </w:r>
          </w:p>
        </w:tc>
      </w:tr>
    </w:tbl>
    <w:p w14:paraId="6CABCDF2" w14:textId="77777777" w:rsidR="004F7F77" w:rsidRPr="008B131A" w:rsidRDefault="004F7F77" w:rsidP="008B131A">
      <w:pPr>
        <w:spacing w:after="0" w:afterAutospacing="0" w:line="216" w:lineRule="auto"/>
        <w:rPr>
          <w:rFonts w:eastAsia="Times New Roman" w:cs="Times New Roman"/>
          <w:iCs/>
          <w:szCs w:val="24"/>
          <w:lang w:val="nl-NL"/>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7195"/>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8B131A">
            <w:pPr>
              <w:spacing w:after="0" w:afterAutospacing="0" w:line="216" w:lineRule="auto"/>
              <w:jc w:val="center"/>
              <w:rPr>
                <w:rFonts w:eastAsia="Times New Roman" w:cs="Times New Roman"/>
                <w:b/>
                <w:bCs/>
              </w:rPr>
            </w:pPr>
            <w:r>
              <w:rPr>
                <w:rFonts w:eastAsia="Times New Roman" w:cs="Times New Roman"/>
                <w:b/>
                <w:bCs/>
                <w:lang w:val="nl-NL"/>
              </w:rPr>
              <w:t>Veiligheidsmaatregelen</w:t>
            </w:r>
          </w:p>
        </w:tc>
      </w:tr>
      <w:tr w:rsidR="00607046" w:rsidRPr="009461CC" w14:paraId="6CEF70FC" w14:textId="77777777" w:rsidTr="008B131A">
        <w:trPr>
          <w:tblHeader/>
          <w:tblCellSpacing w:w="15" w:type="dxa"/>
          <w:jc w:val="center"/>
        </w:trPr>
        <w:tc>
          <w:tcPr>
            <w:tcW w:w="3190" w:type="dxa"/>
            <w:shd w:val="clear" w:color="auto" w:fill="F5F5F5"/>
            <w:tcMar>
              <w:top w:w="120" w:type="dxa"/>
              <w:left w:w="180" w:type="dxa"/>
              <w:bottom w:w="105" w:type="dxa"/>
              <w:right w:w="120" w:type="dxa"/>
            </w:tcMar>
            <w:hideMark/>
          </w:tcPr>
          <w:p w14:paraId="7F49FF4D" w14:textId="77777777" w:rsidR="00607046" w:rsidRPr="009461CC" w:rsidRDefault="00607046" w:rsidP="008B131A">
            <w:pPr>
              <w:spacing w:after="0" w:afterAutospacing="0" w:line="216" w:lineRule="auto"/>
              <w:jc w:val="center"/>
              <w:rPr>
                <w:rFonts w:eastAsia="Times New Roman" w:cs="Times New Roman"/>
                <w:b/>
                <w:bCs/>
              </w:rPr>
            </w:pPr>
            <w:r>
              <w:rPr>
                <w:rFonts w:eastAsia="Times New Roman" w:cs="Times New Roman"/>
                <w:b/>
                <w:bCs/>
                <w:lang w:val="nl-NL"/>
              </w:rPr>
              <w:t>Uitkomstmaat</w:t>
            </w:r>
          </w:p>
        </w:tc>
        <w:tc>
          <w:tcPr>
            <w:tcW w:w="7150" w:type="dxa"/>
            <w:shd w:val="clear" w:color="auto" w:fill="F5F5F5"/>
            <w:tcMar>
              <w:top w:w="120" w:type="dxa"/>
              <w:left w:w="180" w:type="dxa"/>
              <w:bottom w:w="105" w:type="dxa"/>
              <w:right w:w="120" w:type="dxa"/>
            </w:tcMar>
            <w:hideMark/>
          </w:tcPr>
          <w:p w14:paraId="54D43B30" w14:textId="77777777" w:rsidR="00607046" w:rsidRPr="009461CC" w:rsidRDefault="00607046" w:rsidP="008B131A">
            <w:pPr>
              <w:spacing w:after="0" w:afterAutospacing="0" w:line="216" w:lineRule="auto"/>
              <w:jc w:val="center"/>
              <w:rPr>
                <w:rFonts w:eastAsia="Times New Roman" w:cs="Times New Roman"/>
                <w:b/>
                <w:bCs/>
              </w:rPr>
            </w:pPr>
            <w:r>
              <w:rPr>
                <w:rFonts w:eastAsia="Times New Roman" w:cs="Times New Roman"/>
                <w:b/>
                <w:bCs/>
                <w:lang w:val="nl-NL"/>
              </w:rPr>
              <w:t>Definitie</w:t>
            </w:r>
          </w:p>
        </w:tc>
      </w:tr>
      <w:tr w:rsidR="00607046" w:rsidRPr="007D723C" w14:paraId="11F5FD97" w14:textId="77777777" w:rsidTr="008B131A">
        <w:trPr>
          <w:tblCellSpacing w:w="15" w:type="dxa"/>
          <w:jc w:val="center"/>
        </w:trPr>
        <w:tc>
          <w:tcPr>
            <w:tcW w:w="3190" w:type="dxa"/>
            <w:tcMar>
              <w:top w:w="120" w:type="dxa"/>
              <w:left w:w="180" w:type="dxa"/>
              <w:bottom w:w="105" w:type="dxa"/>
              <w:right w:w="120" w:type="dxa"/>
            </w:tcMar>
            <w:hideMark/>
          </w:tcPr>
          <w:p w14:paraId="38CE5781" w14:textId="77777777" w:rsidR="00607046" w:rsidRPr="009461CC" w:rsidRDefault="00607046" w:rsidP="008B131A">
            <w:pPr>
              <w:spacing w:after="0" w:afterAutospacing="0" w:line="216" w:lineRule="auto"/>
              <w:jc w:val="center"/>
              <w:rPr>
                <w:rFonts w:eastAsia="Times New Roman" w:cs="Times New Roman"/>
              </w:rPr>
            </w:pPr>
            <w:r>
              <w:rPr>
                <w:rFonts w:eastAsia="Times New Roman" w:cs="Times New Roman"/>
                <w:b/>
                <w:bCs/>
                <w:lang w:val="nl-NL"/>
              </w:rPr>
              <w:t>Procedurele complicaties</w:t>
            </w:r>
          </w:p>
        </w:tc>
        <w:tc>
          <w:tcPr>
            <w:tcW w:w="7150" w:type="dxa"/>
            <w:tcMar>
              <w:top w:w="120" w:type="dxa"/>
              <w:left w:w="180" w:type="dxa"/>
              <w:bottom w:w="105" w:type="dxa"/>
              <w:right w:w="120" w:type="dxa"/>
            </w:tcMar>
            <w:hideMark/>
          </w:tcPr>
          <w:p w14:paraId="5EFFAF53" w14:textId="77777777" w:rsidR="00607046" w:rsidRPr="008B131A" w:rsidRDefault="00607046" w:rsidP="008B131A">
            <w:pPr>
              <w:spacing w:after="0" w:afterAutospacing="0" w:line="216" w:lineRule="auto"/>
              <w:jc w:val="center"/>
              <w:rPr>
                <w:rFonts w:eastAsia="Times New Roman" w:cs="Times New Roman"/>
                <w:lang w:val="nl-NL"/>
              </w:rPr>
            </w:pPr>
            <w:r>
              <w:rPr>
                <w:rFonts w:eastAsia="Times New Roman" w:cs="Times New Roman"/>
                <w:lang w:val="nl-NL"/>
              </w:rPr>
              <w:t>Dit omvat bloedingen, perforaties, embolieën, infecties, allergische reacties en pijn</w:t>
            </w:r>
          </w:p>
        </w:tc>
      </w:tr>
      <w:tr w:rsidR="00607046" w:rsidRPr="007D723C" w14:paraId="6CA744C3" w14:textId="77777777" w:rsidTr="008B131A">
        <w:trPr>
          <w:tblCellSpacing w:w="15" w:type="dxa"/>
          <w:jc w:val="center"/>
        </w:trPr>
        <w:tc>
          <w:tcPr>
            <w:tcW w:w="3190" w:type="dxa"/>
            <w:tcMar>
              <w:top w:w="120" w:type="dxa"/>
              <w:left w:w="180" w:type="dxa"/>
              <w:bottom w:w="90" w:type="dxa"/>
              <w:right w:w="120" w:type="dxa"/>
            </w:tcMar>
            <w:hideMark/>
          </w:tcPr>
          <w:p w14:paraId="250E35B1" w14:textId="77777777" w:rsidR="00607046" w:rsidRPr="009461CC" w:rsidRDefault="00607046" w:rsidP="008B131A">
            <w:pPr>
              <w:spacing w:after="0" w:afterAutospacing="0" w:line="216" w:lineRule="auto"/>
              <w:jc w:val="center"/>
              <w:rPr>
                <w:rFonts w:eastAsia="Times New Roman" w:cs="Times New Roman"/>
              </w:rPr>
            </w:pPr>
            <w:r>
              <w:rPr>
                <w:rFonts w:eastAsia="Times New Roman" w:cs="Times New Roman"/>
                <w:b/>
                <w:bCs/>
                <w:lang w:val="nl-NL"/>
              </w:rPr>
              <w:t>Algemeen complicatiepercentage</w:t>
            </w:r>
          </w:p>
        </w:tc>
        <w:tc>
          <w:tcPr>
            <w:tcW w:w="7150" w:type="dxa"/>
            <w:tcMar>
              <w:top w:w="120" w:type="dxa"/>
              <w:left w:w="180" w:type="dxa"/>
              <w:bottom w:w="90" w:type="dxa"/>
              <w:right w:w="120" w:type="dxa"/>
            </w:tcMar>
            <w:hideMark/>
          </w:tcPr>
          <w:p w14:paraId="2D2E84BE" w14:textId="77777777" w:rsidR="00607046" w:rsidRPr="008B131A" w:rsidRDefault="00607046" w:rsidP="008B131A">
            <w:pPr>
              <w:spacing w:after="0" w:afterAutospacing="0" w:line="216" w:lineRule="auto"/>
              <w:jc w:val="center"/>
              <w:rPr>
                <w:rFonts w:eastAsia="Times New Roman" w:cs="Times New Roman"/>
                <w:lang w:val="nl-NL"/>
              </w:rPr>
            </w:pPr>
            <w:r>
              <w:rPr>
                <w:rFonts w:eastAsia="Times New Roman" w:cs="Times New Roman"/>
                <w:lang w:val="nl-NL"/>
              </w:rPr>
              <w:t>Gecombineerd percentage van alle ongewenste voorvallen tijdens of na de procedure</w:t>
            </w:r>
          </w:p>
        </w:tc>
      </w:tr>
    </w:tbl>
    <w:p w14:paraId="4A64B2C8" w14:textId="77777777" w:rsidR="00607046" w:rsidRPr="008B131A" w:rsidRDefault="00607046" w:rsidP="00C97841">
      <w:pPr>
        <w:spacing w:after="0" w:afterAutospacing="0" w:line="240" w:lineRule="auto"/>
        <w:rPr>
          <w:rFonts w:eastAsia="Times New Roman" w:cs="Times New Roman"/>
          <w:iCs/>
          <w:sz w:val="18"/>
          <w:szCs w:val="18"/>
          <w:lang w:val="nl-NL"/>
        </w:rPr>
      </w:pPr>
    </w:p>
    <w:p w14:paraId="5B675D80" w14:textId="7EB137D4" w:rsidR="00EE18FA" w:rsidRPr="008B131A" w:rsidRDefault="00050F24" w:rsidP="008B131A">
      <w:pPr>
        <w:spacing w:after="0" w:afterAutospacing="0" w:line="228" w:lineRule="auto"/>
        <w:rPr>
          <w:rFonts w:eastAsia="Times New Roman" w:cs="Times New Roman"/>
          <w:iCs/>
          <w:sz w:val="18"/>
          <w:szCs w:val="18"/>
          <w:lang w:val="nb-NO"/>
        </w:rPr>
      </w:pPr>
      <w:r>
        <w:rPr>
          <w:rFonts w:eastAsia="Times New Roman" w:cs="Times New Roman"/>
          <w:szCs w:val="24"/>
          <w:lang w:val="nl-NL"/>
        </w:rPr>
        <w:t xml:space="preserve">Samenvatting van succespercentages voor de uitkomstmaten van de Atrieve </w:t>
      </w:r>
      <w:r w:rsidR="00F21B6F" w:rsidRPr="00F21B6F">
        <w:rPr>
          <w:rFonts w:cs="Times New Roman"/>
          <w:lang w:val="nl-NL"/>
        </w:rPr>
        <w:t>Vasculaire</w:t>
      </w:r>
      <w:r w:rsidR="00F21B6F" w:rsidDel="00F21B6F">
        <w:rPr>
          <w:rFonts w:eastAsia="Times New Roman" w:cs="Times New Roman"/>
          <w:szCs w:val="24"/>
          <w:lang w:val="nl-NL"/>
        </w:rPr>
        <w:t xml:space="preserve"> </w:t>
      </w:r>
      <w:r>
        <w:rPr>
          <w:rFonts w:eastAsia="Times New Roman" w:cs="Times New Roman"/>
          <w:szCs w:val="24"/>
          <w:lang w:val="nl-NL"/>
        </w:rPr>
        <w:t>Snare:</w:t>
      </w:r>
    </w:p>
    <w:p w14:paraId="6387EAAA" w14:textId="6A98A9F8" w:rsidR="00050F24" w:rsidRPr="008B131A" w:rsidRDefault="00050F24" w:rsidP="008B131A">
      <w:pPr>
        <w:pStyle w:val="ListParagraph"/>
        <w:numPr>
          <w:ilvl w:val="0"/>
          <w:numId w:val="27"/>
        </w:numPr>
        <w:spacing w:after="0" w:afterAutospacing="0" w:line="228" w:lineRule="auto"/>
        <w:rPr>
          <w:rFonts w:eastAsia="Times New Roman" w:cs="Times New Roman"/>
          <w:iCs/>
          <w:szCs w:val="24"/>
          <w:lang w:val="nl-NL"/>
        </w:rPr>
      </w:pPr>
      <w:r>
        <w:rPr>
          <w:rFonts w:eastAsia="Times New Roman" w:cs="Times New Roman"/>
          <w:szCs w:val="24"/>
          <w:lang w:val="nl-NL"/>
        </w:rPr>
        <w:t>Het technische succespercentage was met 100% uitstekend.</w:t>
      </w:r>
    </w:p>
    <w:p w14:paraId="70426807" w14:textId="6A68FCB6" w:rsidR="00050F24" w:rsidRPr="000619BF" w:rsidRDefault="00050F24" w:rsidP="008B131A">
      <w:pPr>
        <w:pStyle w:val="ListParagraph"/>
        <w:numPr>
          <w:ilvl w:val="0"/>
          <w:numId w:val="27"/>
        </w:numPr>
        <w:spacing w:after="0" w:afterAutospacing="0" w:line="228" w:lineRule="auto"/>
        <w:rPr>
          <w:rFonts w:eastAsia="Times New Roman" w:cs="Times New Roman"/>
          <w:iCs/>
          <w:szCs w:val="24"/>
          <w:lang w:val="de-DE"/>
        </w:rPr>
      </w:pPr>
      <w:r>
        <w:rPr>
          <w:rFonts w:eastAsia="Times New Roman" w:cs="Times New Roman"/>
          <w:szCs w:val="24"/>
          <w:lang w:val="nl-NL"/>
        </w:rPr>
        <w:lastRenderedPageBreak/>
        <w:t>Het klinisch succespercentage bedroeg 94,5%, iets lager dan de drempel van 97,4%.</w:t>
      </w:r>
    </w:p>
    <w:p w14:paraId="3E9DC071" w14:textId="055EE80D" w:rsidR="00050F24" w:rsidRPr="008B131A" w:rsidRDefault="00050F24" w:rsidP="008B131A">
      <w:pPr>
        <w:pStyle w:val="ListParagraph"/>
        <w:numPr>
          <w:ilvl w:val="0"/>
          <w:numId w:val="27"/>
        </w:numPr>
        <w:spacing w:after="0" w:afterAutospacing="0" w:line="228" w:lineRule="auto"/>
        <w:rPr>
          <w:rFonts w:eastAsia="Times New Roman" w:cs="Times New Roman"/>
          <w:iCs/>
          <w:szCs w:val="24"/>
          <w:lang w:val="nl-NL"/>
        </w:rPr>
      </w:pPr>
      <w:r>
        <w:rPr>
          <w:rFonts w:eastAsia="Times New Roman" w:cs="Times New Roman"/>
          <w:szCs w:val="24"/>
          <w:lang w:val="nl-NL"/>
        </w:rPr>
        <w:t>Het algemene complicatiepercentage, perforatie-/weefselschade en klinisch succes voldeden niet aan de acceptatiecriteria.</w:t>
      </w:r>
    </w:p>
    <w:p w14:paraId="44EC781B" w14:textId="7DA02325" w:rsidR="00050F24" w:rsidRPr="008B131A" w:rsidRDefault="00050F24" w:rsidP="008B131A">
      <w:pPr>
        <w:pStyle w:val="ListParagraph"/>
        <w:numPr>
          <w:ilvl w:val="0"/>
          <w:numId w:val="27"/>
        </w:numPr>
        <w:spacing w:after="0" w:afterAutospacing="0" w:line="228" w:lineRule="auto"/>
        <w:rPr>
          <w:rFonts w:eastAsia="Times New Roman" w:cs="Times New Roman"/>
          <w:iCs/>
          <w:szCs w:val="24"/>
          <w:lang w:val="nb-NO"/>
        </w:rPr>
      </w:pPr>
      <w:r>
        <w:rPr>
          <w:rFonts w:eastAsia="Times New Roman" w:cs="Times New Roman"/>
          <w:szCs w:val="24"/>
          <w:lang w:val="nl-NL"/>
        </w:rPr>
        <w:t>De percentages embolie, pijn en sterfte bedroegen 0% en voldeden aan de criteria.</w:t>
      </w:r>
    </w:p>
    <w:p w14:paraId="05E37DDA" w14:textId="77777777" w:rsidR="00EE18FA" w:rsidRPr="008B131A" w:rsidRDefault="00EE18FA" w:rsidP="008B131A">
      <w:pPr>
        <w:pStyle w:val="ListParagraph"/>
        <w:spacing w:after="0" w:afterAutospacing="0" w:line="228" w:lineRule="auto"/>
        <w:rPr>
          <w:rFonts w:eastAsia="Times New Roman" w:cs="Times New Roman"/>
          <w:iCs/>
          <w:sz w:val="18"/>
          <w:szCs w:val="18"/>
          <w:lang w:val="nb-NO"/>
        </w:rPr>
      </w:pPr>
    </w:p>
    <w:p w14:paraId="3F2FC7C2" w14:textId="2808A8DE" w:rsidR="00050F24" w:rsidRPr="008B131A" w:rsidRDefault="00050F24" w:rsidP="008B131A">
      <w:pPr>
        <w:spacing w:after="0" w:afterAutospacing="0" w:line="228" w:lineRule="auto"/>
        <w:rPr>
          <w:rFonts w:eastAsia="Times New Roman" w:cs="Times New Roman"/>
          <w:iCs/>
          <w:szCs w:val="24"/>
          <w:lang w:val="nb-NO"/>
        </w:rPr>
      </w:pPr>
      <w:r>
        <w:rPr>
          <w:rFonts w:eastAsia="Times New Roman" w:cs="Times New Roman"/>
          <w:szCs w:val="24"/>
          <w:lang w:val="nl-NL"/>
        </w:rPr>
        <w:t>Ondanks dat sommige veiligheidsuitkomstmaten de drempelwaarden overschreden, bleef het baten-risicoprofiel gunstig vanwege het hoge technische succes en de geringe ernst van de complicaties.</w:t>
      </w:r>
    </w:p>
    <w:p w14:paraId="2F8EAFF0" w14:textId="77777777" w:rsidR="00AA7F1D" w:rsidRPr="008B131A" w:rsidRDefault="00AA7F1D" w:rsidP="008B131A">
      <w:pPr>
        <w:spacing w:after="0" w:afterAutospacing="0" w:line="228" w:lineRule="auto"/>
        <w:rPr>
          <w:rFonts w:eastAsia="Times New Roman" w:cs="Times New Roman"/>
          <w:iCs/>
          <w:sz w:val="16"/>
          <w:szCs w:val="16"/>
          <w:lang w:val="nb-NO"/>
        </w:rPr>
      </w:pPr>
    </w:p>
    <w:p w14:paraId="7A0B3597" w14:textId="368C7A32" w:rsidR="00D47200" w:rsidRPr="000619BF" w:rsidRDefault="00AA7F1D" w:rsidP="008B131A">
      <w:pPr>
        <w:spacing w:after="0" w:afterAutospacing="0" w:line="228" w:lineRule="auto"/>
        <w:rPr>
          <w:rFonts w:eastAsia="Times New Roman" w:cs="Times New Roman"/>
          <w:iCs/>
          <w:szCs w:val="24"/>
          <w:lang w:val="de-DE"/>
        </w:rPr>
      </w:pPr>
      <w:r>
        <w:rPr>
          <w:rFonts w:eastAsia="Times New Roman" w:cs="Times New Roman"/>
          <w:szCs w:val="24"/>
          <w:lang w:val="nl-NL"/>
        </w:rPr>
        <w:t>Klinische claims in gebruiksaanwijzing</w:t>
      </w:r>
      <w:r w:rsidR="00BD0841">
        <w:rPr>
          <w:rFonts w:eastAsia="Times New Roman" w:cs="Times New Roman"/>
          <w:szCs w:val="24"/>
          <w:lang w:val="nl-NL"/>
        </w:rPr>
        <w:t xml:space="preserve"> (IFU)</w:t>
      </w:r>
      <w:r>
        <w:rPr>
          <w:rFonts w:eastAsia="Times New Roman" w:cs="Times New Roman"/>
          <w:szCs w:val="24"/>
          <w:lang w:val="nl-NL"/>
        </w:rPr>
        <w:t xml:space="preserve"> en marketingmateriaal</w:t>
      </w:r>
    </w:p>
    <w:p w14:paraId="19E8DAE4" w14:textId="6FB7AAA3" w:rsidR="00EE18FA" w:rsidRPr="008B131A" w:rsidRDefault="00C01A53" w:rsidP="008B131A">
      <w:pPr>
        <w:spacing w:after="0" w:afterAutospacing="0" w:line="228" w:lineRule="auto"/>
        <w:rPr>
          <w:rFonts w:cs="Times New Roman"/>
          <w:iCs/>
          <w:sz w:val="12"/>
          <w:szCs w:val="12"/>
          <w:lang w:val="de-DE"/>
        </w:rPr>
      </w:pPr>
      <w:r>
        <w:rPr>
          <w:rFonts w:cs="Times New Roman"/>
          <w:szCs w:val="24"/>
          <w:lang w:val="nl-NL"/>
        </w:rPr>
        <w:t>De volgende claims worden ondersteund door de klinische evaluatie:</w:t>
      </w:r>
    </w:p>
    <w:p w14:paraId="7925D059" w14:textId="1A5A89DA" w:rsidR="003859AF" w:rsidRPr="000619BF" w:rsidRDefault="003859AF" w:rsidP="008B131A">
      <w:pPr>
        <w:pStyle w:val="ListParagraph"/>
        <w:numPr>
          <w:ilvl w:val="0"/>
          <w:numId w:val="28"/>
        </w:numPr>
        <w:spacing w:after="0" w:afterAutospacing="0" w:line="228" w:lineRule="auto"/>
        <w:rPr>
          <w:rFonts w:cs="Times New Roman"/>
          <w:iCs/>
          <w:szCs w:val="24"/>
          <w:lang w:val="de-DE"/>
        </w:rPr>
      </w:pPr>
      <w:r>
        <w:rPr>
          <w:rFonts w:cs="Times New Roman"/>
          <w:szCs w:val="24"/>
          <w:lang w:val="nl-NL"/>
        </w:rPr>
        <w:t>Percutane verwijdering/manipulatie van vreemde voorwerpen – Ondersteund door 100% technisch succes in de literatuur.</w:t>
      </w:r>
    </w:p>
    <w:p w14:paraId="3AB6E45D" w14:textId="783809AA" w:rsidR="003859AF" w:rsidRPr="008B131A" w:rsidRDefault="003859AF" w:rsidP="008B131A">
      <w:pPr>
        <w:pStyle w:val="ListParagraph"/>
        <w:numPr>
          <w:ilvl w:val="0"/>
          <w:numId w:val="28"/>
        </w:numPr>
        <w:spacing w:after="0" w:afterAutospacing="0" w:line="228" w:lineRule="auto"/>
        <w:rPr>
          <w:rFonts w:cs="Times New Roman"/>
          <w:iCs/>
          <w:szCs w:val="24"/>
          <w:lang w:val="nl-NL"/>
        </w:rPr>
      </w:pPr>
      <w:r>
        <w:rPr>
          <w:rFonts w:cs="Times New Roman"/>
          <w:szCs w:val="24"/>
          <w:lang w:val="nl-NL"/>
        </w:rPr>
        <w:t>Lagere complicatiepercentages dan bij chirurgische interventie – Ondersteund door vergelijkende literatuur en state-of-the-artanalyse.</w:t>
      </w:r>
    </w:p>
    <w:p w14:paraId="15638B58" w14:textId="335CFE86" w:rsidR="003859AF" w:rsidRPr="008B131A" w:rsidRDefault="003859AF" w:rsidP="008B131A">
      <w:pPr>
        <w:pStyle w:val="ListParagraph"/>
        <w:numPr>
          <w:ilvl w:val="0"/>
          <w:numId w:val="28"/>
        </w:numPr>
        <w:spacing w:after="0" w:afterAutospacing="0" w:line="228" w:lineRule="auto"/>
        <w:rPr>
          <w:rFonts w:cs="Times New Roman"/>
          <w:iCs/>
          <w:szCs w:val="24"/>
          <w:lang w:val="nl-NL"/>
        </w:rPr>
      </w:pPr>
      <w:r>
        <w:rPr>
          <w:rFonts w:cs="Times New Roman"/>
          <w:szCs w:val="24"/>
          <w:lang w:val="nl-NL"/>
        </w:rPr>
        <w:t>Gebruik bij aanvullende procedures (bijv. het verwijderen van fibrinehulzen, het herpositioneren van katheters) – Ondersteund door klinische casusrapporten en procedurele richtlijnen.</w:t>
      </w:r>
    </w:p>
    <w:p w14:paraId="351D383E" w14:textId="7EB46C62" w:rsidR="00C01A53" w:rsidRPr="008B131A" w:rsidRDefault="003859AF" w:rsidP="008B131A">
      <w:pPr>
        <w:pStyle w:val="ListParagraph"/>
        <w:numPr>
          <w:ilvl w:val="0"/>
          <w:numId w:val="28"/>
        </w:numPr>
        <w:spacing w:after="0" w:afterAutospacing="0" w:line="228" w:lineRule="auto"/>
        <w:rPr>
          <w:rFonts w:cs="Times New Roman"/>
          <w:iCs/>
          <w:szCs w:val="24"/>
          <w:lang w:val="nb-NO"/>
        </w:rPr>
      </w:pPr>
      <w:r>
        <w:rPr>
          <w:rFonts w:cs="Times New Roman"/>
          <w:szCs w:val="24"/>
          <w:lang w:val="nl-NL"/>
        </w:rPr>
        <w:t>Veilig voor gebruik bij volwassen populaties – Ondersteund door post-market surveillance- en literatuurgegevens.</w:t>
      </w:r>
    </w:p>
    <w:p w14:paraId="68D32F33" w14:textId="77777777" w:rsidR="005D424F" w:rsidRPr="008B131A" w:rsidRDefault="005D424F" w:rsidP="008B131A">
      <w:pPr>
        <w:spacing w:after="0" w:afterAutospacing="0" w:line="228" w:lineRule="auto"/>
        <w:rPr>
          <w:rFonts w:cs="Times New Roman"/>
          <w:iCs/>
          <w:szCs w:val="24"/>
          <w:lang w:val="nb-NO"/>
        </w:rPr>
      </w:pPr>
    </w:p>
    <w:p w14:paraId="76063689" w14:textId="741A1B55" w:rsidR="005D424F" w:rsidRPr="000619BF" w:rsidRDefault="005D424F" w:rsidP="008B131A">
      <w:pPr>
        <w:spacing w:after="0" w:afterAutospacing="0" w:line="228" w:lineRule="auto"/>
        <w:rPr>
          <w:rFonts w:cs="Times New Roman"/>
          <w:iCs/>
          <w:szCs w:val="24"/>
          <w:lang w:val="de-DE"/>
        </w:rPr>
      </w:pPr>
      <w:r>
        <w:rPr>
          <w:rFonts w:cs="Times New Roman"/>
          <w:szCs w:val="24"/>
          <w:lang w:val="nl-NL"/>
        </w:rPr>
        <w:t xml:space="preserve">De Atrieve </w:t>
      </w:r>
      <w:r w:rsidR="00F21B6F" w:rsidRPr="00F21B6F">
        <w:rPr>
          <w:rFonts w:cs="Times New Roman"/>
          <w:lang w:val="nl-NL"/>
        </w:rPr>
        <w:t>Vasculaire</w:t>
      </w:r>
      <w:r w:rsidR="00F21B6F" w:rsidDel="00F21B6F">
        <w:rPr>
          <w:rFonts w:cs="Times New Roman"/>
          <w:szCs w:val="24"/>
          <w:lang w:val="nl-NL"/>
        </w:rPr>
        <w:t xml:space="preserve"> </w:t>
      </w:r>
      <w:r>
        <w:rPr>
          <w:rFonts w:cs="Times New Roman"/>
          <w:szCs w:val="24"/>
          <w:lang w:val="nl-NL"/>
        </w:rPr>
        <w:t>Snares vertonen een gunstig baten-risicoprofiel, met sterke klinische prestaties en veiligheid, ondersteund door literatuur, testen en gegevens na marktintroductie. Ze voldoen aan de wettelijke normen en zijn geschikt voor voortgezet klinisch gebruik.</w:t>
      </w:r>
    </w:p>
    <w:p w14:paraId="653883C0" w14:textId="77777777" w:rsidR="003859AF" w:rsidRPr="000619BF" w:rsidRDefault="003859AF" w:rsidP="008B131A">
      <w:pPr>
        <w:spacing w:after="0" w:afterAutospacing="0" w:line="228" w:lineRule="auto"/>
        <w:rPr>
          <w:rFonts w:cs="Times New Roman"/>
          <w:iCs/>
          <w:szCs w:val="24"/>
          <w:lang w:val="de-DE"/>
        </w:rPr>
      </w:pPr>
    </w:p>
    <w:p w14:paraId="6DCFA27A" w14:textId="12CF0A2D" w:rsidR="00C91927" w:rsidRPr="009461CC" w:rsidRDefault="008745ED" w:rsidP="008B131A">
      <w:pPr>
        <w:pStyle w:val="Heading1"/>
        <w:spacing w:line="228" w:lineRule="auto"/>
        <w:rPr>
          <w:rFonts w:cs="Times New Roman"/>
          <w:color w:val="auto"/>
        </w:rPr>
      </w:pPr>
      <w:bookmarkStart w:id="76" w:name="_Toc222741299"/>
      <w:r>
        <w:rPr>
          <w:rFonts w:cs="Times New Roman"/>
          <w:bCs/>
          <w:color w:val="auto"/>
          <w:lang w:val="nl-NL"/>
        </w:rPr>
        <w:t>Lopende of geplande klinische post-market follow-up</w:t>
      </w:r>
      <w:bookmarkEnd w:id="76"/>
    </w:p>
    <w:p w14:paraId="494CEDC3" w14:textId="7C4A11D9" w:rsidR="0094476E" w:rsidRPr="008B131A" w:rsidRDefault="003B4C77" w:rsidP="008B131A">
      <w:pPr>
        <w:spacing w:line="228" w:lineRule="auto"/>
        <w:rPr>
          <w:rFonts w:cs="Times New Roman"/>
          <w:highlight w:val="yellow"/>
          <w:lang w:val="nl-NL"/>
        </w:rPr>
      </w:pPr>
      <w:r>
        <w:rPr>
          <w:rFonts w:cs="Times New Roman"/>
          <w:lang w:val="nl-NL"/>
        </w:rPr>
        <w:t xml:space="preserve">De klinische follow-up na marktintroductie van de Atrieve </w:t>
      </w:r>
      <w:r w:rsidR="00F21B6F" w:rsidRPr="00F21B6F">
        <w:rPr>
          <w:rFonts w:cs="Times New Roman"/>
          <w:lang w:val="nl-NL"/>
        </w:rPr>
        <w:t>Vasculaire</w:t>
      </w:r>
      <w:r w:rsidR="00F21B6F" w:rsidDel="00F21B6F">
        <w:rPr>
          <w:rFonts w:cs="Times New Roman"/>
          <w:lang w:val="nl-NL"/>
        </w:rPr>
        <w:t xml:space="preserve"> </w:t>
      </w:r>
      <w:r>
        <w:rPr>
          <w:rFonts w:cs="Times New Roman"/>
          <w:lang w:val="nl-NL"/>
        </w:rPr>
        <w:t>Snare wordt uitgevoerd in overeenstemming met PMCFP-029 Rev C en volgt de vereisten van MDR Annex XIV Part B. De PMCF-activiteiten zijn ontworpen om de veiligheid en prestaties van het hulpmiddel in de dagelijkse klinische praktijk proactief te bevestigen, eventuele nieuwe risico’s te identificeren en te verifiëren dat het baten-risicoprofiel acceptabel blijft.</w:t>
      </w:r>
    </w:p>
    <w:p w14:paraId="58642C16" w14:textId="276C8BA1" w:rsidR="00E541DE" w:rsidRPr="008B131A" w:rsidRDefault="00E541DE" w:rsidP="008B131A">
      <w:pPr>
        <w:pStyle w:val="NormalWeb"/>
        <w:spacing w:after="0" w:afterAutospacing="0" w:line="228" w:lineRule="auto"/>
        <w:rPr>
          <w:lang w:val="nb-NO"/>
        </w:rPr>
      </w:pPr>
      <w:r>
        <w:rPr>
          <w:rStyle w:val="Strong"/>
          <w:lang w:val="nl-NL"/>
        </w:rPr>
        <w:t>Lopende PMCF-activiteiten</w:t>
      </w:r>
      <w:r>
        <w:rPr>
          <w:lang w:val="nl-NL"/>
        </w:rPr>
        <w:br/>
        <w:t>De volgende lopende activiteiten zijn gepland gedurende de volledige levenscyclus van het hulpmiddel:</w:t>
      </w:r>
    </w:p>
    <w:p w14:paraId="15FC3A69" w14:textId="31C9D895" w:rsidR="00E541DE" w:rsidRPr="008B131A" w:rsidRDefault="00DE3CC0" w:rsidP="008B131A">
      <w:pPr>
        <w:pStyle w:val="NormalWeb"/>
        <w:numPr>
          <w:ilvl w:val="0"/>
          <w:numId w:val="29"/>
        </w:numPr>
        <w:spacing w:before="0" w:beforeAutospacing="0" w:line="228" w:lineRule="auto"/>
        <w:rPr>
          <w:lang w:val="nb-NO"/>
        </w:rPr>
      </w:pPr>
      <w:r>
        <w:rPr>
          <w:rStyle w:val="Strong"/>
          <w:b w:val="0"/>
          <w:bCs w:val="0"/>
          <w:lang w:val="nl-NL"/>
        </w:rPr>
        <w:t>Jaarlijkse systematische literatuurstudie:</w:t>
      </w:r>
      <w:r>
        <w:rPr>
          <w:lang w:val="nl-NL"/>
        </w:rPr>
        <w:t xml:space="preserve"> Er wordt een gestructureerde review uitgevoerd van gepubliceerde klinische evidentie met betrekking tot vasculaire snares en vergelijkbare hulpmiddelen om nieuwe informatie over veiligheid, prestaties, klinische technieken of opkomende risico’s te identificeren.</w:t>
      </w:r>
    </w:p>
    <w:p w14:paraId="08598FA3" w14:textId="6BDEE605" w:rsidR="00E541DE" w:rsidRPr="008B131A" w:rsidRDefault="00DE3CC0" w:rsidP="008B131A">
      <w:pPr>
        <w:pStyle w:val="NormalWeb"/>
        <w:numPr>
          <w:ilvl w:val="0"/>
          <w:numId w:val="29"/>
        </w:numPr>
        <w:spacing w:line="228" w:lineRule="auto"/>
        <w:rPr>
          <w:lang w:val="nb-NO"/>
        </w:rPr>
      </w:pPr>
      <w:r>
        <w:rPr>
          <w:rStyle w:val="Strong"/>
          <w:b w:val="0"/>
          <w:bCs w:val="0"/>
          <w:lang w:val="nl-NL"/>
        </w:rPr>
        <w:t>Jaarlijkse State-of-the-art (SOA) review:</w:t>
      </w:r>
      <w:r>
        <w:rPr>
          <w:lang w:val="nl-NL"/>
        </w:rPr>
        <w:t xml:space="preserve"> Er wordt een evaluatie uitgevoerd van klinische richtlijnen, internationale standaarden en concurrerende technologieën om te zorgen voor voortdurende afstemming met de huidige klinische en technische praktijk.</w:t>
      </w:r>
    </w:p>
    <w:p w14:paraId="6EE80A3F" w14:textId="77777777" w:rsidR="00E541DE" w:rsidRPr="008B131A" w:rsidRDefault="00E541DE" w:rsidP="008B131A">
      <w:pPr>
        <w:pStyle w:val="NormalWeb"/>
        <w:numPr>
          <w:ilvl w:val="0"/>
          <w:numId w:val="29"/>
        </w:numPr>
        <w:spacing w:line="228" w:lineRule="auto"/>
        <w:rPr>
          <w:lang w:val="nb-NO"/>
        </w:rPr>
      </w:pPr>
      <w:r>
        <w:rPr>
          <w:rStyle w:val="Strong"/>
          <w:b w:val="0"/>
          <w:bCs w:val="0"/>
          <w:lang w:val="nl-NL"/>
        </w:rPr>
        <w:t>Continue evaluatie van gegevens over klachten- en ongewenste voorvallen:</w:t>
      </w:r>
      <w:r>
        <w:rPr>
          <w:lang w:val="nl-NL"/>
        </w:rPr>
        <w:t xml:space="preserve"> Hoewel dit een PMS-activiteit is en geen PMCF-activiteit, worden de belangrijkste bevindingen binnen het PMCF-proces geëvalueerd om te bepalen of aanvullende klinische follow-up vereist is.</w:t>
      </w:r>
    </w:p>
    <w:p w14:paraId="39597E9A" w14:textId="2D65B339" w:rsidR="009E1EBB" w:rsidRPr="008B131A" w:rsidRDefault="009E1EBB" w:rsidP="008B131A">
      <w:pPr>
        <w:pStyle w:val="NormalWeb"/>
        <w:spacing w:line="228" w:lineRule="auto"/>
        <w:rPr>
          <w:lang w:val="nb-NO"/>
        </w:rPr>
      </w:pPr>
      <w:r>
        <w:rPr>
          <w:rStyle w:val="Strong"/>
          <w:lang w:val="nl-NL"/>
        </w:rPr>
        <w:t>Geplande PMCF-activiteiten</w:t>
      </w:r>
      <w:r>
        <w:rPr>
          <w:lang w:val="nl-NL"/>
        </w:rPr>
        <w:br/>
        <w:t>Om gerichte praktijkgegevens te verzamelen over de Atrieve</w:t>
      </w:r>
      <w:r w:rsidR="00F21B6F">
        <w:rPr>
          <w:lang w:val="nl-NL"/>
        </w:rPr>
        <w:t xml:space="preserve"> </w:t>
      </w:r>
      <w:r w:rsidR="00F21B6F" w:rsidRPr="00F21B6F">
        <w:rPr>
          <w:lang w:val="nl-NL"/>
        </w:rPr>
        <w:t>Vasculaire</w:t>
      </w:r>
      <w:r w:rsidR="00F21B6F" w:rsidDel="00F21B6F">
        <w:rPr>
          <w:lang w:val="nl-NL"/>
        </w:rPr>
        <w:t xml:space="preserve"> </w:t>
      </w:r>
      <w:r w:rsidR="007F04F5">
        <w:rPr>
          <w:lang w:val="nl-NL"/>
        </w:rPr>
        <w:t>Snare-kit</w:t>
      </w:r>
      <w:r>
        <w:rPr>
          <w:lang w:val="nl-NL"/>
        </w:rPr>
        <w:t>, is de volgende activiteit gepland:</w:t>
      </w:r>
    </w:p>
    <w:p w14:paraId="395AA027" w14:textId="77777777" w:rsidR="009E1EBB" w:rsidRPr="000619BF" w:rsidRDefault="009E1EBB" w:rsidP="008B131A">
      <w:pPr>
        <w:pStyle w:val="NormalWeb"/>
        <w:numPr>
          <w:ilvl w:val="0"/>
          <w:numId w:val="32"/>
        </w:numPr>
        <w:spacing w:line="228" w:lineRule="auto"/>
        <w:rPr>
          <w:lang w:val="nl-NL"/>
        </w:rPr>
      </w:pPr>
      <w:r>
        <w:rPr>
          <w:rStyle w:val="Strong"/>
          <w:lang w:val="nl-NL"/>
        </w:rPr>
        <w:lastRenderedPageBreak/>
        <w:t>PMCF Physician Survey:</w:t>
      </w:r>
      <w:r>
        <w:rPr>
          <w:lang w:val="nl-NL"/>
        </w:rPr>
        <w:br/>
        <w:t>Er zal een gestructureerde enquête worden uitgevoerd onder klinische gebruikers om hun ervaring met het hulpmiddel vast te leggen, de prestaties in de dagelijkse praktijk te beoordelen en eventuele waargenomen complicaties of onverwachte voorvallen te identificeren. De resultaten van de enquête zullen worden geanalyseerd en opgenomen in het PMCF-evaluatierapport. De bevindingen zullen de basis vormen voor beslissingen over de noodzaak van aanvullende PMCF-activiteiten of updates van het klinisch evaluatierapport (CER) en het risicomanagementrapport (RMR).</w:t>
      </w:r>
    </w:p>
    <w:p w14:paraId="1DED8B40" w14:textId="6397C45C" w:rsidR="00DE0007" w:rsidRPr="000619BF" w:rsidRDefault="00DE0007" w:rsidP="008B131A">
      <w:pPr>
        <w:pStyle w:val="NormalWeb"/>
        <w:spacing w:line="228" w:lineRule="auto"/>
        <w:rPr>
          <w:lang w:val="nl-NL"/>
        </w:rPr>
      </w:pPr>
      <w:r>
        <w:rPr>
          <w:rStyle w:val="Strong"/>
          <w:lang w:val="nl-NL"/>
        </w:rPr>
        <w:t>Rechtvaardiging van de PMCF-aanpak</w:t>
      </w:r>
      <w:r>
        <w:rPr>
          <w:lang w:val="nl-NL"/>
        </w:rPr>
        <w:br/>
        <w:t xml:space="preserve">Op basis van de huidige klinische evaluatie, literatuurgegevens en ervaringen na marktintroductie zijn er geen nieuwe of opkomende risico's geïdentificeerd die een hulpmiddelspecifiek klinisch onderzoek zouden vereisen. De bestaande PMCF-activiteiten, jaarlijkse literatuur- en SOA-reviews, ondersteund door gerichte feedback van artsen, worden voldoende geacht om de voortdurende veiligheid en prestaties van dit gevestigde klasse III-legacyhulpmiddel, de Atrieve </w:t>
      </w:r>
      <w:r w:rsidR="00F21B6F" w:rsidRPr="00F21B6F">
        <w:rPr>
          <w:lang w:val="nl-NL"/>
        </w:rPr>
        <w:t>Vasculaire</w:t>
      </w:r>
      <w:r w:rsidR="00F21B6F" w:rsidDel="00F21B6F">
        <w:rPr>
          <w:lang w:val="nl-NL"/>
        </w:rPr>
        <w:t xml:space="preserve"> </w:t>
      </w:r>
      <w:r w:rsidR="007F04F5">
        <w:rPr>
          <w:lang w:val="nl-NL"/>
        </w:rPr>
        <w:t>Snare-kit</w:t>
      </w:r>
      <w:r>
        <w:rPr>
          <w:lang w:val="nl-NL"/>
        </w:rPr>
        <w:t>, te bevestigen.</w:t>
      </w:r>
    </w:p>
    <w:p w14:paraId="3DA3C9CA" w14:textId="77777777" w:rsidR="005B4422" w:rsidRPr="000619BF" w:rsidRDefault="005B4422" w:rsidP="008B131A">
      <w:pPr>
        <w:pStyle w:val="NormalWeb"/>
        <w:spacing w:before="0" w:beforeAutospacing="0" w:after="0" w:afterAutospacing="0" w:line="228" w:lineRule="auto"/>
        <w:rPr>
          <w:lang w:val="nl-NL"/>
        </w:rPr>
      </w:pPr>
      <w:r>
        <w:rPr>
          <w:rStyle w:val="Strong"/>
          <w:lang w:val="nl-NL"/>
        </w:rPr>
        <w:t>PMCF-rapportage</w:t>
      </w:r>
    </w:p>
    <w:p w14:paraId="5C389055" w14:textId="14E4D114" w:rsidR="0094476E" w:rsidRPr="000619BF" w:rsidRDefault="00B04139" w:rsidP="008B131A">
      <w:pPr>
        <w:pStyle w:val="NormalWeb"/>
        <w:spacing w:before="0" w:beforeAutospacing="0" w:after="0" w:afterAutospacing="0" w:line="228" w:lineRule="auto"/>
        <w:rPr>
          <w:lang w:val="de-DE"/>
        </w:rPr>
      </w:pPr>
      <w:r>
        <w:rPr>
          <w:lang w:val="nl-NL"/>
        </w:rPr>
        <w:t>Een PMCF-rapport wordt op vastgestelde intervallen gegenereerd en telkens wanneer er nieuwe informatie beschikbaar komt die van invloed kan zijn op de baten-risicoprofiel. Alle PMCF-uitkomsten worden gebruikt in het klinisch evaluatierapport (CER), het risicomanagementrapport (RMR) en andere processen na marktintroductie, indien nodig.</w:t>
      </w:r>
    </w:p>
    <w:p w14:paraId="09D946B7" w14:textId="77777777" w:rsidR="007002E4" w:rsidRPr="000619BF" w:rsidRDefault="007002E4" w:rsidP="008B131A">
      <w:pPr>
        <w:pStyle w:val="NormalWeb"/>
        <w:spacing w:before="0" w:beforeAutospacing="0" w:after="0" w:afterAutospacing="0" w:line="228" w:lineRule="auto"/>
        <w:rPr>
          <w:lang w:val="de-DE"/>
        </w:rPr>
      </w:pPr>
    </w:p>
    <w:p w14:paraId="748C3FE5" w14:textId="1D19292C" w:rsidR="00760400" w:rsidRPr="009461CC" w:rsidRDefault="00760400" w:rsidP="008B131A">
      <w:pPr>
        <w:pStyle w:val="Heading1"/>
        <w:numPr>
          <w:ilvl w:val="0"/>
          <w:numId w:val="2"/>
        </w:numPr>
        <w:spacing w:line="228" w:lineRule="auto"/>
        <w:rPr>
          <w:rFonts w:cs="Times New Roman"/>
        </w:rPr>
      </w:pPr>
      <w:bookmarkStart w:id="77" w:name="_Toc222741300"/>
      <w:r>
        <w:rPr>
          <w:rFonts w:cs="Times New Roman"/>
          <w:bCs/>
          <w:lang w:val="nl-NL"/>
        </w:rPr>
        <w:t>Mogelijke diagnostische of therapeutische alternatieven</w:t>
      </w:r>
      <w:bookmarkEnd w:id="77"/>
      <w:r>
        <w:rPr>
          <w:rFonts w:cs="Times New Roman"/>
          <w:bCs/>
          <w:lang w:val="nl-NL"/>
        </w:rPr>
        <w:t xml:space="preserve"> </w:t>
      </w:r>
    </w:p>
    <w:p w14:paraId="60C316BA" w14:textId="4177FF86" w:rsidR="00042B91" w:rsidRPr="000619BF" w:rsidRDefault="008373C6" w:rsidP="008B131A">
      <w:pPr>
        <w:spacing w:line="228" w:lineRule="auto"/>
        <w:rPr>
          <w:rFonts w:cs="Times New Roman"/>
          <w:lang w:val="nl-NL"/>
        </w:rPr>
      </w:pPr>
      <w:r>
        <w:rPr>
          <w:rFonts w:cs="Times New Roman"/>
          <w:lang w:val="nl-NL"/>
        </w:rPr>
        <w:t>Volgens CER-029 Rev B worden drie belangrijke alternatieven voor het verwijderen van vreemde voorwerpen (FB) in het cardiovasculaire systeem geïdentificeerd. Conservatieve behandeling wordt aanbevolen voor asymptomatische patiënten of patiënten met een hoog chirurgisch risico, waarbij nauwlettende monitoring en beeldvorming worden ingezet wanneer een ingreep grotere risico's met zich meebrengt. Minimaal invasieve technieken hebben de voorkeur, waarbij lus-snares, met name gooseneck-snares, veelvuldig worden gebruikt voor zowel standaard- als complexe verwijderingen. Tangen bieden een precieze grip en zijn geschikt voor moeilijke gevallen, zoals gebroken of ingeklemde hulpmiddelen. Een chirurgische verwijdering, zoals een thoracotomie of sternotomie, is een laatste redmiddel vanwege het invasieve karakter en het hogere risico voor de patiënt. Over het algemeen blijft endovasculaire verwijdering de standaardbehandeling, waarbij de behandeling wordt afgestemd op de toestand van de patiënt en de kenmerken van het vreemde voorwerp.</w:t>
      </w:r>
    </w:p>
    <w:p w14:paraId="2CDE6FBF" w14:textId="77777777" w:rsidR="00042B91" w:rsidRPr="000619BF" w:rsidRDefault="00042B91" w:rsidP="008B131A">
      <w:pPr>
        <w:pStyle w:val="Heading1"/>
        <w:numPr>
          <w:ilvl w:val="0"/>
          <w:numId w:val="2"/>
        </w:numPr>
        <w:spacing w:line="228" w:lineRule="auto"/>
        <w:rPr>
          <w:rFonts w:cs="Times New Roman"/>
          <w:lang w:val="de-DE"/>
        </w:rPr>
      </w:pPr>
      <w:bookmarkStart w:id="78" w:name="_Toc222741301"/>
      <w:r>
        <w:rPr>
          <w:rFonts w:cs="Times New Roman"/>
          <w:bCs/>
          <w:lang w:val="nl-NL"/>
        </w:rPr>
        <w:t>Voorgesteld profiel en opleiding van gebruikers</w:t>
      </w:r>
      <w:bookmarkEnd w:id="78"/>
    </w:p>
    <w:p w14:paraId="35173865" w14:textId="0C72FD3E" w:rsidR="00042B91" w:rsidRPr="000619BF" w:rsidRDefault="00A5239F" w:rsidP="008B131A">
      <w:pPr>
        <w:spacing w:after="0" w:afterAutospacing="0" w:line="228" w:lineRule="auto"/>
        <w:rPr>
          <w:rFonts w:eastAsia="Calibri" w:cs="Times New Roman"/>
          <w:szCs w:val="24"/>
          <w:lang w:val="de-DE"/>
        </w:rPr>
      </w:pPr>
      <w:r>
        <w:rPr>
          <w:rFonts w:eastAsia="Calibri" w:cs="Times New Roman"/>
          <w:szCs w:val="24"/>
          <w:lang w:val="nl-NL"/>
        </w:rPr>
        <w:t>Het product is bedoeld voor gebruik door medische professionals en mag uitsluitend worden gebruikt door gekwalificeerd personeel dat vertrouwd is met de techniek.</w:t>
      </w:r>
    </w:p>
    <w:p w14:paraId="21A7D581" w14:textId="77777777" w:rsidR="00A5239F" w:rsidRPr="000619BF" w:rsidRDefault="00A5239F" w:rsidP="008B131A">
      <w:pPr>
        <w:spacing w:after="0" w:afterAutospacing="0" w:line="228" w:lineRule="auto"/>
        <w:rPr>
          <w:rFonts w:cs="Times New Roman"/>
          <w:i/>
          <w:color w:val="FF0000"/>
          <w:highlight w:val="yellow"/>
          <w:lang w:val="de-DE"/>
        </w:rPr>
      </w:pPr>
    </w:p>
    <w:p w14:paraId="7848B753" w14:textId="692785D6" w:rsidR="0037316E" w:rsidRPr="009461CC" w:rsidRDefault="00760400" w:rsidP="008B131A">
      <w:pPr>
        <w:pStyle w:val="Heading1"/>
        <w:numPr>
          <w:ilvl w:val="0"/>
          <w:numId w:val="2"/>
        </w:numPr>
        <w:spacing w:line="228" w:lineRule="auto"/>
        <w:rPr>
          <w:rFonts w:cs="Times New Roman"/>
        </w:rPr>
      </w:pPr>
      <w:bookmarkStart w:id="79" w:name="_Toc222741302"/>
      <w:r>
        <w:rPr>
          <w:rFonts w:cs="Times New Roman"/>
          <w:bCs/>
          <w:lang w:val="nl-NL"/>
        </w:rPr>
        <w:t>Geharmoniseerde normen / gemeenschappelijke specificaties</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8B131A">
            <w:pPr>
              <w:spacing w:after="0" w:afterAutospacing="0" w:line="216" w:lineRule="auto"/>
              <w:jc w:val="center"/>
              <w:rPr>
                <w:rFonts w:cs="Times New Roman"/>
                <w:b/>
                <w:bCs/>
                <w:sz w:val="22"/>
              </w:rPr>
            </w:pPr>
            <w:r>
              <w:rPr>
                <w:rFonts w:cs="Times New Roman"/>
                <w:b/>
                <w:bCs/>
                <w:sz w:val="22"/>
                <w:lang w:val="nl-NL"/>
              </w:rPr>
              <w:t>Argon-nalevingsdatum/versie</w:t>
            </w:r>
          </w:p>
        </w:tc>
        <w:tc>
          <w:tcPr>
            <w:tcW w:w="3871" w:type="pct"/>
          </w:tcPr>
          <w:p w14:paraId="7BCD1036" w14:textId="77777777" w:rsidR="0094168A" w:rsidRPr="009461CC" w:rsidRDefault="0094168A" w:rsidP="008B131A">
            <w:pPr>
              <w:spacing w:after="0" w:afterAutospacing="0" w:line="216" w:lineRule="auto"/>
              <w:jc w:val="center"/>
              <w:rPr>
                <w:rFonts w:cs="Times New Roman"/>
                <w:b/>
                <w:bCs/>
                <w:sz w:val="22"/>
              </w:rPr>
            </w:pPr>
            <w:r>
              <w:rPr>
                <w:rFonts w:cs="Times New Roman"/>
                <w:b/>
                <w:bCs/>
                <w:sz w:val="22"/>
                <w:lang w:val="nl-NL"/>
              </w:rPr>
              <w:t>Normtitel</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8B131A">
            <w:pPr>
              <w:spacing w:after="0" w:afterAutospacing="0" w:line="216" w:lineRule="auto"/>
              <w:jc w:val="center"/>
              <w:rPr>
                <w:rFonts w:cs="Times New Roman"/>
                <w:b/>
                <w:bCs/>
                <w:sz w:val="22"/>
              </w:rPr>
            </w:pPr>
            <w:r>
              <w:rPr>
                <w:rFonts w:cs="Times New Roman"/>
                <w:b/>
                <w:bCs/>
                <w:sz w:val="22"/>
                <w:lang w:val="nl-NL"/>
              </w:rPr>
              <w:t>Etikettering</w:t>
            </w:r>
          </w:p>
        </w:tc>
      </w:tr>
      <w:tr w:rsidR="0094168A" w:rsidRPr="00BD0841" w14:paraId="25DF072C" w14:textId="77777777" w:rsidTr="00293453">
        <w:tc>
          <w:tcPr>
            <w:tcW w:w="1129" w:type="pct"/>
          </w:tcPr>
          <w:p w14:paraId="434B73AC" w14:textId="77777777" w:rsidR="0094168A" w:rsidRPr="009461CC" w:rsidRDefault="0094168A" w:rsidP="008B131A">
            <w:pPr>
              <w:spacing w:after="0" w:afterAutospacing="0" w:line="216" w:lineRule="auto"/>
              <w:rPr>
                <w:rFonts w:cs="Times New Roman"/>
                <w:sz w:val="22"/>
              </w:rPr>
            </w:pPr>
            <w:r>
              <w:rPr>
                <w:rFonts w:eastAsia="Times New Roman" w:cs="Times New Roman"/>
                <w:sz w:val="22"/>
                <w:lang w:val="nl-NL"/>
              </w:rPr>
              <w:t>EN ISO 15223-1:2021</w:t>
            </w:r>
          </w:p>
        </w:tc>
        <w:tc>
          <w:tcPr>
            <w:tcW w:w="3871" w:type="pct"/>
          </w:tcPr>
          <w:p w14:paraId="40A15B1C" w14:textId="77777777" w:rsidR="0094168A" w:rsidRPr="000619BF" w:rsidRDefault="0094168A" w:rsidP="008B131A">
            <w:pPr>
              <w:spacing w:after="0" w:afterAutospacing="0" w:line="216" w:lineRule="auto"/>
              <w:rPr>
                <w:rFonts w:cs="Times New Roman"/>
                <w:sz w:val="22"/>
                <w:lang w:val="de-DE"/>
              </w:rPr>
            </w:pPr>
            <w:r>
              <w:rPr>
                <w:rFonts w:cs="Times New Roman"/>
                <w:sz w:val="22"/>
                <w:lang w:val="nl-NL"/>
              </w:rPr>
              <w:t xml:space="preserve">Medische hulpmiddelen – Symbolen die bij medische hulpmiddelen gebruikt kunnen worden. </w:t>
            </w:r>
          </w:p>
          <w:p w14:paraId="3CEE87DD" w14:textId="6EED97E4" w:rsidR="0094168A" w:rsidRPr="000619BF" w:rsidRDefault="0094168A" w:rsidP="008B131A">
            <w:pPr>
              <w:spacing w:after="0" w:afterAutospacing="0" w:line="216" w:lineRule="auto"/>
              <w:rPr>
                <w:rFonts w:cs="Times New Roman"/>
                <w:sz w:val="22"/>
                <w:lang w:val="de-DE"/>
              </w:rPr>
            </w:pPr>
            <w:r>
              <w:rPr>
                <w:rFonts w:cs="Times New Roman"/>
                <w:sz w:val="22"/>
                <w:lang w:val="nl-NL"/>
              </w:rPr>
              <w:t xml:space="preserve">etiketten, etikettering en te verstrekken informatie – Deel 1: Algemene vereisten. </w:t>
            </w:r>
          </w:p>
        </w:tc>
      </w:tr>
      <w:tr w:rsidR="0094168A" w:rsidRPr="00BD0841" w14:paraId="13723641" w14:textId="77777777" w:rsidTr="00293453">
        <w:tc>
          <w:tcPr>
            <w:tcW w:w="1129" w:type="pct"/>
          </w:tcPr>
          <w:p w14:paraId="7822ED4F" w14:textId="77777777" w:rsidR="0094168A" w:rsidRPr="009461CC" w:rsidRDefault="0094168A" w:rsidP="008B131A">
            <w:pPr>
              <w:spacing w:after="0" w:afterAutospacing="0" w:line="216" w:lineRule="auto"/>
              <w:rPr>
                <w:rFonts w:cs="Times New Roman"/>
                <w:sz w:val="22"/>
              </w:rPr>
            </w:pPr>
            <w:r>
              <w:rPr>
                <w:rFonts w:cs="Times New Roman"/>
                <w:sz w:val="22"/>
                <w:lang w:val="nl-NL"/>
              </w:rPr>
              <w:t>EN ISO 20417:2021</w:t>
            </w:r>
          </w:p>
        </w:tc>
        <w:tc>
          <w:tcPr>
            <w:tcW w:w="3871" w:type="pct"/>
          </w:tcPr>
          <w:p w14:paraId="6EF6F718" w14:textId="77777777" w:rsidR="0094168A" w:rsidRPr="000619BF" w:rsidRDefault="0094168A" w:rsidP="008B131A">
            <w:pPr>
              <w:spacing w:after="0" w:afterAutospacing="0" w:line="216" w:lineRule="auto"/>
              <w:rPr>
                <w:rFonts w:cs="Times New Roman"/>
                <w:sz w:val="22"/>
                <w:lang w:val="de-DE"/>
              </w:rPr>
            </w:pPr>
            <w:r>
              <w:rPr>
                <w:rFonts w:cs="Times New Roman"/>
                <w:sz w:val="22"/>
                <w:lang w:val="nl-NL"/>
              </w:rPr>
              <w:t>Terminologie, symbolen en informatie die bij medische hulpmiddelen wordt geleverd: informatie die door de fabrikant bij medische hulpmiddelen wordt geleverd</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8B131A">
            <w:pPr>
              <w:spacing w:after="0" w:afterAutospacing="0" w:line="216" w:lineRule="auto"/>
              <w:jc w:val="center"/>
              <w:rPr>
                <w:rFonts w:cs="Times New Roman"/>
                <w:b/>
                <w:bCs/>
                <w:sz w:val="22"/>
              </w:rPr>
            </w:pPr>
            <w:r>
              <w:rPr>
                <w:rFonts w:cs="Times New Roman"/>
                <w:b/>
                <w:bCs/>
                <w:sz w:val="22"/>
                <w:lang w:val="nl-NL"/>
              </w:rPr>
              <w:lastRenderedPageBreak/>
              <w:t>Algemene normen – Sterilisatie</w:t>
            </w:r>
          </w:p>
        </w:tc>
      </w:tr>
      <w:tr w:rsidR="0094168A" w:rsidRPr="00BD0841" w14:paraId="7C28E0D3" w14:textId="77777777" w:rsidTr="00293453">
        <w:tc>
          <w:tcPr>
            <w:tcW w:w="1129" w:type="pct"/>
          </w:tcPr>
          <w:p w14:paraId="0416000A" w14:textId="77777777" w:rsidR="0094168A" w:rsidRPr="009461CC" w:rsidRDefault="0094168A" w:rsidP="008B131A">
            <w:pPr>
              <w:spacing w:after="0" w:afterAutospacing="0" w:line="216" w:lineRule="auto"/>
              <w:rPr>
                <w:rFonts w:cs="Times New Roman"/>
                <w:sz w:val="22"/>
              </w:rPr>
            </w:pPr>
            <w:r>
              <w:rPr>
                <w:rFonts w:cs="Times New Roman"/>
                <w:sz w:val="22"/>
                <w:lang w:val="nl-NL"/>
              </w:rPr>
              <w:t>ISO 10555-1:2013</w:t>
            </w:r>
          </w:p>
        </w:tc>
        <w:tc>
          <w:tcPr>
            <w:tcW w:w="3871" w:type="pct"/>
          </w:tcPr>
          <w:p w14:paraId="5B0C265F" w14:textId="77777777" w:rsidR="0094168A" w:rsidRPr="000619BF" w:rsidRDefault="0094168A" w:rsidP="008B131A">
            <w:pPr>
              <w:spacing w:after="0" w:afterAutospacing="0" w:line="216" w:lineRule="auto"/>
              <w:rPr>
                <w:rFonts w:cs="Times New Roman"/>
                <w:sz w:val="22"/>
                <w:lang w:val="de-DE"/>
              </w:rPr>
            </w:pPr>
            <w:r>
              <w:rPr>
                <w:rFonts w:cs="Times New Roman"/>
                <w:sz w:val="22"/>
                <w:lang w:val="nl-NL"/>
              </w:rPr>
              <w:t>Intravasculaire katheters -- Steriele katheters en katheters voor eenmalig gebruik -- Deel 1: Algemene vereisten</w:t>
            </w:r>
          </w:p>
        </w:tc>
      </w:tr>
      <w:tr w:rsidR="0094168A" w:rsidRPr="009461CC" w14:paraId="088E27B4" w14:textId="77777777" w:rsidTr="00293453">
        <w:tc>
          <w:tcPr>
            <w:tcW w:w="1129" w:type="pct"/>
          </w:tcPr>
          <w:p w14:paraId="47460872" w14:textId="77777777" w:rsidR="0094168A" w:rsidRPr="009461CC" w:rsidRDefault="0094168A" w:rsidP="008B131A">
            <w:pPr>
              <w:spacing w:after="0" w:afterAutospacing="0" w:line="216" w:lineRule="auto"/>
              <w:rPr>
                <w:rFonts w:cs="Times New Roman"/>
                <w:sz w:val="22"/>
              </w:rPr>
            </w:pPr>
            <w:r>
              <w:rPr>
                <w:rFonts w:cs="Times New Roman"/>
                <w:sz w:val="22"/>
                <w:lang w:val="nl-NL"/>
              </w:rPr>
              <w:t>EN 556-1:2024</w:t>
            </w:r>
          </w:p>
        </w:tc>
        <w:tc>
          <w:tcPr>
            <w:tcW w:w="3871" w:type="pct"/>
          </w:tcPr>
          <w:p w14:paraId="64BED8C0" w14:textId="77777777" w:rsidR="0094168A" w:rsidRPr="009461CC" w:rsidRDefault="0094168A" w:rsidP="008B131A">
            <w:pPr>
              <w:spacing w:after="0" w:afterAutospacing="0" w:line="216" w:lineRule="auto"/>
              <w:rPr>
                <w:rFonts w:cs="Times New Roman"/>
                <w:sz w:val="22"/>
              </w:rPr>
            </w:pPr>
            <w:r>
              <w:rPr>
                <w:rFonts w:cs="Times New Roman"/>
                <w:sz w:val="22"/>
                <w:lang w:val="nl-NL"/>
              </w:rPr>
              <w:t>Sterilisatie van medische hulpmiddelen. Eisen voor medische hulpmiddelen die als STERIEL moeten worden aangemerkt. Vereisten voor de eindverpakking van gesteriliseerde medische hulpmiddelen</w:t>
            </w:r>
          </w:p>
        </w:tc>
      </w:tr>
      <w:tr w:rsidR="0094168A" w:rsidRPr="007D723C" w14:paraId="4DEE0525" w14:textId="77777777" w:rsidTr="00293453">
        <w:tc>
          <w:tcPr>
            <w:tcW w:w="1129" w:type="pct"/>
          </w:tcPr>
          <w:p w14:paraId="5095D1B9" w14:textId="77777777" w:rsidR="0094168A" w:rsidRPr="009461CC" w:rsidRDefault="0094168A" w:rsidP="008B131A">
            <w:pPr>
              <w:spacing w:after="0" w:afterAutospacing="0" w:line="216" w:lineRule="auto"/>
              <w:rPr>
                <w:rFonts w:cs="Times New Roman"/>
                <w:sz w:val="22"/>
              </w:rPr>
            </w:pPr>
            <w:r>
              <w:rPr>
                <w:rFonts w:cs="Times New Roman"/>
                <w:sz w:val="22"/>
                <w:lang w:val="nl-NL"/>
              </w:rPr>
              <w:t>EN ISO 11135:2019</w:t>
            </w:r>
          </w:p>
        </w:tc>
        <w:tc>
          <w:tcPr>
            <w:tcW w:w="3871" w:type="pct"/>
          </w:tcPr>
          <w:p w14:paraId="1E9B7BED" w14:textId="77777777" w:rsidR="0094168A" w:rsidRPr="008B131A" w:rsidRDefault="0094168A" w:rsidP="008B131A">
            <w:pPr>
              <w:spacing w:after="0" w:afterAutospacing="0" w:line="216" w:lineRule="auto"/>
              <w:rPr>
                <w:rFonts w:cs="Times New Roman"/>
                <w:sz w:val="22"/>
                <w:lang w:val="nl-NL"/>
              </w:rPr>
            </w:pPr>
            <w:r>
              <w:rPr>
                <w:rFonts w:cs="Times New Roman"/>
                <w:sz w:val="22"/>
                <w:lang w:val="nl-NL"/>
              </w:rPr>
              <w:t>Sterilisatie van gezondheidsproducten – Ethyleenoxide – Deel 1: Vereisten voor de ontwikkeling, validatie en routinecontrole van een sterilisatieproces voor medische hulpmiddelen</w:t>
            </w:r>
          </w:p>
        </w:tc>
      </w:tr>
      <w:tr w:rsidR="0094168A" w:rsidRPr="00BD0841" w14:paraId="6B89F042" w14:textId="77777777" w:rsidTr="00293453">
        <w:tc>
          <w:tcPr>
            <w:tcW w:w="1129" w:type="pct"/>
          </w:tcPr>
          <w:p w14:paraId="3F48324F" w14:textId="77777777" w:rsidR="0094168A" w:rsidRPr="009461CC" w:rsidRDefault="0094168A" w:rsidP="008B131A">
            <w:pPr>
              <w:spacing w:after="0" w:afterAutospacing="0" w:line="216" w:lineRule="auto"/>
              <w:rPr>
                <w:rFonts w:cs="Times New Roman"/>
                <w:sz w:val="22"/>
              </w:rPr>
            </w:pPr>
            <w:r>
              <w:rPr>
                <w:rFonts w:cs="Times New Roman"/>
                <w:sz w:val="22"/>
                <w:lang w:val="nl-NL"/>
              </w:rPr>
              <w:t>AAMI TIR28:2016</w:t>
            </w:r>
          </w:p>
          <w:p w14:paraId="4FBEE0AF" w14:textId="77777777" w:rsidR="0094168A" w:rsidRPr="009461CC" w:rsidRDefault="0094168A" w:rsidP="008B131A">
            <w:pPr>
              <w:spacing w:after="0" w:afterAutospacing="0" w:line="216" w:lineRule="auto"/>
              <w:jc w:val="center"/>
              <w:rPr>
                <w:rFonts w:cs="Times New Roman"/>
                <w:sz w:val="22"/>
              </w:rPr>
            </w:pPr>
          </w:p>
        </w:tc>
        <w:tc>
          <w:tcPr>
            <w:tcW w:w="3871" w:type="pct"/>
          </w:tcPr>
          <w:p w14:paraId="68BE6733" w14:textId="77777777" w:rsidR="0094168A" w:rsidRPr="000619BF" w:rsidRDefault="0094168A" w:rsidP="008B131A">
            <w:pPr>
              <w:spacing w:after="0" w:afterAutospacing="0" w:line="216" w:lineRule="auto"/>
              <w:rPr>
                <w:rFonts w:cs="Times New Roman"/>
                <w:sz w:val="22"/>
                <w:lang w:val="fr-FR"/>
              </w:rPr>
            </w:pPr>
            <w:r>
              <w:rPr>
                <w:rFonts w:cs="Times New Roman"/>
                <w:sz w:val="22"/>
                <w:lang w:val="nl-NL"/>
              </w:rPr>
              <w:t>Productacceptatie en procesequivalentie voor ethyleenoxidesterilisatie</w:t>
            </w:r>
          </w:p>
        </w:tc>
      </w:tr>
      <w:tr w:rsidR="0094168A" w:rsidRPr="009461CC" w14:paraId="1E1CCCD6" w14:textId="77777777" w:rsidTr="00293453">
        <w:tc>
          <w:tcPr>
            <w:tcW w:w="1129" w:type="pct"/>
          </w:tcPr>
          <w:p w14:paraId="25D300ED" w14:textId="77777777" w:rsidR="0094168A" w:rsidRPr="009461CC" w:rsidRDefault="0094168A" w:rsidP="008B131A">
            <w:pPr>
              <w:spacing w:after="0" w:afterAutospacing="0" w:line="216" w:lineRule="auto"/>
              <w:jc w:val="center"/>
              <w:rPr>
                <w:rFonts w:cs="Times New Roman"/>
                <w:sz w:val="22"/>
              </w:rPr>
            </w:pPr>
            <w:r>
              <w:rPr>
                <w:rFonts w:cs="Times New Roman"/>
                <w:sz w:val="22"/>
                <w:lang w:val="nl-NL"/>
              </w:rPr>
              <w:t>EN ISO 14644-1:2015</w:t>
            </w:r>
          </w:p>
        </w:tc>
        <w:tc>
          <w:tcPr>
            <w:tcW w:w="3871" w:type="pct"/>
          </w:tcPr>
          <w:p w14:paraId="2AD73BC5" w14:textId="77777777" w:rsidR="0094168A" w:rsidRPr="009461CC" w:rsidRDefault="0094168A" w:rsidP="008B131A">
            <w:pPr>
              <w:spacing w:after="0" w:afterAutospacing="0" w:line="216" w:lineRule="auto"/>
              <w:rPr>
                <w:rFonts w:cs="Times New Roman"/>
                <w:sz w:val="22"/>
              </w:rPr>
            </w:pPr>
            <w:r>
              <w:rPr>
                <w:rFonts w:cs="Times New Roman"/>
                <w:sz w:val="22"/>
                <w:lang w:val="nl-NL"/>
              </w:rPr>
              <w:t>Classificatie van luchtzuiverheid, cleanrooms en bijbehorende gecontroleerde omgevingen. Deel 1: Classificatie van luchtzuiverheid</w:t>
            </w:r>
          </w:p>
        </w:tc>
      </w:tr>
      <w:tr w:rsidR="0094168A" w:rsidRPr="009461CC" w14:paraId="27E7EE41" w14:textId="77777777" w:rsidTr="00293453">
        <w:trPr>
          <w:trHeight w:val="1097"/>
        </w:trPr>
        <w:tc>
          <w:tcPr>
            <w:tcW w:w="1129" w:type="pct"/>
          </w:tcPr>
          <w:p w14:paraId="51EAE02B" w14:textId="77777777" w:rsidR="0094168A" w:rsidRPr="009461CC" w:rsidRDefault="0094168A" w:rsidP="008B131A">
            <w:pPr>
              <w:spacing w:after="0" w:afterAutospacing="0" w:line="216" w:lineRule="auto"/>
              <w:jc w:val="center"/>
              <w:rPr>
                <w:rFonts w:cs="Times New Roman"/>
                <w:sz w:val="22"/>
              </w:rPr>
            </w:pPr>
            <w:r>
              <w:rPr>
                <w:rFonts w:cs="Times New Roman"/>
                <w:sz w:val="22"/>
                <w:lang w:val="nl-NL"/>
              </w:rPr>
              <w:t>EN ISO 14644-2:2015</w:t>
            </w:r>
          </w:p>
        </w:tc>
        <w:tc>
          <w:tcPr>
            <w:tcW w:w="3871" w:type="pct"/>
          </w:tcPr>
          <w:p w14:paraId="3AA6B4D4" w14:textId="77777777" w:rsidR="0094168A" w:rsidRPr="008B131A" w:rsidRDefault="0094168A" w:rsidP="008B131A">
            <w:pPr>
              <w:spacing w:after="0" w:afterAutospacing="0" w:line="216" w:lineRule="auto"/>
              <w:rPr>
                <w:rFonts w:cs="Times New Roman"/>
                <w:sz w:val="22"/>
                <w:lang w:val="nl-NL"/>
              </w:rPr>
            </w:pPr>
            <w:r>
              <w:rPr>
                <w:rFonts w:cs="Times New Roman"/>
                <w:sz w:val="22"/>
                <w:lang w:val="nl-NL"/>
              </w:rPr>
              <w:t xml:space="preserve">Cleanrooms en bijbehorende gecontroleerde omgevingen – Deel 2: Monitoring om bewijs te leveren van cleanroomprestaties. </w:t>
            </w:r>
          </w:p>
          <w:p w14:paraId="2873EF60" w14:textId="77777777" w:rsidR="0094168A" w:rsidRPr="008B131A" w:rsidRDefault="0094168A" w:rsidP="008B131A">
            <w:pPr>
              <w:spacing w:after="0" w:afterAutospacing="0" w:line="216" w:lineRule="auto"/>
              <w:rPr>
                <w:rFonts w:cs="Times New Roman"/>
                <w:sz w:val="22"/>
                <w:lang w:val="nb-NO"/>
              </w:rPr>
            </w:pPr>
            <w:r>
              <w:rPr>
                <w:rFonts w:cs="Times New Roman"/>
                <w:sz w:val="22"/>
                <w:lang w:val="nl-NL"/>
              </w:rPr>
              <w:t xml:space="preserve">prestaties met betrekking tot luchtzuiverheid door deeltjes. </w:t>
            </w:r>
          </w:p>
          <w:p w14:paraId="02B2FEDC" w14:textId="77777777" w:rsidR="0094168A" w:rsidRPr="009461CC" w:rsidRDefault="0094168A" w:rsidP="008B131A">
            <w:pPr>
              <w:spacing w:after="0" w:afterAutospacing="0" w:line="216" w:lineRule="auto"/>
              <w:rPr>
                <w:rFonts w:cs="Times New Roman"/>
                <w:sz w:val="22"/>
              </w:rPr>
            </w:pPr>
            <w:r>
              <w:rPr>
                <w:rFonts w:cs="Times New Roman"/>
                <w:sz w:val="22"/>
                <w:lang w:val="nl-NL"/>
              </w:rPr>
              <w:t>concentratie</w:t>
            </w:r>
          </w:p>
        </w:tc>
      </w:tr>
      <w:tr w:rsidR="0094168A" w:rsidRPr="007D723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8B131A">
            <w:pPr>
              <w:spacing w:after="0" w:afterAutospacing="0" w:line="216" w:lineRule="auto"/>
              <w:jc w:val="center"/>
              <w:rPr>
                <w:rFonts w:cs="Times New Roman"/>
                <w:sz w:val="22"/>
              </w:rPr>
            </w:pPr>
            <w:r>
              <w:rPr>
                <w:rFonts w:eastAsia="Times New Roman" w:cs="Times New Roman"/>
                <w:sz w:val="22"/>
                <w:lang w:val="nl-NL"/>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8B131A" w:rsidRDefault="0094168A" w:rsidP="008B131A">
            <w:pPr>
              <w:spacing w:after="0" w:afterAutospacing="0" w:line="216" w:lineRule="auto"/>
              <w:rPr>
                <w:rFonts w:cs="Times New Roman"/>
                <w:sz w:val="22"/>
                <w:lang w:val="nl-NL"/>
              </w:rPr>
            </w:pPr>
            <w:r>
              <w:rPr>
                <w:rFonts w:eastAsia="Times New Roman" w:cs="Times New Roman"/>
                <w:sz w:val="22"/>
                <w:lang w:val="nl-NL"/>
              </w:rPr>
              <w:t>Sterilisatie van medische hulpmiddelen – Microbiologische methodes – Deel 1: Vaststelling van een populatie van micro-organismen op producten</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8B131A">
            <w:pPr>
              <w:spacing w:after="0" w:afterAutospacing="0" w:line="216" w:lineRule="auto"/>
              <w:jc w:val="center"/>
              <w:rPr>
                <w:rFonts w:cs="Times New Roman"/>
                <w:sz w:val="22"/>
              </w:rPr>
            </w:pPr>
            <w:r>
              <w:rPr>
                <w:rFonts w:eastAsia="Times New Roman" w:cs="Times New Roman"/>
                <w:sz w:val="22"/>
                <w:lang w:val="nl-NL"/>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8B131A">
            <w:pPr>
              <w:spacing w:after="0" w:afterAutospacing="0" w:line="216" w:lineRule="auto"/>
              <w:rPr>
                <w:rFonts w:cs="Times New Roman"/>
                <w:sz w:val="22"/>
              </w:rPr>
            </w:pPr>
            <w:r>
              <w:rPr>
                <w:rFonts w:eastAsia="Times New Roman" w:cs="Times New Roman"/>
                <w:sz w:val="22"/>
                <w:lang w:val="nl-NL"/>
              </w:rPr>
              <w:t>Biologische evaluatie van medische hulpmiddelen. Ethyleenoxide sterilisatieresidu's</w:t>
            </w:r>
          </w:p>
        </w:tc>
      </w:tr>
      <w:tr w:rsidR="0094168A" w:rsidRPr="009461CC" w14:paraId="255576C7" w14:textId="77777777" w:rsidTr="00293453">
        <w:tc>
          <w:tcPr>
            <w:tcW w:w="1129" w:type="pct"/>
          </w:tcPr>
          <w:p w14:paraId="3E855248" w14:textId="77777777" w:rsidR="0094168A" w:rsidRPr="009461CC" w:rsidRDefault="0094168A" w:rsidP="008B131A">
            <w:pPr>
              <w:spacing w:after="0" w:afterAutospacing="0" w:line="216" w:lineRule="auto"/>
              <w:rPr>
                <w:rFonts w:cs="Times New Roman"/>
                <w:sz w:val="22"/>
              </w:rPr>
            </w:pPr>
            <w:r>
              <w:rPr>
                <w:rFonts w:cs="Times New Roman"/>
                <w:sz w:val="22"/>
                <w:lang w:val="nl-NL"/>
              </w:rPr>
              <w:t>NSI/AAMI ST72:2019</w:t>
            </w:r>
          </w:p>
        </w:tc>
        <w:tc>
          <w:tcPr>
            <w:tcW w:w="3871" w:type="pct"/>
          </w:tcPr>
          <w:p w14:paraId="1BB2618F" w14:textId="77777777" w:rsidR="0094168A" w:rsidRPr="009461CC" w:rsidRDefault="0094168A" w:rsidP="008B131A">
            <w:pPr>
              <w:spacing w:after="0" w:afterAutospacing="0" w:line="216" w:lineRule="auto"/>
              <w:rPr>
                <w:rFonts w:cs="Times New Roman"/>
                <w:sz w:val="22"/>
              </w:rPr>
            </w:pPr>
            <w:r>
              <w:rPr>
                <w:rFonts w:cs="Times New Roman"/>
                <w:sz w:val="22"/>
                <w:lang w:val="nl-NL"/>
              </w:rPr>
              <w:t>Bacteriële endotoxinetest</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8B131A">
            <w:pPr>
              <w:spacing w:after="0" w:afterAutospacing="0" w:line="216" w:lineRule="auto"/>
              <w:jc w:val="center"/>
              <w:rPr>
                <w:rFonts w:cs="Times New Roman"/>
                <w:b/>
                <w:bCs/>
                <w:sz w:val="22"/>
              </w:rPr>
            </w:pPr>
            <w:r>
              <w:rPr>
                <w:rFonts w:cs="Times New Roman"/>
                <w:b/>
                <w:bCs/>
                <w:sz w:val="22"/>
                <w:lang w:val="nl-NL"/>
              </w:rPr>
              <w:t>Algemene normen – Kwaliteitssystemen</w:t>
            </w:r>
          </w:p>
        </w:tc>
      </w:tr>
      <w:tr w:rsidR="0094168A" w:rsidRPr="00BD0841"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8B131A">
            <w:pPr>
              <w:spacing w:after="0" w:afterAutospacing="0" w:line="216" w:lineRule="auto"/>
              <w:rPr>
                <w:rFonts w:cs="Times New Roman"/>
                <w:sz w:val="22"/>
              </w:rPr>
            </w:pPr>
            <w:r>
              <w:rPr>
                <w:rFonts w:eastAsia="Times New Roman" w:cs="Times New Roman"/>
                <w:sz w:val="22"/>
                <w:lang w:val="nl-NL"/>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0619BF" w:rsidRDefault="0094168A" w:rsidP="008B131A">
            <w:pPr>
              <w:spacing w:after="0" w:afterAutospacing="0" w:line="216" w:lineRule="auto"/>
              <w:rPr>
                <w:rFonts w:cs="Times New Roman"/>
                <w:sz w:val="22"/>
                <w:lang w:val="de-DE"/>
              </w:rPr>
            </w:pPr>
            <w:r>
              <w:rPr>
                <w:rFonts w:eastAsia="Times New Roman" w:cs="Times New Roman"/>
                <w:sz w:val="22"/>
                <w:lang w:val="nl-NL"/>
              </w:rPr>
              <w:t>Medische hulpmiddelen. Kwaliteitsmanagementsystemen. Vereisten voor regelgevende doeleinden</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8B131A">
            <w:pPr>
              <w:spacing w:after="0" w:afterAutospacing="0" w:line="216" w:lineRule="auto"/>
              <w:jc w:val="center"/>
              <w:rPr>
                <w:rFonts w:cs="Times New Roman"/>
                <w:b/>
                <w:bCs/>
                <w:sz w:val="22"/>
              </w:rPr>
            </w:pPr>
            <w:r>
              <w:rPr>
                <w:rFonts w:cs="Times New Roman"/>
                <w:b/>
                <w:bCs/>
                <w:sz w:val="22"/>
                <w:lang w:val="nl-NL"/>
              </w:rPr>
              <w:t>Risicomanagement</w:t>
            </w:r>
          </w:p>
        </w:tc>
      </w:tr>
      <w:tr w:rsidR="0094168A" w:rsidRPr="00F21B6F" w14:paraId="75307B89" w14:textId="77777777" w:rsidTr="00293453">
        <w:tc>
          <w:tcPr>
            <w:tcW w:w="1129" w:type="pct"/>
          </w:tcPr>
          <w:p w14:paraId="653BDB44" w14:textId="77777777" w:rsidR="0094168A" w:rsidRPr="009461CC" w:rsidRDefault="0094168A" w:rsidP="008B131A">
            <w:pPr>
              <w:spacing w:after="0" w:afterAutospacing="0" w:line="216" w:lineRule="auto"/>
              <w:rPr>
                <w:rFonts w:cs="Times New Roman"/>
                <w:sz w:val="22"/>
              </w:rPr>
            </w:pPr>
            <w:r>
              <w:rPr>
                <w:rFonts w:cs="Times New Roman"/>
                <w:sz w:val="22"/>
                <w:lang w:val="nl-NL"/>
              </w:rPr>
              <w:t>EN ISO 14971:2019</w:t>
            </w:r>
          </w:p>
        </w:tc>
        <w:tc>
          <w:tcPr>
            <w:tcW w:w="3871" w:type="pct"/>
          </w:tcPr>
          <w:p w14:paraId="4457BE68" w14:textId="77777777" w:rsidR="0094168A" w:rsidRPr="008B131A" w:rsidRDefault="0094168A" w:rsidP="008B131A">
            <w:pPr>
              <w:spacing w:after="0" w:afterAutospacing="0" w:line="216" w:lineRule="auto"/>
              <w:rPr>
                <w:rFonts w:cs="Times New Roman"/>
                <w:sz w:val="22"/>
                <w:lang w:val="nb-NO"/>
              </w:rPr>
            </w:pPr>
            <w:r>
              <w:rPr>
                <w:rFonts w:cs="Times New Roman"/>
                <w:sz w:val="22"/>
                <w:lang w:val="nl-NL"/>
              </w:rPr>
              <w:t>Toepassing van risicobeheersing op medische hulpmiddelen</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8B131A">
            <w:pPr>
              <w:spacing w:after="0" w:afterAutospacing="0" w:line="216" w:lineRule="auto"/>
              <w:jc w:val="center"/>
              <w:rPr>
                <w:rFonts w:cs="Times New Roman"/>
                <w:sz w:val="22"/>
              </w:rPr>
            </w:pPr>
            <w:r>
              <w:rPr>
                <w:rFonts w:eastAsia="Arial" w:cs="Times New Roman"/>
                <w:b/>
                <w:bCs/>
                <w:sz w:val="22"/>
                <w:lang w:val="nl-NL"/>
              </w:rPr>
              <w:t>Biologische veiligheid</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8B131A">
            <w:pPr>
              <w:spacing w:after="0" w:afterAutospacing="0" w:line="216" w:lineRule="auto"/>
              <w:rPr>
                <w:rFonts w:cs="Times New Roman"/>
                <w:bCs/>
                <w:sz w:val="22"/>
              </w:rPr>
            </w:pPr>
            <w:r>
              <w:rPr>
                <w:rFonts w:eastAsia="Arial" w:cs="Times New Roman"/>
                <w:sz w:val="22"/>
                <w:lang w:val="nl-NL"/>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8B131A" w:rsidRDefault="0094168A" w:rsidP="008B131A">
            <w:pPr>
              <w:spacing w:after="14" w:afterAutospacing="0" w:line="216" w:lineRule="auto"/>
              <w:rPr>
                <w:rFonts w:cs="Times New Roman"/>
                <w:sz w:val="22"/>
                <w:lang w:val="nl-NL"/>
              </w:rPr>
            </w:pPr>
            <w:r>
              <w:rPr>
                <w:rFonts w:eastAsia="Arial" w:cs="Times New Roman"/>
                <w:sz w:val="22"/>
                <w:lang w:val="nl-NL"/>
              </w:rPr>
              <w:t xml:space="preserve">Biologische evaluatie van medische hulpmiddelen – Deel 1: </w:t>
            </w:r>
          </w:p>
          <w:p w14:paraId="1D869305" w14:textId="77777777" w:rsidR="0094168A" w:rsidRPr="009461CC" w:rsidRDefault="0094168A" w:rsidP="008B131A">
            <w:pPr>
              <w:tabs>
                <w:tab w:val="left" w:pos="1320"/>
              </w:tabs>
              <w:spacing w:after="0" w:afterAutospacing="0" w:line="216" w:lineRule="auto"/>
              <w:rPr>
                <w:rFonts w:cs="Times New Roman"/>
                <w:sz w:val="22"/>
              </w:rPr>
            </w:pPr>
            <w:r>
              <w:rPr>
                <w:rFonts w:eastAsia="Arial" w:cs="Times New Roman"/>
                <w:sz w:val="22"/>
                <w:lang w:val="nl-NL"/>
              </w:rPr>
              <w:t xml:space="preserve">Evaluatie en tests  </w:t>
            </w:r>
          </w:p>
        </w:tc>
      </w:tr>
      <w:tr w:rsidR="0094168A" w:rsidRPr="007D723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8B131A">
            <w:pPr>
              <w:spacing w:after="0" w:afterAutospacing="0" w:line="216" w:lineRule="auto"/>
              <w:rPr>
                <w:rFonts w:cs="Times New Roman"/>
                <w:bCs/>
                <w:sz w:val="22"/>
              </w:rPr>
            </w:pPr>
            <w:r>
              <w:rPr>
                <w:rFonts w:eastAsia="Arial" w:cs="Times New Roman"/>
                <w:sz w:val="22"/>
                <w:lang w:val="nl-NL"/>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8B131A" w:rsidRDefault="0094168A" w:rsidP="008B131A">
            <w:pPr>
              <w:spacing w:after="0" w:afterAutospacing="0" w:line="216" w:lineRule="auto"/>
              <w:rPr>
                <w:rFonts w:cs="Times New Roman"/>
                <w:sz w:val="22"/>
                <w:lang w:val="nl-NL"/>
              </w:rPr>
            </w:pPr>
            <w:r>
              <w:rPr>
                <w:rFonts w:eastAsia="Arial" w:cs="Times New Roman"/>
                <w:sz w:val="22"/>
                <w:lang w:val="nl-NL"/>
              </w:rPr>
              <w:t xml:space="preserve">Biologische evaluatie van medische hulpmiddelen – Deel 3: Tests op genotoxiciteit, carcinogeniteit en reproductietoxiciteit </w:t>
            </w:r>
          </w:p>
        </w:tc>
      </w:tr>
      <w:tr w:rsidR="0094168A" w:rsidRPr="007D723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8B131A">
            <w:pPr>
              <w:spacing w:after="0" w:afterAutospacing="0" w:line="216" w:lineRule="auto"/>
              <w:rPr>
                <w:rFonts w:cs="Times New Roman"/>
                <w:bCs/>
                <w:sz w:val="22"/>
              </w:rPr>
            </w:pPr>
            <w:r>
              <w:rPr>
                <w:rFonts w:eastAsia="Arial" w:cs="Times New Roman"/>
                <w:sz w:val="22"/>
                <w:lang w:val="nl-NL"/>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8B131A" w:rsidRDefault="0094168A" w:rsidP="008B131A">
            <w:pPr>
              <w:spacing w:after="0" w:afterAutospacing="0" w:line="216" w:lineRule="auto"/>
              <w:rPr>
                <w:rFonts w:cs="Times New Roman"/>
                <w:sz w:val="22"/>
                <w:lang w:val="nl-NL"/>
              </w:rPr>
            </w:pPr>
            <w:r>
              <w:rPr>
                <w:rFonts w:eastAsia="Arial" w:cs="Times New Roman"/>
                <w:sz w:val="22"/>
                <w:lang w:val="nl-NL"/>
              </w:rPr>
              <w:t xml:space="preserve">Biologische evaluatie van medische hulpmiddelen – Deel 4: Selectie van tests voor de wisselwerking met bloed </w:t>
            </w:r>
          </w:p>
        </w:tc>
      </w:tr>
      <w:tr w:rsidR="0094168A" w:rsidRPr="007D723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8B131A">
            <w:pPr>
              <w:spacing w:after="0" w:afterAutospacing="0" w:line="216" w:lineRule="auto"/>
              <w:rPr>
                <w:rFonts w:cs="Times New Roman"/>
                <w:bCs/>
                <w:sz w:val="22"/>
              </w:rPr>
            </w:pPr>
            <w:r>
              <w:rPr>
                <w:rFonts w:eastAsia="Arial" w:cs="Times New Roman"/>
                <w:sz w:val="22"/>
                <w:lang w:val="nl-NL"/>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8B131A" w:rsidRDefault="0094168A" w:rsidP="008B131A">
            <w:pPr>
              <w:spacing w:after="0" w:afterAutospacing="0" w:line="216" w:lineRule="auto"/>
              <w:rPr>
                <w:rFonts w:cs="Times New Roman"/>
                <w:sz w:val="22"/>
                <w:lang w:val="nl-NL"/>
              </w:rPr>
            </w:pPr>
            <w:r>
              <w:rPr>
                <w:rFonts w:eastAsia="Arial" w:cs="Times New Roman"/>
                <w:sz w:val="22"/>
                <w:lang w:val="nl-NL"/>
              </w:rPr>
              <w:t xml:space="preserve">Biologische evaluatie van medische hulpmiddelen – Deel 5: Tests op in vitro cytotoxiciteit </w:t>
            </w:r>
          </w:p>
        </w:tc>
      </w:tr>
      <w:tr w:rsidR="0094168A" w:rsidRPr="007D723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8B131A">
            <w:pPr>
              <w:spacing w:after="0" w:afterAutospacing="0" w:line="216" w:lineRule="auto"/>
              <w:rPr>
                <w:rFonts w:cs="Times New Roman"/>
                <w:bCs/>
                <w:sz w:val="22"/>
              </w:rPr>
            </w:pPr>
            <w:r>
              <w:rPr>
                <w:rFonts w:eastAsia="Arial" w:cs="Times New Roman"/>
                <w:sz w:val="22"/>
                <w:lang w:val="nl-NL"/>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8B131A" w:rsidRDefault="0094168A" w:rsidP="008B131A">
            <w:pPr>
              <w:spacing w:after="0" w:afterAutospacing="0" w:line="216" w:lineRule="auto"/>
              <w:rPr>
                <w:rFonts w:cs="Times New Roman"/>
                <w:sz w:val="22"/>
                <w:lang w:val="nl-NL"/>
              </w:rPr>
            </w:pPr>
            <w:r>
              <w:rPr>
                <w:rFonts w:eastAsia="Arial" w:cs="Times New Roman"/>
                <w:sz w:val="22"/>
                <w:lang w:val="nl-NL"/>
              </w:rPr>
              <w:t xml:space="preserve">Biologische evaluatie van medische hulpmiddelen – Deel 10: Tests op irritatie en huidsensibilisatie </w:t>
            </w:r>
          </w:p>
        </w:tc>
      </w:tr>
      <w:tr w:rsidR="0094168A" w:rsidRPr="007D723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8B131A">
            <w:pPr>
              <w:spacing w:after="0" w:afterAutospacing="0" w:line="216" w:lineRule="auto"/>
              <w:rPr>
                <w:rFonts w:cs="Times New Roman"/>
                <w:bCs/>
                <w:sz w:val="22"/>
              </w:rPr>
            </w:pPr>
            <w:r>
              <w:rPr>
                <w:rFonts w:eastAsia="Arial" w:cs="Times New Roman"/>
                <w:sz w:val="22"/>
                <w:lang w:val="nl-NL"/>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8B131A" w:rsidRDefault="0094168A" w:rsidP="008B131A">
            <w:pPr>
              <w:spacing w:after="0" w:afterAutospacing="0" w:line="216" w:lineRule="auto"/>
              <w:rPr>
                <w:rFonts w:cs="Times New Roman"/>
                <w:sz w:val="22"/>
                <w:lang w:val="nl-NL"/>
              </w:rPr>
            </w:pPr>
            <w:r>
              <w:rPr>
                <w:rFonts w:eastAsia="Arial" w:cs="Times New Roman"/>
                <w:sz w:val="22"/>
                <w:lang w:val="nl-NL"/>
              </w:rPr>
              <w:t xml:space="preserve">Biologische evaluatie van medische hulpmiddelen – Deel 11: Tests op systemische toxiciteit </w:t>
            </w:r>
          </w:p>
        </w:tc>
      </w:tr>
      <w:tr w:rsidR="0094168A" w:rsidRPr="00BD0841"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8B131A">
            <w:pPr>
              <w:spacing w:after="0" w:afterAutospacing="0" w:line="216" w:lineRule="auto"/>
              <w:rPr>
                <w:rFonts w:cs="Times New Roman"/>
                <w:bCs/>
                <w:sz w:val="22"/>
              </w:rPr>
            </w:pPr>
            <w:r>
              <w:rPr>
                <w:rFonts w:eastAsia="Arial" w:cs="Times New Roman"/>
                <w:sz w:val="22"/>
                <w:lang w:val="nl-NL"/>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0619BF" w:rsidRDefault="0094168A" w:rsidP="008B131A">
            <w:pPr>
              <w:spacing w:after="0" w:afterAutospacing="0" w:line="216" w:lineRule="auto"/>
              <w:rPr>
                <w:rFonts w:cs="Times New Roman"/>
                <w:sz w:val="22"/>
                <w:lang w:val="de-DE"/>
              </w:rPr>
            </w:pPr>
            <w:r>
              <w:rPr>
                <w:rFonts w:eastAsia="Arial" w:cs="Times New Roman"/>
                <w:sz w:val="22"/>
                <w:lang w:val="nl-NL"/>
              </w:rPr>
              <w:t xml:space="preserve">Biologische evaluatie van medische hulpmiddelen – Deel 12: Monsterbereiding en referentiematerialen </w:t>
            </w:r>
          </w:p>
        </w:tc>
      </w:tr>
      <w:tr w:rsidR="00586415" w:rsidRPr="00BD0841"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8B131A">
            <w:pPr>
              <w:spacing w:after="0" w:afterAutospacing="0" w:line="216" w:lineRule="auto"/>
              <w:rPr>
                <w:rFonts w:eastAsia="Arial" w:cs="Times New Roman"/>
                <w:bCs/>
                <w:sz w:val="22"/>
              </w:rPr>
            </w:pPr>
            <w:r>
              <w:rPr>
                <w:rFonts w:eastAsia="Arial" w:cs="Times New Roman"/>
                <w:sz w:val="22"/>
                <w:lang w:val="nl-NL"/>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0619BF" w:rsidRDefault="00586415" w:rsidP="008B131A">
            <w:pPr>
              <w:spacing w:after="0" w:afterAutospacing="0" w:line="216" w:lineRule="auto"/>
              <w:rPr>
                <w:rFonts w:eastAsia="Arial" w:cs="Times New Roman"/>
                <w:sz w:val="22"/>
                <w:lang w:val="de-DE"/>
              </w:rPr>
            </w:pPr>
            <w:r>
              <w:rPr>
                <w:rFonts w:eastAsia="Arial" w:cs="Times New Roman"/>
                <w:sz w:val="22"/>
                <w:lang w:val="nl-NL"/>
              </w:rPr>
              <w:t>Toxicologische risicobeoordeling van bestanddelen van medische hulpmiddelen</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8B131A">
            <w:pPr>
              <w:spacing w:after="0" w:afterAutospacing="0" w:line="216" w:lineRule="auto"/>
              <w:jc w:val="center"/>
              <w:rPr>
                <w:rFonts w:cs="Times New Roman"/>
                <w:sz w:val="22"/>
              </w:rPr>
            </w:pPr>
            <w:r>
              <w:rPr>
                <w:rFonts w:eastAsia="Arial" w:cs="Times New Roman"/>
                <w:b/>
                <w:bCs/>
                <w:sz w:val="22"/>
                <w:lang w:val="nl-NL"/>
              </w:rPr>
              <w:t>Klinische evaluatie</w:t>
            </w:r>
          </w:p>
        </w:tc>
      </w:tr>
      <w:tr w:rsidR="00586415" w:rsidRPr="00BD0841" w14:paraId="1F26EC64" w14:textId="77777777" w:rsidTr="00293453">
        <w:tc>
          <w:tcPr>
            <w:tcW w:w="1129" w:type="pct"/>
          </w:tcPr>
          <w:p w14:paraId="5AF3269C" w14:textId="77777777" w:rsidR="00586415" w:rsidRPr="009461CC" w:rsidRDefault="00586415" w:rsidP="008B131A">
            <w:pPr>
              <w:spacing w:after="0" w:afterAutospacing="0" w:line="216" w:lineRule="auto"/>
              <w:rPr>
                <w:rFonts w:cs="Times New Roman"/>
                <w:bCs/>
                <w:sz w:val="22"/>
              </w:rPr>
            </w:pPr>
            <w:r>
              <w:rPr>
                <w:rFonts w:eastAsia="Arial" w:cs="Times New Roman"/>
                <w:sz w:val="22"/>
                <w:lang w:val="nl-NL"/>
              </w:rPr>
              <w:t>MEDDEV 2.7/1 Rev4</w:t>
            </w:r>
          </w:p>
        </w:tc>
        <w:tc>
          <w:tcPr>
            <w:tcW w:w="3871" w:type="pct"/>
          </w:tcPr>
          <w:p w14:paraId="3D1D1121" w14:textId="77777777" w:rsidR="00586415" w:rsidRPr="000619BF" w:rsidRDefault="00586415" w:rsidP="008B131A">
            <w:pPr>
              <w:spacing w:after="0" w:afterAutospacing="0" w:line="216" w:lineRule="auto"/>
              <w:rPr>
                <w:rFonts w:cs="Times New Roman"/>
                <w:sz w:val="22"/>
                <w:lang w:val="de-DE"/>
              </w:rPr>
            </w:pPr>
            <w:r>
              <w:rPr>
                <w:rFonts w:cs="Times New Roman"/>
                <w:sz w:val="22"/>
                <w:lang w:val="nl-NL"/>
              </w:rPr>
              <w:t>Klinische evaluatie: Handleiding voor fabrikanten en aangemelde instanties</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8B131A">
            <w:pPr>
              <w:spacing w:after="0" w:afterAutospacing="0" w:line="216" w:lineRule="auto"/>
              <w:jc w:val="center"/>
              <w:rPr>
                <w:rFonts w:cs="Times New Roman"/>
                <w:sz w:val="22"/>
              </w:rPr>
            </w:pPr>
            <w:r>
              <w:rPr>
                <w:rFonts w:eastAsia="Arial" w:cs="Times New Roman"/>
                <w:b/>
                <w:bCs/>
                <w:sz w:val="22"/>
                <w:lang w:val="nl-NL"/>
              </w:rPr>
              <w:t>Ontwerpcontrole</w:t>
            </w:r>
          </w:p>
        </w:tc>
      </w:tr>
      <w:tr w:rsidR="00586415" w:rsidRPr="00F21B6F" w14:paraId="54F49ECD" w14:textId="77777777" w:rsidTr="00293453">
        <w:tc>
          <w:tcPr>
            <w:tcW w:w="1129" w:type="pct"/>
          </w:tcPr>
          <w:p w14:paraId="4795B615" w14:textId="77777777" w:rsidR="00586415" w:rsidRPr="009461CC" w:rsidRDefault="00586415" w:rsidP="008B131A">
            <w:pPr>
              <w:spacing w:after="0" w:afterAutospacing="0" w:line="216" w:lineRule="auto"/>
              <w:rPr>
                <w:rFonts w:cs="Times New Roman"/>
                <w:sz w:val="22"/>
              </w:rPr>
            </w:pPr>
            <w:r>
              <w:rPr>
                <w:rFonts w:cs="Times New Roman"/>
                <w:sz w:val="22"/>
                <w:lang w:val="nl-NL"/>
              </w:rPr>
              <w:t>EN ISO 14971</w:t>
            </w:r>
          </w:p>
        </w:tc>
        <w:tc>
          <w:tcPr>
            <w:tcW w:w="3871" w:type="pct"/>
          </w:tcPr>
          <w:p w14:paraId="55771886" w14:textId="77777777" w:rsidR="00586415" w:rsidRPr="008B131A" w:rsidRDefault="00586415" w:rsidP="008B131A">
            <w:pPr>
              <w:spacing w:after="0" w:afterAutospacing="0" w:line="216" w:lineRule="auto"/>
              <w:rPr>
                <w:rFonts w:cs="Times New Roman"/>
                <w:sz w:val="22"/>
                <w:lang w:val="nb-NO"/>
              </w:rPr>
            </w:pPr>
            <w:r>
              <w:rPr>
                <w:rFonts w:cs="Times New Roman"/>
                <w:sz w:val="22"/>
                <w:lang w:val="nl-NL"/>
              </w:rPr>
              <w:t>Toepassing van risicobeheersing op medische hulpmiddelen</w:t>
            </w:r>
          </w:p>
        </w:tc>
      </w:tr>
      <w:tr w:rsidR="00586415" w:rsidRPr="00F21B6F" w14:paraId="48F71F50" w14:textId="77777777" w:rsidTr="00293453">
        <w:tc>
          <w:tcPr>
            <w:tcW w:w="1129" w:type="pct"/>
          </w:tcPr>
          <w:p w14:paraId="477CFB4F" w14:textId="77777777" w:rsidR="00586415" w:rsidRPr="008B131A" w:rsidRDefault="00586415" w:rsidP="008B131A">
            <w:pPr>
              <w:spacing w:after="0" w:afterAutospacing="0" w:line="216" w:lineRule="auto"/>
              <w:jc w:val="center"/>
              <w:rPr>
                <w:rFonts w:cs="Times New Roman"/>
                <w:sz w:val="22"/>
                <w:lang w:val="nb-NO"/>
              </w:rPr>
            </w:pPr>
          </w:p>
        </w:tc>
        <w:tc>
          <w:tcPr>
            <w:tcW w:w="3871" w:type="pct"/>
          </w:tcPr>
          <w:p w14:paraId="20C1E190" w14:textId="77777777" w:rsidR="00586415" w:rsidRPr="008B131A" w:rsidRDefault="00586415" w:rsidP="008B131A">
            <w:pPr>
              <w:spacing w:after="0" w:afterAutospacing="0" w:line="216" w:lineRule="auto"/>
              <w:rPr>
                <w:rFonts w:cs="Times New Roman"/>
                <w:sz w:val="22"/>
                <w:lang w:val="nb-NO"/>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8B131A">
            <w:pPr>
              <w:spacing w:after="0" w:afterAutospacing="0" w:line="216" w:lineRule="auto"/>
              <w:jc w:val="center"/>
              <w:rPr>
                <w:rFonts w:cs="Times New Roman"/>
                <w:b/>
                <w:bCs/>
                <w:sz w:val="22"/>
              </w:rPr>
            </w:pPr>
            <w:r>
              <w:rPr>
                <w:rFonts w:cs="Times New Roman"/>
                <w:b/>
                <w:bCs/>
                <w:sz w:val="22"/>
                <w:lang w:val="nl-NL"/>
              </w:rPr>
              <w:t>Gebruiksgemak</w:t>
            </w:r>
          </w:p>
        </w:tc>
      </w:tr>
      <w:tr w:rsidR="00586415" w:rsidRPr="00BD0841" w14:paraId="29A23DD2" w14:textId="77777777" w:rsidTr="00293453">
        <w:tc>
          <w:tcPr>
            <w:tcW w:w="1129" w:type="pct"/>
          </w:tcPr>
          <w:p w14:paraId="38C30B53" w14:textId="77777777" w:rsidR="00586415" w:rsidRPr="009461CC" w:rsidRDefault="00586415" w:rsidP="008B131A">
            <w:pPr>
              <w:spacing w:after="0" w:afterAutospacing="0" w:line="216" w:lineRule="auto"/>
              <w:rPr>
                <w:rFonts w:cs="Times New Roman"/>
                <w:sz w:val="22"/>
              </w:rPr>
            </w:pPr>
            <w:r>
              <w:rPr>
                <w:rFonts w:cs="Times New Roman"/>
                <w:sz w:val="22"/>
                <w:lang w:val="nl-NL"/>
              </w:rPr>
              <w:lastRenderedPageBreak/>
              <w:t>IEC 62366-1:2015 &amp;</w:t>
            </w:r>
          </w:p>
          <w:p w14:paraId="2D964E3D" w14:textId="77777777" w:rsidR="00586415" w:rsidRPr="009461CC" w:rsidRDefault="00586415" w:rsidP="008B131A">
            <w:pPr>
              <w:spacing w:after="0" w:afterAutospacing="0" w:line="216" w:lineRule="auto"/>
              <w:rPr>
                <w:rFonts w:cs="Times New Roman"/>
                <w:sz w:val="22"/>
              </w:rPr>
            </w:pPr>
            <w:r>
              <w:rPr>
                <w:rFonts w:cs="Times New Roman"/>
                <w:sz w:val="22"/>
                <w:lang w:val="nl-NL"/>
              </w:rPr>
              <w:t>IEC 62366-1:2015/COR1:2016</w:t>
            </w:r>
          </w:p>
        </w:tc>
        <w:tc>
          <w:tcPr>
            <w:tcW w:w="3871" w:type="pct"/>
          </w:tcPr>
          <w:p w14:paraId="7A444F47" w14:textId="77777777" w:rsidR="00586415" w:rsidRPr="000619BF" w:rsidRDefault="00586415" w:rsidP="008B131A">
            <w:pPr>
              <w:spacing w:after="0" w:afterAutospacing="0" w:line="216" w:lineRule="auto"/>
              <w:rPr>
                <w:rFonts w:cs="Times New Roman"/>
                <w:sz w:val="22"/>
                <w:lang w:val="de-DE"/>
              </w:rPr>
            </w:pPr>
            <w:r>
              <w:rPr>
                <w:rFonts w:cs="Times New Roman"/>
                <w:sz w:val="22"/>
                <w:lang w:val="nl-NL"/>
              </w:rPr>
              <w:t>Medische apparaten – Toepassing van bruikbaarheidstechnologie op medische apparaten</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8B131A">
            <w:pPr>
              <w:spacing w:after="0" w:afterAutospacing="0" w:line="216" w:lineRule="auto"/>
              <w:jc w:val="center"/>
              <w:rPr>
                <w:rFonts w:cs="Times New Roman"/>
                <w:b/>
                <w:bCs/>
                <w:sz w:val="22"/>
              </w:rPr>
            </w:pPr>
            <w:r>
              <w:rPr>
                <w:rFonts w:cs="Times New Roman"/>
                <w:b/>
                <w:bCs/>
                <w:sz w:val="22"/>
                <w:lang w:val="nl-NL"/>
              </w:rPr>
              <w:t>Verpakking</w:t>
            </w:r>
          </w:p>
        </w:tc>
      </w:tr>
      <w:tr w:rsidR="00586415" w:rsidRPr="009461CC"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8B131A">
            <w:pPr>
              <w:spacing w:after="0" w:afterAutospacing="0" w:line="216" w:lineRule="auto"/>
              <w:rPr>
                <w:rFonts w:cs="Times New Roman"/>
                <w:bCs/>
                <w:sz w:val="22"/>
              </w:rPr>
            </w:pPr>
            <w:r>
              <w:rPr>
                <w:rFonts w:eastAsia="Arial" w:cs="Times New Roman"/>
                <w:sz w:val="22"/>
                <w:lang w:val="nl-NL"/>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9461CC" w:rsidRDefault="00586415" w:rsidP="008B131A">
            <w:pPr>
              <w:spacing w:after="0" w:afterAutospacing="0" w:line="216" w:lineRule="auto"/>
              <w:rPr>
                <w:rFonts w:cs="Times New Roman"/>
                <w:sz w:val="22"/>
              </w:rPr>
            </w:pPr>
            <w:r>
              <w:rPr>
                <w:rFonts w:eastAsia="Arial" w:cs="Times New Roman"/>
                <w:sz w:val="22"/>
                <w:lang w:val="nl-NL"/>
              </w:rPr>
              <w:t xml:space="preserve">Verpakking voor terminaal gesteriliseerde medische hulpmiddelen. Deel 1: Vereisten voor materialen, steriele afdichtingssystemen en verpakkingssystemen. </w:t>
            </w:r>
          </w:p>
        </w:tc>
      </w:tr>
      <w:tr w:rsidR="00586415" w:rsidRPr="00BD0841"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8B131A">
            <w:pPr>
              <w:spacing w:after="16" w:afterAutospacing="0" w:line="216" w:lineRule="auto"/>
              <w:ind w:left="1"/>
              <w:rPr>
                <w:rFonts w:cs="Times New Roman"/>
                <w:bCs/>
                <w:sz w:val="22"/>
              </w:rPr>
            </w:pPr>
            <w:r>
              <w:rPr>
                <w:rFonts w:eastAsia="Arial" w:cs="Times New Roman"/>
                <w:sz w:val="22"/>
                <w:lang w:val="nl-NL"/>
              </w:rPr>
              <w:t>EN ISO 11607-2:2020</w:t>
            </w:r>
          </w:p>
          <w:p w14:paraId="2A1BCB52" w14:textId="77777777" w:rsidR="00586415" w:rsidRPr="009461CC" w:rsidRDefault="00586415" w:rsidP="008B131A">
            <w:pPr>
              <w:spacing w:after="0" w:afterAutospacing="0" w:line="216" w:lineRule="auto"/>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0619BF" w:rsidRDefault="00586415" w:rsidP="008B131A">
            <w:pPr>
              <w:spacing w:after="0" w:afterAutospacing="0" w:line="216" w:lineRule="auto"/>
              <w:rPr>
                <w:rFonts w:cs="Times New Roman"/>
                <w:sz w:val="22"/>
                <w:lang w:val="de-DE"/>
              </w:rPr>
            </w:pPr>
            <w:r>
              <w:rPr>
                <w:rFonts w:eastAsia="Arial" w:cs="Times New Roman"/>
                <w:sz w:val="22"/>
                <w:lang w:val="nl-NL"/>
              </w:rPr>
              <w:t xml:space="preserve">Verpakking voor terminaal gesteriliseerde medische hulpmiddelen. Verpakking voor terminaal gesteriliseerde medische hulpmiddelen – Deel 2: Validatievereisten voor vorm-, verzegelings- en assemblageprocessen </w:t>
            </w:r>
          </w:p>
        </w:tc>
      </w:tr>
      <w:tr w:rsidR="00586415" w:rsidRPr="00F21B6F"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8B131A">
            <w:pPr>
              <w:spacing w:after="14" w:afterAutospacing="0" w:line="216" w:lineRule="auto"/>
              <w:ind w:left="1"/>
              <w:rPr>
                <w:rFonts w:cs="Times New Roman"/>
                <w:bCs/>
                <w:sz w:val="22"/>
              </w:rPr>
            </w:pPr>
            <w:r>
              <w:rPr>
                <w:rFonts w:eastAsia="Arial" w:cs="Times New Roman"/>
                <w:sz w:val="22"/>
                <w:lang w:val="nl-NL"/>
              </w:rPr>
              <w:t>EN ISO 2233:2001</w:t>
            </w:r>
          </w:p>
          <w:p w14:paraId="3F44F0A2" w14:textId="77777777" w:rsidR="00586415" w:rsidRPr="009461CC" w:rsidRDefault="00586415" w:rsidP="008B131A">
            <w:pPr>
              <w:spacing w:after="0" w:afterAutospacing="0" w:line="216" w:lineRule="auto"/>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8B131A" w:rsidRDefault="00586415" w:rsidP="008B131A">
            <w:pPr>
              <w:spacing w:after="0" w:afterAutospacing="0" w:line="216" w:lineRule="auto"/>
              <w:rPr>
                <w:rFonts w:cs="Times New Roman"/>
                <w:sz w:val="22"/>
                <w:lang w:val="nb-NO"/>
              </w:rPr>
            </w:pPr>
            <w:r>
              <w:rPr>
                <w:rFonts w:eastAsia="Arial" w:cs="Times New Roman"/>
                <w:sz w:val="22"/>
                <w:lang w:val="nl-NL"/>
              </w:rPr>
              <w:t xml:space="preserve">Verpakking – Complete, gevulde transportpakketten en eenheidsladingen – Conditionering voor testen </w:t>
            </w:r>
          </w:p>
        </w:tc>
      </w:tr>
      <w:tr w:rsidR="00586415" w:rsidRPr="00BD0841"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8B131A">
            <w:pPr>
              <w:spacing w:after="0" w:afterAutospacing="0" w:line="216" w:lineRule="auto"/>
              <w:rPr>
                <w:rFonts w:cs="Times New Roman"/>
                <w:bCs/>
                <w:sz w:val="22"/>
              </w:rPr>
            </w:pPr>
            <w:hyperlink r:id="rId10">
              <w:r>
                <w:rPr>
                  <w:rFonts w:eastAsia="Arial" w:cs="Times New Roman"/>
                  <w:sz w:val="22"/>
                  <w:lang w:val="nl-NL"/>
                </w:rPr>
                <w:t xml:space="preserve">ASTM D4169 </w:t>
              </w:r>
            </w:hyperlink>
            <w:r>
              <w:rPr>
                <w:rFonts w:eastAsia="Arial" w:cs="Times New Roman"/>
                <w:sz w:val="22"/>
                <w:lang w:val="nl-NL"/>
              </w:rPr>
              <w:t>:2022</w:t>
            </w:r>
            <w:hyperlink r:id="rId11">
              <w:r>
                <w:rPr>
                  <w:rFonts w:eastAsia="Arial" w:cs="Times New Roman"/>
                  <w:sz w:val="22"/>
                  <w:lang w:val="nl-N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0619BF" w:rsidRDefault="00586415" w:rsidP="008B131A">
            <w:pPr>
              <w:spacing w:after="0" w:afterAutospacing="0" w:line="216" w:lineRule="auto"/>
              <w:rPr>
                <w:rFonts w:cs="Times New Roman"/>
                <w:sz w:val="22"/>
                <w:lang w:val="de-DE"/>
              </w:rPr>
            </w:pPr>
            <w:r>
              <w:rPr>
                <w:rFonts w:eastAsia="Arial" w:cs="Times New Roman"/>
                <w:sz w:val="22"/>
                <w:lang w:val="nl-NL"/>
              </w:rPr>
              <w:t xml:space="preserve">Standaardpraktijk voor prestatietesten van scheepscontainers en -systemen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8B131A">
            <w:pPr>
              <w:spacing w:after="0" w:afterAutospacing="0" w:line="216" w:lineRule="auto"/>
              <w:rPr>
                <w:rFonts w:cs="Times New Roman"/>
                <w:bCs/>
                <w:sz w:val="22"/>
              </w:rPr>
            </w:pPr>
            <w:hyperlink r:id="rId12">
              <w:r>
                <w:rPr>
                  <w:rFonts w:eastAsia="Arial" w:cs="Times New Roman"/>
                  <w:sz w:val="22"/>
                  <w:lang w:val="nl-NL"/>
                </w:rPr>
                <w:t xml:space="preserve">ASTM F2096 </w:t>
              </w:r>
            </w:hyperlink>
            <w:hyperlink r:id="rId13">
              <w:r>
                <w:rPr>
                  <w:rFonts w:eastAsia="Arial" w:cs="Times New Roman"/>
                  <w:sz w:val="22"/>
                  <w:lang w:val="nl-NL"/>
                </w:rPr>
                <w:t xml:space="preserve">– </w:t>
              </w:r>
            </w:hyperlink>
            <w:r>
              <w:rPr>
                <w:rFonts w:eastAsia="Arial" w:cs="Times New Roman"/>
                <w:sz w:val="22"/>
                <w:lang w:val="nl-NL"/>
              </w:rPr>
              <w:t>20</w:t>
            </w:r>
            <w:hyperlink r:id="rId14">
              <w:r>
                <w:rPr>
                  <w:rFonts w:eastAsia="Arial" w:cs="Times New Roman"/>
                  <w:sz w:val="22"/>
                  <w:lang w:val="nl-NL"/>
                </w:rPr>
                <w:t xml:space="preserve">11 (R2019) </w:t>
              </w:r>
            </w:hyperlink>
            <w:hyperlink r:id="rId15">
              <w:r>
                <w:rPr>
                  <w:rFonts w:eastAsia="Arial" w:cs="Times New Roman"/>
                  <w:sz w:val="22"/>
                  <w:lang w:val="nl-N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8B131A" w:rsidRDefault="00586415" w:rsidP="008B131A">
            <w:pPr>
              <w:spacing w:after="14" w:afterAutospacing="0" w:line="216" w:lineRule="auto"/>
              <w:rPr>
                <w:rFonts w:cs="Times New Roman"/>
                <w:sz w:val="22"/>
                <w:lang w:val="nb-NO"/>
              </w:rPr>
            </w:pPr>
            <w:r>
              <w:rPr>
                <w:rFonts w:eastAsia="Arial" w:cs="Times New Roman"/>
                <w:sz w:val="22"/>
                <w:lang w:val="nl-NL"/>
              </w:rPr>
              <w:t xml:space="preserve">Standaard testmethode voor het detecteren van grote lekken in </w:t>
            </w:r>
          </w:p>
          <w:p w14:paraId="403EB0FF" w14:textId="77777777" w:rsidR="00586415" w:rsidRPr="008B131A" w:rsidRDefault="00586415" w:rsidP="008B131A">
            <w:pPr>
              <w:spacing w:after="16" w:afterAutospacing="0" w:line="216" w:lineRule="auto"/>
              <w:rPr>
                <w:rFonts w:cs="Times New Roman"/>
                <w:sz w:val="22"/>
                <w:lang w:val="nb-NO"/>
              </w:rPr>
            </w:pPr>
            <w:r>
              <w:rPr>
                <w:rFonts w:eastAsia="Arial" w:cs="Times New Roman"/>
                <w:sz w:val="22"/>
                <w:lang w:val="nl-NL"/>
              </w:rPr>
              <w:t xml:space="preserve">Medische verpakking door interne druk (bubbeltest) </w:t>
            </w:r>
          </w:p>
          <w:p w14:paraId="401902E0" w14:textId="77777777" w:rsidR="00586415" w:rsidRPr="009461CC" w:rsidRDefault="00586415" w:rsidP="008B131A">
            <w:pPr>
              <w:spacing w:after="0" w:afterAutospacing="0" w:line="216" w:lineRule="auto"/>
              <w:rPr>
                <w:rFonts w:cs="Times New Roman"/>
                <w:sz w:val="22"/>
              </w:rPr>
            </w:pPr>
            <w:r>
              <w:rPr>
                <w:rFonts w:eastAsia="Arial" w:cs="Times New Roman"/>
                <w:sz w:val="22"/>
                <w:lang w:val="nl-NL"/>
              </w:rPr>
              <w:t xml:space="preserve">- ASTM F 2096-11 (2019) </w:t>
            </w:r>
          </w:p>
        </w:tc>
      </w:tr>
      <w:tr w:rsidR="00586415" w:rsidRPr="007D723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8B131A">
            <w:pPr>
              <w:spacing w:after="0" w:afterAutospacing="0" w:line="216" w:lineRule="auto"/>
              <w:rPr>
                <w:rFonts w:cs="Times New Roman"/>
                <w:bCs/>
                <w:sz w:val="22"/>
              </w:rPr>
            </w:pPr>
            <w:hyperlink r:id="rId16">
              <w:r>
                <w:rPr>
                  <w:rFonts w:eastAsia="Arial" w:cs="Times New Roman"/>
                  <w:sz w:val="22"/>
                  <w:lang w:val="nl-NL"/>
                </w:rPr>
                <w:t xml:space="preserve">ASTM F1929 </w:t>
              </w:r>
            </w:hyperlink>
            <w:hyperlink r:id="rId17">
              <w:r>
                <w:rPr>
                  <w:rFonts w:eastAsia="Arial" w:cs="Times New Roman"/>
                  <w:sz w:val="22"/>
                  <w:lang w:val="nl-NL"/>
                </w:rPr>
                <w:t xml:space="preserve">- </w:t>
              </w:r>
            </w:hyperlink>
            <w:hyperlink r:id="rId18">
              <w:r>
                <w:rPr>
                  <w:rFonts w:eastAsia="Arial" w:cs="Times New Roman"/>
                  <w:sz w:val="22"/>
                  <w:lang w:val="nl-NL"/>
                </w:rPr>
                <w:t xml:space="preserve">15 </w:t>
              </w:r>
            </w:hyperlink>
            <w:hyperlink r:id="rId19">
              <w:r>
                <w:rPr>
                  <w:rFonts w:eastAsia="Arial" w:cs="Times New Roman"/>
                  <w:sz w:val="22"/>
                  <w:lang w:val="nl-N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8B131A" w:rsidRDefault="00586415" w:rsidP="008B131A">
            <w:pPr>
              <w:spacing w:after="14" w:afterAutospacing="0" w:line="216" w:lineRule="auto"/>
              <w:rPr>
                <w:rFonts w:cs="Times New Roman"/>
                <w:sz w:val="22"/>
                <w:lang w:val="nl-NL"/>
              </w:rPr>
            </w:pPr>
            <w:r>
              <w:rPr>
                <w:rFonts w:eastAsia="Arial" w:cs="Times New Roman"/>
                <w:sz w:val="22"/>
                <w:lang w:val="nl-NL"/>
              </w:rPr>
              <w:t xml:space="preserve">Standaard testmethode voor het detecteren van afdichtingslekken in poreuze </w:t>
            </w:r>
          </w:p>
          <w:p w14:paraId="1449B41C" w14:textId="77777777" w:rsidR="00586415" w:rsidRPr="008B131A" w:rsidRDefault="00586415" w:rsidP="008B131A">
            <w:pPr>
              <w:spacing w:after="0" w:afterAutospacing="0" w:line="216" w:lineRule="auto"/>
              <w:rPr>
                <w:rFonts w:cs="Times New Roman"/>
                <w:sz w:val="22"/>
                <w:lang w:val="nl-NL"/>
              </w:rPr>
            </w:pPr>
            <w:r>
              <w:rPr>
                <w:rFonts w:eastAsia="Arial" w:cs="Times New Roman"/>
                <w:sz w:val="22"/>
                <w:lang w:val="nl-NL"/>
              </w:rPr>
              <w:t xml:space="preserve">Medische verpakking door kleurstofpenetratie – ASTM F 1929 </w:t>
            </w:r>
          </w:p>
        </w:tc>
      </w:tr>
      <w:tr w:rsidR="00586415" w:rsidRPr="00BD0841"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8B131A">
            <w:pPr>
              <w:spacing w:after="0" w:afterAutospacing="0" w:line="216" w:lineRule="auto"/>
              <w:rPr>
                <w:rFonts w:cs="Times New Roman"/>
                <w:bCs/>
                <w:sz w:val="22"/>
              </w:rPr>
            </w:pPr>
            <w:hyperlink r:id="rId20">
              <w:r>
                <w:rPr>
                  <w:rFonts w:eastAsia="Arial" w:cs="Times New Roman"/>
                  <w:sz w:val="22"/>
                  <w:lang w:val="nl-NL"/>
                </w:rPr>
                <w:t xml:space="preserve">ASTM F88 / F88M </w:t>
              </w:r>
            </w:hyperlink>
            <w:hyperlink r:id="rId21">
              <w:r>
                <w:rPr>
                  <w:rFonts w:eastAsia="Arial" w:cs="Times New Roman"/>
                  <w:sz w:val="22"/>
                  <w:lang w:val="nl-NL"/>
                </w:rPr>
                <w:t xml:space="preserve">- </w:t>
              </w:r>
            </w:hyperlink>
            <w:r>
              <w:rPr>
                <w:rFonts w:eastAsia="Arial" w:cs="Times New Roman"/>
                <w:sz w:val="22"/>
                <w:lang w:val="nl-NL"/>
              </w:rPr>
              <w:t>2021</w:t>
            </w:r>
            <w:hyperlink r:id="rId22">
              <w:r>
                <w:rPr>
                  <w:rFonts w:eastAsia="Arial" w:cs="Times New Roman"/>
                  <w:sz w:val="22"/>
                  <w:lang w:val="nl-N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0619BF" w:rsidRDefault="00586415" w:rsidP="008B131A">
            <w:pPr>
              <w:spacing w:after="0" w:afterAutospacing="0" w:line="216" w:lineRule="auto"/>
              <w:rPr>
                <w:rFonts w:cs="Times New Roman"/>
                <w:sz w:val="22"/>
                <w:lang w:val="de-DE"/>
              </w:rPr>
            </w:pPr>
            <w:r>
              <w:rPr>
                <w:rFonts w:eastAsia="Arial" w:cs="Times New Roman"/>
                <w:sz w:val="22"/>
                <w:lang w:val="nl-NL"/>
              </w:rPr>
              <w:t xml:space="preserve">Standaard testmethode voor de afdichtingssterkte van flexibele barrièrematerialen – ASTM F88 </w:t>
            </w:r>
          </w:p>
        </w:tc>
      </w:tr>
      <w:tr w:rsidR="00586415" w:rsidRPr="00BD0841"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8B131A">
            <w:pPr>
              <w:spacing w:after="0" w:afterAutospacing="0" w:line="216" w:lineRule="auto"/>
              <w:rPr>
                <w:rFonts w:cs="Times New Roman"/>
                <w:bCs/>
                <w:sz w:val="22"/>
              </w:rPr>
            </w:pPr>
            <w:hyperlink r:id="rId23">
              <w:r>
                <w:rPr>
                  <w:rFonts w:eastAsia="Arial" w:cs="Times New Roman"/>
                  <w:sz w:val="22"/>
                  <w:lang w:val="nl-NL"/>
                </w:rPr>
                <w:t xml:space="preserve">ASTM F1980 </w:t>
              </w:r>
            </w:hyperlink>
            <w:hyperlink r:id="rId24">
              <w:r>
                <w:rPr>
                  <w:rFonts w:eastAsia="Arial" w:cs="Times New Roman"/>
                  <w:sz w:val="22"/>
                  <w:lang w:val="nl-NL"/>
                </w:rPr>
                <w:t xml:space="preserve">- </w:t>
              </w:r>
            </w:hyperlink>
            <w:r>
              <w:rPr>
                <w:rFonts w:eastAsia="Arial" w:cs="Times New Roman"/>
                <w:sz w:val="22"/>
                <w:lang w:val="nl-NL"/>
              </w:rPr>
              <w:t>2021</w:t>
            </w:r>
            <w:hyperlink r:id="rId25">
              <w:r>
                <w:rPr>
                  <w:rFonts w:eastAsia="Arial" w:cs="Times New Roman"/>
                  <w:sz w:val="22"/>
                  <w:lang w:val="nl-NL"/>
                </w:rPr>
                <w:t xml:space="preserve"> </w:t>
              </w:r>
            </w:hyperlink>
            <w:hyperlink r:id="rId26">
              <w:r>
                <w:rPr>
                  <w:rFonts w:eastAsia="Arial" w:cs="Times New Roman"/>
                  <w:sz w:val="22"/>
                  <w:lang w:val="nl-NL"/>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0619BF" w:rsidRDefault="00586415" w:rsidP="008B131A">
            <w:pPr>
              <w:spacing w:after="0" w:afterAutospacing="0" w:line="216" w:lineRule="auto"/>
              <w:rPr>
                <w:rFonts w:cs="Times New Roman"/>
                <w:sz w:val="22"/>
                <w:lang w:val="de-DE"/>
              </w:rPr>
            </w:pPr>
            <w:r>
              <w:rPr>
                <w:rFonts w:eastAsia="Arial" w:cs="Times New Roman"/>
                <w:sz w:val="22"/>
                <w:lang w:val="nl-NL"/>
              </w:rPr>
              <w:t xml:space="preserve">Standaard handleiding voor versnelde veroudering van steriele barrièresystemen voor medische hulpmiddelen – ASTM F1980 </w:t>
            </w:r>
          </w:p>
        </w:tc>
      </w:tr>
      <w:tr w:rsidR="00586415" w:rsidRPr="00BD0841" w14:paraId="0F76587E" w14:textId="77777777" w:rsidTr="00293453">
        <w:tc>
          <w:tcPr>
            <w:tcW w:w="5000" w:type="pct"/>
            <w:gridSpan w:val="2"/>
            <w:shd w:val="clear" w:color="auto" w:fill="E7E6E6" w:themeFill="background2"/>
          </w:tcPr>
          <w:p w14:paraId="76DCCB76" w14:textId="77777777" w:rsidR="00586415" w:rsidRPr="000619BF" w:rsidRDefault="00586415" w:rsidP="008B131A">
            <w:pPr>
              <w:spacing w:after="0" w:afterAutospacing="0" w:line="216" w:lineRule="auto"/>
              <w:jc w:val="center"/>
              <w:rPr>
                <w:rFonts w:cs="Times New Roman"/>
                <w:b/>
                <w:bCs/>
                <w:sz w:val="22"/>
                <w:lang w:val="de-DE"/>
              </w:rPr>
            </w:pPr>
            <w:r>
              <w:rPr>
                <w:rFonts w:cs="Times New Roman"/>
                <w:b/>
                <w:bCs/>
                <w:sz w:val="22"/>
                <w:lang w:val="nl-NL"/>
              </w:rPr>
              <w:t>Klinische follow-up na het in de handel brengen</w:t>
            </w:r>
          </w:p>
        </w:tc>
      </w:tr>
      <w:tr w:rsidR="00586415" w:rsidRPr="00BD0841" w14:paraId="72BDA171" w14:textId="77777777" w:rsidTr="00293453">
        <w:tc>
          <w:tcPr>
            <w:tcW w:w="1129" w:type="pct"/>
          </w:tcPr>
          <w:p w14:paraId="4A2D9F88" w14:textId="77777777" w:rsidR="00586415" w:rsidRPr="009461CC" w:rsidRDefault="00586415" w:rsidP="008B131A">
            <w:pPr>
              <w:spacing w:after="0" w:afterAutospacing="0" w:line="216" w:lineRule="auto"/>
              <w:jc w:val="center"/>
              <w:rPr>
                <w:rFonts w:cs="Times New Roman"/>
                <w:sz w:val="22"/>
              </w:rPr>
            </w:pPr>
            <w:r>
              <w:rPr>
                <w:rFonts w:cs="Times New Roman"/>
                <w:sz w:val="22"/>
                <w:lang w:val="nl-NL"/>
              </w:rPr>
              <w:t>MEDDEV 2.12/2 Rev2</w:t>
            </w:r>
          </w:p>
        </w:tc>
        <w:tc>
          <w:tcPr>
            <w:tcW w:w="3871" w:type="pct"/>
          </w:tcPr>
          <w:p w14:paraId="534E025E" w14:textId="77777777" w:rsidR="00586415" w:rsidRPr="000619BF" w:rsidRDefault="00586415" w:rsidP="008B131A">
            <w:pPr>
              <w:spacing w:after="0" w:afterAutospacing="0" w:line="216" w:lineRule="auto"/>
              <w:rPr>
                <w:rFonts w:cs="Times New Roman"/>
                <w:sz w:val="22"/>
                <w:lang w:val="de-DE"/>
              </w:rPr>
            </w:pPr>
            <w:r>
              <w:rPr>
                <w:rFonts w:cs="Times New Roman"/>
                <w:sz w:val="22"/>
                <w:lang w:val="nl-NL"/>
              </w:rPr>
              <w:t>Studies voor klinische follow-up na het in de handel brengen</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8B131A">
            <w:pPr>
              <w:spacing w:after="0" w:afterAutospacing="0" w:line="216" w:lineRule="auto"/>
              <w:jc w:val="center"/>
              <w:rPr>
                <w:rFonts w:cs="Times New Roman"/>
                <w:b/>
                <w:bCs/>
                <w:sz w:val="22"/>
              </w:rPr>
            </w:pPr>
            <w:r>
              <w:rPr>
                <w:rFonts w:cs="Times New Roman"/>
                <w:b/>
                <w:bCs/>
                <w:sz w:val="22"/>
                <w:lang w:val="nl-NL"/>
              </w:rPr>
              <w:t>Waakzaamheid</w:t>
            </w:r>
          </w:p>
        </w:tc>
      </w:tr>
      <w:tr w:rsidR="00586415" w:rsidRPr="00BD0841" w14:paraId="577ABEC8" w14:textId="77777777" w:rsidTr="00293453">
        <w:tc>
          <w:tcPr>
            <w:tcW w:w="1129" w:type="pct"/>
          </w:tcPr>
          <w:p w14:paraId="403A7E80" w14:textId="77777777" w:rsidR="00586415" w:rsidRPr="009461CC" w:rsidRDefault="00586415" w:rsidP="008B131A">
            <w:pPr>
              <w:spacing w:after="0" w:afterAutospacing="0" w:line="216" w:lineRule="auto"/>
              <w:jc w:val="center"/>
              <w:rPr>
                <w:rFonts w:cs="Times New Roman"/>
                <w:sz w:val="22"/>
              </w:rPr>
            </w:pPr>
            <w:r>
              <w:rPr>
                <w:rFonts w:cs="Times New Roman"/>
                <w:sz w:val="22"/>
                <w:lang w:val="nl-NL"/>
              </w:rPr>
              <w:t>MEDDEV 2.12/1 Rev8</w:t>
            </w:r>
          </w:p>
        </w:tc>
        <w:tc>
          <w:tcPr>
            <w:tcW w:w="3871" w:type="pct"/>
          </w:tcPr>
          <w:p w14:paraId="1F13D90E" w14:textId="77777777" w:rsidR="00586415" w:rsidRPr="000619BF" w:rsidRDefault="00586415" w:rsidP="008B131A">
            <w:pPr>
              <w:spacing w:after="0" w:afterAutospacing="0" w:line="216" w:lineRule="auto"/>
              <w:rPr>
                <w:rFonts w:cs="Times New Roman"/>
                <w:sz w:val="22"/>
                <w:lang w:val="de-DE"/>
              </w:rPr>
            </w:pPr>
            <w:r>
              <w:rPr>
                <w:rFonts w:cs="Times New Roman"/>
                <w:sz w:val="22"/>
                <w:lang w:val="nl-NL"/>
              </w:rPr>
              <w:t>Richtlijnen voor een waakzaamheidssysteem voor medische hulpmiddelen</w:t>
            </w:r>
          </w:p>
        </w:tc>
      </w:tr>
    </w:tbl>
    <w:p w14:paraId="06B25AF7" w14:textId="77777777" w:rsidR="00582286" w:rsidRPr="000619BF" w:rsidRDefault="00582286" w:rsidP="000A23CB">
      <w:pPr>
        <w:spacing w:after="0" w:afterAutospacing="0" w:line="240" w:lineRule="auto"/>
        <w:rPr>
          <w:rFonts w:cs="Times New Roman"/>
          <w:lang w:val="de-DE"/>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303"/>
      <w:r>
        <w:rPr>
          <w:rFonts w:cs="Times New Roman"/>
          <w:bCs/>
          <w:lang w:val="nl-NL"/>
        </w:rPr>
        <w:t>Revisiegeschiedenis</w:t>
      </w:r>
      <w:bookmarkEnd w:id="80"/>
      <w:bookmarkEnd w:id="81"/>
    </w:p>
    <w:tbl>
      <w:tblPr>
        <w:tblStyle w:val="TableGrid"/>
        <w:tblW w:w="5000" w:type="pct"/>
        <w:tblLook w:val="04A0" w:firstRow="1" w:lastRow="0" w:firstColumn="1" w:lastColumn="0" w:noHBand="0" w:noVBand="1"/>
      </w:tblPr>
      <w:tblGrid>
        <w:gridCol w:w="1200"/>
        <w:gridCol w:w="1506"/>
        <w:gridCol w:w="3769"/>
        <w:gridCol w:w="3955"/>
      </w:tblGrid>
      <w:tr w:rsidR="00601F87" w:rsidRPr="007D723C" w14:paraId="5B6BFC55" w14:textId="77777777" w:rsidTr="008B131A">
        <w:tc>
          <w:tcPr>
            <w:tcW w:w="575" w:type="pct"/>
          </w:tcPr>
          <w:p w14:paraId="2E035377" w14:textId="77777777" w:rsidR="00601F87" w:rsidRPr="009461CC" w:rsidRDefault="00601F87" w:rsidP="008B131A">
            <w:pPr>
              <w:spacing w:after="0" w:afterAutospacing="0" w:line="216" w:lineRule="auto"/>
              <w:rPr>
                <w:rFonts w:cs="Times New Roman"/>
                <w:b/>
                <w:sz w:val="22"/>
              </w:rPr>
            </w:pPr>
            <w:r>
              <w:rPr>
                <w:rFonts w:cs="Times New Roman"/>
                <w:b/>
                <w:bCs/>
                <w:sz w:val="22"/>
                <w:lang w:val="nl-NL"/>
              </w:rPr>
              <w:t>Revisie</w:t>
            </w:r>
          </w:p>
        </w:tc>
        <w:tc>
          <w:tcPr>
            <w:tcW w:w="722" w:type="pct"/>
          </w:tcPr>
          <w:p w14:paraId="50A5C536" w14:textId="77777777" w:rsidR="00601F87" w:rsidRPr="009461CC" w:rsidRDefault="00601F87" w:rsidP="008B131A">
            <w:pPr>
              <w:spacing w:after="0" w:afterAutospacing="0" w:line="216" w:lineRule="auto"/>
              <w:rPr>
                <w:rFonts w:cs="Times New Roman"/>
                <w:b/>
                <w:sz w:val="22"/>
              </w:rPr>
            </w:pPr>
            <w:r>
              <w:rPr>
                <w:rFonts w:cs="Times New Roman"/>
                <w:b/>
                <w:bCs/>
                <w:sz w:val="22"/>
                <w:lang w:val="nl-NL"/>
              </w:rPr>
              <w:t>Datum afgifte</w:t>
            </w:r>
          </w:p>
        </w:tc>
        <w:tc>
          <w:tcPr>
            <w:tcW w:w="1807" w:type="pct"/>
          </w:tcPr>
          <w:p w14:paraId="028B7F50" w14:textId="77777777" w:rsidR="00601F87" w:rsidRPr="009461CC" w:rsidRDefault="00601F87" w:rsidP="008B131A">
            <w:pPr>
              <w:spacing w:after="0" w:afterAutospacing="0" w:line="216" w:lineRule="auto"/>
              <w:rPr>
                <w:rFonts w:cs="Times New Roman"/>
                <w:b/>
                <w:sz w:val="22"/>
              </w:rPr>
            </w:pPr>
            <w:r>
              <w:rPr>
                <w:rFonts w:cs="Times New Roman"/>
                <w:b/>
                <w:bCs/>
                <w:sz w:val="22"/>
                <w:lang w:val="nl-NL"/>
              </w:rPr>
              <w:t>Wijzigingbeschrijving</w:t>
            </w:r>
          </w:p>
        </w:tc>
        <w:tc>
          <w:tcPr>
            <w:tcW w:w="1896" w:type="pct"/>
          </w:tcPr>
          <w:p w14:paraId="3C9FD99C" w14:textId="77777777" w:rsidR="00601F87" w:rsidRPr="008B131A" w:rsidRDefault="00601F87" w:rsidP="008B131A">
            <w:pPr>
              <w:spacing w:after="0" w:afterAutospacing="0" w:line="216" w:lineRule="auto"/>
              <w:rPr>
                <w:rFonts w:cs="Times New Roman"/>
                <w:b/>
                <w:sz w:val="22"/>
                <w:lang w:val="nl-NL"/>
              </w:rPr>
            </w:pPr>
            <w:r>
              <w:rPr>
                <w:rFonts w:cs="Times New Roman"/>
                <w:b/>
                <w:bCs/>
                <w:sz w:val="22"/>
                <w:lang w:val="nl-NL"/>
              </w:rPr>
              <w:t>Revisie gevalideerd door de aangemelde instantie (Notified Body)?</w:t>
            </w:r>
          </w:p>
        </w:tc>
      </w:tr>
      <w:tr w:rsidR="00601F87" w:rsidRPr="009461CC" w14:paraId="16EC10C7" w14:textId="77777777" w:rsidTr="008B131A">
        <w:tc>
          <w:tcPr>
            <w:tcW w:w="575" w:type="pct"/>
          </w:tcPr>
          <w:p w14:paraId="58BC1E5F" w14:textId="77777777" w:rsidR="00601F87" w:rsidRPr="009461CC" w:rsidRDefault="00601F87" w:rsidP="008B131A">
            <w:pPr>
              <w:spacing w:after="0" w:afterAutospacing="0" w:line="216" w:lineRule="auto"/>
              <w:rPr>
                <w:rFonts w:cs="Times New Roman"/>
                <w:sz w:val="22"/>
              </w:rPr>
            </w:pPr>
            <w:r>
              <w:rPr>
                <w:rFonts w:cs="Times New Roman"/>
                <w:sz w:val="22"/>
                <w:lang w:val="nl-NL"/>
              </w:rPr>
              <w:t>A</w:t>
            </w:r>
          </w:p>
        </w:tc>
        <w:tc>
          <w:tcPr>
            <w:tcW w:w="722" w:type="pct"/>
          </w:tcPr>
          <w:p w14:paraId="6A81A9AF" w14:textId="71A1E241" w:rsidR="00601F87" w:rsidRPr="009461CC" w:rsidRDefault="002069F1" w:rsidP="008B131A">
            <w:pPr>
              <w:spacing w:after="0" w:afterAutospacing="0" w:line="216" w:lineRule="auto"/>
              <w:rPr>
                <w:rFonts w:cs="Times New Roman"/>
                <w:iCs/>
                <w:sz w:val="22"/>
              </w:rPr>
            </w:pPr>
            <w:r>
              <w:rPr>
                <w:rFonts w:cs="Times New Roman"/>
                <w:sz w:val="22"/>
                <w:lang w:val="nl-NL"/>
              </w:rPr>
              <w:t>22 mei 2022</w:t>
            </w:r>
          </w:p>
        </w:tc>
        <w:tc>
          <w:tcPr>
            <w:tcW w:w="1807" w:type="pct"/>
          </w:tcPr>
          <w:p w14:paraId="0B577D70" w14:textId="77777777" w:rsidR="00601F87" w:rsidRPr="008B131A" w:rsidRDefault="00601F87" w:rsidP="008B131A">
            <w:pPr>
              <w:spacing w:after="0" w:afterAutospacing="0" w:line="216" w:lineRule="auto"/>
              <w:rPr>
                <w:rFonts w:cs="Times New Roman"/>
                <w:sz w:val="22"/>
                <w:lang w:val="nl-NL"/>
              </w:rPr>
            </w:pPr>
            <w:r>
              <w:rPr>
                <w:rFonts w:cs="Times New Roman"/>
                <w:sz w:val="22"/>
                <w:lang w:val="nl-NL"/>
              </w:rPr>
              <w:t>Eerste interne release – Niet gevalideerd door BSI</w:t>
            </w:r>
          </w:p>
        </w:tc>
        <w:tc>
          <w:tcPr>
            <w:tcW w:w="1896" w:type="pct"/>
          </w:tcPr>
          <w:p w14:paraId="3673E384" w14:textId="77777777" w:rsidR="00601F87" w:rsidRPr="009461CC" w:rsidRDefault="00000000" w:rsidP="008B131A">
            <w:pPr>
              <w:spacing w:after="0" w:afterAutospacing="0" w:line="216" w:lineRule="auto"/>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sidR="0053628F">
                  <w:rPr>
                    <w:rFonts w:ascii="Segoe UI Symbol" w:eastAsia="MS Gothic" w:hAnsi="Segoe UI Symbol" w:cs="Segoe UI Symbol"/>
                    <w:sz w:val="22"/>
                    <w:lang w:val="nl-NL"/>
                  </w:rPr>
                  <w:t>☒</w:t>
                </w:r>
              </w:sdtContent>
            </w:sdt>
            <w:r w:rsidR="0053628F">
              <w:rPr>
                <w:rFonts w:eastAsia="MS Gothic"/>
                <w:sz w:val="22"/>
                <w:lang w:val="nl-NL"/>
              </w:rPr>
              <w:t xml:space="preserve"> Alleen voor intern gebruik</w:t>
            </w:r>
          </w:p>
        </w:tc>
      </w:tr>
      <w:tr w:rsidR="00601F87" w:rsidRPr="00BD0841" w14:paraId="253ED939" w14:textId="77777777" w:rsidTr="008B131A">
        <w:tc>
          <w:tcPr>
            <w:tcW w:w="575" w:type="pct"/>
          </w:tcPr>
          <w:p w14:paraId="794C6341" w14:textId="77777777" w:rsidR="00601F87" w:rsidRPr="009461CC" w:rsidRDefault="00601F87" w:rsidP="008B131A">
            <w:pPr>
              <w:spacing w:after="0" w:afterAutospacing="0" w:line="216" w:lineRule="auto"/>
              <w:rPr>
                <w:rFonts w:cs="Times New Roman"/>
                <w:sz w:val="22"/>
              </w:rPr>
            </w:pPr>
            <w:r>
              <w:rPr>
                <w:rFonts w:cs="Times New Roman"/>
                <w:sz w:val="22"/>
                <w:lang w:val="nl-NL"/>
              </w:rPr>
              <w:t xml:space="preserve">B </w:t>
            </w:r>
          </w:p>
        </w:tc>
        <w:tc>
          <w:tcPr>
            <w:tcW w:w="722" w:type="pct"/>
          </w:tcPr>
          <w:p w14:paraId="4E93CA05" w14:textId="47A5412E" w:rsidR="00601F87" w:rsidRPr="009461CC" w:rsidRDefault="00624761" w:rsidP="008B131A">
            <w:pPr>
              <w:spacing w:after="0" w:afterAutospacing="0" w:line="216" w:lineRule="auto"/>
              <w:rPr>
                <w:rFonts w:cs="Times New Roman"/>
                <w:iCs/>
                <w:sz w:val="22"/>
              </w:rPr>
            </w:pPr>
            <w:r>
              <w:rPr>
                <w:rFonts w:cs="Times New Roman"/>
                <w:sz w:val="22"/>
                <w:lang w:val="nl-NL"/>
              </w:rPr>
              <w:t xml:space="preserve">15 december 2025 </w:t>
            </w:r>
          </w:p>
          <w:p w14:paraId="76ECF0BB" w14:textId="21F4F941" w:rsidR="00601F87" w:rsidRPr="009461CC" w:rsidRDefault="00601F87" w:rsidP="008B131A">
            <w:pPr>
              <w:spacing w:after="0" w:afterAutospacing="0" w:line="216" w:lineRule="auto"/>
              <w:rPr>
                <w:rFonts w:cs="Times New Roman"/>
                <w:iCs/>
                <w:sz w:val="22"/>
              </w:rPr>
            </w:pPr>
          </w:p>
        </w:tc>
        <w:tc>
          <w:tcPr>
            <w:tcW w:w="1807" w:type="pct"/>
          </w:tcPr>
          <w:p w14:paraId="7ADC2C3E" w14:textId="77777777" w:rsidR="00601F87" w:rsidRPr="000619BF" w:rsidRDefault="00601F87" w:rsidP="008B131A">
            <w:pPr>
              <w:spacing w:after="0" w:afterAutospacing="0" w:line="216" w:lineRule="auto"/>
              <w:rPr>
                <w:rFonts w:cs="Times New Roman"/>
                <w:sz w:val="22"/>
                <w:lang w:val="de-DE"/>
              </w:rPr>
            </w:pPr>
            <w:r>
              <w:rPr>
                <w:rFonts w:cs="Times New Roman"/>
                <w:sz w:val="22"/>
                <w:lang w:val="nl-NL"/>
              </w:rPr>
              <w:t>Eerste indiening bij BSI, ter beoordeling</w:t>
            </w:r>
          </w:p>
          <w:p w14:paraId="17842BBC" w14:textId="53FA9776" w:rsidR="00601F87" w:rsidRPr="000619BF" w:rsidRDefault="00601F87" w:rsidP="008B131A">
            <w:pPr>
              <w:spacing w:after="0" w:afterAutospacing="0" w:line="216" w:lineRule="auto"/>
              <w:rPr>
                <w:rFonts w:cs="Times New Roman"/>
                <w:sz w:val="22"/>
                <w:lang w:val="de-DE"/>
              </w:rPr>
            </w:pPr>
            <w:r>
              <w:rPr>
                <w:rFonts w:cs="Times New Roman"/>
                <w:sz w:val="22"/>
                <w:lang w:val="nl-NL"/>
              </w:rPr>
              <w:t xml:space="preserve"> </w:t>
            </w:r>
          </w:p>
        </w:tc>
        <w:tc>
          <w:tcPr>
            <w:tcW w:w="1896" w:type="pct"/>
          </w:tcPr>
          <w:p w14:paraId="0FC9FC92" w14:textId="465431A0" w:rsidR="006D6EA3" w:rsidRPr="000619BF" w:rsidRDefault="00000000" w:rsidP="008B131A">
            <w:pPr>
              <w:spacing w:after="0" w:afterAutospacing="0" w:line="216" w:lineRule="auto"/>
              <w:rPr>
                <w:rFonts w:cs="Times New Roman"/>
                <w:sz w:val="22"/>
                <w:lang w:val="de-DE"/>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sidR="0053628F">
                  <w:rPr>
                    <w:rFonts w:ascii="Segoe UI Symbol" w:eastAsia="MS Gothic" w:hAnsi="Segoe UI Symbol" w:cs="Segoe UI Symbol"/>
                    <w:sz w:val="22"/>
                    <w:lang w:val="nl-NL"/>
                  </w:rPr>
                  <w:t>☒</w:t>
                </w:r>
              </w:sdtContent>
            </w:sdt>
            <w:r w:rsidR="0053628F">
              <w:rPr>
                <w:rFonts w:eastAsia="MS Gothic"/>
                <w:sz w:val="22"/>
                <w:lang w:val="nl-NL"/>
              </w:rPr>
              <w:t xml:space="preserve"> Ja </w:t>
            </w:r>
          </w:p>
          <w:p w14:paraId="52EB2E13" w14:textId="77777777" w:rsidR="006D6EA3" w:rsidRPr="000619BF" w:rsidRDefault="006D6EA3" w:rsidP="008B131A">
            <w:pPr>
              <w:spacing w:after="0" w:afterAutospacing="0" w:line="216" w:lineRule="auto"/>
              <w:rPr>
                <w:rFonts w:cs="Times New Roman"/>
                <w:sz w:val="22"/>
                <w:lang w:val="de-DE"/>
              </w:rPr>
            </w:pPr>
            <w:r>
              <w:rPr>
                <w:rFonts w:cs="Times New Roman"/>
                <w:sz w:val="22"/>
                <w:lang w:val="nl-NL"/>
              </w:rPr>
              <w:t xml:space="preserve">Validatietaal: </w:t>
            </w:r>
          </w:p>
          <w:p w14:paraId="293F45BE" w14:textId="789551FE" w:rsidR="00CA46B0" w:rsidRPr="000619BF" w:rsidRDefault="006D6EA3" w:rsidP="008B131A">
            <w:pPr>
              <w:spacing w:after="0" w:afterAutospacing="0" w:line="216" w:lineRule="auto"/>
              <w:rPr>
                <w:rFonts w:cs="Times New Roman"/>
                <w:sz w:val="22"/>
                <w:lang w:val="de-DE"/>
              </w:rPr>
            </w:pPr>
            <w:r>
              <w:rPr>
                <w:rFonts w:cs="Times New Roman"/>
                <w:sz w:val="22"/>
                <w:lang w:val="nl-NL"/>
              </w:rPr>
              <w:t>Nederlands</w:t>
            </w:r>
          </w:p>
          <w:p w14:paraId="2C6B2388" w14:textId="67AA1B36" w:rsidR="00601F87" w:rsidRPr="000619BF" w:rsidRDefault="006D6EA3" w:rsidP="008B131A">
            <w:pPr>
              <w:spacing w:after="0" w:afterAutospacing="0" w:line="216" w:lineRule="auto"/>
              <w:rPr>
                <w:rFonts w:cs="Times New Roman"/>
                <w:sz w:val="22"/>
                <w:highlight w:val="yellow"/>
                <w:lang w:val="de-DE"/>
              </w:rPr>
            </w:pPr>
            <w:r>
              <w:rPr>
                <w:rFonts w:ascii="Segoe UI Symbol" w:hAnsi="Segoe UI Symbol"/>
                <w:sz w:val="22"/>
                <w:lang w:val="nl-NL"/>
              </w:rPr>
              <w:t>☐</w:t>
            </w:r>
            <w:r>
              <w:rPr>
                <w:sz w:val="22"/>
                <w:lang w:val="nl-NL"/>
              </w:rPr>
              <w:t xml:space="preserve"> Nee (alleen van toepassing op klasse IIa of sommige klasse IIb-hulpmiddelen waarvoor de SSCP nog niet is gevalideerd door de aangemelde instantie</w:t>
            </w:r>
            <w:r w:rsidR="00BD0841">
              <w:rPr>
                <w:sz w:val="22"/>
                <w:lang w:val="nl-NL"/>
              </w:rPr>
              <w:t xml:space="preserve"> (NB)</w:t>
            </w:r>
            <w:r>
              <w:rPr>
                <w:sz w:val="22"/>
                <w:lang w:val="nl-NL"/>
              </w:rPr>
              <w:t>)</w:t>
            </w:r>
          </w:p>
        </w:tc>
      </w:tr>
    </w:tbl>
    <w:p w14:paraId="05B94FC3" w14:textId="73ABFCCD" w:rsidR="00601F87" w:rsidRPr="000619BF" w:rsidRDefault="00601F87" w:rsidP="00601F87">
      <w:pPr>
        <w:tabs>
          <w:tab w:val="left" w:pos="3633"/>
        </w:tabs>
        <w:rPr>
          <w:rFonts w:cs="Times New Roman"/>
          <w:lang w:val="de-DE"/>
        </w:rPr>
      </w:pPr>
    </w:p>
    <w:sectPr w:rsidR="00601F87" w:rsidRPr="000619BF" w:rsidSect="008018FA">
      <w:headerReference w:type="default" r:id="rId27"/>
      <w:footerReference w:type="default" r:id="rId28"/>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2D32" w14:textId="77777777" w:rsidR="005E37B1" w:rsidRDefault="005E37B1" w:rsidP="009855C3">
      <w:r>
        <w:separator/>
      </w:r>
    </w:p>
  </w:endnote>
  <w:endnote w:type="continuationSeparator" w:id="0">
    <w:p w14:paraId="098276C2" w14:textId="77777777" w:rsidR="005E37B1" w:rsidRDefault="005E37B1"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8B131A" w:rsidRDefault="003036AD" w:rsidP="009855C3">
    <w:pPr>
      <w:pStyle w:val="Footer"/>
      <w:rPr>
        <w:szCs w:val="24"/>
        <w:lang w:val="nb-NO"/>
      </w:rPr>
    </w:pPr>
    <w:r>
      <w:rPr>
        <w:b/>
        <w:bCs/>
        <w:sz w:val="18"/>
        <w:szCs w:val="18"/>
        <w:lang w:val="nl-NL"/>
      </w:rPr>
      <w:t>CAQ-QA-025-F1 Rev G: Samenvatting van veiligheid en klinische prestaties (SSCP)</w:t>
    </w:r>
    <w:r>
      <w:rPr>
        <w:lang w:val="nl-NL"/>
      </w:rPr>
      <w:t xml:space="preserve"> </w:t>
    </w:r>
    <w:r>
      <w:rPr>
        <w:lang w:val="nl-NL"/>
      </w:rPr>
      <w:tab/>
      <w:t xml:space="preserve">Pagina </w:t>
    </w:r>
    <w:r>
      <w:rPr>
        <w:lang w:val="nl-NL"/>
      </w:rPr>
      <w:fldChar w:fldCharType="begin"/>
    </w:r>
    <w:r>
      <w:rPr>
        <w:lang w:val="nl-NL"/>
      </w:rPr>
      <w:instrText xml:space="preserve"> PAGE  \* Arabic </w:instrText>
    </w:r>
    <w:r>
      <w:rPr>
        <w:lang w:val="nl-NL"/>
      </w:rPr>
      <w:fldChar w:fldCharType="separate"/>
    </w:r>
    <w:r>
      <w:rPr>
        <w:lang w:val="nl-NL"/>
      </w:rPr>
      <w:t>0</w:t>
    </w:r>
    <w:r>
      <w:rPr>
        <w:lang w:val="nl-NL"/>
      </w:rPr>
      <w:fldChar w:fldCharType="end"/>
    </w:r>
    <w:r>
      <w:rPr>
        <w:lang w:val="nl-NL"/>
      </w:rPr>
      <w:t xml:space="preserve"> van </w:t>
    </w:r>
    <w:r>
      <w:fldChar w:fldCharType="begin"/>
    </w:r>
    <w:r w:rsidRPr="008B131A">
      <w:rPr>
        <w:lang w:val="nb-NO"/>
      </w:rPr>
      <w:instrText xml:space="preserve"> NUMPAGES  </w:instrText>
    </w:r>
    <w:r>
      <w:fldChar w:fldCharType="separate"/>
    </w:r>
    <w:r>
      <w:rPr>
        <w:lang w:val="nl-NL"/>
      </w:rPr>
      <w:t>12</w:t>
    </w:r>
    <w:r>
      <w:rPr>
        <w:lang w:val="nl-NL"/>
      </w:rPr>
      <w:fldChar w:fldCharType="end"/>
    </w:r>
    <w:r>
      <w:rPr>
        <w:lang w:val="nl-NL"/>
      </w:rPr>
      <w:t xml:space="preserve"> </w:t>
    </w:r>
    <w:r>
      <w:rPr>
        <w:lang w:val="nl-NL"/>
      </w:rPr>
      <w:tab/>
    </w:r>
    <w:r>
      <w:rPr>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14EB" w14:textId="77777777" w:rsidR="005E37B1" w:rsidRDefault="005E37B1" w:rsidP="009855C3">
      <w:r>
        <w:separator/>
      </w:r>
    </w:p>
  </w:footnote>
  <w:footnote w:type="continuationSeparator" w:id="0">
    <w:p w14:paraId="2BBD5112" w14:textId="77777777" w:rsidR="005E37B1" w:rsidRDefault="005E37B1"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30262D2" w:rsidR="00B62140" w:rsidRDefault="00B62140" w:rsidP="00B62140">
          <w:pPr>
            <w:pStyle w:val="Header"/>
            <w:jc w:val="left"/>
          </w:pPr>
          <w:r>
            <w:rPr>
              <w:noProof/>
              <w:lang w:val="nl-NL"/>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BC3E84" w:rsidRDefault="005450DC" w:rsidP="005450DC">
          <w:pPr>
            <w:spacing w:after="0" w:afterAutospacing="0"/>
            <w:rPr>
              <w:rFonts w:ascii="Arial" w:hAnsi="Arial" w:cs="Arial"/>
              <w:b/>
              <w:bCs/>
              <w:sz w:val="28"/>
              <w:szCs w:val="28"/>
              <w:lang w:val="de-DE"/>
            </w:rPr>
          </w:pPr>
          <w:r>
            <w:rPr>
              <w:rFonts w:ascii="Arial" w:hAnsi="Arial" w:cs="Arial"/>
              <w:b/>
              <w:bCs/>
              <w:sz w:val="28"/>
              <w:szCs w:val="28"/>
              <w:lang w:val="nl-NL"/>
            </w:rPr>
            <w:t>Samenvatting van veiligheid en klinische prestaties (SSCP)</w:t>
          </w:r>
        </w:p>
        <w:p w14:paraId="3BB3B2B1" w14:textId="09E40637" w:rsidR="009F5769" w:rsidRPr="005450DC" w:rsidRDefault="009F5769" w:rsidP="009F5769">
          <w:pPr>
            <w:spacing w:after="0" w:afterAutospacing="0"/>
            <w:rPr>
              <w:rFonts w:ascii="Arial" w:hAnsi="Arial" w:cs="Arial"/>
              <w:sz w:val="18"/>
              <w:szCs w:val="18"/>
            </w:rPr>
          </w:pPr>
          <w:r w:rsidRPr="008B131A">
            <w:rPr>
              <w:rFonts w:ascii="Arial" w:hAnsi="Arial" w:cs="Arial"/>
              <w:b/>
              <w:bCs/>
              <w:sz w:val="18"/>
              <w:szCs w:val="18"/>
            </w:rPr>
            <w:t xml:space="preserve">SSCP-0006: </w:t>
          </w:r>
          <w:bookmarkStart w:id="82" w:name="_Hlk196721157"/>
          <w:r w:rsidRPr="008B131A">
            <w:rPr>
              <w:rFonts w:ascii="Arial" w:hAnsi="Arial" w:cs="Arial"/>
              <w:sz w:val="18"/>
              <w:szCs w:val="18"/>
            </w:rPr>
            <w:t xml:space="preserve">Atrieve </w:t>
          </w:r>
          <w:r w:rsidR="00F21B6F" w:rsidRPr="00F21B6F">
            <w:rPr>
              <w:rFonts w:ascii="Arial" w:hAnsi="Arial" w:cs="Arial"/>
              <w:sz w:val="18"/>
              <w:szCs w:val="18"/>
            </w:rPr>
            <w:t>Vasculaire</w:t>
          </w:r>
          <w:r w:rsidRPr="008B131A">
            <w:rPr>
              <w:rFonts w:ascii="Arial" w:hAnsi="Arial" w:cs="Arial"/>
              <w:sz w:val="18"/>
              <w:szCs w:val="18"/>
            </w:rPr>
            <w:t xml:space="preserve"> </w:t>
          </w:r>
          <w:bookmarkEnd w:id="82"/>
          <w:r w:rsidR="007F04F5">
            <w:rPr>
              <w:rFonts w:ascii="Arial" w:hAnsi="Arial" w:cs="Arial"/>
              <w:sz w:val="18"/>
              <w:szCs w:val="18"/>
            </w:rPr>
            <w:t>Snare-kit</w:t>
          </w:r>
        </w:p>
        <w:p w14:paraId="32066318" w14:textId="67D2D3F3" w:rsidR="005450DC" w:rsidRPr="005450DC" w:rsidRDefault="005450DC" w:rsidP="005450DC">
          <w:pPr>
            <w:spacing w:after="0" w:afterAutospacing="0"/>
            <w:rPr>
              <w:rFonts w:ascii="Arial" w:hAnsi="Arial" w:cs="Arial"/>
              <w:sz w:val="18"/>
              <w:szCs w:val="18"/>
            </w:rPr>
          </w:pPr>
          <w:r w:rsidRPr="008B131A">
            <w:rPr>
              <w:rFonts w:ascii="Arial" w:hAnsi="Arial" w:cs="Arial"/>
              <w:sz w:val="18"/>
              <w:szCs w:val="18"/>
            </w:rPr>
            <w:t>Revisie: A</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nl-NL"/>
            </w:rPr>
            <w:t>Argon-locatie: Athene</w:t>
          </w:r>
        </w:p>
      </w:tc>
    </w:tr>
  </w:tbl>
  <w:p w14:paraId="0BD58B4F" w14:textId="7DA38D5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582705">
    <w:abstractNumId w:val="22"/>
  </w:num>
  <w:num w:numId="2" w16cid:durableId="680741730">
    <w:abstractNumId w:val="14"/>
  </w:num>
  <w:num w:numId="3" w16cid:durableId="698897902">
    <w:abstractNumId w:val="19"/>
  </w:num>
  <w:num w:numId="4" w16cid:durableId="852957122">
    <w:abstractNumId w:val="6"/>
  </w:num>
  <w:num w:numId="5" w16cid:durableId="935794896">
    <w:abstractNumId w:val="12"/>
  </w:num>
  <w:num w:numId="6" w16cid:durableId="969702459">
    <w:abstractNumId w:val="21"/>
  </w:num>
  <w:num w:numId="7" w16cid:durableId="741635246">
    <w:abstractNumId w:val="23"/>
  </w:num>
  <w:num w:numId="8" w16cid:durableId="1063406575">
    <w:abstractNumId w:val="0"/>
  </w:num>
  <w:num w:numId="9" w16cid:durableId="1506749819">
    <w:abstractNumId w:val="15"/>
  </w:num>
  <w:num w:numId="10" w16cid:durableId="413473626">
    <w:abstractNumId w:val="24"/>
  </w:num>
  <w:num w:numId="11" w16cid:durableId="118888437">
    <w:abstractNumId w:val="25"/>
  </w:num>
  <w:num w:numId="12" w16cid:durableId="1206453601">
    <w:abstractNumId w:val="16"/>
  </w:num>
  <w:num w:numId="13" w16cid:durableId="2017732443">
    <w:abstractNumId w:val="3"/>
  </w:num>
  <w:num w:numId="14" w16cid:durableId="1612978696">
    <w:abstractNumId w:val="9"/>
  </w:num>
  <w:num w:numId="15" w16cid:durableId="1938824096">
    <w:abstractNumId w:val="17"/>
  </w:num>
  <w:num w:numId="16" w16cid:durableId="668555143">
    <w:abstractNumId w:val="28"/>
  </w:num>
  <w:num w:numId="17" w16cid:durableId="144056809">
    <w:abstractNumId w:val="13"/>
  </w:num>
  <w:num w:numId="18" w16cid:durableId="833378878">
    <w:abstractNumId w:val="11"/>
  </w:num>
  <w:num w:numId="19" w16cid:durableId="999190506">
    <w:abstractNumId w:val="31"/>
  </w:num>
  <w:num w:numId="20" w16cid:durableId="1925841016">
    <w:abstractNumId w:val="27"/>
  </w:num>
  <w:num w:numId="21" w16cid:durableId="1354842276">
    <w:abstractNumId w:val="4"/>
  </w:num>
  <w:num w:numId="22" w16cid:durableId="617680331">
    <w:abstractNumId w:val="8"/>
  </w:num>
  <w:num w:numId="23" w16cid:durableId="1183472427">
    <w:abstractNumId w:val="20"/>
  </w:num>
  <w:num w:numId="24" w16cid:durableId="1502889911">
    <w:abstractNumId w:val="26"/>
  </w:num>
  <w:num w:numId="25" w16cid:durableId="593559981">
    <w:abstractNumId w:val="5"/>
  </w:num>
  <w:num w:numId="26" w16cid:durableId="1453672934">
    <w:abstractNumId w:val="10"/>
  </w:num>
  <w:num w:numId="27" w16cid:durableId="1101797569">
    <w:abstractNumId w:val="30"/>
  </w:num>
  <w:num w:numId="28" w16cid:durableId="1933313221">
    <w:abstractNumId w:val="1"/>
  </w:num>
  <w:num w:numId="29" w16cid:durableId="327027428">
    <w:abstractNumId w:val="7"/>
  </w:num>
  <w:num w:numId="30" w16cid:durableId="801265076">
    <w:abstractNumId w:val="18"/>
  </w:num>
  <w:num w:numId="31" w16cid:durableId="689844220">
    <w:abstractNumId w:val="29"/>
  </w:num>
  <w:num w:numId="32" w16cid:durableId="114839633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4A34"/>
    <w:rsid w:val="00006459"/>
    <w:rsid w:val="00011045"/>
    <w:rsid w:val="00012E12"/>
    <w:rsid w:val="00014E82"/>
    <w:rsid w:val="000167B6"/>
    <w:rsid w:val="00017BF4"/>
    <w:rsid w:val="00021D6F"/>
    <w:rsid w:val="00021E83"/>
    <w:rsid w:val="00023959"/>
    <w:rsid w:val="0002755B"/>
    <w:rsid w:val="00034879"/>
    <w:rsid w:val="000379B4"/>
    <w:rsid w:val="00042B91"/>
    <w:rsid w:val="00047250"/>
    <w:rsid w:val="00050F24"/>
    <w:rsid w:val="0005411A"/>
    <w:rsid w:val="00057D5B"/>
    <w:rsid w:val="000619BF"/>
    <w:rsid w:val="000628F7"/>
    <w:rsid w:val="00063367"/>
    <w:rsid w:val="00076AE4"/>
    <w:rsid w:val="00076F70"/>
    <w:rsid w:val="000774DD"/>
    <w:rsid w:val="0007767B"/>
    <w:rsid w:val="000857E5"/>
    <w:rsid w:val="000920E7"/>
    <w:rsid w:val="000975C6"/>
    <w:rsid w:val="000A1236"/>
    <w:rsid w:val="000A23CB"/>
    <w:rsid w:val="000A25FA"/>
    <w:rsid w:val="000A5EBD"/>
    <w:rsid w:val="000A6E93"/>
    <w:rsid w:val="000B2B61"/>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22ED"/>
    <w:rsid w:val="00152634"/>
    <w:rsid w:val="001533A4"/>
    <w:rsid w:val="00154AAA"/>
    <w:rsid w:val="00155220"/>
    <w:rsid w:val="0015690A"/>
    <w:rsid w:val="00156CF3"/>
    <w:rsid w:val="00162917"/>
    <w:rsid w:val="00162923"/>
    <w:rsid w:val="00165A00"/>
    <w:rsid w:val="001861C6"/>
    <w:rsid w:val="0018778A"/>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3FDB"/>
    <w:rsid w:val="00214E2F"/>
    <w:rsid w:val="0021589A"/>
    <w:rsid w:val="00215D52"/>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868B4"/>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1BFB"/>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28F"/>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37B1"/>
    <w:rsid w:val="005E76F6"/>
    <w:rsid w:val="005F1F10"/>
    <w:rsid w:val="005F2B16"/>
    <w:rsid w:val="005F4E7B"/>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51A9"/>
    <w:rsid w:val="00647A09"/>
    <w:rsid w:val="0065086A"/>
    <w:rsid w:val="006517A0"/>
    <w:rsid w:val="006524A2"/>
    <w:rsid w:val="00661086"/>
    <w:rsid w:val="00674185"/>
    <w:rsid w:val="00683D4A"/>
    <w:rsid w:val="00686D39"/>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3AC2"/>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2EE"/>
    <w:rsid w:val="007C7E15"/>
    <w:rsid w:val="007D5088"/>
    <w:rsid w:val="007D708F"/>
    <w:rsid w:val="007D723C"/>
    <w:rsid w:val="007F04F5"/>
    <w:rsid w:val="007F42BD"/>
    <w:rsid w:val="008002AB"/>
    <w:rsid w:val="008018FA"/>
    <w:rsid w:val="0080432B"/>
    <w:rsid w:val="00804949"/>
    <w:rsid w:val="00805DD8"/>
    <w:rsid w:val="008103FA"/>
    <w:rsid w:val="008170F8"/>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1A"/>
    <w:rsid w:val="008B13A5"/>
    <w:rsid w:val="008B1BA9"/>
    <w:rsid w:val="008B3CB9"/>
    <w:rsid w:val="008B667F"/>
    <w:rsid w:val="008C2DA2"/>
    <w:rsid w:val="008C5C2C"/>
    <w:rsid w:val="008C7623"/>
    <w:rsid w:val="008C78ED"/>
    <w:rsid w:val="008D7F1C"/>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4856"/>
    <w:rsid w:val="00976460"/>
    <w:rsid w:val="00976960"/>
    <w:rsid w:val="00981AFC"/>
    <w:rsid w:val="00982459"/>
    <w:rsid w:val="00982823"/>
    <w:rsid w:val="00982903"/>
    <w:rsid w:val="009855C3"/>
    <w:rsid w:val="00987307"/>
    <w:rsid w:val="00994DB9"/>
    <w:rsid w:val="009964D2"/>
    <w:rsid w:val="009975D4"/>
    <w:rsid w:val="009977D7"/>
    <w:rsid w:val="009A1AED"/>
    <w:rsid w:val="009A1FF8"/>
    <w:rsid w:val="009A5F24"/>
    <w:rsid w:val="009B4453"/>
    <w:rsid w:val="009B569A"/>
    <w:rsid w:val="009B7C1D"/>
    <w:rsid w:val="009C4FD5"/>
    <w:rsid w:val="009D19D6"/>
    <w:rsid w:val="009D3291"/>
    <w:rsid w:val="009D54C6"/>
    <w:rsid w:val="009D6FE2"/>
    <w:rsid w:val="009D7E33"/>
    <w:rsid w:val="009E10C6"/>
    <w:rsid w:val="009E1EBB"/>
    <w:rsid w:val="009E4BE1"/>
    <w:rsid w:val="009F0CF5"/>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0B6"/>
    <w:rsid w:val="00B66253"/>
    <w:rsid w:val="00B671BD"/>
    <w:rsid w:val="00B67432"/>
    <w:rsid w:val="00B7112F"/>
    <w:rsid w:val="00B714A8"/>
    <w:rsid w:val="00B7247B"/>
    <w:rsid w:val="00B73BEA"/>
    <w:rsid w:val="00B763A0"/>
    <w:rsid w:val="00B82FB3"/>
    <w:rsid w:val="00B8570A"/>
    <w:rsid w:val="00B8696D"/>
    <w:rsid w:val="00B9692A"/>
    <w:rsid w:val="00BA7D3E"/>
    <w:rsid w:val="00BB10A1"/>
    <w:rsid w:val="00BB36B1"/>
    <w:rsid w:val="00BB79B1"/>
    <w:rsid w:val="00BC0CE0"/>
    <w:rsid w:val="00BC3DD7"/>
    <w:rsid w:val="00BC3E84"/>
    <w:rsid w:val="00BD0841"/>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25D1"/>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30BE"/>
    <w:rsid w:val="00D75384"/>
    <w:rsid w:val="00D75D87"/>
    <w:rsid w:val="00D760D8"/>
    <w:rsid w:val="00D82C89"/>
    <w:rsid w:val="00D91CDB"/>
    <w:rsid w:val="00D94089"/>
    <w:rsid w:val="00D96F6A"/>
    <w:rsid w:val="00D979CC"/>
    <w:rsid w:val="00DA4404"/>
    <w:rsid w:val="00DA470B"/>
    <w:rsid w:val="00DA5FD1"/>
    <w:rsid w:val="00DA6381"/>
    <w:rsid w:val="00DB020C"/>
    <w:rsid w:val="00DB2990"/>
    <w:rsid w:val="00DB582A"/>
    <w:rsid w:val="00DB74A8"/>
    <w:rsid w:val="00DD13F4"/>
    <w:rsid w:val="00DD54B4"/>
    <w:rsid w:val="00DE0007"/>
    <w:rsid w:val="00DE2118"/>
    <w:rsid w:val="00DE3CC0"/>
    <w:rsid w:val="00DE6313"/>
    <w:rsid w:val="00DE6327"/>
    <w:rsid w:val="00DE7FD7"/>
    <w:rsid w:val="00DF0617"/>
    <w:rsid w:val="00DF629F"/>
    <w:rsid w:val="00DF62DC"/>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57DD"/>
    <w:rsid w:val="00ED6077"/>
    <w:rsid w:val="00ED60E5"/>
    <w:rsid w:val="00EE18FA"/>
    <w:rsid w:val="00EE3541"/>
    <w:rsid w:val="00EF2775"/>
    <w:rsid w:val="00F05517"/>
    <w:rsid w:val="00F0588E"/>
    <w:rsid w:val="00F07DD1"/>
    <w:rsid w:val="00F11136"/>
    <w:rsid w:val="00F12464"/>
    <w:rsid w:val="00F12AB9"/>
    <w:rsid w:val="00F1562A"/>
    <w:rsid w:val="00F1569C"/>
    <w:rsid w:val="00F20DD6"/>
    <w:rsid w:val="00F21B6F"/>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18FF"/>
    <w:rsid w:val="00F7558C"/>
    <w:rsid w:val="00F761EC"/>
    <w:rsid w:val="00F85207"/>
    <w:rsid w:val="00F86E3F"/>
    <w:rsid w:val="00F9112F"/>
    <w:rsid w:val="00F91180"/>
    <w:rsid w:val="00FA1D26"/>
    <w:rsid w:val="00FB05F7"/>
    <w:rsid w:val="00FB0A38"/>
    <w:rsid w:val="00FB14AD"/>
    <w:rsid w:val="00FB1FDD"/>
    <w:rsid w:val="00FB59FD"/>
    <w:rsid w:val="00FC52C8"/>
    <w:rsid w:val="00FC5667"/>
    <w:rsid w:val="00FC6DBB"/>
    <w:rsid w:val="00FD0ECB"/>
    <w:rsid w:val="00FD7A62"/>
    <w:rsid w:val="00FE191E"/>
    <w:rsid w:val="00FE3112"/>
    <w:rsid w:val="00FE4230"/>
    <w:rsid w:val="00FE471B"/>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DBB6304B-EDF6-4816-99DB-E78DF2FA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B660B6"/>
    <w:pPr>
      <w:widowControl/>
      <w:autoSpaceDE/>
      <w:autoSpaceDN/>
      <w:spacing w:after="100" w:afterAutospacing="1"/>
    </w:pPr>
    <w:rPr>
      <w:rFonts w:ascii="Times New Roman" w:eastAsiaTheme="minorHAnsi" w:hAnsi="Times New Roman" w:cstheme="minorBidi"/>
      <w:b/>
      <w:bCs/>
      <w:lang w:eastAsia="en-GB"/>
    </w:rPr>
  </w:style>
  <w:style w:type="character" w:customStyle="1" w:styleId="CommentSubjectChar">
    <w:name w:val="Comment Subject Char"/>
    <w:basedOn w:val="CommentTextChar"/>
    <w:link w:val="CommentSubject"/>
    <w:uiPriority w:val="99"/>
    <w:semiHidden/>
    <w:rsid w:val="00B660B6"/>
    <w:rPr>
      <w:rFonts w:ascii="Times New Roman" w:eastAsia="Arial" w:hAnsi="Times New Roman"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rgoVigilance@ul.com" TargetMode="External"/><Relationship Id="rId13" Type="http://schemas.openxmlformats.org/officeDocument/2006/relationships/hyperlink" Target="https://www.astm.org/Standards/F2096.htm" TargetMode="External"/><Relationship Id="rId18" Type="http://schemas.openxmlformats.org/officeDocument/2006/relationships/hyperlink" Target="https://www.astm.org/Standards/F1929.htm" TargetMode="External"/><Relationship Id="rId26" Type="http://schemas.openxmlformats.org/officeDocument/2006/relationships/hyperlink" Target="https://www.astm.org/Standards/F1980.htm" TargetMode="External"/><Relationship Id="rId3" Type="http://schemas.openxmlformats.org/officeDocument/2006/relationships/settings" Target="settings.xml"/><Relationship Id="rId21" Type="http://schemas.openxmlformats.org/officeDocument/2006/relationships/hyperlink" Target="https://www.astm.org/Standards/F88.htm" TargetMode="External"/><Relationship Id="rId7" Type="http://schemas.openxmlformats.org/officeDocument/2006/relationships/hyperlink" Target="mailto:RegCompliance@argonmedical.com" TargetMode="External"/><Relationship Id="rId12" Type="http://schemas.openxmlformats.org/officeDocument/2006/relationships/hyperlink" Target="https://www.astm.org/Standards/F2096.htm" TargetMode="External"/><Relationship Id="rId17" Type="http://schemas.openxmlformats.org/officeDocument/2006/relationships/hyperlink" Target="https://www.astm.org/Standards/F1929.htm" TargetMode="External"/><Relationship Id="rId25" Type="http://schemas.openxmlformats.org/officeDocument/2006/relationships/hyperlink" Target="https://www.astm.org/Standards/F1980.htm" TargetMode="External"/><Relationship Id="rId2" Type="http://schemas.openxmlformats.org/officeDocument/2006/relationships/styles" Target="styles.xml"/><Relationship Id="rId16" Type="http://schemas.openxmlformats.org/officeDocument/2006/relationships/hyperlink" Target="https://www.astm.org/Standards/F1929.htm" TargetMode="External"/><Relationship Id="rId20" Type="http://schemas.openxmlformats.org/officeDocument/2006/relationships/hyperlink" Target="https://www.astm.org/Standards/F88.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tm.org/Standards/D4169.htm" TargetMode="External"/><Relationship Id="rId24" Type="http://schemas.openxmlformats.org/officeDocument/2006/relationships/hyperlink" Target="https://www.astm.org/Standards/F1980.htm" TargetMode="External"/><Relationship Id="rId5" Type="http://schemas.openxmlformats.org/officeDocument/2006/relationships/footnotes" Target="footnotes.xml"/><Relationship Id="rId15" Type="http://schemas.openxmlformats.org/officeDocument/2006/relationships/hyperlink" Target="https://www.astm.org/Standards/F2096.htm" TargetMode="External"/><Relationship Id="rId23" Type="http://schemas.openxmlformats.org/officeDocument/2006/relationships/hyperlink" Target="https://www.astm.org/Standards/F1980.htm" TargetMode="External"/><Relationship Id="rId28" Type="http://schemas.openxmlformats.org/officeDocument/2006/relationships/footer" Target="footer1.xml"/><Relationship Id="rId10" Type="http://schemas.openxmlformats.org/officeDocument/2006/relationships/hyperlink" Target="https://www.astm.org/Standards/D4169.htm" TargetMode="External"/><Relationship Id="rId19" Type="http://schemas.openxmlformats.org/officeDocument/2006/relationships/hyperlink" Target="https://www.astm.org/Standards/F1929.htm" TargetMode="External"/><Relationship Id="rId4" Type="http://schemas.openxmlformats.org/officeDocument/2006/relationships/webSettings" Target="webSettings.xml"/><Relationship Id="rId9" Type="http://schemas.openxmlformats.org/officeDocument/2006/relationships/hyperlink" Target="http://www.bsigroup.com" TargetMode="External"/><Relationship Id="rId14" Type="http://schemas.openxmlformats.org/officeDocument/2006/relationships/hyperlink" Target="https://www.astm.org/Standards/F2096.htm" TargetMode="External"/><Relationship Id="rId22" Type="http://schemas.openxmlformats.org/officeDocument/2006/relationships/hyperlink" Target="https://www.astm.org/Standards/F88.ht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4802</Words>
  <Characters>27375</Characters>
  <Application>Microsoft Office Word</Application>
  <DocSecurity>0</DocSecurity>
  <Lines>228</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Pablo Lopez</cp:lastModifiedBy>
  <cp:revision>2</cp:revision>
  <dcterms:created xsi:type="dcterms:W3CDTF">2026-02-25T20:02:00Z</dcterms:created>
  <dcterms:modified xsi:type="dcterms:W3CDTF">2026-02-25T22:21:00Z</dcterms:modified>
</cp:coreProperties>
</file>