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B8D4" w14:textId="7140A925" w:rsidR="0005411A" w:rsidRPr="009461CC" w:rsidRDefault="0005411A" w:rsidP="00042B91">
      <w:pPr>
        <w:pStyle w:val="BodyText3"/>
        <w:spacing w:after="0" w:afterAutospacing="0"/>
        <w:rPr>
          <w:sz w:val="24"/>
        </w:rPr>
      </w:pPr>
    </w:p>
    <w:p w14:paraId="2D72A510" w14:textId="58A5ED92" w:rsidR="0005411A" w:rsidRPr="009461CC" w:rsidRDefault="00E91403" w:rsidP="00042B91">
      <w:pPr>
        <w:pStyle w:val="BodyText3"/>
        <w:spacing w:after="0" w:afterAutospacing="0"/>
      </w:pPr>
      <w:r>
        <w:rPr>
          <w:bCs/>
          <w:noProof/>
          <w:lang w:val="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0C8B7" wp14:editId="0AB8B7D3">
                <wp:simplePos x="0" y="0"/>
                <wp:positionH relativeFrom="column">
                  <wp:posOffset>-191262</wp:posOffset>
                </wp:positionH>
                <wp:positionV relativeFrom="paragraph">
                  <wp:posOffset>68961</wp:posOffset>
                </wp:positionV>
                <wp:extent cx="6448425" cy="1285494"/>
                <wp:effectExtent l="25400" t="25400" r="41275" b="355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285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C1F47" w14:textId="77777777" w:rsidR="0005411A" w:rsidRPr="00E91403" w:rsidRDefault="006F0810" w:rsidP="006D00F2">
                            <w:pPr>
                              <w:pStyle w:val="Heading7"/>
                              <w:spacing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val="pl"/>
                              </w:rPr>
                              <w:t>PODSUMOWANIE BEZPIECZEŃSTWA I SKUTECZNOŚCI KLINICZNEJ (SSCP)</w:t>
                            </w:r>
                          </w:p>
                          <w:p w14:paraId="0E1996B2" w14:textId="77777777" w:rsidR="005D4A52" w:rsidRDefault="005D4A52" w:rsidP="006D00F2">
                            <w:pPr>
                              <w:pStyle w:val="Heading7"/>
                              <w:spacing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val="pl"/>
                              </w:rPr>
                              <w:t>SSCP-0006</w:t>
                            </w:r>
                          </w:p>
                          <w:p w14:paraId="06B6F153" w14:textId="665CF5BF" w:rsidR="005D4A52" w:rsidRDefault="00F1569C" w:rsidP="006D00F2">
                            <w:pPr>
                              <w:pStyle w:val="Heading7"/>
                              <w:spacing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val="pl"/>
                              </w:rPr>
                              <w:t xml:space="preserve">Zestaw </w:t>
                            </w:r>
                            <w:r w:rsidR="006D7F85">
                              <w:rPr>
                                <w:bCs/>
                                <w:sz w:val="32"/>
                                <w:szCs w:val="32"/>
                                <w:lang w:val="pl"/>
                              </w:rPr>
                              <w:t xml:space="preserve">Snare 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  <w:lang w:val="pl"/>
                              </w:rPr>
                              <w:t>naczyniowej Atrieve™</w:t>
                            </w:r>
                          </w:p>
                          <w:p w14:paraId="3354BBA5" w14:textId="08AF297F" w:rsidR="005D4A52" w:rsidRPr="005B469C" w:rsidRDefault="005D4A52" w:rsidP="006D00F2">
                            <w:pPr>
                              <w:spacing w:after="0" w:afterAutospacing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pl"/>
                              </w:rPr>
                              <w:t>DHF-82248</w:t>
                            </w:r>
                          </w:p>
                          <w:p w14:paraId="3CF39942" w14:textId="77777777" w:rsidR="0005411A" w:rsidRPr="00267292" w:rsidRDefault="0005411A" w:rsidP="009855C3"/>
                          <w:p w14:paraId="684B57C2" w14:textId="77777777" w:rsidR="0005411A" w:rsidRPr="00267292" w:rsidRDefault="0005411A" w:rsidP="009855C3">
                            <w:r>
                              <w:rPr>
                                <w:lang w:val="pl"/>
                              </w:rPr>
                              <w:t>[DATA]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0C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05pt;margin-top:5.45pt;width:507.7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" strokeweight="4.5pt">
                <v:stroke linestyle="thinThick"/>
                <v:textbox>
                  <w:txbxContent>
                    <w:p w14:paraId="488C1F47" w14:textId="77777777" w:rsidR="0005411A" w:rsidRPr="00E91403" w:rsidRDefault="006F0810" w:rsidP="006D00F2">
                      <w:pPr>
                        <w:pStyle w:val="Heading7"/>
                        <w:spacing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  <w:lang w:val="pl"/>
                        </w:rPr>
                        <w:t>PODSUMOWANIE BEZPIECZEŃSTWA I SKUTECZNOŚCI KLINICZNEJ (SSCP)</w:t>
                      </w:r>
                    </w:p>
                    <w:p w14:paraId="0E1996B2" w14:textId="77777777" w:rsidR="005D4A52" w:rsidRDefault="005D4A52" w:rsidP="006D00F2">
                      <w:pPr>
                        <w:pStyle w:val="Heading7"/>
                        <w:spacing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  <w:lang w:val="pl"/>
                        </w:rPr>
                        <w:t>SSCP-0006</w:t>
                      </w:r>
                    </w:p>
                    <w:p w14:paraId="06B6F153" w14:textId="665CF5BF" w:rsidR="005D4A52" w:rsidRDefault="00F1569C" w:rsidP="006D00F2">
                      <w:pPr>
                        <w:pStyle w:val="Heading7"/>
                        <w:spacing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  <w:lang w:val="pl"/>
                        </w:rPr>
                        <w:t xml:space="preserve">Zestaw </w:t>
                      </w:r>
                      <w:r w:rsidR="006D7F85">
                        <w:rPr>
                          <w:bCs/>
                          <w:sz w:val="32"/>
                          <w:szCs w:val="32"/>
                          <w:lang w:val="pl"/>
                        </w:rPr>
                        <w:t xml:space="preserve">Snare </w:t>
                      </w:r>
                      <w:r>
                        <w:rPr>
                          <w:bCs/>
                          <w:sz w:val="32"/>
                          <w:szCs w:val="32"/>
                          <w:lang w:val="pl"/>
                        </w:rPr>
                        <w:t>naczyniowej Atrieve™</w:t>
                      </w:r>
                    </w:p>
                    <w:p w14:paraId="3354BBA5" w14:textId="08AF297F" w:rsidR="005D4A52" w:rsidRPr="005B469C" w:rsidRDefault="005D4A52" w:rsidP="006D00F2">
                      <w:pPr>
                        <w:spacing w:after="0" w:afterAutospacing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pl"/>
                        </w:rPr>
                        <w:t>DHF-82248</w:t>
                      </w:r>
                    </w:p>
                    <w:p w14:paraId="3CF39942" w14:textId="77777777" w:rsidR="0005411A" w:rsidRPr="00267292" w:rsidRDefault="0005411A" w:rsidP="009855C3"/>
                    <w:p w14:paraId="684B57C2" w14:textId="77777777" w:rsidR="0005411A" w:rsidRPr="00267292" w:rsidRDefault="0005411A" w:rsidP="009855C3">
                      <w:r>
                        <w:rPr>
                          <w:lang w:val="pl"/>
                        </w:rPr>
                        <w:t>[DATA]</w:t>
                      </w:r>
                    </w:p>
                  </w:txbxContent>
                </v:textbox>
              </v:shape>
            </w:pict>
          </mc:Fallback>
        </mc:AlternateContent>
      </w:r>
    </w:p>
    <w:p w14:paraId="22332CC2" w14:textId="77777777" w:rsidR="0005411A" w:rsidRPr="009461CC" w:rsidRDefault="0005411A" w:rsidP="00042B91">
      <w:pPr>
        <w:pStyle w:val="BodyText3"/>
        <w:spacing w:after="0" w:afterAutospacing="0"/>
      </w:pPr>
    </w:p>
    <w:p w14:paraId="2048CF11" w14:textId="77777777" w:rsidR="0005411A" w:rsidRPr="009461CC" w:rsidRDefault="0005411A" w:rsidP="00042B91">
      <w:pPr>
        <w:pStyle w:val="BodyText3"/>
        <w:spacing w:after="0" w:afterAutospacing="0"/>
      </w:pPr>
    </w:p>
    <w:p w14:paraId="243C88AF" w14:textId="77777777" w:rsidR="0005411A" w:rsidRPr="009461CC" w:rsidRDefault="0005411A" w:rsidP="00042B91">
      <w:pPr>
        <w:pStyle w:val="BodyText3"/>
        <w:spacing w:after="0" w:afterAutospacing="0"/>
      </w:pPr>
    </w:p>
    <w:p w14:paraId="41545C51" w14:textId="2690A02B" w:rsidR="0005411A" w:rsidRPr="009461CC" w:rsidRDefault="0005411A" w:rsidP="00042B91">
      <w:pPr>
        <w:spacing w:after="0" w:afterAutospacing="0" w:line="240" w:lineRule="auto"/>
        <w:rPr>
          <w:rFonts w:cs="Times New Roman"/>
        </w:rPr>
      </w:pPr>
    </w:p>
    <w:p w14:paraId="155D5FB3" w14:textId="51695512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50F16F2D" w14:textId="5942F0CE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781CF868" w14:textId="0A72AB5D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7525C55B" w14:textId="09737261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2CF7AE6F" w14:textId="1272C31A" w:rsidR="00E91403" w:rsidRPr="009461CC" w:rsidRDefault="00E91403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pl"/>
        </w:rPr>
        <w:t>Do publikacji w Eudamed</w:t>
      </w:r>
    </w:p>
    <w:p w14:paraId="57B38593" w14:textId="77777777" w:rsidR="00E91403" w:rsidRPr="009461CC" w:rsidRDefault="00E91403" w:rsidP="00042B91">
      <w:pPr>
        <w:spacing w:after="0" w:afterAutospacing="0" w:line="240" w:lineRule="auto"/>
        <w:rPr>
          <w:rFonts w:cs="Times New Roman"/>
        </w:rPr>
      </w:pPr>
    </w:p>
    <w:tbl>
      <w:tblPr>
        <w:tblW w:w="9949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84"/>
        <w:gridCol w:w="1336"/>
        <w:gridCol w:w="6729"/>
      </w:tblGrid>
      <w:tr w:rsidR="00E91403" w:rsidRPr="009461CC" w14:paraId="481127A2" w14:textId="77777777" w:rsidTr="00E91403">
        <w:tc>
          <w:tcPr>
            <w:tcW w:w="112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164CC73A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pl"/>
              </w:rPr>
              <w:t>STANOWISKO</w:t>
            </w:r>
          </w:p>
        </w:tc>
        <w:tc>
          <w:tcPr>
            <w:tcW w:w="130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1A83C01C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pl"/>
              </w:rPr>
              <w:t>WYDZ.</w:t>
            </w:r>
          </w:p>
        </w:tc>
        <w:tc>
          <w:tcPr>
            <w:tcW w:w="7519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4B6DA2F3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pl"/>
              </w:rPr>
              <w:t>IMIĘ I NAZWISKO / STANOWISKO</w:t>
            </w:r>
          </w:p>
        </w:tc>
      </w:tr>
      <w:tr w:rsidR="006E0847" w:rsidRPr="009461CC" w14:paraId="45F6CF0D" w14:textId="77777777" w:rsidTr="008E1D43">
        <w:trPr>
          <w:trHeight w:val="582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14:paraId="552A4625" w14:textId="77777777" w:rsidR="006E0847" w:rsidRPr="009461CC" w:rsidRDefault="006E0847" w:rsidP="006E08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pl"/>
              </w:rPr>
              <w:t>Autor</w:t>
            </w:r>
          </w:p>
        </w:tc>
        <w:tc>
          <w:tcPr>
            <w:tcW w:w="1305" w:type="dxa"/>
            <w:tcBorders>
              <w:top w:val="double" w:sz="4" w:space="0" w:color="auto"/>
            </w:tcBorders>
          </w:tcPr>
          <w:p w14:paraId="51D1E08B" w14:textId="5374772E" w:rsidR="006E0847" w:rsidRPr="009461CC" w:rsidRDefault="006E0847" w:rsidP="006E08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>Kwestie regulacyjne</w:t>
            </w:r>
          </w:p>
        </w:tc>
        <w:tc>
          <w:tcPr>
            <w:tcW w:w="7519" w:type="dxa"/>
            <w:tcBorders>
              <w:top w:val="double" w:sz="4" w:space="0" w:color="auto"/>
            </w:tcBorders>
          </w:tcPr>
          <w:p w14:paraId="360D10DB" w14:textId="77777777" w:rsidR="006E0847" w:rsidRPr="009461CC" w:rsidRDefault="006E0847" w:rsidP="006E0847">
            <w:pPr>
              <w:spacing w:after="0" w:afterAutospacing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>Nadira Lotus</w:t>
            </w:r>
          </w:p>
          <w:p w14:paraId="7BA00BEF" w14:textId="2E4C5FAD" w:rsidR="006E0847" w:rsidRPr="009461CC" w:rsidRDefault="006E0847" w:rsidP="006E08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>Kierownik, Nadzór po wprowadzeniu do obrotu</w:t>
            </w:r>
          </w:p>
        </w:tc>
      </w:tr>
    </w:tbl>
    <w:p w14:paraId="45EA3393" w14:textId="77777777" w:rsidR="00E91403" w:rsidRPr="009461CC" w:rsidRDefault="00E91403" w:rsidP="00E91403">
      <w:pPr>
        <w:jc w:val="center"/>
        <w:rPr>
          <w:rFonts w:cs="Times New Roman"/>
          <w:b/>
        </w:rPr>
      </w:pPr>
    </w:p>
    <w:p w14:paraId="3ADE6C89" w14:textId="0496458B" w:rsidR="00E91403" w:rsidRPr="006D72CB" w:rsidRDefault="00E91403" w:rsidP="00E91403">
      <w:pPr>
        <w:tabs>
          <w:tab w:val="center" w:pos="5220"/>
          <w:tab w:val="right" w:pos="10440"/>
        </w:tabs>
        <w:rPr>
          <w:rFonts w:cs="Times New Roman"/>
          <w:b/>
          <w:lang w:val="pl"/>
        </w:rPr>
      </w:pPr>
      <w:r>
        <w:rPr>
          <w:rFonts w:cs="Times New Roman"/>
          <w:lang w:val="pl"/>
        </w:rPr>
        <w:tab/>
      </w:r>
      <w:r>
        <w:rPr>
          <w:rFonts w:cs="Times New Roman"/>
          <w:b/>
          <w:bCs/>
          <w:lang w:val="pl"/>
        </w:rPr>
        <w:t>Matryca podpisów zatwierdzających</w:t>
      </w:r>
      <w:r>
        <w:rPr>
          <w:rFonts w:cs="Times New Roman"/>
          <w:lang w:val="pl"/>
        </w:rPr>
        <w:tab/>
      </w:r>
    </w:p>
    <w:p w14:paraId="01F684E3" w14:textId="77777777" w:rsidR="00E91403" w:rsidRPr="006D72CB" w:rsidRDefault="00E91403" w:rsidP="00E91403">
      <w:pPr>
        <w:spacing w:after="60"/>
        <w:ind w:right="274"/>
        <w:rPr>
          <w:rFonts w:cs="Times New Roman"/>
          <w:sz w:val="20"/>
          <w:szCs w:val="20"/>
          <w:lang w:val="pl"/>
        </w:rPr>
      </w:pPr>
      <w:r>
        <w:rPr>
          <w:rFonts w:cs="Times New Roman"/>
          <w:sz w:val="20"/>
          <w:szCs w:val="20"/>
          <w:lang w:val="pl"/>
        </w:rPr>
        <w:t>Ten dokument musi zostać przejrzany i zatwierdzony przez wszystkie wymienione poniżej osoby lub ich upoważnionych przedstawicieli.</w:t>
      </w:r>
    </w:p>
    <w:tbl>
      <w:tblPr>
        <w:tblW w:w="9949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84"/>
        <w:gridCol w:w="1416"/>
        <w:gridCol w:w="6649"/>
      </w:tblGrid>
      <w:tr w:rsidR="00E91403" w:rsidRPr="009461CC" w14:paraId="0DB197AA" w14:textId="77777777" w:rsidTr="00E91403">
        <w:trPr>
          <w:trHeight w:val="279"/>
        </w:trPr>
        <w:tc>
          <w:tcPr>
            <w:tcW w:w="112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6954A605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pl"/>
              </w:rPr>
              <w:t>STANOWISKO</w:t>
            </w:r>
          </w:p>
        </w:tc>
        <w:tc>
          <w:tcPr>
            <w:tcW w:w="130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6F71F870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pl"/>
              </w:rPr>
              <w:t>WYDZ.</w:t>
            </w:r>
          </w:p>
        </w:tc>
        <w:tc>
          <w:tcPr>
            <w:tcW w:w="7519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0254E3BE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pl"/>
              </w:rPr>
              <w:t>IMIĘ I NAZWISKO / STANOWISKO</w:t>
            </w:r>
          </w:p>
        </w:tc>
      </w:tr>
      <w:tr w:rsidR="00386F47" w:rsidRPr="006D72CB" w14:paraId="658FB919" w14:textId="77777777" w:rsidTr="00E91403">
        <w:trPr>
          <w:trHeight w:val="606"/>
        </w:trPr>
        <w:tc>
          <w:tcPr>
            <w:tcW w:w="1125" w:type="dxa"/>
            <w:vAlign w:val="center"/>
          </w:tcPr>
          <w:p w14:paraId="41D60951" w14:textId="77777777" w:rsidR="00386F47" w:rsidRPr="009461CC" w:rsidRDefault="00386F47" w:rsidP="00386F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pl"/>
              </w:rPr>
              <w:t>Zatwierdzenie</w:t>
            </w:r>
          </w:p>
        </w:tc>
        <w:tc>
          <w:tcPr>
            <w:tcW w:w="1305" w:type="dxa"/>
            <w:vAlign w:val="center"/>
          </w:tcPr>
          <w:p w14:paraId="4B304E07" w14:textId="2D98EABD" w:rsidR="00386F47" w:rsidRPr="009461CC" w:rsidRDefault="00386F47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>Relacje z klinikami</w:t>
            </w:r>
          </w:p>
        </w:tc>
        <w:tc>
          <w:tcPr>
            <w:tcW w:w="7519" w:type="dxa"/>
            <w:vAlign w:val="center"/>
          </w:tcPr>
          <w:p w14:paraId="613876EC" w14:textId="77777777" w:rsidR="00386F47" w:rsidRPr="006D72CB" w:rsidRDefault="00386F47" w:rsidP="00386F47">
            <w:pPr>
              <w:spacing w:after="0" w:afterAutospacing="0"/>
              <w:jc w:val="center"/>
              <w:rPr>
                <w:rFonts w:cs="Times New Roman"/>
                <w:szCs w:val="24"/>
                <w:lang w:val="de-DE"/>
              </w:rPr>
            </w:pPr>
            <w:r>
              <w:rPr>
                <w:rFonts w:cs="Times New Roman"/>
                <w:szCs w:val="24"/>
                <w:lang w:val="pl"/>
              </w:rPr>
              <w:t>Danyel Carr</w:t>
            </w:r>
          </w:p>
          <w:p w14:paraId="172E4813" w14:textId="2E4F9175" w:rsidR="00386F47" w:rsidRPr="006D72CB" w:rsidRDefault="00E03D31" w:rsidP="00386F47">
            <w:pPr>
              <w:jc w:val="center"/>
              <w:rPr>
                <w:rFonts w:cs="Times New Roman"/>
                <w:szCs w:val="24"/>
                <w:lang w:val="de-DE"/>
              </w:rPr>
            </w:pPr>
            <w:r>
              <w:rPr>
                <w:rFonts w:cs="Times New Roman"/>
                <w:szCs w:val="24"/>
                <w:lang w:val="pl"/>
              </w:rPr>
              <w:t>Starszy Dyrektor ds. relacji z klinikami</w:t>
            </w:r>
          </w:p>
        </w:tc>
      </w:tr>
      <w:tr w:rsidR="00386F47" w:rsidRPr="009461CC" w14:paraId="526E9923" w14:textId="77777777" w:rsidTr="00E91403">
        <w:trPr>
          <w:trHeight w:val="624"/>
        </w:trPr>
        <w:tc>
          <w:tcPr>
            <w:tcW w:w="1125" w:type="dxa"/>
            <w:vAlign w:val="center"/>
          </w:tcPr>
          <w:p w14:paraId="55BCD6C3" w14:textId="77777777" w:rsidR="00386F47" w:rsidRPr="009461CC" w:rsidRDefault="00386F47" w:rsidP="00386F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pl"/>
              </w:rPr>
              <w:t>Zatwierdzenie</w:t>
            </w:r>
          </w:p>
        </w:tc>
        <w:tc>
          <w:tcPr>
            <w:tcW w:w="1305" w:type="dxa"/>
            <w:vAlign w:val="center"/>
          </w:tcPr>
          <w:p w14:paraId="4887D925" w14:textId="1B032CD4" w:rsidR="00386F47" w:rsidRPr="009461CC" w:rsidRDefault="00386F47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 xml:space="preserve">Jakość </w:t>
            </w:r>
          </w:p>
        </w:tc>
        <w:tc>
          <w:tcPr>
            <w:tcW w:w="7519" w:type="dxa"/>
            <w:vAlign w:val="center"/>
          </w:tcPr>
          <w:p w14:paraId="3D954801" w14:textId="77777777" w:rsidR="00F07DD1" w:rsidRDefault="00F07DD1" w:rsidP="004065D7">
            <w:pPr>
              <w:spacing w:after="0" w:afterAutospacing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 xml:space="preserve">James Stephens </w:t>
            </w:r>
          </w:p>
          <w:p w14:paraId="1EA24645" w14:textId="5BC698A1" w:rsidR="00386F47" w:rsidRPr="009461CC" w:rsidRDefault="00547353" w:rsidP="004065D7">
            <w:pPr>
              <w:spacing w:after="0" w:afterAutospacing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>Sr. Director, Quality Operations</w:t>
            </w:r>
          </w:p>
        </w:tc>
      </w:tr>
      <w:tr w:rsidR="00386F47" w:rsidRPr="009461CC" w14:paraId="01329AB2" w14:textId="77777777" w:rsidTr="00E91403">
        <w:trPr>
          <w:trHeight w:val="624"/>
        </w:trPr>
        <w:tc>
          <w:tcPr>
            <w:tcW w:w="1125" w:type="dxa"/>
            <w:vAlign w:val="center"/>
          </w:tcPr>
          <w:p w14:paraId="77F5A5E8" w14:textId="77777777" w:rsidR="00386F47" w:rsidRPr="009461CC" w:rsidRDefault="00386F47" w:rsidP="00386F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pl"/>
              </w:rPr>
              <w:t>Zatwierdzenie</w:t>
            </w:r>
          </w:p>
        </w:tc>
        <w:tc>
          <w:tcPr>
            <w:tcW w:w="1305" w:type="dxa"/>
            <w:vAlign w:val="center"/>
          </w:tcPr>
          <w:p w14:paraId="25EABF73" w14:textId="63DB84E6" w:rsidR="00386F47" w:rsidRPr="009461CC" w:rsidRDefault="00386F47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 xml:space="preserve">Sprawy Regulacyjne </w:t>
            </w:r>
          </w:p>
        </w:tc>
        <w:tc>
          <w:tcPr>
            <w:tcW w:w="7519" w:type="dxa"/>
            <w:vAlign w:val="center"/>
          </w:tcPr>
          <w:p w14:paraId="7676555E" w14:textId="77777777" w:rsidR="00386F47" w:rsidRPr="009461CC" w:rsidRDefault="00386F47" w:rsidP="00386F47">
            <w:pPr>
              <w:spacing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val="pl"/>
              </w:rPr>
              <w:t>Scott Bishops</w:t>
            </w:r>
          </w:p>
          <w:p w14:paraId="39BF7685" w14:textId="4DD9DE97" w:rsidR="00386F47" w:rsidRPr="009461CC" w:rsidRDefault="00E950A1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val="pl"/>
              </w:rPr>
              <w:t>VP, Global RA and QA</w:t>
            </w:r>
          </w:p>
        </w:tc>
      </w:tr>
    </w:tbl>
    <w:p w14:paraId="51DA0A01" w14:textId="5402C604" w:rsidR="00E91403" w:rsidRPr="009461CC" w:rsidRDefault="00E91403" w:rsidP="00E91403">
      <w:pPr>
        <w:jc w:val="center"/>
        <w:rPr>
          <w:rFonts w:cs="Times New Roman"/>
          <w:b/>
        </w:rPr>
      </w:pPr>
      <w:r>
        <w:rPr>
          <w:rFonts w:cs="Times New Roman"/>
          <w:b/>
          <w:bCs/>
          <w:lang w:val="pl"/>
        </w:rPr>
        <w:t>Historia zmian</w:t>
      </w:r>
    </w:p>
    <w:tbl>
      <w:tblPr>
        <w:tblW w:w="97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99"/>
        <w:gridCol w:w="1296"/>
        <w:gridCol w:w="1216"/>
        <w:gridCol w:w="4324"/>
        <w:gridCol w:w="1752"/>
      </w:tblGrid>
      <w:tr w:rsidR="00E91403" w:rsidRPr="009461CC" w14:paraId="38F29FD4" w14:textId="77777777" w:rsidTr="00740900">
        <w:tc>
          <w:tcPr>
            <w:tcW w:w="1214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34BEB815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pl"/>
              </w:rPr>
              <w:t>Wersja</w:t>
            </w:r>
          </w:p>
        </w:tc>
        <w:tc>
          <w:tcPr>
            <w:tcW w:w="1128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13A8D0CD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pl"/>
              </w:rPr>
              <w:t>Data</w:t>
            </w:r>
          </w:p>
        </w:tc>
        <w:tc>
          <w:tcPr>
            <w:tcW w:w="1150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4E5F13C6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pl"/>
              </w:rPr>
              <w:t>Sekcje</w:t>
            </w:r>
          </w:p>
        </w:tc>
        <w:tc>
          <w:tcPr>
            <w:tcW w:w="4496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308681D3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pl"/>
              </w:rPr>
              <w:t>Opis zmian</w:t>
            </w:r>
          </w:p>
        </w:tc>
        <w:tc>
          <w:tcPr>
            <w:tcW w:w="1799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332F4EE6" w14:textId="77777777" w:rsidR="00E91403" w:rsidRPr="009461CC" w:rsidRDefault="00E91403" w:rsidP="00842611">
            <w:pPr>
              <w:tabs>
                <w:tab w:val="left" w:pos="465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pl"/>
              </w:rPr>
              <w:t>Numer żądania zmiany</w:t>
            </w:r>
          </w:p>
        </w:tc>
      </w:tr>
      <w:tr w:rsidR="00740900" w:rsidRPr="009461CC" w14:paraId="47D66140" w14:textId="77777777" w:rsidTr="00740900">
        <w:tc>
          <w:tcPr>
            <w:tcW w:w="1214" w:type="dxa"/>
            <w:tcBorders>
              <w:top w:val="double" w:sz="4" w:space="0" w:color="auto"/>
              <w:bottom w:val="single" w:sz="4" w:space="0" w:color="auto"/>
            </w:tcBorders>
          </w:tcPr>
          <w:p w14:paraId="4EEA4C6D" w14:textId="5A95910B" w:rsidR="00740900" w:rsidRPr="009461CC" w:rsidRDefault="00740900" w:rsidP="0074090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>A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</w:tcPr>
          <w:p w14:paraId="0D82C539" w14:textId="6206AFE6" w:rsidR="00740900" w:rsidRPr="009461CC" w:rsidRDefault="00740900" w:rsidP="0074090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>22.05.2022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4" w:space="0" w:color="auto"/>
            </w:tcBorders>
          </w:tcPr>
          <w:p w14:paraId="6CD4C417" w14:textId="536D40E4" w:rsidR="00740900" w:rsidRPr="009461CC" w:rsidRDefault="00740900" w:rsidP="0074090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>Wszystkie</w:t>
            </w:r>
          </w:p>
        </w:tc>
        <w:tc>
          <w:tcPr>
            <w:tcW w:w="4496" w:type="dxa"/>
            <w:tcBorders>
              <w:top w:val="double" w:sz="4" w:space="0" w:color="auto"/>
              <w:bottom w:val="single" w:sz="4" w:space="0" w:color="auto"/>
            </w:tcBorders>
          </w:tcPr>
          <w:p w14:paraId="3973A2E3" w14:textId="3D8B33BA" w:rsidR="00740900" w:rsidRPr="009461CC" w:rsidRDefault="00740900" w:rsidP="007409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>Raport początkowy wyłącznie do użytku wewnętrznego</w:t>
            </w:r>
          </w:p>
        </w:tc>
        <w:tc>
          <w:tcPr>
            <w:tcW w:w="1799" w:type="dxa"/>
            <w:tcBorders>
              <w:top w:val="double" w:sz="4" w:space="0" w:color="auto"/>
              <w:bottom w:val="single" w:sz="4" w:space="0" w:color="auto"/>
            </w:tcBorders>
          </w:tcPr>
          <w:p w14:paraId="243CB41C" w14:textId="62833BA2" w:rsidR="00740900" w:rsidRPr="009461CC" w:rsidRDefault="00740900" w:rsidP="007409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>Nie dotyczy</w:t>
            </w:r>
          </w:p>
        </w:tc>
      </w:tr>
      <w:tr w:rsidR="00923982" w:rsidRPr="009461CC" w14:paraId="495D8A1C" w14:textId="77777777" w:rsidTr="00740900">
        <w:tc>
          <w:tcPr>
            <w:tcW w:w="1214" w:type="dxa"/>
            <w:tcBorders>
              <w:top w:val="single" w:sz="4" w:space="0" w:color="auto"/>
              <w:bottom w:val="single" w:sz="12" w:space="0" w:color="auto"/>
            </w:tcBorders>
          </w:tcPr>
          <w:p w14:paraId="065DAE3E" w14:textId="16DC1CE4" w:rsidR="00923982" w:rsidRPr="009461CC" w:rsidRDefault="00923982" w:rsidP="009239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</w:tcBorders>
          </w:tcPr>
          <w:p w14:paraId="52F239C5" w14:textId="69AD5128" w:rsidR="00923982" w:rsidRPr="009461CC" w:rsidRDefault="006F76E2" w:rsidP="009239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>15.12.2025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12" w:space="0" w:color="auto"/>
            </w:tcBorders>
          </w:tcPr>
          <w:p w14:paraId="319F0BB7" w14:textId="488E18A0" w:rsidR="00923982" w:rsidRPr="009461CC" w:rsidRDefault="00923982" w:rsidP="009239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>Wszystkie</w:t>
            </w:r>
          </w:p>
        </w:tc>
        <w:tc>
          <w:tcPr>
            <w:tcW w:w="4496" w:type="dxa"/>
            <w:tcBorders>
              <w:top w:val="single" w:sz="4" w:space="0" w:color="auto"/>
              <w:bottom w:val="single" w:sz="12" w:space="0" w:color="auto"/>
            </w:tcBorders>
          </w:tcPr>
          <w:p w14:paraId="3D913A75" w14:textId="09B5D375" w:rsidR="00923982" w:rsidRPr="009461CC" w:rsidRDefault="0080432B" w:rsidP="0092398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>Zgłoszenie MDR UE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12" w:space="0" w:color="auto"/>
            </w:tcBorders>
          </w:tcPr>
          <w:p w14:paraId="077C5F38" w14:textId="76003B93" w:rsidR="00923982" w:rsidRPr="009461CC" w:rsidRDefault="008735FE" w:rsidP="0092398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>07919</w:t>
            </w:r>
          </w:p>
        </w:tc>
      </w:tr>
    </w:tbl>
    <w:p w14:paraId="5C951A98" w14:textId="6A651DC3" w:rsidR="0005411A" w:rsidRPr="009461CC" w:rsidRDefault="00E91403" w:rsidP="00E91403">
      <w:pPr>
        <w:jc w:val="center"/>
        <w:rPr>
          <w:rFonts w:cs="Times New Roman"/>
        </w:rPr>
      </w:pPr>
      <w:r>
        <w:rPr>
          <w:rFonts w:cs="Times New Roman"/>
          <w:i/>
          <w:iCs/>
          <w:lang w:val="pl"/>
        </w:rPr>
        <w:t>Uwaga: zatwierdzenia będą rejestrowane przy odpowiednich wnioskach o wprowadzenie zmian.</w:t>
      </w:r>
    </w:p>
    <w:p w14:paraId="700C8B5F" w14:textId="34A53550" w:rsidR="006F0810" w:rsidRPr="009461CC" w:rsidRDefault="0005411A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szCs w:val="24"/>
          <w:lang w:val="pl"/>
        </w:rPr>
        <w:br w:type="page"/>
      </w:r>
      <w:r>
        <w:rPr>
          <w:rFonts w:cs="Times New Roman"/>
          <w:lang w:val="pl"/>
        </w:rPr>
        <w:lastRenderedPageBreak/>
        <w:t>Spis treści</w:t>
      </w:r>
    </w:p>
    <w:p w14:paraId="0F11627D" w14:textId="2651B7F1" w:rsidR="006D72CB" w:rsidRDefault="006F0810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r>
        <w:rPr>
          <w:lang w:val="pl"/>
        </w:rPr>
        <w:fldChar w:fldCharType="begin"/>
      </w:r>
      <w:r>
        <w:instrText xml:space="preserve"> TOC \o "1-3" \h \z \u </w:instrText>
      </w:r>
      <w:r>
        <w:fldChar w:fldCharType="separate"/>
      </w:r>
      <w:hyperlink w:anchor="_Toc222741574" w:history="1">
        <w:r w:rsidR="006D72CB" w:rsidRPr="00B57FB8">
          <w:rPr>
            <w:rStyle w:val="Hyperlink"/>
            <w:noProof/>
          </w:rPr>
          <w:t>1.</w:t>
        </w:r>
        <w:r w:rsidR="006D72CB"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="006D72CB" w:rsidRPr="00B57FB8">
          <w:rPr>
            <w:rStyle w:val="Hyperlink"/>
            <w:bCs/>
            <w:noProof/>
            <w:lang w:val="pl"/>
          </w:rPr>
          <w:t>Zakres niniejszego Podsumowania dotyczącego bezpieczeństwa i skuteczności klinicznej (SSCP):</w:t>
        </w:r>
        <w:r w:rsidR="006D72CB">
          <w:rPr>
            <w:noProof/>
            <w:webHidden/>
          </w:rPr>
          <w:tab/>
        </w:r>
        <w:r w:rsidR="006D72CB">
          <w:rPr>
            <w:noProof/>
            <w:webHidden/>
          </w:rPr>
          <w:fldChar w:fldCharType="begin"/>
        </w:r>
        <w:r w:rsidR="006D72CB">
          <w:rPr>
            <w:noProof/>
            <w:webHidden/>
          </w:rPr>
          <w:instrText xml:space="preserve"> PAGEREF _Toc222741574 \h </w:instrText>
        </w:r>
        <w:r w:rsidR="006D72CB">
          <w:rPr>
            <w:noProof/>
            <w:webHidden/>
          </w:rPr>
        </w:r>
        <w:r w:rsidR="006D72CB"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3</w:t>
        </w:r>
        <w:r w:rsidR="006D72CB">
          <w:rPr>
            <w:noProof/>
            <w:webHidden/>
          </w:rPr>
          <w:fldChar w:fldCharType="end"/>
        </w:r>
      </w:hyperlink>
    </w:p>
    <w:p w14:paraId="28FC0D62" w14:textId="5EC9D887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75" w:history="1">
        <w:r w:rsidRPr="00B57FB8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Nazwa handlowa urządzenia: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89A3660" w14:textId="7B004A89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76" w:history="1">
        <w:r w:rsidRPr="00B57FB8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Opis urządzenia, podstawowy kod UDI-DI i klasyfikacja UE: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24EF8A" w14:textId="6CB71BA9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77" w:history="1">
        <w:r w:rsidRPr="00B57FB8">
          <w:rPr>
            <w:rStyle w:val="Hyperlink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Rok wydania pierwszego certyfikatu (CE) obejmującego wyrób: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7068C33" w14:textId="58293859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78" w:history="1">
        <w:r w:rsidRPr="00B57FB8">
          <w:rPr>
            <w:rStyle w:val="Hyperlink"/>
            <w:noProof/>
            <w:lang w:val="it-IT"/>
          </w:rPr>
          <w:t>1.4.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Nazwa, adres i numer SRN producenta: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13D5F29" w14:textId="46C7A202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79" w:history="1">
        <w:r w:rsidRPr="00B57FB8">
          <w:rPr>
            <w:rStyle w:val="Hyperlink"/>
            <w:noProof/>
          </w:rPr>
          <w:t>1.5.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Nazwa upoważnionego przedstawiciela i indywidualny numer rejestracyjny: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A78918C" w14:textId="35D72CFF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80" w:history="1">
        <w:r w:rsidRPr="00B57FB8">
          <w:rPr>
            <w:rStyle w:val="Hyperlink"/>
            <w:noProof/>
          </w:rPr>
          <w:t>1.6.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Nazwa NB i pojedynczy numer identyfikacyjny: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E745FAE" w14:textId="03C1D54B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81" w:history="1">
        <w:r w:rsidRPr="00B57FB8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Przeznaczenie / cel stosowania urządzenia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877C69" w14:textId="78D4F8E9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82" w:history="1">
        <w:r w:rsidRPr="00B57FB8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Przeznaczenie / zastosowanie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5BCBF0F" w14:textId="39BFDAAB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83" w:history="1">
        <w:r w:rsidRPr="00B57FB8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Wskazania do stosowania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4FA600A" w14:textId="4D1DCBEA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84" w:history="1">
        <w:r w:rsidRPr="00B57FB8">
          <w:rPr>
            <w:rStyle w:val="Hyperlink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Populacja docelowa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4434550" w14:textId="17726892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85" w:history="1">
        <w:r w:rsidRPr="00B57FB8">
          <w:rPr>
            <w:rStyle w:val="Hyperlink"/>
            <w:noProof/>
          </w:rPr>
          <w:t>2.4.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Przeciwwskazania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C6D432" w14:textId="0F55705D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86" w:history="1">
        <w:r w:rsidRPr="00B57FB8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Opis wyrobu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C75C9A" w14:textId="152E295A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87" w:history="1">
        <w:r w:rsidRPr="00B57FB8">
          <w:rPr>
            <w:rStyle w:val="Hyperlink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Opis urządzenia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4386301" w14:textId="24ACD9FA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88" w:history="1">
        <w:r w:rsidRPr="00B57FB8">
          <w:rPr>
            <w:rStyle w:val="Hyperlink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Poprzednie wersje i różnice między nimi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3AD5C9" w14:textId="3E396F9E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89" w:history="1">
        <w:r w:rsidRPr="00B57FB8">
          <w:rPr>
            <w:rStyle w:val="Hyperlink"/>
            <w:noProof/>
          </w:rPr>
          <w:t>3.3.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Akcesoria, kompatybilne urządzenia i inne produkty używane w połączeniu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628513E" w14:textId="753C95AB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90" w:history="1">
        <w:r w:rsidRPr="00B57FB8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Zagrożenia i ostrzeżenia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3C18D78" w14:textId="2279A119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91" w:history="1">
        <w:r w:rsidRPr="00B57FB8">
          <w:rPr>
            <w:rStyle w:val="Hyperlink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Pozostałe zagrożenia i niepożądane skutki uboczne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35CF530" w14:textId="6001D47D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92" w:history="1">
        <w:r w:rsidRPr="00B57FB8">
          <w:rPr>
            <w:rStyle w:val="Hyperlink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Ostrzeżenia i środki ostrożności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036D595" w14:textId="0C64A0A4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93" w:history="1">
        <w:r w:rsidRPr="00B57FB8">
          <w:rPr>
            <w:rStyle w:val="Hyperlink"/>
            <w:noProof/>
          </w:rPr>
          <w:t>4.3.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Inne istotne aspekty bezpieczeństwa, w tym podsumowanie wszelkich zewnętrznych działań korygujących dotyczących bezpieczeństwa (FSCA, w tym FSN), jeśli ma to zastosowanie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2AC6FDF" w14:textId="66ACA597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94" w:history="1">
        <w:r w:rsidRPr="00B57FB8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Podsumowanie oceny klinicznej i obserwacji klinicznych po wprowadzeniu do obrotu (PMCF)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C4CA76F" w14:textId="6CBE5838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95" w:history="1">
        <w:r w:rsidRPr="00B57FB8">
          <w:rPr>
            <w:rStyle w:val="Hyperlink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Podsumowanie danych klinicznych dotyczących równoważnego urządzenia, jeśli dotyczy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3C03D0C" w14:textId="2A535046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96" w:history="1">
        <w:r w:rsidRPr="00B57FB8">
          <w:rPr>
            <w:rStyle w:val="Hyperlink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Podsumowanie danych klinicznych z przeprowadzonych badań urządzenia przed oznakowaniem CE, jeśli dotyczy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0F2A22C" w14:textId="52DC62F1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97" w:history="1">
        <w:r w:rsidRPr="00B57FB8">
          <w:rPr>
            <w:rStyle w:val="Hyperlink"/>
            <w:noProof/>
          </w:rPr>
          <w:t>5.3.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Podsumowanie danych klinicznych z innych źródeł, jeśli dotyczy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74416EC" w14:textId="2314CDF1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98" w:history="1">
        <w:r w:rsidRPr="00B57FB8">
          <w:rPr>
            <w:rStyle w:val="Hyperlink"/>
            <w:noProof/>
          </w:rPr>
          <w:t>5.4.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Ogólne podsumowanie dotyczące bezpieczeństwa i skuteczności klinicznej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A304AA2" w14:textId="154CB6E8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99" w:history="1">
        <w:r w:rsidRPr="00B57FB8">
          <w:rPr>
            <w:rStyle w:val="Hyperlink"/>
            <w:noProof/>
          </w:rPr>
          <w:t>5.5.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Bieżąca lub planowana obserwacja kliniczna po wprowadzeniu do obrotu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9ABE145" w14:textId="2E20B456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600" w:history="1">
        <w:r w:rsidRPr="00B57FB8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Możliwe alternatywy diagnostyczne lub terapeutyczne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1EE0BA7" w14:textId="6E2B72BF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601" w:history="1">
        <w:r w:rsidRPr="00B57FB8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Sugerowany profil i szkolenie dla użytkowników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441DB9D" w14:textId="46680B85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602" w:history="1">
        <w:r w:rsidRPr="00B57FB8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Zharmonizowane normy / wspólne specyfikacje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D92D69F" w14:textId="1ED48E37" w:rsidR="006D72CB" w:rsidRDefault="006D72C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603" w:history="1">
        <w:r w:rsidRPr="00B57FB8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B57FB8">
          <w:rPr>
            <w:rStyle w:val="Hyperlink"/>
            <w:bCs/>
            <w:noProof/>
            <w:lang w:val="pl"/>
          </w:rPr>
          <w:t>Historia zmian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072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9D6E5E3" w14:textId="654081A1" w:rsidR="006F0810" w:rsidRPr="009461CC" w:rsidRDefault="006F0810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</w:rPr>
        <w:fldChar w:fldCharType="end"/>
      </w:r>
    </w:p>
    <w:p w14:paraId="343DF155" w14:textId="77777777" w:rsidR="006F0810" w:rsidRPr="009461CC" w:rsidRDefault="006F0810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pl"/>
        </w:rPr>
        <w:br w:type="page"/>
      </w:r>
    </w:p>
    <w:p w14:paraId="453DC774" w14:textId="77777777" w:rsidR="00221CEF" w:rsidRPr="009461CC" w:rsidRDefault="00221CEF" w:rsidP="00042B91">
      <w:pPr>
        <w:pStyle w:val="Heading7"/>
        <w:spacing w:after="0" w:afterAutospacing="0"/>
      </w:pPr>
      <w:r>
        <w:rPr>
          <w:bCs/>
          <w:lang w:val="pl"/>
        </w:rPr>
        <w:lastRenderedPageBreak/>
        <w:t>Podsumowanie dotyczące bezpieczeństwa i skuteczności klinicznej</w:t>
      </w:r>
    </w:p>
    <w:p w14:paraId="2D567C3A" w14:textId="4D6B7954" w:rsidR="00221CEF" w:rsidRPr="009461CC" w:rsidRDefault="00221CEF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pl"/>
        </w:rPr>
        <w:t>Niniejsze podsumowanie dotyczące bezpieczeństwa i działania klinicznego (SSCP) ma na celu zapewnienie publicznego dostępu do zaktualizowanego podsumowania głównych aspektów bezpieczeństwa i skuteczności klinicznej wyrobu.</w:t>
      </w:r>
    </w:p>
    <w:p w14:paraId="549AF428" w14:textId="35F6904C" w:rsidR="00221CEF" w:rsidRPr="009461CC" w:rsidRDefault="00221CEF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pl"/>
        </w:rPr>
        <w:t>Celem SSCP nie jest zastąpienie instrukcji użytkowania jako głównego dokumentu mającego na celu zapewnienie bezpiecznego użytkowania urządzenia, ani dostarczenie sugestii diagnostycznych lub terapeutycznych dla użytkowników lub pacjentów.</w:t>
      </w:r>
    </w:p>
    <w:p w14:paraId="6E1D4297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57958E5A" w14:textId="739089BF" w:rsidR="00221CEF" w:rsidRPr="009461CC" w:rsidRDefault="00221CEF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pl"/>
        </w:rPr>
        <w:t>Poniższe informacje są przeznaczone dla użytkowników / pracowników służby zdrowia.</w:t>
      </w:r>
    </w:p>
    <w:p w14:paraId="18A77BED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6E5276B4" w14:textId="2AFD9220" w:rsidR="00042B91" w:rsidRPr="009461CC" w:rsidRDefault="006F0810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0" w:name="_Toc222741574"/>
      <w:r>
        <w:rPr>
          <w:rFonts w:cs="Times New Roman"/>
          <w:bCs/>
          <w:lang w:val="pl"/>
        </w:rPr>
        <w:t>Zakres niniejszego Podsumowania dotyczącego bezpieczeństwa i skuteczności klinicznej (SSCP):</w:t>
      </w:r>
      <w:bookmarkEnd w:id="0"/>
    </w:p>
    <w:p w14:paraId="5CDBAEA3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45E5BCB2" w14:textId="6E901CD2" w:rsidR="00AA2E04" w:rsidRPr="009461CC" w:rsidRDefault="00221CEF" w:rsidP="00042B91">
      <w:pPr>
        <w:pStyle w:val="Heading1"/>
        <w:rPr>
          <w:rFonts w:cs="Times New Roman"/>
        </w:rPr>
      </w:pPr>
      <w:bookmarkStart w:id="1" w:name="_Toc222741575"/>
      <w:r>
        <w:rPr>
          <w:rFonts w:cs="Times New Roman"/>
          <w:bCs/>
          <w:lang w:val="pl"/>
        </w:rPr>
        <w:t>Nazwa handlowa urządzenia:</w:t>
      </w:r>
      <w:bookmarkEnd w:id="1"/>
      <w:r>
        <w:rPr>
          <w:rFonts w:cs="Times New Roman"/>
          <w:bCs/>
          <w:lang w:val="pl"/>
        </w:rPr>
        <w:t xml:space="preserve"> </w:t>
      </w:r>
    </w:p>
    <w:p w14:paraId="29AE9E59" w14:textId="3314A592" w:rsidR="00042B91" w:rsidRPr="009461CC" w:rsidRDefault="00982459" w:rsidP="001E6921">
      <w:pPr>
        <w:spacing w:after="0" w:afterAutospacing="0" w:line="240" w:lineRule="auto"/>
        <w:ind w:left="792"/>
        <w:rPr>
          <w:rFonts w:cs="Times New Roman"/>
        </w:rPr>
      </w:pPr>
      <w:r>
        <w:rPr>
          <w:rFonts w:cs="Times New Roman"/>
          <w:lang w:val="pl"/>
        </w:rPr>
        <w:t xml:space="preserve">Zestaw </w:t>
      </w:r>
      <w:r w:rsidR="006D7F85">
        <w:rPr>
          <w:rFonts w:cs="Times New Roman"/>
          <w:lang w:val="pl"/>
        </w:rPr>
        <w:t xml:space="preserve">Snare </w:t>
      </w:r>
      <w:r>
        <w:rPr>
          <w:rFonts w:cs="Times New Roman"/>
          <w:lang w:val="pl"/>
        </w:rPr>
        <w:t>naczyniowej Atrieve</w:t>
      </w:r>
    </w:p>
    <w:p w14:paraId="6E4554A3" w14:textId="77777777" w:rsidR="00982459" w:rsidRPr="009461CC" w:rsidRDefault="00982459" w:rsidP="00042B91">
      <w:pPr>
        <w:spacing w:after="0" w:afterAutospacing="0" w:line="240" w:lineRule="auto"/>
        <w:rPr>
          <w:rFonts w:cs="Times New Roman"/>
        </w:rPr>
      </w:pPr>
    </w:p>
    <w:p w14:paraId="7E6E8DB0" w14:textId="23280863" w:rsidR="00221CEF" w:rsidRPr="009461CC" w:rsidRDefault="00221CEF" w:rsidP="00042B91">
      <w:pPr>
        <w:pStyle w:val="Heading1"/>
        <w:rPr>
          <w:rFonts w:cs="Times New Roman"/>
        </w:rPr>
      </w:pPr>
      <w:bookmarkStart w:id="2" w:name="_Toc222741576"/>
      <w:r>
        <w:rPr>
          <w:rFonts w:cs="Times New Roman"/>
          <w:bCs/>
          <w:lang w:val="pl"/>
        </w:rPr>
        <w:t>Opis urządzenia, podstawowy kod UDI-DI i klasyfikacja UE: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5"/>
        <w:gridCol w:w="1603"/>
        <w:gridCol w:w="1350"/>
        <w:gridCol w:w="1266"/>
        <w:gridCol w:w="2416"/>
      </w:tblGrid>
      <w:tr w:rsidR="006266F5" w:rsidRPr="009461CC" w14:paraId="77A15E5D" w14:textId="77777777" w:rsidTr="00536EDE">
        <w:tc>
          <w:tcPr>
            <w:tcW w:w="3795" w:type="dxa"/>
            <w:shd w:val="clear" w:color="auto" w:fill="E7E6E6" w:themeFill="background2"/>
          </w:tcPr>
          <w:p w14:paraId="6089AC65" w14:textId="5ACA6E64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pl"/>
              </w:rPr>
              <w:t>Nazwa i opis wyrobu</w:t>
            </w:r>
          </w:p>
        </w:tc>
        <w:tc>
          <w:tcPr>
            <w:tcW w:w="1603" w:type="dxa"/>
            <w:shd w:val="clear" w:color="auto" w:fill="E7E6E6" w:themeFill="background2"/>
          </w:tcPr>
          <w:p w14:paraId="18959F52" w14:textId="108D25E1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pl"/>
              </w:rPr>
              <w:t>Klasyfikacja</w:t>
            </w:r>
          </w:p>
        </w:tc>
        <w:tc>
          <w:tcPr>
            <w:tcW w:w="1350" w:type="dxa"/>
            <w:shd w:val="clear" w:color="auto" w:fill="E7E6E6" w:themeFill="background2"/>
          </w:tcPr>
          <w:p w14:paraId="1CA77B88" w14:textId="5CBB4D69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pl"/>
              </w:rPr>
              <w:t>Kod GMDN</w:t>
            </w:r>
          </w:p>
        </w:tc>
        <w:tc>
          <w:tcPr>
            <w:tcW w:w="1266" w:type="dxa"/>
            <w:shd w:val="clear" w:color="auto" w:fill="E7E6E6" w:themeFill="background2"/>
          </w:tcPr>
          <w:p w14:paraId="603AC5E7" w14:textId="64E6761C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pl"/>
              </w:rPr>
              <w:t>EMDN</w:t>
            </w:r>
          </w:p>
        </w:tc>
        <w:tc>
          <w:tcPr>
            <w:tcW w:w="2416" w:type="dxa"/>
            <w:shd w:val="clear" w:color="auto" w:fill="E7E6E6" w:themeFill="background2"/>
          </w:tcPr>
          <w:p w14:paraId="49C72348" w14:textId="0CB79C70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pl"/>
              </w:rPr>
              <w:t>Podstawowy identyfikator modelu wyrobu (BUDI-DI)</w:t>
            </w:r>
          </w:p>
        </w:tc>
      </w:tr>
      <w:tr w:rsidR="006266F5" w:rsidRPr="009461CC" w14:paraId="72288A12" w14:textId="77777777" w:rsidTr="006266F5">
        <w:tc>
          <w:tcPr>
            <w:tcW w:w="3795" w:type="dxa"/>
          </w:tcPr>
          <w:p w14:paraId="04AE147E" w14:textId="07005FC5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Zestaw Atrieve Vascular Snare™, pętla o średnicy 6-10 mm i długości 120 cm, cewnik 6F x 100 cm</w:t>
            </w:r>
          </w:p>
        </w:tc>
        <w:tc>
          <w:tcPr>
            <w:tcW w:w="1603" w:type="dxa"/>
            <w:vMerge w:val="restart"/>
          </w:tcPr>
          <w:p w14:paraId="016CD4E1" w14:textId="205743A9" w:rsidR="006266F5" w:rsidRPr="009461CC" w:rsidRDefault="00BA7D3E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Klasa III</w:t>
            </w:r>
          </w:p>
        </w:tc>
        <w:tc>
          <w:tcPr>
            <w:tcW w:w="1350" w:type="dxa"/>
            <w:vMerge w:val="restart"/>
          </w:tcPr>
          <w:p w14:paraId="2554DF3F" w14:textId="217E32BA" w:rsidR="006266F5" w:rsidRPr="009461CC" w:rsidRDefault="006266F5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17927</w:t>
            </w:r>
          </w:p>
        </w:tc>
        <w:tc>
          <w:tcPr>
            <w:tcW w:w="1266" w:type="dxa"/>
            <w:vMerge w:val="restart"/>
          </w:tcPr>
          <w:p w14:paraId="44053393" w14:textId="5F7E5816" w:rsidR="006266F5" w:rsidRPr="009461CC" w:rsidRDefault="006266F5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C019005</w:t>
            </w:r>
          </w:p>
        </w:tc>
        <w:tc>
          <w:tcPr>
            <w:tcW w:w="2416" w:type="dxa"/>
            <w:vMerge w:val="restart"/>
          </w:tcPr>
          <w:p w14:paraId="16987761" w14:textId="1464A232" w:rsidR="006266F5" w:rsidRPr="009461CC" w:rsidRDefault="006266F5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088633329000132</w:t>
            </w:r>
          </w:p>
        </w:tc>
      </w:tr>
      <w:tr w:rsidR="006266F5" w:rsidRPr="009461CC" w14:paraId="674985B4" w14:textId="77777777" w:rsidTr="006266F5">
        <w:tc>
          <w:tcPr>
            <w:tcW w:w="3795" w:type="dxa"/>
          </w:tcPr>
          <w:p w14:paraId="1845B978" w14:textId="3466CA48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 xml:space="preserve">Zestaw Atrieve Vascular Snare™, pętla o średnicy 9-15 mm i długości 120 cm, cewnik 6F x 100 cm </w:t>
            </w:r>
          </w:p>
        </w:tc>
        <w:tc>
          <w:tcPr>
            <w:tcW w:w="1603" w:type="dxa"/>
            <w:vMerge/>
          </w:tcPr>
          <w:p w14:paraId="0F2DCD20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45E8FDD8" w14:textId="4AADF8C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266" w:type="dxa"/>
            <w:vMerge/>
          </w:tcPr>
          <w:p w14:paraId="165F2BBA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416" w:type="dxa"/>
            <w:vMerge/>
          </w:tcPr>
          <w:p w14:paraId="5C1D336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1B0B0E25" w14:textId="77777777" w:rsidTr="006266F5">
        <w:tc>
          <w:tcPr>
            <w:tcW w:w="3795" w:type="dxa"/>
          </w:tcPr>
          <w:p w14:paraId="0A9B2655" w14:textId="666AEB18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 xml:space="preserve">Zestaw Atrieve Vascular Snare™, pętla o średnicy 12–20 mm i długości 120 cm, cewnik 6F x 100 cm </w:t>
            </w:r>
          </w:p>
        </w:tc>
        <w:tc>
          <w:tcPr>
            <w:tcW w:w="1603" w:type="dxa"/>
            <w:vMerge/>
          </w:tcPr>
          <w:p w14:paraId="4F42F09B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7D1A397B" w14:textId="2F1838AC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266" w:type="dxa"/>
            <w:vMerge/>
          </w:tcPr>
          <w:p w14:paraId="721C2322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416" w:type="dxa"/>
            <w:vMerge/>
          </w:tcPr>
          <w:p w14:paraId="3C7CCE81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06B07953" w14:textId="77777777" w:rsidTr="006266F5">
        <w:tc>
          <w:tcPr>
            <w:tcW w:w="3795" w:type="dxa"/>
          </w:tcPr>
          <w:p w14:paraId="122A6EC5" w14:textId="2EC9E7BD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 xml:space="preserve">Zestaw Atrieve Vascular Snare™, pętla o średnicy 18–30 mm i długości 120 cm, cewnik 7F x 100 cm </w:t>
            </w:r>
          </w:p>
        </w:tc>
        <w:tc>
          <w:tcPr>
            <w:tcW w:w="1603" w:type="dxa"/>
            <w:vMerge/>
          </w:tcPr>
          <w:p w14:paraId="1913C87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00E8406E" w14:textId="7131A855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266" w:type="dxa"/>
            <w:vMerge/>
          </w:tcPr>
          <w:p w14:paraId="68FC6CAA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416" w:type="dxa"/>
            <w:vMerge/>
          </w:tcPr>
          <w:p w14:paraId="36E1922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70E2EDC2" w14:textId="77777777" w:rsidTr="006266F5">
        <w:tc>
          <w:tcPr>
            <w:tcW w:w="3795" w:type="dxa"/>
          </w:tcPr>
          <w:p w14:paraId="3B2B1D80" w14:textId="12CC0658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Zestaw Atrieve Vascular Snare™, pętla o średnicy 27–45 mm i długości 120 cm, cewnik 7F x 100 cm</w:t>
            </w:r>
          </w:p>
        </w:tc>
        <w:tc>
          <w:tcPr>
            <w:tcW w:w="1603" w:type="dxa"/>
            <w:vMerge/>
          </w:tcPr>
          <w:p w14:paraId="5D29838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001781C2" w14:textId="46419622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266" w:type="dxa"/>
            <w:vMerge/>
          </w:tcPr>
          <w:p w14:paraId="20D9A32E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416" w:type="dxa"/>
            <w:vMerge/>
          </w:tcPr>
          <w:p w14:paraId="5855DBED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7E3403A6" w14:textId="77777777" w:rsidTr="006266F5">
        <w:tc>
          <w:tcPr>
            <w:tcW w:w="3795" w:type="dxa"/>
          </w:tcPr>
          <w:p w14:paraId="675708BF" w14:textId="381C18CA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 xml:space="preserve">Zestaw Atrieve Vascular Snare™, pętla o średnicy 2–4 mm i długości 175 cm, cewnik 3,2F x 150 cm </w:t>
            </w:r>
          </w:p>
        </w:tc>
        <w:tc>
          <w:tcPr>
            <w:tcW w:w="1603" w:type="dxa"/>
            <w:vMerge/>
          </w:tcPr>
          <w:p w14:paraId="4005AAE7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10F77F80" w14:textId="1EEE88E0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266" w:type="dxa"/>
            <w:vMerge/>
          </w:tcPr>
          <w:p w14:paraId="01E30B80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416" w:type="dxa"/>
            <w:vMerge/>
          </w:tcPr>
          <w:p w14:paraId="7E3CD13D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163BEE28" w14:textId="77777777" w:rsidTr="006266F5">
        <w:tc>
          <w:tcPr>
            <w:tcW w:w="3795" w:type="dxa"/>
          </w:tcPr>
          <w:p w14:paraId="2C7CFD34" w14:textId="28EFC76A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Zestaw Atrieve Vascular Snare™, pętla o średnicy 4-8 mm i długości 175 cm, cewnik 3,2F x 150 cm</w:t>
            </w:r>
          </w:p>
        </w:tc>
        <w:tc>
          <w:tcPr>
            <w:tcW w:w="1603" w:type="dxa"/>
            <w:vMerge/>
          </w:tcPr>
          <w:p w14:paraId="796C4314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520A7E25" w14:textId="5F41C696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266" w:type="dxa"/>
            <w:vMerge/>
          </w:tcPr>
          <w:p w14:paraId="77962B81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416" w:type="dxa"/>
            <w:vMerge/>
          </w:tcPr>
          <w:p w14:paraId="570FDA70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</w:tbl>
    <w:p w14:paraId="2DAE4D4B" w14:textId="77777777" w:rsidR="00AA2E04" w:rsidRPr="009461CC" w:rsidRDefault="00AA2E04" w:rsidP="00AA3694">
      <w:pPr>
        <w:pStyle w:val="Heading1"/>
        <w:numPr>
          <w:ilvl w:val="0"/>
          <w:numId w:val="0"/>
        </w:numPr>
        <w:rPr>
          <w:rFonts w:cs="Times New Roman"/>
        </w:rPr>
      </w:pPr>
    </w:p>
    <w:p w14:paraId="4B18C73D" w14:textId="72C79B52" w:rsidR="009855C3" w:rsidRPr="009461CC" w:rsidRDefault="009855C3" w:rsidP="00042B91">
      <w:pPr>
        <w:pStyle w:val="Heading1"/>
        <w:rPr>
          <w:rFonts w:cs="Times New Roman"/>
        </w:rPr>
      </w:pPr>
      <w:bookmarkStart w:id="3" w:name="_Toc222741577"/>
      <w:r>
        <w:rPr>
          <w:rFonts w:cs="Times New Roman"/>
          <w:bCs/>
          <w:lang w:val="pl"/>
        </w:rPr>
        <w:t>Rok wydania pierwszego certyfikatu (CE) obejmującego wyrób:</w:t>
      </w:r>
      <w:bookmarkEnd w:id="3"/>
      <w:r>
        <w:rPr>
          <w:rFonts w:cs="Times New Roman"/>
          <w:bCs/>
          <w:lang w:val="pl"/>
        </w:rPr>
        <w:t xml:space="preserve"> </w:t>
      </w:r>
    </w:p>
    <w:p w14:paraId="76BA3EF9" w14:textId="10AD908A" w:rsidR="00713233" w:rsidRPr="009461CC" w:rsidRDefault="00780A59" w:rsidP="00E714ED">
      <w:pPr>
        <w:spacing w:after="0" w:afterAutospacing="0" w:line="240" w:lineRule="auto"/>
        <w:ind w:left="792"/>
        <w:rPr>
          <w:rFonts w:cs="Times New Roman"/>
        </w:rPr>
      </w:pPr>
      <w:r>
        <w:rPr>
          <w:rFonts w:cs="Times New Roman"/>
          <w:lang w:val="pl"/>
        </w:rPr>
        <w:t xml:space="preserve">Zestaw </w:t>
      </w:r>
      <w:r w:rsidR="006D7F85">
        <w:rPr>
          <w:rFonts w:cs="Times New Roman"/>
          <w:lang w:val="pl"/>
        </w:rPr>
        <w:t xml:space="preserve">Snare </w:t>
      </w:r>
      <w:r>
        <w:rPr>
          <w:rFonts w:cs="Times New Roman"/>
          <w:lang w:val="pl"/>
        </w:rPr>
        <w:t xml:space="preserve">naczyniowej Atrieve otrzymał znak CE (CE 608298) w 2010 r. zgodnie z MDD </w:t>
      </w:r>
    </w:p>
    <w:p w14:paraId="6B157940" w14:textId="77777777" w:rsidR="00FE78AD" w:rsidRPr="009461CC" w:rsidRDefault="00FE78AD" w:rsidP="00E714ED">
      <w:pPr>
        <w:spacing w:after="0" w:afterAutospacing="0" w:line="240" w:lineRule="auto"/>
        <w:ind w:left="792"/>
        <w:rPr>
          <w:rFonts w:cs="Times New Roman"/>
        </w:rPr>
      </w:pPr>
    </w:p>
    <w:p w14:paraId="7DB260B7" w14:textId="77777777" w:rsidR="00FE78AD" w:rsidRPr="009461CC" w:rsidRDefault="00FE78AD" w:rsidP="00E714ED">
      <w:pPr>
        <w:spacing w:after="0" w:afterAutospacing="0" w:line="240" w:lineRule="auto"/>
        <w:ind w:left="792"/>
        <w:rPr>
          <w:rFonts w:cs="Times New Roman"/>
        </w:rPr>
      </w:pPr>
    </w:p>
    <w:p w14:paraId="79EE515A" w14:textId="77777777" w:rsidR="00FE78AD" w:rsidRPr="009461CC" w:rsidRDefault="00FE78AD" w:rsidP="00E714ED">
      <w:pPr>
        <w:spacing w:after="0" w:afterAutospacing="0" w:line="240" w:lineRule="auto"/>
        <w:ind w:left="792"/>
        <w:rPr>
          <w:rFonts w:cs="Times New Roman"/>
        </w:rPr>
      </w:pPr>
    </w:p>
    <w:p w14:paraId="234B8791" w14:textId="77777777" w:rsidR="005C6A90" w:rsidRPr="009461CC" w:rsidRDefault="005C6A90" w:rsidP="00E714ED">
      <w:pPr>
        <w:spacing w:after="0" w:afterAutospacing="0" w:line="240" w:lineRule="auto"/>
        <w:ind w:left="792"/>
        <w:rPr>
          <w:rFonts w:cs="Times New Roman"/>
        </w:rPr>
      </w:pPr>
    </w:p>
    <w:p w14:paraId="10A04209" w14:textId="75FC9DEC" w:rsidR="009855C3" w:rsidRPr="006D72CB" w:rsidRDefault="009855C3" w:rsidP="00042B91">
      <w:pPr>
        <w:pStyle w:val="Heading1"/>
        <w:rPr>
          <w:rFonts w:cs="Times New Roman"/>
          <w:lang w:val="it-IT"/>
        </w:rPr>
      </w:pPr>
      <w:r>
        <w:rPr>
          <w:rFonts w:cs="Times New Roman"/>
          <w:bCs/>
          <w:lang w:val="pl"/>
        </w:rPr>
        <w:t xml:space="preserve"> </w:t>
      </w:r>
      <w:bookmarkStart w:id="4" w:name="_Toc222741578"/>
      <w:r>
        <w:rPr>
          <w:rFonts w:cs="Times New Roman"/>
          <w:bCs/>
          <w:lang w:val="pl"/>
        </w:rPr>
        <w:t>Nazwa, adres i numer SRN producenta:</w:t>
      </w:r>
      <w:bookmarkEnd w:id="4"/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675"/>
        <w:gridCol w:w="5755"/>
      </w:tblGrid>
      <w:tr w:rsidR="00493B5B" w:rsidRPr="009461CC" w14:paraId="49C995E4" w14:textId="77777777" w:rsidTr="00272DE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DB8134E" w14:textId="77777777" w:rsidR="00493B5B" w:rsidRPr="009461CC" w:rsidRDefault="00493B5B" w:rsidP="00AA3694">
            <w:pPr>
              <w:spacing w:after="0" w:afterAutospacing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pl"/>
              </w:rPr>
              <w:t>Dane producenta</w:t>
            </w:r>
          </w:p>
        </w:tc>
      </w:tr>
      <w:tr w:rsidR="00493B5B" w:rsidRPr="009461CC" w14:paraId="49F686BA" w14:textId="77777777" w:rsidTr="00272DEA">
        <w:trPr>
          <w:trHeight w:val="489"/>
        </w:trPr>
        <w:tc>
          <w:tcPr>
            <w:tcW w:w="2241" w:type="pct"/>
          </w:tcPr>
          <w:p w14:paraId="55881DB9" w14:textId="77777777" w:rsidR="00493B5B" w:rsidRPr="009461CC" w:rsidRDefault="00493B5B" w:rsidP="00AA3694">
            <w:pPr>
              <w:spacing w:after="0" w:afterAutospacing="0"/>
              <w:jc w:val="both"/>
              <w:rPr>
                <w:spacing w:val="-5"/>
                <w:szCs w:val="24"/>
              </w:rPr>
            </w:pPr>
            <w:r>
              <w:rPr>
                <w:szCs w:val="24"/>
                <w:lang w:val="pl"/>
              </w:rPr>
              <w:t>Numer SRN producenta: US-MF-000002324</w:t>
            </w:r>
          </w:p>
        </w:tc>
        <w:tc>
          <w:tcPr>
            <w:tcW w:w="2759" w:type="pct"/>
          </w:tcPr>
          <w:p w14:paraId="61E93080" w14:textId="77777777" w:rsidR="00493B5B" w:rsidRPr="009461CC" w:rsidRDefault="00493B5B" w:rsidP="00AA3694">
            <w:pPr>
              <w:spacing w:after="0" w:afterAutospacing="0"/>
              <w:rPr>
                <w:szCs w:val="24"/>
              </w:rPr>
            </w:pPr>
            <w:r>
              <w:rPr>
                <w:szCs w:val="24"/>
                <w:lang w:val="pl"/>
              </w:rPr>
              <w:t>Nazwa producenta: Argon Medical Devices, Inc.</w:t>
            </w:r>
          </w:p>
        </w:tc>
      </w:tr>
      <w:tr w:rsidR="00493B5B" w:rsidRPr="009461CC" w14:paraId="03F91594" w14:textId="77777777" w:rsidTr="00272DEA">
        <w:trPr>
          <w:trHeight w:val="525"/>
        </w:trPr>
        <w:tc>
          <w:tcPr>
            <w:tcW w:w="2241" w:type="pct"/>
          </w:tcPr>
          <w:p w14:paraId="119B5A73" w14:textId="77777777" w:rsidR="00493B5B" w:rsidRPr="009461CC" w:rsidRDefault="00493B5B" w:rsidP="00AA3694">
            <w:pPr>
              <w:spacing w:after="0" w:afterAutospacing="0"/>
              <w:jc w:val="both"/>
              <w:rPr>
                <w:spacing w:val="-2"/>
                <w:szCs w:val="24"/>
              </w:rPr>
            </w:pPr>
            <w:r>
              <w:rPr>
                <w:szCs w:val="24"/>
                <w:lang w:val="pl"/>
              </w:rPr>
              <w:t>Imię i nazwisko osoby kontaktowej: Scott Bishop</w:t>
            </w:r>
          </w:p>
        </w:tc>
        <w:tc>
          <w:tcPr>
            <w:tcW w:w="2759" w:type="pct"/>
          </w:tcPr>
          <w:p w14:paraId="0FE9AF31" w14:textId="77777777" w:rsidR="00493B5B" w:rsidRPr="009461CC" w:rsidRDefault="00493B5B" w:rsidP="00AA3694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pl"/>
              </w:rPr>
              <w:t>E-mail:</w:t>
            </w:r>
            <w:r>
              <w:rPr>
                <w:sz w:val="22"/>
                <w:lang w:val="pl"/>
              </w:rPr>
              <w:t xml:space="preserve"> </w:t>
            </w:r>
            <w:hyperlink r:id="rId11" w:history="1">
              <w:r>
                <w:rPr>
                  <w:color w:val="0563C1"/>
                  <w:szCs w:val="24"/>
                  <w:u w:val="single"/>
                  <w:lang w:val="pl"/>
                </w:rPr>
                <w:t>RegCompliance@argonmedical.com</w:t>
              </w:r>
            </w:hyperlink>
          </w:p>
          <w:p w14:paraId="12F2B43C" w14:textId="77777777" w:rsidR="00493B5B" w:rsidRPr="009461CC" w:rsidRDefault="00493B5B" w:rsidP="00AA3694">
            <w:pPr>
              <w:spacing w:after="0" w:afterAutospacing="0"/>
              <w:rPr>
                <w:szCs w:val="24"/>
              </w:rPr>
            </w:pPr>
          </w:p>
        </w:tc>
      </w:tr>
      <w:tr w:rsidR="00493B5B" w:rsidRPr="009461CC" w14:paraId="075079C3" w14:textId="77777777" w:rsidTr="00272DEA">
        <w:trPr>
          <w:trHeight w:val="525"/>
        </w:trPr>
        <w:tc>
          <w:tcPr>
            <w:tcW w:w="2241" w:type="pct"/>
          </w:tcPr>
          <w:p w14:paraId="05BD6F97" w14:textId="77777777" w:rsidR="00493B5B" w:rsidRPr="009461CC" w:rsidRDefault="00493B5B" w:rsidP="00AA3694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pl"/>
              </w:rPr>
              <w:t>Numer telefonu: 903.675.9321</w:t>
            </w:r>
          </w:p>
        </w:tc>
        <w:tc>
          <w:tcPr>
            <w:tcW w:w="2759" w:type="pct"/>
          </w:tcPr>
          <w:p w14:paraId="260E0D3D" w14:textId="77777777" w:rsidR="001533A4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pl"/>
              </w:rPr>
              <w:t>Adres:</w:t>
            </w:r>
          </w:p>
          <w:p w14:paraId="041EA64B" w14:textId="77777777" w:rsidR="001533A4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pl"/>
              </w:rPr>
              <w:t>1445 Flat Creek Rd.</w:t>
            </w:r>
          </w:p>
          <w:p w14:paraId="26DE4983" w14:textId="77777777" w:rsidR="001533A4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pl"/>
              </w:rPr>
              <w:t>Athens, Texas 75751</w:t>
            </w:r>
          </w:p>
          <w:p w14:paraId="586DCCA3" w14:textId="38B6FE42" w:rsidR="00493B5B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pl"/>
              </w:rPr>
              <w:t>USA</w:t>
            </w:r>
          </w:p>
        </w:tc>
      </w:tr>
    </w:tbl>
    <w:p w14:paraId="2E5002E8" w14:textId="77777777" w:rsidR="00D20FA4" w:rsidRPr="009461CC" w:rsidRDefault="00D20FA4" w:rsidP="00042B91">
      <w:pPr>
        <w:spacing w:after="0" w:afterAutospacing="0" w:line="240" w:lineRule="auto"/>
        <w:ind w:left="1440"/>
        <w:rPr>
          <w:rFonts w:cs="Times New Roman"/>
        </w:rPr>
      </w:pPr>
    </w:p>
    <w:p w14:paraId="1CFB1B57" w14:textId="4BD4E170" w:rsidR="009855C3" w:rsidRPr="009461CC" w:rsidRDefault="00887E5D" w:rsidP="00AA3694">
      <w:pPr>
        <w:pStyle w:val="Heading1"/>
        <w:rPr>
          <w:rFonts w:cs="Times New Roman"/>
        </w:rPr>
      </w:pPr>
      <w:bookmarkStart w:id="5" w:name="_Toc222741579"/>
      <w:r>
        <w:rPr>
          <w:rFonts w:cs="Times New Roman"/>
          <w:bCs/>
          <w:lang w:val="pl"/>
        </w:rPr>
        <w:t>Nazwa upoważnionego przedstawiciela i indywidualny numer rejestracyjny:</w:t>
      </w:r>
      <w:bookmarkEnd w:id="5"/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4675"/>
        <w:gridCol w:w="5755"/>
      </w:tblGrid>
      <w:tr w:rsidR="008A210D" w:rsidRPr="009461CC" w14:paraId="5389928F" w14:textId="77777777" w:rsidTr="00272DE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FB4BB7C" w14:textId="77777777" w:rsidR="008A210D" w:rsidRPr="009461CC" w:rsidRDefault="008A210D" w:rsidP="008A210D">
            <w:pPr>
              <w:spacing w:after="0" w:afterAutospacing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pl"/>
              </w:rPr>
              <w:t>Informacje o upoważnionym przedstawicielu</w:t>
            </w:r>
          </w:p>
        </w:tc>
      </w:tr>
      <w:tr w:rsidR="008A210D" w:rsidRPr="006D72CB" w14:paraId="486856D5" w14:textId="77777777" w:rsidTr="00272DEA">
        <w:trPr>
          <w:trHeight w:val="489"/>
        </w:trPr>
        <w:tc>
          <w:tcPr>
            <w:tcW w:w="2241" w:type="pct"/>
          </w:tcPr>
          <w:p w14:paraId="5FC8645E" w14:textId="77777777" w:rsidR="008A210D" w:rsidRPr="009461CC" w:rsidRDefault="008A210D" w:rsidP="008A210D">
            <w:pPr>
              <w:spacing w:after="0" w:afterAutospacing="0"/>
              <w:jc w:val="both"/>
              <w:rPr>
                <w:spacing w:val="-5"/>
                <w:szCs w:val="24"/>
              </w:rPr>
            </w:pPr>
            <w:r>
              <w:rPr>
                <w:szCs w:val="24"/>
                <w:lang w:val="pl"/>
              </w:rPr>
              <w:t>SRN: NL-AR-000000116</w:t>
            </w:r>
          </w:p>
        </w:tc>
        <w:tc>
          <w:tcPr>
            <w:tcW w:w="2759" w:type="pct"/>
          </w:tcPr>
          <w:p w14:paraId="25BF63FC" w14:textId="77777777" w:rsidR="008A210D" w:rsidRPr="006D72CB" w:rsidRDefault="008A210D" w:rsidP="008A210D">
            <w:pPr>
              <w:widowControl w:val="0"/>
              <w:autoSpaceDE w:val="0"/>
              <w:autoSpaceDN w:val="0"/>
              <w:spacing w:before="119" w:after="0" w:afterAutospacing="0"/>
              <w:rPr>
                <w:bCs/>
                <w:szCs w:val="24"/>
                <w:lang w:val="it-IT"/>
              </w:rPr>
            </w:pPr>
            <w:r>
              <w:rPr>
                <w:szCs w:val="24"/>
                <w:lang w:val="pl"/>
              </w:rPr>
              <w:t>Nazwa organizacji upoważnionego przedstawiciela:</w:t>
            </w:r>
          </w:p>
          <w:p w14:paraId="3A6B7B5C" w14:textId="77777777" w:rsidR="008A210D" w:rsidRPr="006D72CB" w:rsidRDefault="008A210D" w:rsidP="008A210D">
            <w:pPr>
              <w:spacing w:after="0" w:afterAutospacing="0"/>
              <w:rPr>
                <w:szCs w:val="24"/>
                <w:lang w:val="it-IT"/>
              </w:rPr>
            </w:pPr>
            <w:r>
              <w:rPr>
                <w:szCs w:val="24"/>
                <w:lang w:val="pl"/>
              </w:rPr>
              <w:t>Emergo Europe</w:t>
            </w:r>
          </w:p>
        </w:tc>
      </w:tr>
      <w:tr w:rsidR="008A210D" w:rsidRPr="006D72CB" w14:paraId="7AE34B46" w14:textId="77777777" w:rsidTr="00272DEA">
        <w:trPr>
          <w:trHeight w:val="525"/>
        </w:trPr>
        <w:tc>
          <w:tcPr>
            <w:tcW w:w="2241" w:type="pct"/>
          </w:tcPr>
          <w:p w14:paraId="65D7FE1F" w14:textId="77777777" w:rsidR="008A210D" w:rsidRPr="009461CC" w:rsidRDefault="008A210D" w:rsidP="008A210D">
            <w:pPr>
              <w:spacing w:after="0" w:afterAutospacing="0"/>
              <w:jc w:val="both"/>
              <w:rPr>
                <w:spacing w:val="-2"/>
                <w:szCs w:val="24"/>
              </w:rPr>
            </w:pPr>
            <w:r>
              <w:rPr>
                <w:szCs w:val="24"/>
                <w:lang w:val="pl"/>
              </w:rPr>
              <w:t>Dane kontaktowe: Vigilance Team</w:t>
            </w:r>
          </w:p>
        </w:tc>
        <w:tc>
          <w:tcPr>
            <w:tcW w:w="2759" w:type="pct"/>
          </w:tcPr>
          <w:p w14:paraId="2A3CD5D0" w14:textId="77777777" w:rsidR="008A210D" w:rsidRPr="006D72CB" w:rsidRDefault="008A210D" w:rsidP="008A210D">
            <w:pPr>
              <w:widowControl w:val="0"/>
              <w:autoSpaceDE w:val="0"/>
              <w:autoSpaceDN w:val="0"/>
              <w:spacing w:before="39" w:after="0" w:afterAutospacing="0"/>
              <w:rPr>
                <w:spacing w:val="-2"/>
                <w:szCs w:val="24"/>
                <w:lang w:val="it-IT"/>
              </w:rPr>
            </w:pPr>
            <w:r>
              <w:rPr>
                <w:szCs w:val="24"/>
                <w:lang w:val="pl"/>
              </w:rPr>
              <w:t xml:space="preserve">E-mail: </w:t>
            </w:r>
            <w:hyperlink r:id="rId12" w:history="1">
              <w:r>
                <w:rPr>
                  <w:color w:val="0563C1"/>
                  <w:szCs w:val="24"/>
                  <w:u w:val="single"/>
                  <w:lang w:val="pl"/>
                </w:rPr>
                <w:t>EmergoVigilance@ul.com</w:t>
              </w:r>
            </w:hyperlink>
          </w:p>
        </w:tc>
      </w:tr>
      <w:tr w:rsidR="008A210D" w:rsidRPr="009461CC" w14:paraId="0CB481FF" w14:textId="77777777" w:rsidTr="00272DEA">
        <w:trPr>
          <w:trHeight w:val="525"/>
        </w:trPr>
        <w:tc>
          <w:tcPr>
            <w:tcW w:w="2241" w:type="pct"/>
          </w:tcPr>
          <w:p w14:paraId="3652CFB2" w14:textId="77777777" w:rsidR="008A210D" w:rsidRPr="009461CC" w:rsidRDefault="008A210D" w:rsidP="008A210D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pl"/>
              </w:rPr>
              <w:t>Numer telefonu: +31.70.345.8570</w:t>
            </w:r>
          </w:p>
          <w:p w14:paraId="7CCBBDE7" w14:textId="739E5D21" w:rsidR="00A603C9" w:rsidRPr="009461CC" w:rsidRDefault="00A603C9" w:rsidP="008A210D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color w:val="000000"/>
                <w:szCs w:val="24"/>
                <w:lang w:val="pl"/>
              </w:rPr>
              <w:t>Faks:+31 (0)70 346 7299</w:t>
            </w:r>
          </w:p>
        </w:tc>
        <w:tc>
          <w:tcPr>
            <w:tcW w:w="2759" w:type="pct"/>
          </w:tcPr>
          <w:p w14:paraId="2F414254" w14:textId="77777777" w:rsidR="008A210D" w:rsidRPr="006D72CB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  <w:lang w:val="de-DE"/>
              </w:rPr>
            </w:pPr>
            <w:r>
              <w:rPr>
                <w:szCs w:val="24"/>
                <w:lang w:val="pl"/>
              </w:rPr>
              <w:t>Adres</w:t>
            </w:r>
          </w:p>
          <w:p w14:paraId="759A4A48" w14:textId="77777777" w:rsidR="008A210D" w:rsidRPr="006D72CB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  <w:lang w:val="de-DE"/>
              </w:rPr>
            </w:pPr>
            <w:r>
              <w:rPr>
                <w:szCs w:val="24"/>
                <w:lang w:val="pl"/>
              </w:rPr>
              <w:t>Numer i nazwa ulicy:</w:t>
            </w:r>
            <w:r>
              <w:rPr>
                <w:sz w:val="22"/>
                <w:lang w:val="pl"/>
              </w:rPr>
              <w:t xml:space="preserve"> 60 </w:t>
            </w:r>
            <w:r>
              <w:rPr>
                <w:szCs w:val="24"/>
                <w:lang w:val="pl"/>
              </w:rPr>
              <w:t>Westervoortsedijk</w:t>
            </w:r>
          </w:p>
          <w:p w14:paraId="3B20AE15" w14:textId="77777777" w:rsidR="008A210D" w:rsidRPr="009461CC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pl"/>
              </w:rPr>
              <w:t>Miasto: Arnhem</w:t>
            </w:r>
          </w:p>
          <w:p w14:paraId="6FC33444" w14:textId="77777777" w:rsidR="008A210D" w:rsidRPr="009461CC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pl"/>
              </w:rPr>
              <w:t>Kod pocztowy: 6827 AT</w:t>
            </w:r>
          </w:p>
          <w:p w14:paraId="2EB91056" w14:textId="77777777" w:rsidR="008A210D" w:rsidRPr="009461CC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pl"/>
              </w:rPr>
              <w:t>Kraj: Holandia</w:t>
            </w:r>
          </w:p>
        </w:tc>
      </w:tr>
    </w:tbl>
    <w:p w14:paraId="1624A296" w14:textId="77777777" w:rsidR="009855C3" w:rsidRPr="009461CC" w:rsidRDefault="009855C3" w:rsidP="00042B91">
      <w:pPr>
        <w:spacing w:after="0" w:afterAutospacing="0" w:line="240" w:lineRule="auto"/>
        <w:ind w:left="1440"/>
        <w:rPr>
          <w:rFonts w:cs="Times New Roman"/>
        </w:rPr>
      </w:pPr>
    </w:p>
    <w:p w14:paraId="6CE36BA3" w14:textId="292AEF0B" w:rsidR="006517A0" w:rsidRPr="009461CC" w:rsidRDefault="009855C3" w:rsidP="003074B3">
      <w:pPr>
        <w:pStyle w:val="Heading1"/>
        <w:rPr>
          <w:rFonts w:cs="Times New Roman"/>
        </w:rPr>
      </w:pPr>
      <w:bookmarkStart w:id="6" w:name="_Toc222741580"/>
      <w:r>
        <w:rPr>
          <w:rFonts w:cs="Times New Roman"/>
          <w:bCs/>
          <w:lang w:val="pl"/>
        </w:rPr>
        <w:t>Nazwa NB i pojedynczy numer identyfikacyjny:</w:t>
      </w:r>
      <w:bookmarkEnd w:id="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7"/>
        <w:gridCol w:w="6613"/>
      </w:tblGrid>
      <w:tr w:rsidR="003074B3" w:rsidRPr="009461CC" w14:paraId="7E457138" w14:textId="77777777" w:rsidTr="00272DEA">
        <w:trPr>
          <w:trHeight w:val="26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9932D80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pl"/>
              </w:rPr>
              <w:t>Jednostka notyfikowana</w:t>
            </w:r>
          </w:p>
        </w:tc>
      </w:tr>
      <w:tr w:rsidR="00272DEA" w:rsidRPr="009461CC" w14:paraId="0B814508" w14:textId="77777777" w:rsidTr="00272DEA">
        <w:trPr>
          <w:trHeight w:val="350"/>
          <w:jc w:val="center"/>
        </w:trPr>
        <w:tc>
          <w:tcPr>
            <w:tcW w:w="1830" w:type="pct"/>
          </w:tcPr>
          <w:p w14:paraId="49157CDC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pl"/>
              </w:rPr>
              <w:t>Nazwa:</w:t>
            </w:r>
          </w:p>
        </w:tc>
        <w:tc>
          <w:tcPr>
            <w:tcW w:w="3170" w:type="pct"/>
          </w:tcPr>
          <w:p w14:paraId="5863E627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cs="Times New Roman"/>
                <w:szCs w:val="24"/>
                <w:lang w:val="pl"/>
              </w:rPr>
              <w:t>The British Standards Institution (BSI) Group the Netherlands B.V.</w:t>
            </w:r>
          </w:p>
        </w:tc>
      </w:tr>
      <w:tr w:rsidR="003074B3" w:rsidRPr="009461CC" w14:paraId="65281175" w14:textId="77777777" w:rsidTr="009709B4">
        <w:trPr>
          <w:trHeight w:val="728"/>
          <w:jc w:val="center"/>
        </w:trPr>
        <w:tc>
          <w:tcPr>
            <w:tcW w:w="1830" w:type="pct"/>
          </w:tcPr>
          <w:p w14:paraId="7941F5BB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pl"/>
              </w:rPr>
              <w:t>Adres:</w:t>
            </w:r>
          </w:p>
        </w:tc>
        <w:tc>
          <w:tcPr>
            <w:tcW w:w="3170" w:type="pct"/>
          </w:tcPr>
          <w:p w14:paraId="727CFF1E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pl"/>
              </w:rPr>
              <w:t>John M. Keynesplein 9</w:t>
            </w:r>
          </w:p>
          <w:p w14:paraId="4054093A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pl"/>
              </w:rPr>
              <w:t>1066 EP Amsterdam</w:t>
            </w:r>
          </w:p>
          <w:p w14:paraId="72F2BC20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pl"/>
              </w:rPr>
              <w:t xml:space="preserve"> Holandia</w:t>
            </w:r>
          </w:p>
        </w:tc>
      </w:tr>
      <w:tr w:rsidR="003074B3" w:rsidRPr="009461CC" w14:paraId="7A858549" w14:textId="77777777" w:rsidTr="00272DEA">
        <w:trPr>
          <w:trHeight w:val="351"/>
          <w:jc w:val="center"/>
        </w:trPr>
        <w:tc>
          <w:tcPr>
            <w:tcW w:w="1830" w:type="pct"/>
          </w:tcPr>
          <w:p w14:paraId="4D329CD4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pl"/>
              </w:rPr>
              <w:t>Witryna internetowa:</w:t>
            </w:r>
          </w:p>
        </w:tc>
        <w:tc>
          <w:tcPr>
            <w:tcW w:w="3170" w:type="pct"/>
          </w:tcPr>
          <w:p w14:paraId="29B75D5D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hyperlink r:id="rId13" w:history="1">
              <w:r>
                <w:rPr>
                  <w:rFonts w:eastAsia="Times New Roman" w:cs="Times New Roman"/>
                  <w:color w:val="0000FF"/>
                  <w:szCs w:val="24"/>
                  <w:u w:val="single"/>
                  <w:lang w:val="pl"/>
                </w:rPr>
                <w:t>www.bsigroup.com</w:t>
              </w:r>
            </w:hyperlink>
            <w:r>
              <w:rPr>
                <w:rFonts w:eastAsia="Times New Roman" w:cs="Times New Roman"/>
                <w:szCs w:val="24"/>
                <w:lang w:val="pl"/>
              </w:rPr>
              <w:t xml:space="preserve"> </w:t>
            </w:r>
          </w:p>
        </w:tc>
      </w:tr>
      <w:tr w:rsidR="003074B3" w:rsidRPr="009461CC" w14:paraId="242654B6" w14:textId="77777777" w:rsidTr="00272DEA">
        <w:trPr>
          <w:trHeight w:val="355"/>
          <w:jc w:val="center"/>
        </w:trPr>
        <w:tc>
          <w:tcPr>
            <w:tcW w:w="1830" w:type="pct"/>
          </w:tcPr>
          <w:p w14:paraId="6F572CD0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pl"/>
              </w:rPr>
              <w:t>Telefon:</w:t>
            </w:r>
          </w:p>
        </w:tc>
        <w:tc>
          <w:tcPr>
            <w:tcW w:w="3170" w:type="pct"/>
          </w:tcPr>
          <w:p w14:paraId="7E5F2BF5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pl"/>
              </w:rPr>
              <w:t>+31 (0)20 346 07 80</w:t>
            </w:r>
          </w:p>
        </w:tc>
      </w:tr>
      <w:tr w:rsidR="003074B3" w:rsidRPr="009461CC" w14:paraId="3445789F" w14:textId="77777777" w:rsidTr="00272DEA">
        <w:trPr>
          <w:trHeight w:val="355"/>
          <w:jc w:val="center"/>
        </w:trPr>
        <w:tc>
          <w:tcPr>
            <w:tcW w:w="1830" w:type="pct"/>
          </w:tcPr>
          <w:p w14:paraId="6D8C8396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pl"/>
              </w:rPr>
              <w:t>Faks:</w:t>
            </w:r>
          </w:p>
        </w:tc>
        <w:tc>
          <w:tcPr>
            <w:tcW w:w="3170" w:type="pct"/>
          </w:tcPr>
          <w:p w14:paraId="42A0F78B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pl"/>
              </w:rPr>
              <w:t>+31 (0) 20 346 07 81</w:t>
            </w:r>
          </w:p>
        </w:tc>
      </w:tr>
      <w:tr w:rsidR="003074B3" w:rsidRPr="009461CC" w14:paraId="108563A6" w14:textId="77777777" w:rsidTr="00272DEA">
        <w:trPr>
          <w:trHeight w:val="323"/>
          <w:jc w:val="center"/>
        </w:trPr>
        <w:tc>
          <w:tcPr>
            <w:tcW w:w="1830" w:type="pct"/>
          </w:tcPr>
          <w:p w14:paraId="68313F88" w14:textId="77777777" w:rsidR="003074B3" w:rsidRPr="009461CC" w:rsidRDefault="003074B3" w:rsidP="00B066F7">
            <w:pPr>
              <w:tabs>
                <w:tab w:val="left" w:pos="3150"/>
              </w:tabs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pl"/>
              </w:rPr>
              <w:t>Numer jednostki notyfikowanej:</w:t>
            </w:r>
            <w:r>
              <w:rPr>
                <w:rFonts w:eastAsia="Times New Roman" w:cs="Times New Roman"/>
                <w:szCs w:val="24"/>
                <w:lang w:val="pl"/>
              </w:rPr>
              <w:tab/>
            </w:r>
          </w:p>
        </w:tc>
        <w:tc>
          <w:tcPr>
            <w:tcW w:w="3170" w:type="pct"/>
          </w:tcPr>
          <w:p w14:paraId="445F2118" w14:textId="77777777" w:rsidR="003074B3" w:rsidRPr="009461CC" w:rsidRDefault="003074B3" w:rsidP="00B066F7">
            <w:pPr>
              <w:tabs>
                <w:tab w:val="left" w:pos="3150"/>
              </w:tabs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pl"/>
              </w:rPr>
              <w:t>2797</w:t>
            </w:r>
          </w:p>
        </w:tc>
      </w:tr>
    </w:tbl>
    <w:p w14:paraId="49CBA632" w14:textId="77777777" w:rsidR="005C6A90" w:rsidRPr="009461CC" w:rsidRDefault="005C6A90" w:rsidP="00042B91">
      <w:pPr>
        <w:spacing w:after="0" w:afterAutospacing="0" w:line="240" w:lineRule="auto"/>
        <w:rPr>
          <w:rFonts w:cs="Times New Roman"/>
        </w:rPr>
      </w:pPr>
    </w:p>
    <w:p w14:paraId="708F564C" w14:textId="58CA8111" w:rsidR="00AA2E04" w:rsidRPr="009461CC" w:rsidRDefault="00AA2E04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" w:name="_Toc222741581"/>
      <w:r>
        <w:rPr>
          <w:rFonts w:cs="Times New Roman"/>
          <w:bCs/>
          <w:lang w:val="pl"/>
        </w:rPr>
        <w:lastRenderedPageBreak/>
        <w:t>Przeznaczenie / cel stosowania urządzenia</w:t>
      </w:r>
      <w:bookmarkEnd w:id="7"/>
      <w:r>
        <w:rPr>
          <w:rFonts w:cs="Times New Roman"/>
          <w:bCs/>
          <w:lang w:val="pl"/>
        </w:rPr>
        <w:t xml:space="preserve"> </w:t>
      </w:r>
    </w:p>
    <w:p w14:paraId="48603D86" w14:textId="3BAB4A94" w:rsidR="00D104AC" w:rsidRPr="009461CC" w:rsidRDefault="00D104AC" w:rsidP="00FB0A38">
      <w:pPr>
        <w:spacing w:after="0" w:afterAutospacing="0"/>
        <w:ind w:left="360"/>
        <w:rPr>
          <w:rFonts w:cs="Times New Roman"/>
        </w:rPr>
      </w:pPr>
      <w:r>
        <w:rPr>
          <w:rFonts w:cs="Times New Roman"/>
          <w:lang w:val="pl"/>
        </w:rPr>
        <w:t>Oznaczenia:</w:t>
      </w:r>
    </w:p>
    <w:p w14:paraId="5CC3EE9B" w14:textId="1A780D49" w:rsidR="00042B91" w:rsidRPr="009461CC" w:rsidRDefault="00FE5B73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pl"/>
        </w:rPr>
        <w:t>Numery referencyjne: X9585730-0321-EU Rev A</w:t>
      </w:r>
    </w:p>
    <w:p w14:paraId="1254EE9F" w14:textId="77777777" w:rsidR="00FE5B73" w:rsidRPr="009461CC" w:rsidRDefault="00FE5B73" w:rsidP="00042B91">
      <w:pPr>
        <w:spacing w:after="0" w:afterAutospacing="0" w:line="240" w:lineRule="auto"/>
        <w:rPr>
          <w:rFonts w:cs="Times New Roman"/>
        </w:rPr>
      </w:pPr>
    </w:p>
    <w:p w14:paraId="39A6DB15" w14:textId="58ED6DAB" w:rsidR="006F0810" w:rsidRPr="009461CC" w:rsidRDefault="00B7112F" w:rsidP="00042B91">
      <w:pPr>
        <w:pStyle w:val="Heading1"/>
        <w:rPr>
          <w:rFonts w:cs="Times New Roman"/>
        </w:rPr>
      </w:pPr>
      <w:r>
        <w:rPr>
          <w:rFonts w:cs="Times New Roman"/>
          <w:bCs/>
          <w:lang w:val="pl"/>
        </w:rPr>
        <w:t xml:space="preserve"> </w:t>
      </w:r>
      <w:bookmarkStart w:id="8" w:name="_Toc222741582"/>
      <w:r>
        <w:rPr>
          <w:rFonts w:cs="Times New Roman"/>
          <w:bCs/>
          <w:lang w:val="pl"/>
        </w:rPr>
        <w:t>Przeznaczenie / zastosowanie</w:t>
      </w:r>
      <w:bookmarkEnd w:id="8"/>
    </w:p>
    <w:p w14:paraId="5F55F24F" w14:textId="20556298" w:rsidR="009B569A" w:rsidRPr="009461CC" w:rsidRDefault="00B82FB3" w:rsidP="00B82FB3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  <w:lang w:val="pl"/>
        </w:rPr>
        <w:t>Przeznaczony do stosowania w układzie sercowo-naczyniowym lub w pustych przestrzeniach lepkich do usuwania ciał obcych i manipulowania nimi.</w:t>
      </w:r>
    </w:p>
    <w:p w14:paraId="0540FB4C" w14:textId="6BE36C7A" w:rsidR="006F0810" w:rsidRPr="009461CC" w:rsidRDefault="006F0810" w:rsidP="00042B91">
      <w:pPr>
        <w:pStyle w:val="Heading1"/>
        <w:rPr>
          <w:rFonts w:cs="Times New Roman"/>
        </w:rPr>
      </w:pPr>
      <w:bookmarkStart w:id="9" w:name="_Toc222741583"/>
      <w:r>
        <w:rPr>
          <w:rFonts w:cs="Times New Roman"/>
          <w:bCs/>
          <w:lang w:val="pl"/>
        </w:rPr>
        <w:t>Wskazania do stosowania</w:t>
      </w:r>
      <w:bookmarkEnd w:id="9"/>
    </w:p>
    <w:p w14:paraId="24ADD508" w14:textId="77777777" w:rsidR="00235AAE" w:rsidRPr="006D72CB" w:rsidRDefault="00235AAE" w:rsidP="00235AAE">
      <w:pPr>
        <w:widowControl w:val="0"/>
        <w:rPr>
          <w:rFonts w:cs="Times New Roman"/>
          <w:lang w:val="pl"/>
        </w:rPr>
      </w:pPr>
      <w:r>
        <w:rPr>
          <w:rFonts w:cs="Times New Roman"/>
          <w:lang w:val="pl"/>
        </w:rPr>
        <w:t>Przeznaczony do stosowania w układzie sercowo-naczyniowym lub w pustych przestrzeniach trzewi do usuwania ciał obcych i manipulowania nimi. Procedury manipulacyjne obejmują repozycjonowanie cewnika żylnego, usuwanie osłonki fibrynowej z cewnika żylnego oraz pomoc w nakłuwaniu żył z centralnego dostępu żylnego.</w:t>
      </w:r>
    </w:p>
    <w:p w14:paraId="498EAE44" w14:textId="77777777" w:rsidR="00D20FA4" w:rsidRPr="009461CC" w:rsidRDefault="00D20FA4" w:rsidP="00042B91">
      <w:pPr>
        <w:pStyle w:val="Heading1"/>
        <w:rPr>
          <w:rFonts w:cs="Times New Roman"/>
        </w:rPr>
      </w:pPr>
      <w:bookmarkStart w:id="10" w:name="_Toc222741584"/>
      <w:r>
        <w:rPr>
          <w:rFonts w:cs="Times New Roman"/>
          <w:bCs/>
          <w:lang w:val="pl"/>
        </w:rPr>
        <w:t>Populacja docelowa</w:t>
      </w:r>
      <w:bookmarkEnd w:id="10"/>
    </w:p>
    <w:p w14:paraId="099A3585" w14:textId="77777777" w:rsidR="003B70D7" w:rsidRPr="009461CC" w:rsidRDefault="003B70D7" w:rsidP="005A1E4B">
      <w:pPr>
        <w:pStyle w:val="pf0"/>
        <w:widowControl w:val="0"/>
        <w:spacing w:before="0" w:beforeAutospacing="0" w:after="0" w:afterAutospacing="0"/>
      </w:pPr>
      <w:r>
        <w:rPr>
          <w:lang w:val="pl"/>
        </w:rPr>
        <w:t>Dorośli pacjenci, w szczególności dorośli w podeszłym wieku, bez względu na płeć, rasę czy grupę etniczną.</w:t>
      </w:r>
    </w:p>
    <w:p w14:paraId="3621B4F1" w14:textId="77777777" w:rsidR="003B70D7" w:rsidRPr="009461CC" w:rsidRDefault="003B70D7" w:rsidP="003B70D7">
      <w:pPr>
        <w:pStyle w:val="pf0"/>
        <w:widowControl w:val="0"/>
        <w:spacing w:before="0" w:beforeAutospacing="0" w:after="0" w:afterAutospacing="0"/>
      </w:pPr>
    </w:p>
    <w:p w14:paraId="28F544BD" w14:textId="4F93A450" w:rsidR="006F0810" w:rsidRPr="009461CC" w:rsidRDefault="006F0810" w:rsidP="00042B91">
      <w:pPr>
        <w:pStyle w:val="Heading1"/>
        <w:rPr>
          <w:rFonts w:cs="Times New Roman"/>
        </w:rPr>
      </w:pPr>
      <w:bookmarkStart w:id="11" w:name="_Toc222741585"/>
      <w:r>
        <w:rPr>
          <w:rFonts w:cs="Times New Roman"/>
          <w:bCs/>
          <w:lang w:val="pl"/>
        </w:rPr>
        <w:t>Przeciwwskazania</w:t>
      </w:r>
      <w:bookmarkEnd w:id="11"/>
    </w:p>
    <w:p w14:paraId="169E24EB" w14:textId="77777777" w:rsidR="00AA3502" w:rsidRPr="009461CC" w:rsidRDefault="00AA3502" w:rsidP="004A2596">
      <w:pPr>
        <w:pStyle w:val="ListParagraph"/>
        <w:numPr>
          <w:ilvl w:val="0"/>
          <w:numId w:val="31"/>
        </w:numPr>
        <w:spacing w:after="0" w:afterAutospacing="0" w:line="240" w:lineRule="auto"/>
        <w:jc w:val="both"/>
        <w:rPr>
          <w:rFonts w:eastAsia="Times New Roman" w:cs="Times New Roman"/>
        </w:rPr>
      </w:pPr>
      <w:r>
        <w:rPr>
          <w:rFonts w:cs="Times New Roman"/>
          <w:color w:val="000000"/>
          <w:lang w:val="pl"/>
        </w:rPr>
        <w:t>Urządzenie to nie jest przeznaczone do usuwania ciał obcych uwięzionych przez rozrost tkanki.</w:t>
      </w:r>
      <w:r>
        <w:rPr>
          <w:rFonts w:cs="Times New Roman"/>
          <w:color w:val="4472C4" w:themeColor="accent1"/>
          <w:lang w:val="pl"/>
        </w:rPr>
        <w:t>.</w:t>
      </w:r>
    </w:p>
    <w:p w14:paraId="4BFB00B8" w14:textId="77777777" w:rsidR="00AA3502" w:rsidRPr="009461CC" w:rsidRDefault="00AA3502" w:rsidP="004A2596">
      <w:pPr>
        <w:pStyle w:val="ListParagraph"/>
        <w:numPr>
          <w:ilvl w:val="0"/>
          <w:numId w:val="31"/>
        </w:numPr>
        <w:spacing w:after="0" w:afterAutospacing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pl"/>
        </w:rPr>
        <w:t>Urządzenia nie należy stosować do usuwania osłonki fibrynowej w przypadku ubytków przegrody drożnego otworu owalnego.</w:t>
      </w:r>
    </w:p>
    <w:p w14:paraId="77577945" w14:textId="77777777" w:rsidR="00AA3502" w:rsidRPr="009461CC" w:rsidRDefault="00AA3502" w:rsidP="004A2596">
      <w:pPr>
        <w:pStyle w:val="ListParagraph"/>
        <w:numPr>
          <w:ilvl w:val="0"/>
          <w:numId w:val="31"/>
        </w:numPr>
        <w:spacing w:after="0" w:afterAutospacing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pl"/>
        </w:rPr>
        <w:t>Urządzenie to nie jest przeznaczone do usuwania wszczepionych elektrod stymulujących.</w:t>
      </w:r>
    </w:p>
    <w:p w14:paraId="764D1032" w14:textId="77777777" w:rsidR="00761873" w:rsidRPr="009461CC" w:rsidRDefault="00761873" w:rsidP="00761873">
      <w:pPr>
        <w:pStyle w:val="ListParagraph"/>
        <w:spacing w:after="0" w:afterAutospacing="0"/>
        <w:ind w:left="1440"/>
        <w:rPr>
          <w:rFonts w:cs="Times New Roman"/>
        </w:rPr>
      </w:pPr>
    </w:p>
    <w:p w14:paraId="0A9D601E" w14:textId="53FB771D" w:rsidR="00760400" w:rsidRPr="009461CC" w:rsidRDefault="00D20FA4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12" w:name="_Toc222741586"/>
      <w:r>
        <w:rPr>
          <w:rFonts w:cs="Times New Roman"/>
          <w:bCs/>
          <w:lang w:val="pl"/>
        </w:rPr>
        <w:t>Opis wyrobu</w:t>
      </w:r>
      <w:bookmarkEnd w:id="12"/>
    </w:p>
    <w:p w14:paraId="7115673A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33649869" w14:textId="52085753" w:rsidR="00D20FA4" w:rsidRPr="009461CC" w:rsidRDefault="00D20FA4" w:rsidP="00042B91">
      <w:pPr>
        <w:pStyle w:val="Heading1"/>
        <w:rPr>
          <w:rFonts w:cs="Times New Roman"/>
        </w:rPr>
      </w:pPr>
      <w:bookmarkStart w:id="13" w:name="_Toc222741587"/>
      <w:r>
        <w:rPr>
          <w:rFonts w:cs="Times New Roman"/>
          <w:bCs/>
          <w:lang w:val="pl"/>
        </w:rPr>
        <w:t>Opis urządzenia</w:t>
      </w:r>
      <w:bookmarkEnd w:id="13"/>
      <w:r>
        <w:rPr>
          <w:rFonts w:cs="Times New Roman"/>
          <w:bCs/>
          <w:lang w:val="pl"/>
        </w:rPr>
        <w:t xml:space="preserve"> </w:t>
      </w:r>
    </w:p>
    <w:p w14:paraId="3DAFEC6E" w14:textId="63D1DC74" w:rsidR="00994DB9" w:rsidRPr="006D72CB" w:rsidRDefault="00994DB9" w:rsidP="00994DB9">
      <w:pPr>
        <w:rPr>
          <w:rFonts w:cs="Times New Roman"/>
          <w:lang w:val="pl"/>
        </w:rPr>
      </w:pPr>
      <w:bookmarkStart w:id="14" w:name="_Hlk169187630"/>
      <w:r>
        <w:rPr>
          <w:rFonts w:cs="Times New Roman"/>
          <w:lang w:val="pl"/>
        </w:rPr>
        <w:t xml:space="preserve">Zestaw </w:t>
      </w:r>
      <w:r w:rsidR="006D7F85">
        <w:rPr>
          <w:rFonts w:cs="Times New Roman"/>
          <w:lang w:val="pl"/>
        </w:rPr>
        <w:t xml:space="preserve">Snare </w:t>
      </w:r>
      <w:r>
        <w:rPr>
          <w:rFonts w:cs="Times New Roman"/>
          <w:lang w:val="pl"/>
        </w:rPr>
        <w:t>naczyniowej Atrieve™ składa się z urządzenia pętli z trzema wstępnie uformowanymi pętlami wykonanymi z superelastycznego nitinolu i platyny. Pętle nie są przeplatane i mogą się przesuwać względem siebie. Pętle urządzenia pętli można wprowadzić do cewnika doprowadzającego bez ryzyka trwałego zniekształcenia urządzenia. Zestaw</w:t>
      </w:r>
      <w:r w:rsidR="006D7F85">
        <w:rPr>
          <w:rFonts w:cs="Times New Roman"/>
          <w:lang w:val="pl"/>
        </w:rPr>
        <w:t xml:space="preserve"> Snare</w:t>
      </w:r>
      <w:r>
        <w:rPr>
          <w:rFonts w:cs="Times New Roman"/>
          <w:lang w:val="pl"/>
        </w:rPr>
        <w:t xml:space="preserve"> naczyniowej Atrieve zawiera również cewnik doprowadzający, uchwyt dynamometryczny i prowadnik. Cewnik doprowadzający ma na końcu dystalnym opaskę radiocieniującą. Produkt jest zapakowany w ochronne opakowanie pierścieniowe. Urządzenie przeznaczone jest do jednorazowego użytku i dostarczane jest w stanie sterylnym (tlenek etylenu) i gotowe do użycia.</w:t>
      </w:r>
    </w:p>
    <w:p w14:paraId="210E0750" w14:textId="43652DD0" w:rsidR="00994DB9" w:rsidRPr="006D72CB" w:rsidRDefault="00994DB9" w:rsidP="00994DB9">
      <w:pPr>
        <w:rPr>
          <w:rFonts w:cs="Times New Roman"/>
          <w:lang w:val="pl"/>
        </w:rPr>
      </w:pPr>
      <w:r>
        <w:rPr>
          <w:rFonts w:cs="Times New Roman"/>
          <w:lang w:val="pl"/>
        </w:rPr>
        <w:t xml:space="preserve">Zestaw </w:t>
      </w:r>
      <w:r w:rsidR="006D7F85">
        <w:rPr>
          <w:rFonts w:cs="Times New Roman"/>
          <w:lang w:val="pl"/>
        </w:rPr>
        <w:t xml:space="preserve">Snare </w:t>
      </w:r>
      <w:r>
        <w:rPr>
          <w:rFonts w:cs="Times New Roman"/>
          <w:lang w:val="pl"/>
        </w:rPr>
        <w:t>naczyniowej Atrieve™ jest dostępny w następujących rozmiarach: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4"/>
        <w:gridCol w:w="2658"/>
        <w:gridCol w:w="2343"/>
        <w:gridCol w:w="2605"/>
      </w:tblGrid>
      <w:tr w:rsidR="00994DB9" w:rsidRPr="009461CC" w14:paraId="5ADE64F6" w14:textId="77777777" w:rsidTr="0022766F">
        <w:tc>
          <w:tcPr>
            <w:tcW w:w="1354" w:type="pct"/>
          </w:tcPr>
          <w:p w14:paraId="323B494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Zakres średnicy pętli</w:t>
            </w:r>
          </w:p>
        </w:tc>
        <w:tc>
          <w:tcPr>
            <w:tcW w:w="1274" w:type="pct"/>
          </w:tcPr>
          <w:p w14:paraId="2775F724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Długość pętli</w:t>
            </w:r>
          </w:p>
        </w:tc>
        <w:tc>
          <w:tcPr>
            <w:tcW w:w="1123" w:type="pct"/>
          </w:tcPr>
          <w:p w14:paraId="7396E037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Rozmiar końcówki doprowadzającej</w:t>
            </w:r>
          </w:p>
        </w:tc>
        <w:tc>
          <w:tcPr>
            <w:tcW w:w="1250" w:type="pct"/>
          </w:tcPr>
          <w:p w14:paraId="7E248A66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Długość cewnika</w:t>
            </w:r>
          </w:p>
        </w:tc>
      </w:tr>
      <w:tr w:rsidR="00994DB9" w:rsidRPr="009461CC" w14:paraId="41F89C56" w14:textId="77777777" w:rsidTr="0022766F">
        <w:tc>
          <w:tcPr>
            <w:tcW w:w="1354" w:type="pct"/>
          </w:tcPr>
          <w:p w14:paraId="20D41F97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2-4 mm</w:t>
            </w:r>
          </w:p>
        </w:tc>
        <w:tc>
          <w:tcPr>
            <w:tcW w:w="1274" w:type="pct"/>
          </w:tcPr>
          <w:p w14:paraId="04CC9EC1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175 cm</w:t>
            </w:r>
          </w:p>
        </w:tc>
        <w:tc>
          <w:tcPr>
            <w:tcW w:w="1123" w:type="pct"/>
          </w:tcPr>
          <w:p w14:paraId="38F2FCC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3,2 F</w:t>
            </w:r>
          </w:p>
        </w:tc>
        <w:tc>
          <w:tcPr>
            <w:tcW w:w="1250" w:type="pct"/>
          </w:tcPr>
          <w:p w14:paraId="5CD712C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150 cm</w:t>
            </w:r>
          </w:p>
        </w:tc>
      </w:tr>
      <w:tr w:rsidR="00994DB9" w:rsidRPr="009461CC" w14:paraId="5428D0A0" w14:textId="77777777" w:rsidTr="0022766F">
        <w:tc>
          <w:tcPr>
            <w:tcW w:w="1354" w:type="pct"/>
          </w:tcPr>
          <w:p w14:paraId="7992579F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4-8 mm</w:t>
            </w:r>
          </w:p>
        </w:tc>
        <w:tc>
          <w:tcPr>
            <w:tcW w:w="1274" w:type="pct"/>
          </w:tcPr>
          <w:p w14:paraId="7E385A6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175 cm</w:t>
            </w:r>
          </w:p>
        </w:tc>
        <w:tc>
          <w:tcPr>
            <w:tcW w:w="1123" w:type="pct"/>
          </w:tcPr>
          <w:p w14:paraId="52F22EE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3,2 F</w:t>
            </w:r>
          </w:p>
        </w:tc>
        <w:tc>
          <w:tcPr>
            <w:tcW w:w="1250" w:type="pct"/>
          </w:tcPr>
          <w:p w14:paraId="2FFE91B6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150 cm</w:t>
            </w:r>
          </w:p>
        </w:tc>
      </w:tr>
      <w:tr w:rsidR="00994DB9" w:rsidRPr="009461CC" w14:paraId="1CBE6E3D" w14:textId="77777777" w:rsidTr="0022766F">
        <w:tc>
          <w:tcPr>
            <w:tcW w:w="1354" w:type="pct"/>
          </w:tcPr>
          <w:p w14:paraId="3CD87E57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lastRenderedPageBreak/>
              <w:t>6-10 mm</w:t>
            </w:r>
          </w:p>
        </w:tc>
        <w:tc>
          <w:tcPr>
            <w:tcW w:w="1274" w:type="pct"/>
          </w:tcPr>
          <w:p w14:paraId="58739EE1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120 cm</w:t>
            </w:r>
          </w:p>
        </w:tc>
        <w:tc>
          <w:tcPr>
            <w:tcW w:w="1123" w:type="pct"/>
          </w:tcPr>
          <w:p w14:paraId="66A2FE52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6 F</w:t>
            </w:r>
          </w:p>
        </w:tc>
        <w:tc>
          <w:tcPr>
            <w:tcW w:w="1250" w:type="pct"/>
          </w:tcPr>
          <w:p w14:paraId="16036ECD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100 cm</w:t>
            </w:r>
          </w:p>
        </w:tc>
      </w:tr>
      <w:tr w:rsidR="00994DB9" w:rsidRPr="009461CC" w14:paraId="7137F3A0" w14:textId="77777777" w:rsidTr="0022766F">
        <w:tc>
          <w:tcPr>
            <w:tcW w:w="1354" w:type="pct"/>
          </w:tcPr>
          <w:p w14:paraId="5097E3BD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9-15 mm</w:t>
            </w:r>
          </w:p>
        </w:tc>
        <w:tc>
          <w:tcPr>
            <w:tcW w:w="1274" w:type="pct"/>
          </w:tcPr>
          <w:p w14:paraId="6E08B1BC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120 cm</w:t>
            </w:r>
          </w:p>
        </w:tc>
        <w:tc>
          <w:tcPr>
            <w:tcW w:w="1123" w:type="pct"/>
          </w:tcPr>
          <w:p w14:paraId="5E975E9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6 F</w:t>
            </w:r>
          </w:p>
        </w:tc>
        <w:tc>
          <w:tcPr>
            <w:tcW w:w="1250" w:type="pct"/>
          </w:tcPr>
          <w:p w14:paraId="7015039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100 cm</w:t>
            </w:r>
          </w:p>
        </w:tc>
      </w:tr>
      <w:tr w:rsidR="00994DB9" w:rsidRPr="009461CC" w14:paraId="6873E431" w14:textId="77777777" w:rsidTr="0022766F">
        <w:tc>
          <w:tcPr>
            <w:tcW w:w="1354" w:type="pct"/>
          </w:tcPr>
          <w:p w14:paraId="0A8A2276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12-20 mm</w:t>
            </w:r>
          </w:p>
        </w:tc>
        <w:tc>
          <w:tcPr>
            <w:tcW w:w="1274" w:type="pct"/>
          </w:tcPr>
          <w:p w14:paraId="7058BA8B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120 cm</w:t>
            </w:r>
          </w:p>
        </w:tc>
        <w:tc>
          <w:tcPr>
            <w:tcW w:w="1123" w:type="pct"/>
          </w:tcPr>
          <w:p w14:paraId="16F950BF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6 F</w:t>
            </w:r>
          </w:p>
        </w:tc>
        <w:tc>
          <w:tcPr>
            <w:tcW w:w="1250" w:type="pct"/>
          </w:tcPr>
          <w:p w14:paraId="759B78BD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100 cm</w:t>
            </w:r>
          </w:p>
        </w:tc>
      </w:tr>
      <w:tr w:rsidR="00994DB9" w:rsidRPr="009461CC" w14:paraId="52111BAB" w14:textId="77777777" w:rsidTr="0022766F">
        <w:tc>
          <w:tcPr>
            <w:tcW w:w="1354" w:type="pct"/>
          </w:tcPr>
          <w:p w14:paraId="41061D9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18-30 mm</w:t>
            </w:r>
          </w:p>
        </w:tc>
        <w:tc>
          <w:tcPr>
            <w:tcW w:w="1274" w:type="pct"/>
          </w:tcPr>
          <w:p w14:paraId="22AB0CD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120 cm</w:t>
            </w:r>
          </w:p>
        </w:tc>
        <w:tc>
          <w:tcPr>
            <w:tcW w:w="1123" w:type="pct"/>
          </w:tcPr>
          <w:p w14:paraId="17196BA8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7 F</w:t>
            </w:r>
          </w:p>
        </w:tc>
        <w:tc>
          <w:tcPr>
            <w:tcW w:w="1250" w:type="pct"/>
          </w:tcPr>
          <w:p w14:paraId="4543B8B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100 cm</w:t>
            </w:r>
          </w:p>
        </w:tc>
      </w:tr>
      <w:tr w:rsidR="00994DB9" w:rsidRPr="009461CC" w14:paraId="3F7A77C7" w14:textId="77777777" w:rsidTr="0022766F">
        <w:tc>
          <w:tcPr>
            <w:tcW w:w="1354" w:type="pct"/>
          </w:tcPr>
          <w:p w14:paraId="755F3FE4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27-45 mm</w:t>
            </w:r>
          </w:p>
        </w:tc>
        <w:tc>
          <w:tcPr>
            <w:tcW w:w="1274" w:type="pct"/>
          </w:tcPr>
          <w:p w14:paraId="622306B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120 cm</w:t>
            </w:r>
          </w:p>
        </w:tc>
        <w:tc>
          <w:tcPr>
            <w:tcW w:w="1123" w:type="pct"/>
          </w:tcPr>
          <w:p w14:paraId="74C46753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7 F</w:t>
            </w:r>
          </w:p>
        </w:tc>
        <w:tc>
          <w:tcPr>
            <w:tcW w:w="1250" w:type="pct"/>
          </w:tcPr>
          <w:p w14:paraId="2DBCCFB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pl"/>
              </w:rPr>
              <w:t>100 cm</w:t>
            </w:r>
          </w:p>
        </w:tc>
      </w:tr>
    </w:tbl>
    <w:p w14:paraId="5D27461E" w14:textId="77777777" w:rsidR="000F4DF1" w:rsidRPr="009461CC" w:rsidRDefault="000F4DF1" w:rsidP="00994DB9">
      <w:pPr>
        <w:rPr>
          <w:rFonts w:cs="Times New Roman"/>
        </w:rPr>
      </w:pPr>
    </w:p>
    <w:p w14:paraId="4C7769AE" w14:textId="77777777" w:rsidR="00D20FA4" w:rsidRPr="009461CC" w:rsidRDefault="00D20FA4" w:rsidP="00042B91">
      <w:pPr>
        <w:pStyle w:val="Heading1"/>
        <w:rPr>
          <w:rFonts w:cs="Times New Roman"/>
        </w:rPr>
      </w:pPr>
      <w:bookmarkStart w:id="15" w:name="_Toc222741588"/>
      <w:bookmarkEnd w:id="14"/>
      <w:r>
        <w:rPr>
          <w:rFonts w:cs="Times New Roman"/>
          <w:bCs/>
          <w:lang w:val="pl"/>
        </w:rPr>
        <w:t>Poprzednie wersje i różnice między nimi</w:t>
      </w:r>
      <w:bookmarkEnd w:id="15"/>
    </w:p>
    <w:p w14:paraId="060329F5" w14:textId="3AA8BB73" w:rsidR="00042B91" w:rsidRPr="006D72CB" w:rsidRDefault="009D7E33" w:rsidP="007B0F04">
      <w:pPr>
        <w:ind w:left="792"/>
        <w:rPr>
          <w:rFonts w:cs="Times New Roman"/>
          <w:lang w:val="it-IT"/>
        </w:rPr>
      </w:pPr>
      <w:r>
        <w:rPr>
          <w:rFonts w:cs="Times New Roman"/>
          <w:lang w:val="pl"/>
        </w:rPr>
        <w:t>Ta sekcja nie ma zastosowania (N/A).</w:t>
      </w:r>
    </w:p>
    <w:p w14:paraId="26363C05" w14:textId="77777777" w:rsidR="00760400" w:rsidRPr="006D72CB" w:rsidRDefault="00760400" w:rsidP="00042B91">
      <w:pPr>
        <w:pStyle w:val="Heading1"/>
        <w:rPr>
          <w:rFonts w:cs="Times New Roman"/>
          <w:lang w:val="it-IT"/>
        </w:rPr>
      </w:pPr>
      <w:bookmarkStart w:id="16" w:name="_Toc222741589"/>
      <w:r>
        <w:rPr>
          <w:rFonts w:cs="Times New Roman"/>
          <w:bCs/>
          <w:lang w:val="pl"/>
        </w:rPr>
        <w:t>Akcesoria, kompatybilne urządzenia i inne produkty używane w połączeniu</w:t>
      </w:r>
      <w:bookmarkEnd w:id="16"/>
    </w:p>
    <w:p w14:paraId="21F32064" w14:textId="1C156DEB" w:rsidR="00C02BC0" w:rsidRPr="006D72CB" w:rsidRDefault="00C02BC0" w:rsidP="007B0F04">
      <w:pPr>
        <w:spacing w:after="0" w:afterAutospacing="0"/>
        <w:ind w:left="792"/>
        <w:rPr>
          <w:rFonts w:cs="Times New Roman"/>
          <w:lang w:val="it-IT"/>
        </w:rPr>
      </w:pPr>
      <w:r>
        <w:rPr>
          <w:rFonts w:cs="Times New Roman"/>
          <w:lang w:val="pl"/>
        </w:rPr>
        <w:t>Akcesoria zestawu pętli naczyniowej Atrieve obejmują cewnik doprowadzający, prowadnik i uchwyt dynamometryczny (ścisk igłowy).</w:t>
      </w:r>
    </w:p>
    <w:p w14:paraId="17CCC4B6" w14:textId="77777777" w:rsidR="00042B91" w:rsidRPr="006D72CB" w:rsidRDefault="00042B91" w:rsidP="00042B91">
      <w:pPr>
        <w:spacing w:after="0" w:afterAutospacing="0" w:line="240" w:lineRule="auto"/>
        <w:rPr>
          <w:rFonts w:cs="Times New Roman"/>
          <w:i/>
          <w:color w:val="FF0000"/>
          <w:lang w:val="it-IT"/>
        </w:rPr>
      </w:pPr>
    </w:p>
    <w:p w14:paraId="45C0A245" w14:textId="61A622A4" w:rsidR="008745ED" w:rsidRPr="009461CC" w:rsidRDefault="008745ED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17" w:name="_Toc222741590"/>
      <w:r>
        <w:rPr>
          <w:rFonts w:cs="Times New Roman"/>
          <w:bCs/>
          <w:lang w:val="pl"/>
        </w:rPr>
        <w:t>Zagrożenia i ostrzeżenia</w:t>
      </w:r>
      <w:bookmarkEnd w:id="17"/>
    </w:p>
    <w:p w14:paraId="3D8BE6E3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04F70349" w14:textId="6FD2DA8D" w:rsidR="008745ED" w:rsidRPr="009461CC" w:rsidRDefault="008745ED" w:rsidP="00042B91">
      <w:pPr>
        <w:pStyle w:val="Heading1"/>
        <w:rPr>
          <w:rFonts w:cs="Times New Roman"/>
        </w:rPr>
      </w:pPr>
      <w:bookmarkStart w:id="18" w:name="_Toc222741591"/>
      <w:r>
        <w:rPr>
          <w:rFonts w:cs="Times New Roman"/>
          <w:bCs/>
          <w:lang w:val="pl"/>
        </w:rPr>
        <w:t>Pozostałe zagrożenia i niepożądane skutki uboczne</w:t>
      </w:r>
      <w:bookmarkEnd w:id="18"/>
    </w:p>
    <w:p w14:paraId="2F64097C" w14:textId="607FF4A5" w:rsidR="00D15BBE" w:rsidRPr="009461CC" w:rsidRDefault="00C64987" w:rsidP="008D7F1C">
      <w:pPr>
        <w:ind w:left="792"/>
        <w:rPr>
          <w:rFonts w:cs="Times New Roman"/>
        </w:rPr>
      </w:pPr>
      <w:r>
        <w:rPr>
          <w:rFonts w:cs="Times New Roman"/>
          <w:lang w:val="pl"/>
        </w:rPr>
        <w:t xml:space="preserve">Na podstawie RMR-0011 Rev H ustalono następującą charakterystykę ryzyka i korzyści dotyczących produktu: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086"/>
        <w:gridCol w:w="2416"/>
        <w:gridCol w:w="3555"/>
      </w:tblGrid>
      <w:tr w:rsidR="00453251" w:rsidRPr="009461CC" w14:paraId="15FC12E9" w14:textId="77777777" w:rsidTr="00453251">
        <w:trPr>
          <w:trHeight w:val="620"/>
        </w:trPr>
        <w:tc>
          <w:tcPr>
            <w:tcW w:w="1138" w:type="pct"/>
            <w:shd w:val="clear" w:color="auto" w:fill="BFBFBF"/>
            <w:vAlign w:val="center"/>
          </w:tcPr>
          <w:p w14:paraId="024816D8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"/>
              </w:rPr>
              <w:t>Wynik</w:t>
            </w:r>
            <w:bookmarkStart w:id="19" w:name="_Toc86391902"/>
            <w:bookmarkEnd w:id="19"/>
          </w:p>
        </w:tc>
        <w:tc>
          <w:tcPr>
            <w:tcW w:w="1000" w:type="pct"/>
            <w:shd w:val="clear" w:color="auto" w:fill="BFBFBF"/>
          </w:tcPr>
          <w:p w14:paraId="22A108AE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"/>
              </w:rPr>
              <w:t>SOA</w:t>
            </w:r>
            <w:r>
              <w:rPr>
                <w:rFonts w:ascii="Times New Roman" w:hAnsi="Times New Roman" w:cs="Times New Roman"/>
                <w:lang w:val="pl"/>
              </w:rPr>
              <w:br/>
              <w:t>Asortyment ogółem</w:t>
            </w:r>
          </w:p>
        </w:tc>
        <w:tc>
          <w:tcPr>
            <w:tcW w:w="1158" w:type="pct"/>
            <w:shd w:val="clear" w:color="auto" w:fill="BFBFBF"/>
            <w:vAlign w:val="center"/>
          </w:tcPr>
          <w:p w14:paraId="16D6B523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"/>
              </w:rPr>
              <w:t>Urządzenie konkurencyjne</w:t>
            </w:r>
          </w:p>
          <w:p w14:paraId="45EFB37E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"/>
              </w:rPr>
              <w:t>Asortyment ogółem</w:t>
            </w:r>
            <w:bookmarkStart w:id="20" w:name="_Toc86391905"/>
            <w:bookmarkEnd w:id="20"/>
          </w:p>
        </w:tc>
        <w:tc>
          <w:tcPr>
            <w:tcW w:w="1704" w:type="pct"/>
            <w:shd w:val="clear" w:color="auto" w:fill="BFBFBF"/>
            <w:vAlign w:val="center"/>
          </w:tcPr>
          <w:p w14:paraId="17C5AFF5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"/>
              </w:rPr>
              <w:t>Kryteria akceptacji</w:t>
            </w:r>
            <w:bookmarkStart w:id="21" w:name="_Toc86391906"/>
            <w:bookmarkEnd w:id="21"/>
          </w:p>
        </w:tc>
        <w:bookmarkStart w:id="22" w:name="_Toc86391907"/>
        <w:bookmarkEnd w:id="22"/>
      </w:tr>
      <w:tr w:rsidR="00453251" w:rsidRPr="009461CC" w14:paraId="5B41AE2D" w14:textId="77777777" w:rsidTr="00453251">
        <w:tc>
          <w:tcPr>
            <w:tcW w:w="5000" w:type="pct"/>
            <w:gridSpan w:val="4"/>
            <w:shd w:val="clear" w:color="auto" w:fill="D9D9D9"/>
          </w:tcPr>
          <w:p w14:paraId="026E445F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 w:val="0"/>
                <w:lang w:val="pl"/>
              </w:rPr>
              <w:t>Bezpieczeństwo</w:t>
            </w:r>
          </w:p>
        </w:tc>
      </w:tr>
      <w:tr w:rsidR="00453251" w:rsidRPr="009461CC" w14:paraId="2ECEC40D" w14:textId="77777777" w:rsidTr="00453251">
        <w:tc>
          <w:tcPr>
            <w:tcW w:w="1138" w:type="pct"/>
          </w:tcPr>
          <w:p w14:paraId="01C3E100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pl"/>
              </w:rPr>
              <w:t>krwawienie;</w:t>
            </w:r>
            <w:bookmarkStart w:id="23" w:name="_Toc86391910"/>
            <w:bookmarkEnd w:id="23"/>
          </w:p>
        </w:tc>
        <w:tc>
          <w:tcPr>
            <w:tcW w:w="1000" w:type="pct"/>
            <w:vAlign w:val="center"/>
          </w:tcPr>
          <w:p w14:paraId="529B6FA7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pl"/>
              </w:rPr>
              <w:t>0-3%</w:t>
            </w:r>
          </w:p>
        </w:tc>
        <w:tc>
          <w:tcPr>
            <w:tcW w:w="1158" w:type="pct"/>
            <w:vAlign w:val="center"/>
          </w:tcPr>
          <w:p w14:paraId="30172B6B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24" w:name="_Toc86391913"/>
            <w:bookmarkStart w:id="25" w:name="_Toc86391911"/>
            <w:bookmarkEnd w:id="24"/>
            <w:bookmarkEnd w:id="25"/>
            <w:r>
              <w:rPr>
                <w:rFonts w:ascii="Times New Roman" w:hAnsi="Times New Roman" w:cs="Times New Roman"/>
                <w:iCs w:val="0"/>
                <w:lang w:val="pl"/>
              </w:rPr>
              <w:t>0-0,6%</w:t>
            </w:r>
          </w:p>
        </w:tc>
        <w:tc>
          <w:tcPr>
            <w:tcW w:w="1704" w:type="pct"/>
            <w:vAlign w:val="center"/>
          </w:tcPr>
          <w:p w14:paraId="03E978DF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26" w:name="_Toc86391914"/>
            <w:bookmarkEnd w:id="26"/>
            <w:r>
              <w:rPr>
                <w:rFonts w:ascii="Times New Roman" w:hAnsi="Times New Roman" w:cs="Times New Roman"/>
                <w:iCs w:val="0"/>
                <w:lang w:val="pl"/>
              </w:rPr>
              <w:t xml:space="preserve">Częstość krwawień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pl"/>
              </w:rPr>
              <w:t>mniejsza niż 3%</w:t>
            </w:r>
          </w:p>
        </w:tc>
        <w:bookmarkStart w:id="27" w:name="_Toc86391915"/>
        <w:bookmarkEnd w:id="27"/>
      </w:tr>
      <w:tr w:rsidR="00453251" w:rsidRPr="009461CC" w14:paraId="770200CA" w14:textId="77777777" w:rsidTr="00453251">
        <w:tc>
          <w:tcPr>
            <w:tcW w:w="1138" w:type="pct"/>
          </w:tcPr>
          <w:p w14:paraId="4D43F3AC" w14:textId="77777777" w:rsidR="00453251" w:rsidRPr="009461CC" w:rsidRDefault="00453251" w:rsidP="00AC7398">
            <w:pPr>
              <w:pStyle w:val="TableTextLeft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pl"/>
              </w:rPr>
              <w:t>Perforacja/uszkodzenie tkanki</w:t>
            </w:r>
            <w:bookmarkStart w:id="28" w:name="_Toc86391916"/>
            <w:bookmarkEnd w:id="28"/>
          </w:p>
        </w:tc>
        <w:tc>
          <w:tcPr>
            <w:tcW w:w="1000" w:type="pct"/>
            <w:vAlign w:val="center"/>
          </w:tcPr>
          <w:p w14:paraId="42E7FC3B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pl"/>
              </w:rPr>
              <w:t>0-1,7%</w:t>
            </w:r>
          </w:p>
        </w:tc>
        <w:tc>
          <w:tcPr>
            <w:tcW w:w="1158" w:type="pct"/>
            <w:vAlign w:val="center"/>
          </w:tcPr>
          <w:p w14:paraId="58C428BE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29" w:name="_Toc86391919"/>
            <w:bookmarkStart w:id="30" w:name="_Toc86391917"/>
            <w:bookmarkEnd w:id="29"/>
            <w:bookmarkEnd w:id="30"/>
            <w:r>
              <w:rPr>
                <w:rFonts w:ascii="Times New Roman" w:hAnsi="Times New Roman" w:cs="Times New Roman"/>
                <w:iCs w:val="0"/>
                <w:lang w:val="pl"/>
              </w:rPr>
              <w:t>0-4,0%</w:t>
            </w:r>
          </w:p>
        </w:tc>
        <w:tc>
          <w:tcPr>
            <w:tcW w:w="1704" w:type="pct"/>
            <w:vAlign w:val="center"/>
          </w:tcPr>
          <w:p w14:paraId="785BDB89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31" w:name="_Toc86391920"/>
            <w:bookmarkEnd w:id="31"/>
            <w:r>
              <w:rPr>
                <w:rFonts w:ascii="Times New Roman" w:hAnsi="Times New Roman" w:cs="Times New Roman"/>
                <w:iCs w:val="0"/>
                <w:lang w:val="pl"/>
              </w:rPr>
              <w:t xml:space="preserve">Wskaźnik perforacji/uszkodzeń tkanek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pl"/>
              </w:rPr>
              <w:t>poniżej 4%</w:t>
            </w:r>
          </w:p>
        </w:tc>
        <w:bookmarkStart w:id="32" w:name="_Toc86391921"/>
        <w:bookmarkEnd w:id="32"/>
      </w:tr>
      <w:tr w:rsidR="00453251" w:rsidRPr="009461CC" w14:paraId="3D17E0CA" w14:textId="77777777" w:rsidTr="00453251">
        <w:tc>
          <w:tcPr>
            <w:tcW w:w="1138" w:type="pct"/>
          </w:tcPr>
          <w:p w14:paraId="22E5467D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pl"/>
              </w:rPr>
              <w:t>Zator powietrzny</w:t>
            </w:r>
            <w:bookmarkStart w:id="33" w:name="_Toc86391922"/>
            <w:bookmarkEnd w:id="33"/>
          </w:p>
        </w:tc>
        <w:tc>
          <w:tcPr>
            <w:tcW w:w="1000" w:type="pct"/>
            <w:vAlign w:val="center"/>
          </w:tcPr>
          <w:p w14:paraId="50CDDBB0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pl"/>
              </w:rPr>
              <w:t>0 - 2,1%</w:t>
            </w:r>
          </w:p>
        </w:tc>
        <w:tc>
          <w:tcPr>
            <w:tcW w:w="1158" w:type="pct"/>
            <w:vAlign w:val="center"/>
          </w:tcPr>
          <w:p w14:paraId="0471C436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34" w:name="_Toc86391925"/>
            <w:bookmarkStart w:id="35" w:name="_Toc86391923"/>
            <w:bookmarkEnd w:id="34"/>
            <w:bookmarkEnd w:id="35"/>
            <w:r>
              <w:rPr>
                <w:rFonts w:ascii="Times New Roman" w:hAnsi="Times New Roman" w:cs="Times New Roman"/>
                <w:iCs w:val="0"/>
                <w:lang w:val="pl"/>
              </w:rPr>
              <w:t>0-0,6%</w:t>
            </w:r>
          </w:p>
        </w:tc>
        <w:tc>
          <w:tcPr>
            <w:tcW w:w="1704" w:type="pct"/>
            <w:vAlign w:val="center"/>
          </w:tcPr>
          <w:p w14:paraId="1B80F3DB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36" w:name="_Toc86391926"/>
            <w:bookmarkEnd w:id="36"/>
            <w:r>
              <w:rPr>
                <w:rFonts w:ascii="Times New Roman" w:hAnsi="Times New Roman" w:cs="Times New Roman"/>
                <w:iCs w:val="0"/>
                <w:lang w:val="pl"/>
              </w:rPr>
              <w:t xml:space="preserve">Zatorowość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pl"/>
              </w:rPr>
              <w:t>mniejsza niż 2,1%</w:t>
            </w:r>
          </w:p>
        </w:tc>
        <w:bookmarkStart w:id="37" w:name="_Toc86391927"/>
        <w:bookmarkEnd w:id="37"/>
      </w:tr>
      <w:tr w:rsidR="00453251" w:rsidRPr="009461CC" w14:paraId="33FEDA6C" w14:textId="77777777" w:rsidTr="00453251">
        <w:tc>
          <w:tcPr>
            <w:tcW w:w="1138" w:type="pct"/>
          </w:tcPr>
          <w:p w14:paraId="5817831E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pl"/>
              </w:rPr>
              <w:t>Infekcje</w:t>
            </w:r>
            <w:bookmarkStart w:id="38" w:name="_Toc86391928"/>
            <w:bookmarkEnd w:id="38"/>
          </w:p>
        </w:tc>
        <w:tc>
          <w:tcPr>
            <w:tcW w:w="1000" w:type="pct"/>
            <w:vAlign w:val="center"/>
          </w:tcPr>
          <w:p w14:paraId="190DF8A8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pl"/>
              </w:rPr>
              <w:t>0%</w:t>
            </w:r>
          </w:p>
        </w:tc>
        <w:tc>
          <w:tcPr>
            <w:tcW w:w="1158" w:type="pct"/>
            <w:vAlign w:val="center"/>
          </w:tcPr>
          <w:p w14:paraId="480907F1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39" w:name="_Toc86391931"/>
            <w:bookmarkStart w:id="40" w:name="_Toc86391929"/>
            <w:bookmarkEnd w:id="39"/>
            <w:bookmarkEnd w:id="40"/>
            <w:r>
              <w:rPr>
                <w:rFonts w:ascii="Times New Roman" w:hAnsi="Times New Roman" w:cs="Times New Roman"/>
                <w:iCs w:val="0"/>
                <w:lang w:val="pl"/>
              </w:rPr>
              <w:t>0%</w:t>
            </w:r>
          </w:p>
        </w:tc>
        <w:tc>
          <w:tcPr>
            <w:tcW w:w="1704" w:type="pct"/>
            <w:vAlign w:val="center"/>
          </w:tcPr>
          <w:p w14:paraId="1D828A42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41" w:name="_Toc86391932"/>
            <w:bookmarkEnd w:id="41"/>
            <w:r>
              <w:rPr>
                <w:rFonts w:ascii="Times New Roman" w:hAnsi="Times New Roman" w:cs="Times New Roman"/>
                <w:iCs w:val="0"/>
                <w:lang w:val="pl"/>
              </w:rPr>
              <w:t xml:space="preserve">Wskaźnik infekcji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pl"/>
              </w:rPr>
              <w:t>poniżej 0%</w:t>
            </w:r>
          </w:p>
        </w:tc>
        <w:bookmarkStart w:id="42" w:name="_Toc86391933"/>
        <w:bookmarkEnd w:id="42"/>
      </w:tr>
      <w:tr w:rsidR="00453251" w:rsidRPr="009461CC" w14:paraId="00F9D43C" w14:textId="77777777" w:rsidTr="00453251">
        <w:tc>
          <w:tcPr>
            <w:tcW w:w="1138" w:type="pct"/>
          </w:tcPr>
          <w:p w14:paraId="530E2FE9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pl"/>
              </w:rPr>
              <w:t>Reakcje alergiczne;</w:t>
            </w:r>
            <w:bookmarkStart w:id="43" w:name="_Toc86391934"/>
            <w:bookmarkEnd w:id="43"/>
          </w:p>
        </w:tc>
        <w:tc>
          <w:tcPr>
            <w:tcW w:w="1000" w:type="pct"/>
            <w:vAlign w:val="center"/>
          </w:tcPr>
          <w:p w14:paraId="6250CCD8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pl"/>
              </w:rPr>
              <w:t>0%</w:t>
            </w:r>
          </w:p>
        </w:tc>
        <w:tc>
          <w:tcPr>
            <w:tcW w:w="1158" w:type="pct"/>
            <w:vAlign w:val="center"/>
          </w:tcPr>
          <w:p w14:paraId="50CF5415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44" w:name="_Toc86391937"/>
            <w:bookmarkStart w:id="45" w:name="_Toc86391935"/>
            <w:bookmarkEnd w:id="44"/>
            <w:bookmarkEnd w:id="45"/>
            <w:r>
              <w:rPr>
                <w:rFonts w:ascii="Times New Roman" w:hAnsi="Times New Roman" w:cs="Times New Roman"/>
                <w:iCs w:val="0"/>
                <w:lang w:val="pl"/>
              </w:rPr>
              <w:t>0%</w:t>
            </w:r>
          </w:p>
        </w:tc>
        <w:tc>
          <w:tcPr>
            <w:tcW w:w="1704" w:type="pct"/>
            <w:vAlign w:val="center"/>
          </w:tcPr>
          <w:p w14:paraId="3CD98CC2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46" w:name="_Toc86391938"/>
            <w:bookmarkEnd w:id="46"/>
            <w:r>
              <w:rPr>
                <w:rFonts w:ascii="Times New Roman" w:hAnsi="Times New Roman" w:cs="Times New Roman"/>
                <w:iCs w:val="0"/>
                <w:lang w:val="pl"/>
              </w:rPr>
              <w:t xml:space="preserve">Reakcje alergiczne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pl"/>
              </w:rPr>
              <w:t>poniżej 0%</w:t>
            </w:r>
          </w:p>
        </w:tc>
        <w:bookmarkStart w:id="47" w:name="_Toc86391939"/>
        <w:bookmarkEnd w:id="47"/>
      </w:tr>
      <w:tr w:rsidR="00453251" w:rsidRPr="009461CC" w14:paraId="027FF060" w14:textId="77777777" w:rsidTr="00453251">
        <w:trPr>
          <w:trHeight w:val="197"/>
        </w:trPr>
        <w:tc>
          <w:tcPr>
            <w:tcW w:w="1138" w:type="pct"/>
          </w:tcPr>
          <w:p w14:paraId="0B4FA88A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pl"/>
              </w:rPr>
              <w:t>Ból</w:t>
            </w:r>
            <w:bookmarkStart w:id="48" w:name="_Toc86391940"/>
            <w:bookmarkEnd w:id="48"/>
          </w:p>
        </w:tc>
        <w:tc>
          <w:tcPr>
            <w:tcW w:w="1000" w:type="pct"/>
            <w:vAlign w:val="center"/>
          </w:tcPr>
          <w:p w14:paraId="0A016617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pl"/>
              </w:rPr>
              <w:t>0%</w:t>
            </w:r>
          </w:p>
        </w:tc>
        <w:tc>
          <w:tcPr>
            <w:tcW w:w="1158" w:type="pct"/>
            <w:vAlign w:val="center"/>
          </w:tcPr>
          <w:p w14:paraId="72B648EC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49" w:name="_Toc86391943"/>
            <w:bookmarkStart w:id="50" w:name="_Toc86391941"/>
            <w:bookmarkEnd w:id="49"/>
            <w:bookmarkEnd w:id="50"/>
            <w:r>
              <w:rPr>
                <w:rFonts w:ascii="Times New Roman" w:hAnsi="Times New Roman" w:cs="Times New Roman"/>
                <w:iCs w:val="0"/>
                <w:lang w:val="pl"/>
              </w:rPr>
              <w:t>0%</w:t>
            </w:r>
          </w:p>
        </w:tc>
        <w:tc>
          <w:tcPr>
            <w:tcW w:w="1704" w:type="pct"/>
            <w:vAlign w:val="center"/>
          </w:tcPr>
          <w:p w14:paraId="56186FA5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51" w:name="_Toc86391944"/>
            <w:bookmarkEnd w:id="51"/>
            <w:r>
              <w:rPr>
                <w:rFonts w:ascii="Times New Roman" w:hAnsi="Times New Roman" w:cs="Times New Roman"/>
                <w:iCs w:val="0"/>
                <w:lang w:val="pl"/>
              </w:rPr>
              <w:t xml:space="preserve">Ból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pl"/>
              </w:rPr>
              <w:t>poniżej 0%</w:t>
            </w:r>
          </w:p>
        </w:tc>
        <w:bookmarkStart w:id="52" w:name="_Toc86391945"/>
        <w:bookmarkEnd w:id="52"/>
      </w:tr>
      <w:tr w:rsidR="00453251" w:rsidRPr="009461CC" w14:paraId="28252FD0" w14:textId="77777777" w:rsidTr="00453251">
        <w:tc>
          <w:tcPr>
            <w:tcW w:w="1138" w:type="pct"/>
          </w:tcPr>
          <w:p w14:paraId="013547C7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pl"/>
              </w:rPr>
              <w:t>Ogólne powikłania</w:t>
            </w:r>
            <w:bookmarkStart w:id="53" w:name="_Toc86391946"/>
            <w:bookmarkEnd w:id="53"/>
          </w:p>
        </w:tc>
        <w:tc>
          <w:tcPr>
            <w:tcW w:w="1000" w:type="pct"/>
            <w:vAlign w:val="center"/>
          </w:tcPr>
          <w:p w14:paraId="740F59E9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pl"/>
              </w:rPr>
              <w:t>0-5,2%</w:t>
            </w:r>
          </w:p>
        </w:tc>
        <w:tc>
          <w:tcPr>
            <w:tcW w:w="1158" w:type="pct"/>
            <w:vAlign w:val="center"/>
          </w:tcPr>
          <w:p w14:paraId="0BF92E76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54" w:name="_Toc86391949"/>
            <w:bookmarkStart w:id="55" w:name="_Toc86391947"/>
            <w:bookmarkEnd w:id="54"/>
            <w:bookmarkEnd w:id="55"/>
            <w:r>
              <w:rPr>
                <w:rFonts w:ascii="Times New Roman" w:hAnsi="Times New Roman" w:cs="Times New Roman"/>
                <w:iCs w:val="0"/>
                <w:lang w:val="pl"/>
              </w:rPr>
              <w:t>0-4%</w:t>
            </w:r>
          </w:p>
        </w:tc>
        <w:tc>
          <w:tcPr>
            <w:tcW w:w="1704" w:type="pct"/>
            <w:vAlign w:val="center"/>
          </w:tcPr>
          <w:p w14:paraId="71781E09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56" w:name="_Toc86391950"/>
            <w:bookmarkEnd w:id="56"/>
            <w:r>
              <w:rPr>
                <w:rFonts w:ascii="Times New Roman" w:hAnsi="Times New Roman" w:cs="Times New Roman"/>
                <w:iCs w:val="0"/>
                <w:lang w:val="pl"/>
              </w:rPr>
              <w:t xml:space="preserve">Całkowita liczba powikłań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pl"/>
              </w:rPr>
              <w:t>poniżej 5,2%</w:t>
            </w:r>
          </w:p>
        </w:tc>
        <w:bookmarkStart w:id="57" w:name="_Toc86391951"/>
        <w:bookmarkEnd w:id="57"/>
      </w:tr>
      <w:tr w:rsidR="00453251" w:rsidRPr="009461CC" w14:paraId="0BC00479" w14:textId="77777777" w:rsidTr="00453251">
        <w:tc>
          <w:tcPr>
            <w:tcW w:w="5000" w:type="pct"/>
            <w:gridSpan w:val="4"/>
            <w:shd w:val="clear" w:color="auto" w:fill="D9D9D9"/>
            <w:vAlign w:val="center"/>
          </w:tcPr>
          <w:p w14:paraId="35A811CF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 w:val="0"/>
                <w:lang w:val="pl"/>
              </w:rPr>
              <w:t>Skuteczność</w:t>
            </w:r>
          </w:p>
        </w:tc>
      </w:tr>
      <w:tr w:rsidR="00453251" w:rsidRPr="009461CC" w14:paraId="6F720CB6" w14:textId="77777777" w:rsidTr="00453251">
        <w:tc>
          <w:tcPr>
            <w:tcW w:w="1138" w:type="pct"/>
            <w:vAlign w:val="center"/>
          </w:tcPr>
          <w:p w14:paraId="60785A5D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pl"/>
              </w:rPr>
              <w:t xml:space="preserve">Wskaźnik sukcesu technicznego </w:t>
            </w:r>
            <w:bookmarkStart w:id="58" w:name="_Toc86391954"/>
            <w:bookmarkEnd w:id="58"/>
          </w:p>
        </w:tc>
        <w:tc>
          <w:tcPr>
            <w:tcW w:w="1000" w:type="pct"/>
            <w:vAlign w:val="center"/>
          </w:tcPr>
          <w:p w14:paraId="042F9BC6" w14:textId="77777777" w:rsidR="00453251" w:rsidRPr="009461CC" w:rsidDel="002D4462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pl"/>
              </w:rPr>
              <w:t>82,8–100%</w:t>
            </w:r>
          </w:p>
        </w:tc>
        <w:tc>
          <w:tcPr>
            <w:tcW w:w="1158" w:type="pct"/>
            <w:vAlign w:val="center"/>
          </w:tcPr>
          <w:p w14:paraId="3177A351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59" w:name="_Toc86391957"/>
            <w:bookmarkStart w:id="60" w:name="_Toc86391955"/>
            <w:bookmarkEnd w:id="59"/>
            <w:bookmarkEnd w:id="60"/>
            <w:r>
              <w:rPr>
                <w:rFonts w:ascii="Times New Roman" w:hAnsi="Times New Roman" w:cs="Times New Roman"/>
                <w:iCs w:val="0"/>
                <w:lang w:val="pl"/>
              </w:rPr>
              <w:t>82,0-100%</w:t>
            </w:r>
          </w:p>
        </w:tc>
        <w:tc>
          <w:tcPr>
            <w:tcW w:w="1704" w:type="pct"/>
            <w:vAlign w:val="center"/>
          </w:tcPr>
          <w:p w14:paraId="55C13098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61" w:name="_Toc86391958"/>
            <w:bookmarkEnd w:id="61"/>
            <w:r>
              <w:rPr>
                <w:rFonts w:ascii="Times New Roman" w:hAnsi="Times New Roman" w:cs="Times New Roman"/>
                <w:iCs w:val="0"/>
                <w:lang w:val="pl"/>
              </w:rPr>
              <w:t xml:space="preserve">Sukces techniczny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pl"/>
              </w:rPr>
              <w:t>powyżej 82,0%</w:t>
            </w:r>
          </w:p>
        </w:tc>
        <w:bookmarkStart w:id="62" w:name="_Toc86391959"/>
        <w:bookmarkEnd w:id="62"/>
      </w:tr>
      <w:tr w:rsidR="00453251" w:rsidRPr="009461CC" w14:paraId="4E839B51" w14:textId="77777777" w:rsidTr="00453251">
        <w:tc>
          <w:tcPr>
            <w:tcW w:w="1138" w:type="pct"/>
            <w:vAlign w:val="center"/>
          </w:tcPr>
          <w:p w14:paraId="055E85A0" w14:textId="77777777" w:rsidR="00453251" w:rsidRPr="009461CC" w:rsidRDefault="00453251" w:rsidP="00AC7398">
            <w:pPr>
              <w:pStyle w:val="TableTextLeft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pl"/>
              </w:rPr>
              <w:t xml:space="preserve">Wskaźnik sukcesu klinicznego </w:t>
            </w:r>
            <w:bookmarkStart w:id="63" w:name="_Toc86391960"/>
            <w:bookmarkEnd w:id="63"/>
          </w:p>
        </w:tc>
        <w:tc>
          <w:tcPr>
            <w:tcW w:w="1000" w:type="pct"/>
            <w:vAlign w:val="center"/>
          </w:tcPr>
          <w:p w14:paraId="163906FF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pl"/>
              </w:rPr>
              <w:t>95,2-100%</w:t>
            </w:r>
          </w:p>
        </w:tc>
        <w:tc>
          <w:tcPr>
            <w:tcW w:w="1158" w:type="pct"/>
            <w:vAlign w:val="center"/>
          </w:tcPr>
          <w:p w14:paraId="24CE1D22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64" w:name="_Toc86391963"/>
            <w:bookmarkStart w:id="65" w:name="_Toc86391961"/>
            <w:bookmarkEnd w:id="64"/>
            <w:bookmarkEnd w:id="65"/>
            <w:r>
              <w:rPr>
                <w:rFonts w:ascii="Times New Roman" w:hAnsi="Times New Roman" w:cs="Times New Roman"/>
                <w:iCs w:val="0"/>
                <w:lang w:val="pl"/>
              </w:rPr>
              <w:t>92,3-100%</w:t>
            </w:r>
          </w:p>
        </w:tc>
        <w:tc>
          <w:tcPr>
            <w:tcW w:w="1704" w:type="pct"/>
            <w:vAlign w:val="center"/>
          </w:tcPr>
          <w:p w14:paraId="1240798C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66" w:name="_Toc86391964"/>
            <w:bookmarkEnd w:id="66"/>
            <w:r>
              <w:rPr>
                <w:rFonts w:ascii="Times New Roman" w:hAnsi="Times New Roman" w:cs="Times New Roman"/>
                <w:iCs w:val="0"/>
                <w:lang w:val="pl"/>
              </w:rPr>
              <w:t xml:space="preserve">Sukces kliniczny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pl"/>
              </w:rPr>
              <w:t>powyżej 92,3%</w:t>
            </w:r>
          </w:p>
        </w:tc>
        <w:bookmarkStart w:id="67" w:name="_Toc86391965"/>
        <w:bookmarkEnd w:id="67"/>
      </w:tr>
    </w:tbl>
    <w:p w14:paraId="47F3BE56" w14:textId="4E1A0EB8" w:rsidR="00941D63" w:rsidRPr="006D72CB" w:rsidRDefault="00941D63" w:rsidP="00941D63">
      <w:pPr>
        <w:spacing w:before="100" w:beforeAutospacing="1" w:line="240" w:lineRule="auto"/>
        <w:rPr>
          <w:rFonts w:eastAsia="Times New Roman" w:cs="Times New Roman"/>
          <w:szCs w:val="24"/>
          <w:lang w:val="pl"/>
        </w:rPr>
      </w:pPr>
      <w:r>
        <w:rPr>
          <w:rFonts w:eastAsia="Times New Roman" w:cs="Times New Roman"/>
          <w:szCs w:val="24"/>
          <w:lang w:val="pl"/>
        </w:rPr>
        <w:t xml:space="preserve">Zestaw </w:t>
      </w:r>
      <w:r w:rsidR="006D7F85">
        <w:rPr>
          <w:rFonts w:eastAsia="Times New Roman" w:cs="Times New Roman"/>
          <w:szCs w:val="24"/>
          <w:lang w:val="pl"/>
        </w:rPr>
        <w:t xml:space="preserve">Snare </w:t>
      </w:r>
      <w:r>
        <w:rPr>
          <w:rFonts w:eastAsia="Times New Roman" w:cs="Times New Roman"/>
          <w:szCs w:val="24"/>
          <w:lang w:val="pl"/>
        </w:rPr>
        <w:t xml:space="preserve">naczyniowej Atrieve wykazuje akceptowalny profil ryzyka bez ryzyka resztkowego sklasyfikowanego jako niedopuszczalne. Potencjalne skutki szkodliwe dla pacjenta, takie jak krwawienie, zator, zakażenie i uszkodzenie tkanek, zdarzają się rzadko i mieszczą się w akceptowalnych normach </w:t>
      </w:r>
      <w:r>
        <w:rPr>
          <w:rFonts w:eastAsia="Times New Roman" w:cs="Times New Roman"/>
          <w:szCs w:val="24"/>
          <w:lang w:val="pl"/>
        </w:rPr>
        <w:lastRenderedPageBreak/>
        <w:t>branżowych. Typowe rodzaje awarii, takie jak odłączanie się komponentów lub opór urządzenia, zdarzają się rzadko i są dobrze kontrolowane.</w:t>
      </w:r>
    </w:p>
    <w:p w14:paraId="6CD9B2F8" w14:textId="27B9DB44" w:rsidR="00941D63" w:rsidRPr="003C1072" w:rsidRDefault="00941D63" w:rsidP="00941D63">
      <w:pPr>
        <w:spacing w:before="100" w:beforeAutospacing="1" w:line="240" w:lineRule="auto"/>
        <w:rPr>
          <w:rFonts w:eastAsia="Times New Roman" w:cs="Times New Roman"/>
          <w:szCs w:val="24"/>
          <w:lang w:val="pl"/>
        </w:rPr>
      </w:pPr>
      <w:r>
        <w:rPr>
          <w:rFonts w:eastAsia="Times New Roman" w:cs="Times New Roman"/>
          <w:szCs w:val="24"/>
          <w:lang w:val="pl"/>
        </w:rPr>
        <w:t>Wszystkie zidentyfikowane zagrożenia są uwzględniane w etykietach, ostrzeżeniach i instrukcjach stosowania. Całkowite ryzyko jest porównywalne do ryzyka związanego z alternatywnymi metodami leczenia, a korzyści wynikające z bezpiecznego i małoinwazyjnego usuwania ciał obcych przy użyciu tego urządzenia przeważają nad ryzykiem. W trakcie monitorowania po wprowadzeniu produktu na rynek nie stwierdzono żadnych nowych zagrożeń.</w:t>
      </w:r>
    </w:p>
    <w:p w14:paraId="503092B6" w14:textId="15AAF628" w:rsidR="000F0AC2" w:rsidRPr="009461CC" w:rsidRDefault="008745ED" w:rsidP="001035F0">
      <w:pPr>
        <w:pStyle w:val="Heading1"/>
        <w:rPr>
          <w:rFonts w:cs="Times New Roman"/>
        </w:rPr>
      </w:pPr>
      <w:bookmarkStart w:id="68" w:name="_Toc222741592"/>
      <w:r>
        <w:rPr>
          <w:rFonts w:cs="Times New Roman"/>
          <w:bCs/>
          <w:lang w:val="pl"/>
        </w:rPr>
        <w:t>Ostrzeżenia i środki ostrożności</w:t>
      </w:r>
      <w:bookmarkEnd w:id="68"/>
    </w:p>
    <w:p w14:paraId="3AFFFB2C" w14:textId="56B6C6C3" w:rsidR="00A030DC" w:rsidRPr="009461CC" w:rsidRDefault="00C64987" w:rsidP="006F12B6">
      <w:pPr>
        <w:spacing w:after="0" w:afterAutospacing="0" w:line="240" w:lineRule="auto"/>
        <w:ind w:left="792"/>
        <w:rPr>
          <w:rFonts w:cs="Times New Roman"/>
          <w:iCs/>
        </w:rPr>
      </w:pPr>
      <w:r>
        <w:rPr>
          <w:rFonts w:cs="Times New Roman"/>
          <w:lang w:val="pl"/>
        </w:rPr>
        <w:t>Numer referencyjny IFU X9585730-0321-EU Rev A</w:t>
      </w:r>
    </w:p>
    <w:p w14:paraId="581EAB6F" w14:textId="38AC09C7" w:rsidR="0084795E" w:rsidRPr="009461CC" w:rsidRDefault="0084795E" w:rsidP="006F12B6">
      <w:pPr>
        <w:spacing w:after="0" w:afterAutospacing="0" w:line="240" w:lineRule="auto"/>
        <w:ind w:left="792"/>
        <w:rPr>
          <w:rFonts w:cs="Times New Roman"/>
          <w:b/>
          <w:bCs/>
          <w:iCs/>
        </w:rPr>
      </w:pPr>
      <w:r>
        <w:rPr>
          <w:rFonts w:cs="Times New Roman"/>
          <w:b/>
          <w:bCs/>
          <w:lang w:val="pl"/>
        </w:rPr>
        <w:t>Ostrzeżenia:</w:t>
      </w:r>
    </w:p>
    <w:p w14:paraId="6D12BCC6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Ten wyrób został zaprojektowany, przetestowany i wyprodukowany wyłącznie do jednorazowego użytku. Ponowne użycie lub przetwarzanie tego wyrobu może doprowadzić do jego awarii i w konsekwencji do obrażeń pacjenta. Ponowne przetwarzanie i/lub ponowna sterylizacja tego wyrobu może stwarzać ryzyko skażenia i zakażenia pacjenta. Urządzenia nie należy używać ponownie, poddawać ponownemu przetwarzaniu ani ponownej sterylizacji.</w:t>
      </w:r>
    </w:p>
    <w:p w14:paraId="02E0F1FE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Przed użyciem sprawdzić, czy opakowanie jest nienaruszone.</w:t>
      </w:r>
    </w:p>
    <w:p w14:paraId="0AB04CB5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Nie używać, jeśli opakowanie jest otwarte lub uszkodzone bądź jeśli data ważności została przekroczona.</w:t>
      </w:r>
    </w:p>
    <w:p w14:paraId="287B6E69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Nie kontynuować używania, jeśli którykolwiek element zostanie uszkodzony podczas zabiegu.</w:t>
      </w:r>
    </w:p>
    <w:p w14:paraId="22477486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Nitinol jest stopem niklu i tytanu. U pacjentów uczulonych na nikiel może wystąpić reakcja alergiczna.</w:t>
      </w:r>
    </w:p>
    <w:p w14:paraId="2A4E00BA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U pacjentów wykazujących nadwrażliwość na platynę może wystąpić reakcja.</w:t>
      </w:r>
    </w:p>
    <w:p w14:paraId="0D7E98B5" w14:textId="77777777" w:rsidR="00C13612" w:rsidRPr="009461CC" w:rsidRDefault="00C13612" w:rsidP="00C13612">
      <w:pPr>
        <w:keepLines/>
        <w:numPr>
          <w:ilvl w:val="0"/>
          <w:numId w:val="22"/>
        </w:numPr>
        <w:autoSpaceDE w:val="0"/>
        <w:autoSpaceDN w:val="0"/>
        <w:adjustRightInd w:val="0"/>
        <w:spacing w:after="0" w:afterAutospacing="0" w:line="240" w:lineRule="auto"/>
        <w:ind w:left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Należy zachować ostrożność podczas używania tego urządzenia do usuwania dużych osłonek fibrynowych, aby zminimalizować ryzyko zatorowości płucnej.</w:t>
      </w:r>
    </w:p>
    <w:p w14:paraId="4CB50B44" w14:textId="77777777" w:rsidR="00C13612" w:rsidRPr="009461CC" w:rsidRDefault="00C13612" w:rsidP="00C13612">
      <w:pPr>
        <w:keepLines/>
        <w:numPr>
          <w:ilvl w:val="0"/>
          <w:numId w:val="22"/>
        </w:numPr>
        <w:autoSpaceDE w:val="0"/>
        <w:autoSpaceDN w:val="0"/>
        <w:adjustRightInd w:val="0"/>
        <w:spacing w:after="0" w:afterAutospacing="0" w:line="240" w:lineRule="auto"/>
        <w:ind w:left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Podczas niektórych zabiegów może wystąpić krwawienie przez węzeł cewnika doprowadzającego. Do cewnika doprowadzającego można przymocować zawór hemostatyczny (nie należy do zestawu), aby ograniczyć krwawienie w razie potrzeby lub zgodnie z zaleceniami lekarza.</w:t>
      </w:r>
    </w:p>
    <w:p w14:paraId="7C5DC59D" w14:textId="77777777" w:rsidR="0084795E" w:rsidRPr="009461CC" w:rsidRDefault="0084795E" w:rsidP="00FE6595">
      <w:pPr>
        <w:spacing w:after="0" w:afterAutospacing="0" w:line="240" w:lineRule="auto"/>
        <w:ind w:left="792"/>
        <w:rPr>
          <w:rFonts w:cs="Times New Roman"/>
          <w:iCs/>
        </w:rPr>
      </w:pPr>
    </w:p>
    <w:p w14:paraId="34731DB5" w14:textId="77777777" w:rsidR="0084795E" w:rsidRPr="009461CC" w:rsidRDefault="0084795E" w:rsidP="00FE6595">
      <w:pPr>
        <w:spacing w:after="0" w:afterAutospacing="0" w:line="240" w:lineRule="auto"/>
        <w:ind w:left="792"/>
        <w:rPr>
          <w:rFonts w:cs="Times New Roman"/>
          <w:b/>
          <w:bCs/>
          <w:iCs/>
        </w:rPr>
      </w:pPr>
      <w:r>
        <w:rPr>
          <w:rFonts w:cs="Times New Roman"/>
          <w:b/>
          <w:bCs/>
          <w:lang w:val="pl"/>
        </w:rPr>
        <w:t>Środki ostrożności:</w:t>
      </w:r>
    </w:p>
    <w:p w14:paraId="043EE8E1" w14:textId="77777777" w:rsidR="00533C0A" w:rsidRPr="009461CC" w:rsidRDefault="00533C0A" w:rsidP="00533C0A">
      <w:pPr>
        <w:numPr>
          <w:ilvl w:val="0"/>
          <w:numId w:val="23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Siły ciągnące wywierane na cewniki podczas zdejmowania osłonki fibrynowej mogą uszkodzić, rozciągnąć lub złamać stałe cewniki o średnicy 6 French lub mniejszej. Nie należy stosować nadmiernej siły ciągnącej podczas próby zdjęcia osłonki fibrynowej z cewników o średnicy 6 French lub mniejszej.</w:t>
      </w:r>
    </w:p>
    <w:p w14:paraId="7C78A400" w14:textId="77777777" w:rsidR="00533C0A" w:rsidRPr="009461CC" w:rsidRDefault="00533C0A" w:rsidP="00533C0A">
      <w:pPr>
        <w:numPr>
          <w:ilvl w:val="0"/>
          <w:numId w:val="23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Nie należy stosować nadmiernej siły przy wprowadzaniu cewnika przez prowadnik.</w:t>
      </w:r>
    </w:p>
    <w:p w14:paraId="68E7CD6A" w14:textId="77777777" w:rsidR="009E4BE1" w:rsidRPr="009461CC" w:rsidRDefault="009E4BE1" w:rsidP="00DB582A">
      <w:pPr>
        <w:spacing w:after="0" w:afterAutospacing="0" w:line="240" w:lineRule="auto"/>
        <w:rPr>
          <w:rFonts w:cs="Times New Roman"/>
          <w:b/>
          <w:bCs/>
          <w:iCs/>
        </w:rPr>
      </w:pPr>
    </w:p>
    <w:p w14:paraId="1F2A8F23" w14:textId="7550D298" w:rsidR="00481A9E" w:rsidRPr="009461CC" w:rsidRDefault="00481A9E" w:rsidP="00481A9E">
      <w:pPr>
        <w:spacing w:after="120" w:afterAutospacing="0" w:line="240" w:lineRule="auto"/>
        <w:ind w:firstLine="720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bCs/>
          <w:szCs w:val="24"/>
          <w:lang w:val="pl"/>
        </w:rPr>
        <w:t xml:space="preserve">Ryzyko i skutki uboczne </w:t>
      </w:r>
    </w:p>
    <w:p w14:paraId="3EC1F3BA" w14:textId="77777777" w:rsidR="00481A9E" w:rsidRPr="009461CC" w:rsidRDefault="00481A9E" w:rsidP="00481A9E">
      <w:pPr>
        <w:spacing w:after="120" w:afterAutospacing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Do możliwych powikłań mogą należeć m.in.:</w:t>
      </w:r>
    </w:p>
    <w:p w14:paraId="31B00162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Embolizacja</w:t>
      </w:r>
    </w:p>
    <w:p w14:paraId="4831EC23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Udar</w:t>
      </w:r>
    </w:p>
    <w:p w14:paraId="3E3CC4E5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Zawał mięśnia sercowego (w zależności od umiejscowienia)</w:t>
      </w:r>
    </w:p>
    <w:p w14:paraId="3C5A584A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Zatorowość płucna</w:t>
      </w:r>
    </w:p>
    <w:p w14:paraId="70F9D337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Perforacja naczynia</w:t>
      </w:r>
    </w:p>
    <w:p w14:paraId="3B28D7FF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Uwięźnięcie wyrobu</w:t>
      </w:r>
    </w:p>
    <w:p w14:paraId="33ABECFB" w14:textId="77777777" w:rsidR="00D558E5" w:rsidRPr="009461CC" w:rsidRDefault="00481A9E" w:rsidP="00D558E5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lastRenderedPageBreak/>
        <w:t>Krwawienie/krwotok</w:t>
      </w:r>
    </w:p>
    <w:p w14:paraId="0A9BFD81" w14:textId="77777777" w:rsidR="00D558E5" w:rsidRPr="009461CC" w:rsidRDefault="00D558E5" w:rsidP="00D558E5">
      <w:pPr>
        <w:widowControl w:val="0"/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</w:p>
    <w:p w14:paraId="6EEBEC55" w14:textId="65AF2143" w:rsidR="00A80721" w:rsidRPr="009461CC" w:rsidRDefault="00A80721" w:rsidP="00D558E5">
      <w:pPr>
        <w:widowControl w:val="0"/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Korzyści kliniczne.</w:t>
      </w:r>
    </w:p>
    <w:p w14:paraId="12CF44E5" w14:textId="357D7E57" w:rsidR="00481A9E" w:rsidRPr="009461CC" w:rsidRDefault="00A80721" w:rsidP="00A80721">
      <w:pPr>
        <w:spacing w:after="120" w:afterAutospacing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Pętla naczyniowa Atrieve przynosi pacjentowi bezpośrednie korzyści, umożliwiając przezskórne usuwanie i manipulowanie ciałami obcymi, przy mniejszym ryzyku i powikłaniach w porównaniu z interwencją chirurgiczną.</w:t>
      </w:r>
    </w:p>
    <w:p w14:paraId="5240AF40" w14:textId="3E5A2DE2" w:rsidR="00042B91" w:rsidRPr="009461CC" w:rsidRDefault="00BB36B1" w:rsidP="00A4616A">
      <w:pPr>
        <w:spacing w:after="0" w:afterAutospacing="0" w:line="240" w:lineRule="auto"/>
        <w:rPr>
          <w:rFonts w:cs="Times New Roman"/>
          <w:iCs/>
        </w:rPr>
      </w:pPr>
      <w:r>
        <w:rPr>
          <w:rFonts w:cs="Times New Roman"/>
          <w:lang w:val="pl"/>
        </w:rPr>
        <w:t>Czas trwania wprowadzenia: przejściowy, krócej niż 60 minut.</w:t>
      </w:r>
    </w:p>
    <w:p w14:paraId="393C5ED9" w14:textId="77777777" w:rsidR="00E14C97" w:rsidRPr="009461CC" w:rsidRDefault="00E14C97" w:rsidP="00042B91">
      <w:pPr>
        <w:spacing w:after="0" w:afterAutospacing="0" w:line="240" w:lineRule="auto"/>
        <w:rPr>
          <w:rFonts w:cs="Times New Roman"/>
          <w:i/>
          <w:color w:val="FF0000"/>
        </w:rPr>
      </w:pPr>
    </w:p>
    <w:p w14:paraId="09A94B0F" w14:textId="4E664EE0" w:rsidR="00760400" w:rsidRPr="009461CC" w:rsidRDefault="008745ED" w:rsidP="00042B91">
      <w:pPr>
        <w:pStyle w:val="Heading1"/>
        <w:rPr>
          <w:rFonts w:cs="Times New Roman"/>
        </w:rPr>
      </w:pPr>
      <w:bookmarkStart w:id="69" w:name="_Toc222741593"/>
      <w:r>
        <w:rPr>
          <w:rFonts w:cs="Times New Roman"/>
          <w:bCs/>
          <w:lang w:val="pl"/>
        </w:rPr>
        <w:t>Inne istotne aspekty bezpieczeństwa, w tym podsumowanie wszelkich zewnętrznych działań korygujących dotyczących bezpieczeństwa (FSCA, w tym FSN), jeśli ma to zastosowanie</w:t>
      </w:r>
      <w:bookmarkEnd w:id="69"/>
    </w:p>
    <w:p w14:paraId="65E21D1D" w14:textId="58A43005" w:rsidR="004F5057" w:rsidRPr="009461CC" w:rsidRDefault="00FC52C8" w:rsidP="001F48BA">
      <w:pPr>
        <w:rPr>
          <w:rFonts w:cs="Times New Roman"/>
        </w:rPr>
      </w:pPr>
      <w:r>
        <w:rPr>
          <w:rFonts w:cs="Times New Roman"/>
          <w:lang w:val="pl"/>
        </w:rPr>
        <w:t>W okresie sprawozdawczym nie podjęto żadnych działań korygujących w zakresie bezpieczeństwa (FSCA) ani nie wycofano produktów z rynku.</w:t>
      </w:r>
    </w:p>
    <w:p w14:paraId="21FC0F42" w14:textId="6F4CDE71" w:rsidR="008745ED" w:rsidRPr="009461CC" w:rsidRDefault="008745ED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0" w:name="_Toc222741594"/>
      <w:r>
        <w:rPr>
          <w:rFonts w:cs="Times New Roman"/>
          <w:bCs/>
          <w:lang w:val="pl"/>
        </w:rPr>
        <w:t>Podsumowanie oceny klinicznej i obserwacji klinicznych po wprowadzeniu do obrotu (PMCF)</w:t>
      </w:r>
      <w:bookmarkEnd w:id="70"/>
    </w:p>
    <w:p w14:paraId="7CA310DE" w14:textId="34647A7F" w:rsidR="00DA4404" w:rsidRPr="009461CC" w:rsidRDefault="00DA4404" w:rsidP="00DA4404">
      <w:pPr>
        <w:rPr>
          <w:rFonts w:cs="Times New Roman"/>
        </w:rPr>
      </w:pPr>
      <w:r>
        <w:rPr>
          <w:rFonts w:cs="Times New Roman"/>
          <w:lang w:val="pl"/>
        </w:rPr>
        <w:t>Raport z oceny klinicznej (CER-029 Rev B) potwierdza, że Zestaw</w:t>
      </w:r>
      <w:r w:rsidR="006D7F85">
        <w:rPr>
          <w:rFonts w:cs="Times New Roman"/>
          <w:lang w:val="pl"/>
        </w:rPr>
        <w:t xml:space="preserve"> Snare</w:t>
      </w:r>
      <w:r>
        <w:rPr>
          <w:rFonts w:cs="Times New Roman"/>
          <w:lang w:val="pl"/>
        </w:rPr>
        <w:t xml:space="preserve"> naczyniowej Atrieve jest klinicznie bezpieczny i skuteczny w usuwaniu i manipulowaniu ciałami obcymi w układzie sercowo-naczyniowym. Jest on wykorzystywany głównie przez przeszkolony personel medyczny w zabiegach małoinwazyjnych.</w:t>
      </w:r>
    </w:p>
    <w:p w14:paraId="065C32D9" w14:textId="36044E92" w:rsidR="00DA4404" w:rsidRPr="009461CC" w:rsidRDefault="00DA4404" w:rsidP="00DA4404">
      <w:pPr>
        <w:rPr>
          <w:rFonts w:cs="Times New Roman"/>
        </w:rPr>
      </w:pPr>
      <w:r>
        <w:rPr>
          <w:rFonts w:cs="Times New Roman"/>
          <w:lang w:val="pl"/>
        </w:rPr>
        <w:t>Ocena, oparta na przeglądzie literatury, doświadczeniu klinicznym i danych po wprowadzeniu produktu na rynek, wykazuje wysokie wskaźniki sukcesu technicznego i klinicznego. Powikłania takie jak krwawienie, zator, zakażenie lub reakcja alergiczna zdarzają się rzadko i mieszczą się w akceptowalnych granicach klinicznych.</w:t>
      </w:r>
    </w:p>
    <w:p w14:paraId="0DAD67AD" w14:textId="4FF5EA89" w:rsidR="00DA4404" w:rsidRPr="009461CC" w:rsidRDefault="00DA4404" w:rsidP="00DA4404">
      <w:pPr>
        <w:rPr>
          <w:rFonts w:cs="Times New Roman"/>
        </w:rPr>
      </w:pPr>
      <w:r>
        <w:rPr>
          <w:rFonts w:cs="Times New Roman"/>
          <w:lang w:val="pl"/>
        </w:rPr>
        <w:t>Nie stwierdzono żadnych nowych zagrożeń bezpieczeństwa ani nieoczekiwanych ryzyk. Urządzenie działa porównywalnie do podobnych produktów dostępnych na rynku, zachowując stabilny profil ryzyka i korzyści.</w:t>
      </w:r>
    </w:p>
    <w:p w14:paraId="745B2F11" w14:textId="506F1A62" w:rsidR="00257EE2" w:rsidRPr="009461CC" w:rsidRDefault="00DA4404" w:rsidP="00DA4404">
      <w:pPr>
        <w:rPr>
          <w:rFonts w:cs="Times New Roman"/>
          <w:highlight w:val="yellow"/>
        </w:rPr>
      </w:pPr>
      <w:r>
        <w:rPr>
          <w:rFonts w:cs="Times New Roman"/>
          <w:lang w:val="pl"/>
        </w:rPr>
        <w:t>Podsumowując, pętla Atrieve charakteryzuje się niezawodną wydajnością i wysokim poziomem bezpieczeństwa, co uzasadnia jej dalsze stosowanie w warunkach klinicznych.</w:t>
      </w:r>
    </w:p>
    <w:p w14:paraId="491E112E" w14:textId="43F380B5" w:rsidR="005A5584" w:rsidRPr="009461CC" w:rsidRDefault="005A5584" w:rsidP="00300E25">
      <w:pPr>
        <w:rPr>
          <w:rFonts w:cs="Times New Roman"/>
        </w:rPr>
      </w:pPr>
      <w:r>
        <w:rPr>
          <w:rFonts w:cs="Times New Roman"/>
          <w:lang w:val="pl"/>
        </w:rPr>
        <w:t>Plan klinicznego monitorowania po wprowadzeniu produktu Atrieve na rynek określa ustrukturyzowane podejście mające na celu monitorowanie jego bezpieczeństwa i działania po wprowadzeniu na rynek. Urządzenia klasy III służą do usuwania lub manipulowania ciałami obcymi w układzie sercowo-naczyniowym i są przeznaczone do krótkotrwałego użytku.</w:t>
      </w:r>
    </w:p>
    <w:p w14:paraId="72FE8271" w14:textId="5FE4B52E" w:rsidR="00042B91" w:rsidRPr="009461CC" w:rsidRDefault="005A5584" w:rsidP="00A8663C">
      <w:pPr>
        <w:rPr>
          <w:rFonts w:cs="Times New Roman"/>
        </w:rPr>
      </w:pPr>
      <w:r>
        <w:rPr>
          <w:rFonts w:cs="Times New Roman"/>
          <w:lang w:val="pl"/>
        </w:rPr>
        <w:t>Działania PMCF opierają się na ogólnych metodach, obejmujących coroczne przeglądy literatury, monitorowanie bazy danych zdarzeń niepożądanych (np. MAUDE) i analizę raportów z nadzoru po wprowadzeniu produktu do obrotu. Działania te mają na celu potwierdzenie bieżącego bezpieczeństwa i skuteczności, identyfikację pojawiających się zagrożeń i wykrywanie zastosowań niezgodnych ze wskazaniami. W celu porównania wyników analizuje się również dane kliniczne z podobnych urządzeń.</w:t>
      </w:r>
    </w:p>
    <w:p w14:paraId="33785C59" w14:textId="7AB0634B" w:rsidR="008745ED" w:rsidRPr="009461CC" w:rsidRDefault="008745ED" w:rsidP="00042B91">
      <w:pPr>
        <w:pStyle w:val="Heading1"/>
        <w:rPr>
          <w:rFonts w:cs="Times New Roman"/>
        </w:rPr>
      </w:pPr>
      <w:bookmarkStart w:id="71" w:name="_Toc222741595"/>
      <w:r>
        <w:rPr>
          <w:rFonts w:cs="Times New Roman"/>
          <w:bCs/>
          <w:lang w:val="pl"/>
        </w:rPr>
        <w:lastRenderedPageBreak/>
        <w:t>Podsumowanie danych klinicznych dotyczących równoważnego urządzenia, jeśli dotyczy</w:t>
      </w:r>
      <w:bookmarkEnd w:id="71"/>
      <w:r>
        <w:rPr>
          <w:rFonts w:cs="Times New Roman"/>
          <w:bCs/>
          <w:lang w:val="pl"/>
        </w:rPr>
        <w:t xml:space="preserve"> </w:t>
      </w:r>
    </w:p>
    <w:p w14:paraId="62C65035" w14:textId="2ED3F324" w:rsidR="00B763A0" w:rsidRPr="009461CC" w:rsidRDefault="00F24AE3" w:rsidP="00511B41">
      <w:pPr>
        <w:ind w:firstLine="360"/>
        <w:rPr>
          <w:rFonts w:cs="Times New Roman"/>
        </w:rPr>
      </w:pPr>
      <w:r>
        <w:rPr>
          <w:rFonts w:cs="Times New Roman"/>
          <w:lang w:val="pl"/>
        </w:rPr>
        <w:t>Ta sekcja nie ma zastosowania (N/A).</w:t>
      </w:r>
    </w:p>
    <w:p w14:paraId="46CE7D79" w14:textId="2B10E133" w:rsidR="008745ED" w:rsidRPr="009461CC" w:rsidRDefault="008745ED" w:rsidP="00042B91">
      <w:pPr>
        <w:pStyle w:val="Heading1"/>
        <w:rPr>
          <w:rFonts w:cs="Times New Roman"/>
        </w:rPr>
      </w:pPr>
      <w:bookmarkStart w:id="72" w:name="_Toc222741596"/>
      <w:r>
        <w:rPr>
          <w:rFonts w:cs="Times New Roman"/>
          <w:bCs/>
          <w:lang w:val="pl"/>
        </w:rPr>
        <w:t>Podsumowanie danych klinicznych z przeprowadzonych badań urządzenia przed oznakowaniem CE, jeśli dotyczy</w:t>
      </w:r>
      <w:bookmarkEnd w:id="72"/>
      <w:r>
        <w:rPr>
          <w:rFonts w:cs="Times New Roman"/>
          <w:bCs/>
          <w:lang w:val="pl"/>
        </w:rPr>
        <w:t xml:space="preserve"> </w:t>
      </w:r>
    </w:p>
    <w:p w14:paraId="27B7D18D" w14:textId="3346219F" w:rsidR="004846A6" w:rsidRPr="009461CC" w:rsidRDefault="00F604C9" w:rsidP="00F24AE3">
      <w:pPr>
        <w:ind w:left="360"/>
        <w:rPr>
          <w:rFonts w:cs="Times New Roman"/>
        </w:rPr>
      </w:pPr>
      <w:bookmarkStart w:id="73" w:name="_Hlk196514030"/>
      <w:r>
        <w:rPr>
          <w:rFonts w:cs="Times New Roman"/>
          <w:lang w:val="pl"/>
        </w:rPr>
        <w:t>Ta sekcja nie ma zastosowania (N/A).</w:t>
      </w:r>
    </w:p>
    <w:p w14:paraId="7A896071" w14:textId="00061818" w:rsidR="008745ED" w:rsidRPr="009461CC" w:rsidRDefault="008745ED" w:rsidP="00042B91">
      <w:pPr>
        <w:pStyle w:val="Heading1"/>
        <w:rPr>
          <w:rFonts w:cs="Times New Roman"/>
        </w:rPr>
      </w:pPr>
      <w:bookmarkStart w:id="74" w:name="_Toc222741597"/>
      <w:bookmarkEnd w:id="73"/>
      <w:r>
        <w:rPr>
          <w:rFonts w:cs="Times New Roman"/>
          <w:bCs/>
          <w:lang w:val="pl"/>
        </w:rPr>
        <w:t>Podsumowanie danych klinicznych z innych źródeł, jeśli dotyczy</w:t>
      </w:r>
      <w:bookmarkEnd w:id="74"/>
      <w:r>
        <w:rPr>
          <w:rFonts w:cs="Times New Roman"/>
          <w:bCs/>
          <w:lang w:val="pl"/>
        </w:rPr>
        <w:t xml:space="preserve"> </w:t>
      </w:r>
    </w:p>
    <w:p w14:paraId="3F1ED76E" w14:textId="5FADBA51" w:rsidR="006C2B68" w:rsidRPr="009461CC" w:rsidRDefault="0037599D" w:rsidP="004846A6">
      <w:pPr>
        <w:spacing w:before="100" w:before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Dokument CER-029 Rev B oparty jest na kompleksowym przeglądzie zewnętrznych danych klinicznych, obejmujących m.in. następujące źródła:</w:t>
      </w:r>
    </w:p>
    <w:p w14:paraId="421058D0" w14:textId="26D1A572" w:rsidR="00FB1FDD" w:rsidRPr="009461CC" w:rsidRDefault="00FC5667" w:rsidP="004846A6">
      <w:pPr>
        <w:spacing w:before="100" w:beforeAutospacing="1" w:line="240" w:lineRule="auto"/>
        <w:rPr>
          <w:rFonts w:cs="Times New Roman"/>
        </w:rPr>
      </w:pPr>
      <w:r>
        <w:rPr>
          <w:rFonts w:cs="Times New Roman"/>
          <w:szCs w:val="24"/>
          <w:lang w:val="pl"/>
        </w:rPr>
        <w:t>Literatura dotycząca najnowocześniejszych rozwiązań (SOA): przegląd systematyczny 579 artykułów pozwolił na zidentyfikowanie 16 istotnych badań dotyczących podobnych wyrobów i procedur. Badania te wykazały wysoki wskaźnik sukcesu technicznego (≥91,2%) i niski wskaźnik powikłań (≤1,1%), ustanawiając standardy bezpieczeństwa i wydajności.</w:t>
      </w:r>
      <w:r>
        <w:rPr>
          <w:rFonts w:cs="Times New Roman"/>
          <w:lang w:val="pl"/>
        </w:rPr>
        <w:t xml:space="preserve"> </w:t>
      </w:r>
    </w:p>
    <w:p w14:paraId="7C6B59FC" w14:textId="77777777" w:rsidR="00FB1FDD" w:rsidRPr="009461CC" w:rsidRDefault="00D23267" w:rsidP="004846A6">
      <w:pPr>
        <w:spacing w:before="100" w:beforeAutospacing="1" w:line="240" w:lineRule="auto"/>
        <w:rPr>
          <w:rFonts w:cs="Times New Roman"/>
        </w:rPr>
      </w:pPr>
      <w:r>
        <w:rPr>
          <w:rFonts w:cs="Times New Roman"/>
          <w:szCs w:val="24"/>
          <w:lang w:val="pl"/>
        </w:rPr>
        <w:t>Literatura dotycząca wyrobów konkurencyjnych: osiem badań dotyczących porównywalnych wyrobów (np. EN Snare, GooseNeck, CloverSnare) potwierdziło podobne profile bezpieczeństwa i skuteczności, co potwierdza, że pętle naczyniowe należą do standardów opieki zdrowotnej.</w:t>
      </w:r>
      <w:r>
        <w:rPr>
          <w:rFonts w:cs="Times New Roman"/>
          <w:lang w:val="pl"/>
        </w:rPr>
        <w:t xml:space="preserve"> </w:t>
      </w:r>
    </w:p>
    <w:p w14:paraId="2910073B" w14:textId="4049ACE7" w:rsidR="004846A6" w:rsidRPr="009461CC" w:rsidRDefault="009B4453" w:rsidP="004846A6">
      <w:pPr>
        <w:spacing w:before="100" w:before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Wytyczne kliniczne: zalecenia stowarzyszeń zawodowych (np. SIR, ESC, KDOQI) pospierają stosowanie przezskórnych metod usuwania ciał obcych, w tym pętli, jako leczenia pierwszego rzutu w usuwaniu ciał obcych z układu sercowo-naczyniowego.</w:t>
      </w:r>
    </w:p>
    <w:p w14:paraId="661EF380" w14:textId="29BB1CA1" w:rsidR="00516D79" w:rsidRPr="009461CC" w:rsidRDefault="00516D79" w:rsidP="004846A6">
      <w:pPr>
        <w:spacing w:before="100" w:before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Literatura dotycząca urządzeń: trzynaście publikacji (w tym opisy przypadków i badania retrospektywne) na temat Atrieve wykazało 100% sukcesu technicznego i 94,5% sukcesu klinicznego, przy minimalnej liczbie zdarzeń niepożądanych. Niektóre wskaźniki wydajności wypadły nieznacznie gorzej w porównaniu z testami porównawczymi SOA, ale mieściły się w akceptowalnych zakresach klinicznych.</w:t>
      </w:r>
    </w:p>
    <w:p w14:paraId="66F22352" w14:textId="28F3CCF3" w:rsidR="004846A6" w:rsidRPr="009461CC" w:rsidRDefault="004846A6" w:rsidP="004846A6">
      <w:pPr>
        <w:spacing w:before="100" w:before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Ponadto raport uwzględnia dane z systemu nadzoru po wprowadzeniu produktu na rynek (PMS), zebrane za pośrednictwem ustrukturyzowanych planów nadzoru nad produktem Atrieve. Obejmuje to monitorowanie skarg i zdarzeń niepożądanych na przestrzeni pięciu lat, a także podejmowanie działań korygujących. Pomimo dużej sprzedaży na całym świecie dane PMS nie ujawniły żadnych nowych trendów dotyczących bezpieczeństwa ani nieprzewidzianych zagrożeń, co potwierdza pozytywny profil bezpieczeństwa wyrobów w warunkach rzeczywistych.</w:t>
      </w:r>
    </w:p>
    <w:p w14:paraId="6527D03E" w14:textId="73944EC6" w:rsidR="004846A6" w:rsidRPr="009461CC" w:rsidRDefault="004846A6" w:rsidP="004846A6">
      <w:pPr>
        <w:spacing w:before="100" w:before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pl"/>
        </w:rPr>
        <w:t>Wreszcie dane pozakliniczne, obejmujące testy laboratoryjne i oceny biozgodności, dowodzą, że wyroby spełniają wszystkie normy konstrukcyjne i regulacyjne. Chociaż nie przeprowadzono żadnych badań klinicznych tych wyrobów, uzasadnieniem były obszerne dane z literatury, źródeł danych po wprowadzeniu na rynek oraz doświadczenia z użytkowania starszych wyrobów. Ogólnie rzecz biorąc, te różne źródła danych łącznie potwierdzają bezpieczeństwo i skuteczność wyrobów zgodne z wymogami unijnego rozporządzenia MDR.</w:t>
      </w:r>
    </w:p>
    <w:p w14:paraId="0F01E5AD" w14:textId="2BD461FF" w:rsidR="008745ED" w:rsidRPr="009461CC" w:rsidRDefault="008745ED" w:rsidP="00042B91">
      <w:pPr>
        <w:pStyle w:val="Heading1"/>
        <w:rPr>
          <w:rFonts w:cs="Times New Roman"/>
        </w:rPr>
      </w:pPr>
      <w:bookmarkStart w:id="75" w:name="_Toc222741598"/>
      <w:r>
        <w:rPr>
          <w:rFonts w:cs="Times New Roman"/>
          <w:bCs/>
          <w:lang w:val="pl"/>
        </w:rPr>
        <w:lastRenderedPageBreak/>
        <w:t>Ogólne podsumowanie dotyczące bezpieczeństwa i skuteczności klinicznej</w:t>
      </w:r>
      <w:bookmarkEnd w:id="75"/>
      <w:r>
        <w:rPr>
          <w:rFonts w:cs="Times New Roman"/>
          <w:bCs/>
          <w:lang w:val="pl"/>
        </w:rPr>
        <w:t xml:space="preserve"> </w:t>
      </w:r>
    </w:p>
    <w:p w14:paraId="7C1B956B" w14:textId="77777777" w:rsidR="009977D7" w:rsidRPr="009461CC" w:rsidRDefault="009977D7" w:rsidP="00D52DF8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068544DB" w14:textId="1ADDFFE2" w:rsidR="00D52DF8" w:rsidRPr="009461CC" w:rsidRDefault="00D52DF8" w:rsidP="00D52DF8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pl"/>
        </w:rPr>
        <w:t xml:space="preserve">Na podstawie norm X9585730-0321-EU Rev A i CER-029 Rev B dla Zestawu </w:t>
      </w:r>
      <w:r w:rsidR="006D7F85">
        <w:rPr>
          <w:rFonts w:eastAsia="Times New Roman" w:cs="Times New Roman"/>
          <w:szCs w:val="24"/>
          <w:lang w:val="pl"/>
        </w:rPr>
        <w:t xml:space="preserve">Snare </w:t>
      </w:r>
      <w:r>
        <w:rPr>
          <w:rFonts w:eastAsia="Times New Roman" w:cs="Times New Roman"/>
          <w:szCs w:val="24"/>
          <w:lang w:val="pl"/>
        </w:rPr>
        <w:t>naczyniowej Atrieve, ogólna skuteczność kliniczna i profil bezpieczeństwa wyrobu są korzystne i zgodne z oczekiwaniami dotyczącymi jego przeznaczenia.</w:t>
      </w:r>
    </w:p>
    <w:p w14:paraId="3508FD3D" w14:textId="77777777" w:rsidR="002E59B4" w:rsidRPr="009461CC" w:rsidRDefault="002E59B4" w:rsidP="00D52DF8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0A303358" w14:textId="24357A0A" w:rsidR="00C361CA" w:rsidRPr="009461CC" w:rsidRDefault="005C642C" w:rsidP="00C9784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pl"/>
        </w:rPr>
        <w:t xml:space="preserve">Wyrób przeznaczony jest do: </w:t>
      </w:r>
      <w:r>
        <w:rPr>
          <w:rStyle w:val="Strong"/>
          <w:rFonts w:cs="Times New Roman"/>
          <w:lang w:val="pl"/>
        </w:rPr>
        <w:t>przezskórnego usuwania i manipulacji ciałami obcymi</w:t>
      </w:r>
      <w:r>
        <w:rPr>
          <w:rFonts w:cs="Times New Roman"/>
          <w:lang w:val="pl"/>
        </w:rPr>
        <w:t xml:space="preserve"> w układzie sercowo-naczyniowym lub trzewiach jamistych. Do najważniejszych korzyści klinicznych należą minimalnie inwazyjne usunięcie narządu, zmniejszone ryzyko dla pacjenta i niższy odsetek powikłań w porównaniu z alternatywnymi metodami chirurgicznymi.</w:t>
      </w:r>
    </w:p>
    <w:p w14:paraId="0DE0B963" w14:textId="77777777" w:rsidR="005C642C" w:rsidRPr="009461CC" w:rsidRDefault="005C642C" w:rsidP="00C97841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2DA4A118" w14:textId="58FE2B84" w:rsidR="00C97841" w:rsidRPr="009461CC" w:rsidRDefault="00B26297" w:rsidP="00C97841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pl"/>
        </w:rPr>
        <w:t>Ocena kliniczna definiuje następujące parametry wyników: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6"/>
        <w:gridCol w:w="7384"/>
      </w:tblGrid>
      <w:tr w:rsidR="00942C1E" w:rsidRPr="009461CC" w14:paraId="0839D18E" w14:textId="77777777" w:rsidTr="00607046">
        <w:trPr>
          <w:tblHeader/>
          <w:tblCellSpacing w:w="15" w:type="dxa"/>
          <w:jc w:val="center"/>
        </w:trPr>
        <w:tc>
          <w:tcPr>
            <w:tcW w:w="4971" w:type="pct"/>
            <w:gridSpan w:val="2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5368930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pl"/>
              </w:rPr>
              <w:t>Mierniki skuteczności</w:t>
            </w:r>
          </w:p>
        </w:tc>
      </w:tr>
      <w:tr w:rsidR="00607046" w:rsidRPr="009461CC" w14:paraId="609C186F" w14:textId="77777777" w:rsidTr="00607046">
        <w:trPr>
          <w:tblHeader/>
          <w:tblCellSpacing w:w="15" w:type="dxa"/>
          <w:jc w:val="center"/>
        </w:trPr>
        <w:tc>
          <w:tcPr>
            <w:tcW w:w="1443" w:type="pct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D28E345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pl"/>
              </w:rPr>
              <w:t>Wskaźnik</w:t>
            </w:r>
          </w:p>
        </w:tc>
        <w:tc>
          <w:tcPr>
            <w:tcW w:w="3514" w:type="pct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4A387C4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pl"/>
              </w:rPr>
              <w:t>Definicja</w:t>
            </w:r>
          </w:p>
        </w:tc>
      </w:tr>
      <w:tr w:rsidR="00942C1E" w:rsidRPr="009461CC" w14:paraId="67F5D1CE" w14:textId="77777777" w:rsidTr="00607046">
        <w:trPr>
          <w:tblCellSpacing w:w="15" w:type="dxa"/>
          <w:jc w:val="center"/>
        </w:trPr>
        <w:tc>
          <w:tcPr>
            <w:tcW w:w="1443" w:type="pct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F6236EF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pl"/>
              </w:rPr>
              <w:t>Wskaźnik sukcesu technicznego</w:t>
            </w:r>
          </w:p>
        </w:tc>
        <w:tc>
          <w:tcPr>
            <w:tcW w:w="3514" w:type="pct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5E25C25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pl"/>
              </w:rPr>
              <w:t>Skuteczne usuwanie/manipulowanie ciałami obcymi</w:t>
            </w:r>
          </w:p>
        </w:tc>
      </w:tr>
      <w:tr w:rsidR="00942C1E" w:rsidRPr="009461CC" w14:paraId="5EE8C36D" w14:textId="77777777" w:rsidTr="00607046">
        <w:trPr>
          <w:tblCellSpacing w:w="15" w:type="dxa"/>
          <w:jc w:val="center"/>
        </w:trPr>
        <w:tc>
          <w:tcPr>
            <w:tcW w:w="1443" w:type="pct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C7EA7EC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pl"/>
              </w:rPr>
              <w:t>Wskaźnik sukcesu klinicznego</w:t>
            </w:r>
          </w:p>
        </w:tc>
        <w:tc>
          <w:tcPr>
            <w:tcW w:w="3514" w:type="pct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01FCEBA5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pl"/>
              </w:rPr>
              <w:t>Skuteczne usuwanie/manipulacja bez powikłań zabiegowych</w:t>
            </w:r>
          </w:p>
        </w:tc>
      </w:tr>
    </w:tbl>
    <w:p w14:paraId="6CABCDF2" w14:textId="77777777" w:rsidR="004F7F77" w:rsidRPr="009461CC" w:rsidRDefault="004F7F77" w:rsidP="00C97841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7626"/>
      </w:tblGrid>
      <w:tr w:rsidR="00607046" w:rsidRPr="009461CC" w14:paraId="62F22A34" w14:textId="77777777" w:rsidTr="004241EF">
        <w:trPr>
          <w:tblHeader/>
          <w:tblCellSpacing w:w="15" w:type="dxa"/>
          <w:jc w:val="center"/>
        </w:trPr>
        <w:tc>
          <w:tcPr>
            <w:tcW w:w="0" w:type="auto"/>
            <w:gridSpan w:val="2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42B79F3" w14:textId="77777777" w:rsidR="00607046" w:rsidRPr="009461CC" w:rsidRDefault="00607046" w:rsidP="006070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pl"/>
              </w:rPr>
              <w:t>Środki bezpieczeństwa</w:t>
            </w:r>
          </w:p>
        </w:tc>
      </w:tr>
      <w:tr w:rsidR="00607046" w:rsidRPr="009461CC" w14:paraId="6CEF70FC" w14:textId="77777777" w:rsidTr="004241EF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F49FF4D" w14:textId="77777777" w:rsidR="00607046" w:rsidRPr="009461CC" w:rsidRDefault="00607046" w:rsidP="004241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pl"/>
              </w:rPr>
              <w:t>Wskaźnik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4D43B30" w14:textId="77777777" w:rsidR="00607046" w:rsidRPr="009461CC" w:rsidRDefault="00607046" w:rsidP="004241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pl"/>
              </w:rPr>
              <w:t>Definicja</w:t>
            </w:r>
          </w:p>
        </w:tc>
      </w:tr>
      <w:tr w:rsidR="00607046" w:rsidRPr="009461CC" w14:paraId="11F5FD97" w14:textId="77777777" w:rsidTr="004241EF">
        <w:trPr>
          <w:tblCellSpacing w:w="15" w:type="dxa"/>
          <w:jc w:val="center"/>
        </w:trPr>
        <w:tc>
          <w:tcPr>
            <w:tcW w:w="0" w:type="auto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8CE5781" w14:textId="77777777" w:rsidR="00607046" w:rsidRPr="009461CC" w:rsidRDefault="00607046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pl"/>
              </w:rPr>
              <w:t>Potencjalne powikłania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EFFAF53" w14:textId="77777777" w:rsidR="00607046" w:rsidRPr="009461CC" w:rsidRDefault="00607046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pl"/>
              </w:rPr>
              <w:t>Obejmuje krwawienie, perforację, zator, zakażenie, reakcję alergiczną, ból</w:t>
            </w:r>
          </w:p>
        </w:tc>
      </w:tr>
      <w:tr w:rsidR="00607046" w:rsidRPr="009461CC" w14:paraId="6CA744C3" w14:textId="77777777" w:rsidTr="004241EF">
        <w:trPr>
          <w:tblCellSpacing w:w="15" w:type="dxa"/>
          <w:jc w:val="center"/>
        </w:trPr>
        <w:tc>
          <w:tcPr>
            <w:tcW w:w="0" w:type="auto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250E35B1" w14:textId="77777777" w:rsidR="00607046" w:rsidRPr="009461CC" w:rsidRDefault="00607046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pl"/>
              </w:rPr>
              <w:t>Ogólny wskaźnik powikłań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2D2E84BE" w14:textId="77777777" w:rsidR="00607046" w:rsidRPr="009461CC" w:rsidRDefault="00607046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pl"/>
              </w:rPr>
              <w:t>Łączna częstość występowania wszystkich zdarzeń niepożądanych w trakcie lub po zabiegu</w:t>
            </w:r>
          </w:p>
        </w:tc>
      </w:tr>
    </w:tbl>
    <w:p w14:paraId="4A64B2C8" w14:textId="77777777" w:rsidR="00607046" w:rsidRPr="009461CC" w:rsidRDefault="00607046" w:rsidP="00C97841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10E95C55" w14:textId="35E4246E" w:rsidR="00050F24" w:rsidRPr="009461CC" w:rsidRDefault="00050F24" w:rsidP="00050F24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pl"/>
        </w:rPr>
        <w:t>Podsumowanie wskaźników sukcesu dla wskaźników wyników pętli naczyniowej Atrieve:</w:t>
      </w:r>
    </w:p>
    <w:p w14:paraId="5B675D80" w14:textId="77777777" w:rsidR="00EE18FA" w:rsidRPr="009461CC" w:rsidRDefault="00EE18FA" w:rsidP="00050F24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6387EAAA" w14:textId="6A98A9F8" w:rsidR="00050F24" w:rsidRPr="009461CC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pl"/>
        </w:rPr>
        <w:t>Wskaźnik sukcesu technicznego był doskonały, na poziomie 100%.</w:t>
      </w:r>
    </w:p>
    <w:p w14:paraId="70426807" w14:textId="6A68FCB6" w:rsidR="00050F24" w:rsidRPr="009461CC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pl"/>
        </w:rPr>
        <w:t>Wskaźnik sukcesu klinicznego wyniósł 94,5%, co stanowi wynik nieznacznie poniżej progu 97,4%.</w:t>
      </w:r>
    </w:p>
    <w:p w14:paraId="3E9DC071" w14:textId="055EE80D" w:rsidR="00050F24" w:rsidRPr="009461CC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pl"/>
        </w:rPr>
        <w:t>Całkowity wskaźnik powikłań, perforacji/uszkodzeń tkanek i sukcesu klinicznego nie spełniły kryteriów akceptacji.</w:t>
      </w:r>
    </w:p>
    <w:p w14:paraId="44EC781B" w14:textId="7DA02325" w:rsidR="00050F24" w:rsidRPr="009461CC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pl"/>
        </w:rPr>
        <w:t>Wskaźniki zatorów, bólu i śmiertelności wyniosły 0% i spełniły kryteria.</w:t>
      </w:r>
    </w:p>
    <w:p w14:paraId="05E37DDA" w14:textId="77777777" w:rsidR="00EE18FA" w:rsidRPr="009461CC" w:rsidRDefault="00EE18FA" w:rsidP="00EE18FA">
      <w:pPr>
        <w:pStyle w:val="ListParagraph"/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3F2FC7C2" w14:textId="2808A8DE" w:rsidR="00050F24" w:rsidRPr="009461CC" w:rsidRDefault="00050F24" w:rsidP="00EE18FA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pl"/>
        </w:rPr>
        <w:t>Mimo że niektóre punkty końcowe dotyczące bezpieczeństwa przekroczyły progi, profil korzyści i ryzyka pozostał korzystny ze względu na wysoki poziom sukcesu technicznego i niewielkie nasilenie powikłań.</w:t>
      </w:r>
    </w:p>
    <w:p w14:paraId="2F8EAFF0" w14:textId="77777777" w:rsidR="00AA7F1D" w:rsidRPr="009461CC" w:rsidRDefault="00AA7F1D" w:rsidP="00D47200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7A0B3597" w14:textId="24A6D6E4" w:rsidR="00D47200" w:rsidRPr="009461CC" w:rsidRDefault="00AA7F1D" w:rsidP="00D47200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pl"/>
        </w:rPr>
        <w:t>Twierdzenia kliniczne w instrukcjach stosowania i materiałach marketingowych</w:t>
      </w:r>
    </w:p>
    <w:p w14:paraId="7DADA029" w14:textId="6C6ECAD3" w:rsidR="001F48BA" w:rsidRPr="009461CC" w:rsidRDefault="00C01A53" w:rsidP="00D52DF8">
      <w:pPr>
        <w:spacing w:after="0" w:afterAutospacing="0" w:line="240" w:lineRule="auto"/>
        <w:rPr>
          <w:rFonts w:cs="Times New Roman"/>
          <w:iCs/>
          <w:szCs w:val="24"/>
        </w:rPr>
      </w:pPr>
      <w:r>
        <w:rPr>
          <w:rFonts w:cs="Times New Roman"/>
          <w:szCs w:val="24"/>
          <w:lang w:val="pl"/>
        </w:rPr>
        <w:t>Poniższe twierdzenia są poparte oceną kliniczną:</w:t>
      </w:r>
    </w:p>
    <w:p w14:paraId="19E8DAE4" w14:textId="77777777" w:rsidR="00EE18FA" w:rsidRPr="009461CC" w:rsidRDefault="00EE18FA" w:rsidP="00D52DF8">
      <w:pPr>
        <w:spacing w:after="0" w:afterAutospacing="0" w:line="240" w:lineRule="auto"/>
        <w:rPr>
          <w:rFonts w:cs="Times New Roman"/>
          <w:iCs/>
          <w:szCs w:val="24"/>
        </w:rPr>
      </w:pPr>
    </w:p>
    <w:p w14:paraId="7925D059" w14:textId="1A5A89DA" w:rsidR="003859AF" w:rsidRPr="009461CC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</w:rPr>
      </w:pPr>
      <w:r>
        <w:rPr>
          <w:rFonts w:cs="Times New Roman"/>
          <w:szCs w:val="24"/>
          <w:lang w:val="pl"/>
        </w:rPr>
        <w:t>Przezskórne usuwanie/manipulacja ciałami obcymi – poparte 100% sukcesem technicznym w literaturze.</w:t>
      </w:r>
    </w:p>
    <w:p w14:paraId="3AB6E45D" w14:textId="783809AA" w:rsidR="003859AF" w:rsidRPr="009461CC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</w:rPr>
      </w:pPr>
      <w:r>
        <w:rPr>
          <w:rFonts w:cs="Times New Roman"/>
          <w:szCs w:val="24"/>
          <w:lang w:val="pl"/>
        </w:rPr>
        <w:t>Niższy wskaźnik powikłań niż w przypadku interwencji chirurgicznej – potwierdzony literaturą porównawczą i analizą najnowocześniejszych rozwiązań (SOA).</w:t>
      </w:r>
    </w:p>
    <w:p w14:paraId="15638B58" w14:textId="335CFE86" w:rsidR="003859AF" w:rsidRPr="009461CC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</w:rPr>
      </w:pPr>
      <w:r>
        <w:rPr>
          <w:rFonts w:cs="Times New Roman"/>
          <w:szCs w:val="24"/>
          <w:lang w:val="pl"/>
        </w:rPr>
        <w:t>Zastosowanie w procedurach uzupełniających (np. usuwanie osłonki fibrynowej, zmiana położenia cewnika) – poparte raportami klinicznymi i wytycznymi proceduralnymi.</w:t>
      </w:r>
    </w:p>
    <w:p w14:paraId="351D383E" w14:textId="7EB46C62" w:rsidR="00C01A53" w:rsidRPr="009461CC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</w:rPr>
      </w:pPr>
      <w:r>
        <w:rPr>
          <w:rFonts w:cs="Times New Roman"/>
          <w:szCs w:val="24"/>
          <w:lang w:val="pl"/>
        </w:rPr>
        <w:t>Bezpieczeństwo dla populacji dorosłych – potwierdzone nadzorem po wprowadzeniu do obrotu i danymi z literatury.</w:t>
      </w:r>
    </w:p>
    <w:p w14:paraId="68D32F33" w14:textId="77777777" w:rsidR="005D424F" w:rsidRPr="009461CC" w:rsidRDefault="005D424F" w:rsidP="005D424F">
      <w:pPr>
        <w:spacing w:after="0" w:afterAutospacing="0" w:line="240" w:lineRule="auto"/>
        <w:rPr>
          <w:rFonts w:cs="Times New Roman"/>
          <w:iCs/>
          <w:szCs w:val="24"/>
        </w:rPr>
      </w:pPr>
    </w:p>
    <w:p w14:paraId="76063689" w14:textId="3006D09D" w:rsidR="005D424F" w:rsidRPr="009461CC" w:rsidRDefault="005D424F" w:rsidP="005D424F">
      <w:pPr>
        <w:spacing w:after="0" w:afterAutospacing="0" w:line="240" w:lineRule="auto"/>
        <w:rPr>
          <w:rFonts w:cs="Times New Roman"/>
          <w:iCs/>
          <w:szCs w:val="24"/>
        </w:rPr>
      </w:pPr>
      <w:r>
        <w:rPr>
          <w:rFonts w:cs="Times New Roman"/>
          <w:szCs w:val="24"/>
          <w:lang w:val="pl"/>
        </w:rPr>
        <w:t>Pętle naczyniowe Atrieve charakteryzują się korzystnym stosunkiem korzyści do ryzyka, a ich wysoka skuteczność kliniczna i bezpieczeństwo są potwierdzone w literaturze, testach i danych po wprowadzeniu do obrotu. Spełniają one wymogi norm regulacyjnych i nadają się do dalszego stosowania klinicznego.</w:t>
      </w:r>
    </w:p>
    <w:p w14:paraId="653883C0" w14:textId="77777777" w:rsidR="003859AF" w:rsidRPr="009461CC" w:rsidRDefault="003859AF" w:rsidP="003859AF">
      <w:pPr>
        <w:spacing w:after="0" w:afterAutospacing="0" w:line="240" w:lineRule="auto"/>
        <w:rPr>
          <w:rFonts w:cs="Times New Roman"/>
          <w:iCs/>
          <w:szCs w:val="24"/>
        </w:rPr>
      </w:pPr>
    </w:p>
    <w:p w14:paraId="6DCFA27A" w14:textId="12CF0A2D" w:rsidR="00C91927" w:rsidRPr="009461CC" w:rsidRDefault="008745ED" w:rsidP="00C91927">
      <w:pPr>
        <w:pStyle w:val="Heading1"/>
        <w:rPr>
          <w:rFonts w:cs="Times New Roman"/>
          <w:color w:val="auto"/>
        </w:rPr>
      </w:pPr>
      <w:bookmarkStart w:id="76" w:name="_Toc222741599"/>
      <w:r>
        <w:rPr>
          <w:rFonts w:cs="Times New Roman"/>
          <w:bCs/>
          <w:color w:val="auto"/>
          <w:lang w:val="pl"/>
        </w:rPr>
        <w:t>Bieżąca lub planowana obserwacja kliniczna po wprowadzeniu do obrotu</w:t>
      </w:r>
      <w:bookmarkEnd w:id="76"/>
    </w:p>
    <w:p w14:paraId="494CEDC3" w14:textId="10523200" w:rsidR="0094476E" w:rsidRPr="009461CC" w:rsidRDefault="003B4C77" w:rsidP="00C91927">
      <w:pPr>
        <w:spacing w:line="240" w:lineRule="auto"/>
        <w:rPr>
          <w:rFonts w:cs="Times New Roman"/>
          <w:highlight w:val="yellow"/>
        </w:rPr>
      </w:pPr>
      <w:r>
        <w:rPr>
          <w:rFonts w:cs="Times New Roman"/>
          <w:lang w:val="pl"/>
        </w:rPr>
        <w:t>Badania kliniczne po wprowadzeniu pętli naczyniowej Atrieve na rynek przeprowadzane są zgodnie z wytycznymi PMCFP-029 Rev C oraz wymogami części B załącznika XIV do rozporządzenia MDR. Działania PMCF mają na celu proaktywne potwierdzanie bezpieczeństwa i skuteczności wyrobu w rutynowej praktyce klinicznej, wykrycie wszelkich pojawiających się zagrożeń oraz sprawdzenie, czy charakterystyka korzyści i ryzyka pozostaje akceptowalna.</w:t>
      </w:r>
    </w:p>
    <w:p w14:paraId="58642C16" w14:textId="276C8BA1" w:rsidR="00E541DE" w:rsidRPr="009461CC" w:rsidRDefault="00E541DE" w:rsidP="00E541DE">
      <w:pPr>
        <w:pStyle w:val="NormalWeb"/>
      </w:pPr>
      <w:r>
        <w:rPr>
          <w:rStyle w:val="Strong"/>
          <w:lang w:val="pl"/>
        </w:rPr>
        <w:t>Ustawiczne działania PMCF</w:t>
      </w:r>
      <w:r>
        <w:rPr>
          <w:lang w:val="pl"/>
        </w:rPr>
        <w:br/>
        <w:t>W trakcie całego cyklu życia urządzenia planowane jest wykonywanie następujących czynności:</w:t>
      </w:r>
    </w:p>
    <w:p w14:paraId="15FC3A69" w14:textId="31C9D895" w:rsidR="00E541DE" w:rsidRPr="009461CC" w:rsidRDefault="00DE3CC0" w:rsidP="00E541DE">
      <w:pPr>
        <w:pStyle w:val="NormalWeb"/>
        <w:numPr>
          <w:ilvl w:val="0"/>
          <w:numId w:val="29"/>
        </w:numPr>
      </w:pPr>
      <w:r>
        <w:rPr>
          <w:rStyle w:val="Strong"/>
          <w:b w:val="0"/>
          <w:bCs w:val="0"/>
          <w:lang w:val="pl"/>
        </w:rPr>
        <w:t>Coroczny systematyczny przegląd literatury:</w:t>
      </w:r>
      <w:r>
        <w:rPr>
          <w:lang w:val="pl"/>
        </w:rPr>
        <w:t xml:space="preserve"> Przeprowadzono ustrukturyzowany przegląd opublikowanych dowodów klinicznych dotyczących pętli naczyniowych i porównywalnych wyrobów w celu zidentyfikowania nowych informacji na temat bezpieczeństwa, wydajności, technik klinicznych i pojawiających się zagrożeń.</w:t>
      </w:r>
    </w:p>
    <w:p w14:paraId="08598FA3" w14:textId="6BDEE605" w:rsidR="00E541DE" w:rsidRPr="009461CC" w:rsidRDefault="00DE3CC0" w:rsidP="00E541DE">
      <w:pPr>
        <w:pStyle w:val="NormalWeb"/>
        <w:numPr>
          <w:ilvl w:val="0"/>
          <w:numId w:val="29"/>
        </w:numPr>
      </w:pPr>
      <w:r>
        <w:rPr>
          <w:rStyle w:val="Strong"/>
          <w:b w:val="0"/>
          <w:bCs w:val="0"/>
          <w:lang w:val="pl"/>
        </w:rPr>
        <w:t>Coroczny przegląd najnowocześniejszych rozwiązań (SOA):</w:t>
      </w:r>
      <w:r>
        <w:rPr>
          <w:lang w:val="pl"/>
        </w:rPr>
        <w:t xml:space="preserve"> Przeprowadzana jest ocena wytycznych dotyczących praktyki klinicznej, norm międzynarodowych i konkurencyjnych technologii w celu zapewnienia ciągłej zgodności z aktualną praktyką kliniczną i techniczną.</w:t>
      </w:r>
    </w:p>
    <w:p w14:paraId="6EE80A3F" w14:textId="77777777" w:rsidR="00E541DE" w:rsidRPr="009461CC" w:rsidRDefault="00E541DE" w:rsidP="00E541DE">
      <w:pPr>
        <w:pStyle w:val="NormalWeb"/>
        <w:numPr>
          <w:ilvl w:val="0"/>
          <w:numId w:val="29"/>
        </w:numPr>
      </w:pPr>
      <w:r>
        <w:rPr>
          <w:rStyle w:val="Strong"/>
          <w:b w:val="0"/>
          <w:bCs w:val="0"/>
          <w:lang w:val="pl"/>
        </w:rPr>
        <w:t>Ciągły przegląd danych dotyczących skarg i zdarzeń niepożądanych:</w:t>
      </w:r>
      <w:r>
        <w:rPr>
          <w:lang w:val="pl"/>
        </w:rPr>
        <w:t xml:space="preserve"> Mimo że jest to działanie PMS, a nie PMCF, kluczowe ustalenia są oceniane w ramach procesu PMCF w celu ustalenia, czy konieczne są dodatkowe badania kliniczne.</w:t>
      </w:r>
    </w:p>
    <w:p w14:paraId="39597E9A" w14:textId="6355C341" w:rsidR="009E1EBB" w:rsidRPr="009461CC" w:rsidRDefault="009E1EBB" w:rsidP="006D7F85">
      <w:pPr>
        <w:pStyle w:val="NormalWeb"/>
      </w:pPr>
      <w:r>
        <w:rPr>
          <w:rStyle w:val="Strong"/>
          <w:lang w:val="pl"/>
        </w:rPr>
        <w:t>Zaplanowane działania PMCF</w:t>
      </w:r>
      <w:r>
        <w:rPr>
          <w:lang w:val="pl"/>
        </w:rPr>
        <w:br/>
        <w:t xml:space="preserve">W celu zgromadzenia konkretnych danych z rzeczywistego wykorzystania Zestawu </w:t>
      </w:r>
      <w:r w:rsidR="006D7F85">
        <w:rPr>
          <w:lang w:val="pl"/>
        </w:rPr>
        <w:t xml:space="preserve">Snare </w:t>
      </w:r>
      <w:r>
        <w:rPr>
          <w:lang w:val="pl"/>
        </w:rPr>
        <w:t>naczyniowej Atrieve, zaplanowano następujące działania:</w:t>
      </w:r>
    </w:p>
    <w:p w14:paraId="395AA027" w14:textId="77777777" w:rsidR="009E1EBB" w:rsidRPr="009461CC" w:rsidRDefault="009E1EBB" w:rsidP="009E1EBB">
      <w:pPr>
        <w:pStyle w:val="NormalWeb"/>
        <w:numPr>
          <w:ilvl w:val="0"/>
          <w:numId w:val="32"/>
        </w:numPr>
      </w:pPr>
      <w:r>
        <w:rPr>
          <w:rStyle w:val="Strong"/>
          <w:lang w:val="pl"/>
        </w:rPr>
        <w:t>Ankieta wśród lekarzy PMCF:</w:t>
      </w:r>
      <w:r>
        <w:rPr>
          <w:lang w:val="pl"/>
        </w:rPr>
        <w:br/>
        <w:t xml:space="preserve">Wśród użytkowników klinicznych przeprowadzone zostanie badanie ankietowe mające na celu </w:t>
      </w:r>
      <w:r>
        <w:rPr>
          <w:lang w:val="pl"/>
        </w:rPr>
        <w:lastRenderedPageBreak/>
        <w:t>zebranie opinii na temat ich doświadczeń z wyrobem, ocenę jego działania w codziennej praktyce oraz wykrycie wszelkich zaobserwowanych powikłań lub nieoczekiwanych zdarzeń. Wyniki ankiety zostaną przeanalizowane i uwzględnione w Raporcie ewaluacyjnym PMCF. Wyniki badań pozwolą na podjęcie decyzji odnośnie do konieczności podjęcia dodatkowych działań PMCF lub aktualizacji Raportu z oceny klinicznej (CER) i Raportu z zarządzania ryzykiem (RMR).</w:t>
      </w:r>
    </w:p>
    <w:p w14:paraId="1DED8B40" w14:textId="46750620" w:rsidR="00DE0007" w:rsidRPr="009461CC" w:rsidRDefault="00DE0007" w:rsidP="00DE0007">
      <w:pPr>
        <w:pStyle w:val="NormalWeb"/>
      </w:pPr>
      <w:r>
        <w:rPr>
          <w:rStyle w:val="Strong"/>
          <w:lang w:val="pl"/>
        </w:rPr>
        <w:t>Uzasadnienie metodologii PMCF</w:t>
      </w:r>
      <w:r>
        <w:rPr>
          <w:lang w:val="pl"/>
        </w:rPr>
        <w:br/>
        <w:t xml:space="preserve">Na podstawie aktualnej oceny klinicznej, dowodów z literatury i doświadczeń po wprowadzeniu wyrobu na rynek nie zidentyfikowano żadnych nowych lub pojawiających się zagrożeń, które wymagałyby przeprowadzenia badań klinicznych dotyczących konkretnego wyrobu. Dotychczasowe działania PMCF, coroczne przeglądy literatury i SOA, poparte ukierunkowanymi opiniami lekarzy, uznano za wystarczające, aby potwierdzić stałe bezpieczeństwo i wydajność tego dobrze znanego wyrobu klasy III, Zestawu </w:t>
      </w:r>
      <w:r w:rsidR="006D7F85">
        <w:rPr>
          <w:lang w:val="pl"/>
        </w:rPr>
        <w:t xml:space="preserve">Snare </w:t>
      </w:r>
      <w:r>
        <w:rPr>
          <w:lang w:val="pl"/>
        </w:rPr>
        <w:t>naczyniowej Atrieve.</w:t>
      </w:r>
    </w:p>
    <w:p w14:paraId="3DA3C9CA" w14:textId="77777777" w:rsidR="005B4422" w:rsidRPr="009461CC" w:rsidRDefault="005B4422" w:rsidP="005B4422">
      <w:pPr>
        <w:pStyle w:val="NormalWeb"/>
        <w:spacing w:before="0" w:beforeAutospacing="0" w:after="0" w:afterAutospacing="0"/>
      </w:pPr>
      <w:r>
        <w:rPr>
          <w:rStyle w:val="Strong"/>
          <w:lang w:val="pl"/>
        </w:rPr>
        <w:t>Raportowanie PMCF</w:t>
      </w:r>
    </w:p>
    <w:p w14:paraId="5C389055" w14:textId="14E4D114" w:rsidR="0094476E" w:rsidRDefault="00B04139" w:rsidP="007002E4">
      <w:pPr>
        <w:pStyle w:val="NormalWeb"/>
        <w:spacing w:before="0" w:beforeAutospacing="0" w:after="0" w:afterAutospacing="0"/>
      </w:pPr>
      <w:r>
        <w:rPr>
          <w:lang w:val="pl"/>
        </w:rPr>
        <w:t>Raport PMCF jest generowany w określonych odstępach czasu oraz zawsze wtedy, gdy pojawią się nowe informacje mogące mieć wpływ na profil korzyści i ryzyka. Wszystkie wyniki PMCF są uwzględniane w Raporcie z oceny klinicznej (CER), Raporcie z zarządzania ryzykiem (RMR) i innych procesach realizowanych po wprowadzeniu produktu na rynek, jeśli zajdzie taka potrzeba.</w:t>
      </w:r>
    </w:p>
    <w:p w14:paraId="09D946B7" w14:textId="77777777" w:rsidR="007002E4" w:rsidRPr="007002E4" w:rsidRDefault="007002E4" w:rsidP="007002E4">
      <w:pPr>
        <w:pStyle w:val="NormalWeb"/>
        <w:spacing w:before="0" w:beforeAutospacing="0" w:after="0" w:afterAutospacing="0"/>
      </w:pPr>
    </w:p>
    <w:p w14:paraId="748C3FE5" w14:textId="1D19292C" w:rsidR="00760400" w:rsidRPr="009461CC" w:rsidRDefault="00760400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7" w:name="_Toc222741600"/>
      <w:r>
        <w:rPr>
          <w:rFonts w:cs="Times New Roman"/>
          <w:bCs/>
          <w:lang w:val="pl"/>
        </w:rPr>
        <w:t>Możliwe alternatywy diagnostyczne lub terapeutyczne</w:t>
      </w:r>
      <w:bookmarkEnd w:id="77"/>
      <w:r>
        <w:rPr>
          <w:rFonts w:cs="Times New Roman"/>
          <w:bCs/>
          <w:lang w:val="pl"/>
        </w:rPr>
        <w:t xml:space="preserve"> </w:t>
      </w:r>
    </w:p>
    <w:p w14:paraId="60C316BA" w14:textId="4177FF86" w:rsidR="00042B91" w:rsidRPr="009461CC" w:rsidRDefault="008373C6" w:rsidP="00AB04FB">
      <w:pPr>
        <w:rPr>
          <w:rFonts w:cs="Times New Roman"/>
        </w:rPr>
      </w:pPr>
      <w:r>
        <w:rPr>
          <w:rFonts w:cs="Times New Roman"/>
          <w:lang w:val="pl"/>
        </w:rPr>
        <w:t>Zgodnie z normą CER-029 Rev B, określono trzy główne alternatywy usuwania ciał obcych (FB) z układu sercowo-naczyniowego. U pacjentów bezobjawowych lub wysokiego ryzyka poddawanych zabiegowi chirurgicznemu zaleca się leczenie zachowawcze, polegające na ścisłym monitorowaniu i obrazowaniu, gdy interwencja może wiązać się z większym ryzykiem. Preferowanym podejściem są techniki małoinwazyjne, przy czym do standardowego i skomplikowanego usuwania powszechnie stosuje się pętle, zwłaszcza pętle typu „gęsia szyja”. Kleszcze zapewniają precyzyjny chwyt i nadają się do trudnych przypadków, na przykład w przypadku złamanych lub wbitych urządzeń. Usunięcie chirurgiczne, takie jak torakotomia lub sternotomia, jest ostatecznością ze względu na inwazyjność i wyższe ryzyko dla pacjenta. Ogólnie rzecz biorąc, standardem opieki pozostaje usuwanie ciała obcego metodą wewnątrznaczyniową, a sposób leczenia dostosowuje się do stanu pacjenta i charakterystyki ciała obcego.</w:t>
      </w:r>
    </w:p>
    <w:p w14:paraId="2CDE6FBF" w14:textId="77777777" w:rsidR="00042B91" w:rsidRPr="009461CC" w:rsidRDefault="00042B91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8" w:name="_Toc222741601"/>
      <w:r>
        <w:rPr>
          <w:rFonts w:cs="Times New Roman"/>
          <w:bCs/>
          <w:lang w:val="pl"/>
        </w:rPr>
        <w:t>Sugerowany profil i szkolenie dla użytkowników</w:t>
      </w:r>
      <w:bookmarkEnd w:id="78"/>
    </w:p>
    <w:p w14:paraId="35173865" w14:textId="0C72FD3E" w:rsidR="00042B91" w:rsidRPr="009461CC" w:rsidRDefault="00A5239F" w:rsidP="00042B91">
      <w:pPr>
        <w:spacing w:after="0" w:afterAutospacing="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pl"/>
        </w:rPr>
        <w:t>Produkt przeznaczony jest do użycia wyłącznie przez wykwalifikowany personel, zaznajomiony z techniką jego stosowania.</w:t>
      </w:r>
    </w:p>
    <w:p w14:paraId="21A7D581" w14:textId="77777777" w:rsidR="00A5239F" w:rsidRPr="009461CC" w:rsidRDefault="00A5239F" w:rsidP="00042B91">
      <w:pPr>
        <w:spacing w:after="0" w:afterAutospacing="0" w:line="240" w:lineRule="auto"/>
        <w:rPr>
          <w:rFonts w:cs="Times New Roman"/>
          <w:i/>
          <w:color w:val="FF0000"/>
          <w:highlight w:val="yellow"/>
        </w:rPr>
      </w:pPr>
    </w:p>
    <w:p w14:paraId="7848B753" w14:textId="692785D6" w:rsidR="0037316E" w:rsidRPr="009461CC" w:rsidRDefault="00760400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9" w:name="_Toc222741602"/>
      <w:r>
        <w:rPr>
          <w:rFonts w:cs="Times New Roman"/>
          <w:bCs/>
          <w:lang w:val="pl"/>
        </w:rPr>
        <w:t>Zharmonizowane normy / wspólne specyfikacje</w:t>
      </w:r>
      <w:bookmarkEnd w:id="79"/>
    </w:p>
    <w:tbl>
      <w:tblPr>
        <w:tblStyle w:val="TableGrid"/>
        <w:tblW w:w="4959" w:type="pct"/>
        <w:tblLook w:val="04A0" w:firstRow="1" w:lastRow="0" w:firstColumn="1" w:lastColumn="0" w:noHBand="0" w:noVBand="1"/>
      </w:tblPr>
      <w:tblGrid>
        <w:gridCol w:w="2336"/>
        <w:gridCol w:w="8008"/>
      </w:tblGrid>
      <w:tr w:rsidR="0094168A" w:rsidRPr="009461CC" w14:paraId="04F3E487" w14:textId="77777777" w:rsidTr="00293453">
        <w:trPr>
          <w:tblHeader/>
        </w:trPr>
        <w:tc>
          <w:tcPr>
            <w:tcW w:w="1129" w:type="pct"/>
          </w:tcPr>
          <w:p w14:paraId="5EEB168D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pl"/>
              </w:rPr>
              <w:t>Data/wersja zgodności z normami firmy Argon</w:t>
            </w:r>
          </w:p>
        </w:tc>
        <w:tc>
          <w:tcPr>
            <w:tcW w:w="3871" w:type="pct"/>
          </w:tcPr>
          <w:p w14:paraId="7BCD1036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pl"/>
              </w:rPr>
              <w:t>Tytuł normy</w:t>
            </w:r>
          </w:p>
        </w:tc>
      </w:tr>
      <w:tr w:rsidR="0094168A" w:rsidRPr="009461CC" w14:paraId="67124770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1B92BABB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pl"/>
              </w:rPr>
              <w:t>Oznakowanie</w:t>
            </w:r>
          </w:p>
        </w:tc>
      </w:tr>
      <w:tr w:rsidR="0094168A" w:rsidRPr="009461CC" w14:paraId="25DF072C" w14:textId="77777777" w:rsidTr="00293453">
        <w:tc>
          <w:tcPr>
            <w:tcW w:w="1129" w:type="pct"/>
          </w:tcPr>
          <w:p w14:paraId="434B73AC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pl"/>
              </w:rPr>
              <w:t>EN ISO 15223-1:2021</w:t>
            </w:r>
          </w:p>
        </w:tc>
        <w:tc>
          <w:tcPr>
            <w:tcW w:w="3871" w:type="pct"/>
          </w:tcPr>
          <w:p w14:paraId="40A15B1C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 xml:space="preserve">Wyroby medyczne - Symbole do stosowania na etykietach wyrobów medycznych. </w:t>
            </w:r>
          </w:p>
          <w:p w14:paraId="093121E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lastRenderedPageBreak/>
              <w:t xml:space="preserve">w ich oznakowaniu i w dostarczanych z nimi informacjach – Część 1: Wymagania ogólne. </w:t>
            </w:r>
          </w:p>
          <w:p w14:paraId="3CEE87D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</w:p>
        </w:tc>
      </w:tr>
      <w:tr w:rsidR="0094168A" w:rsidRPr="009461CC" w14:paraId="13723641" w14:textId="77777777" w:rsidTr="00293453">
        <w:tc>
          <w:tcPr>
            <w:tcW w:w="1129" w:type="pct"/>
          </w:tcPr>
          <w:p w14:paraId="7822ED4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lastRenderedPageBreak/>
              <w:t>EN ISO 20417:2021</w:t>
            </w:r>
          </w:p>
        </w:tc>
        <w:tc>
          <w:tcPr>
            <w:tcW w:w="3871" w:type="pct"/>
          </w:tcPr>
          <w:p w14:paraId="6EF6F71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Terminologia, symbole i informacje dostarczane wraz z wyrobami medycznymi: Informacje dostarczane przez wytwórcę</w:t>
            </w:r>
          </w:p>
        </w:tc>
      </w:tr>
      <w:tr w:rsidR="0094168A" w:rsidRPr="009461CC" w14:paraId="26B8C057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1F9809B2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pl"/>
              </w:rPr>
              <w:t>Normy ogólne – Sterylizacja</w:t>
            </w:r>
          </w:p>
        </w:tc>
      </w:tr>
      <w:tr w:rsidR="0094168A" w:rsidRPr="009461CC" w14:paraId="7C28E0D3" w14:textId="77777777" w:rsidTr="00293453">
        <w:tc>
          <w:tcPr>
            <w:tcW w:w="1129" w:type="pct"/>
          </w:tcPr>
          <w:p w14:paraId="0416000A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ISO 10555-1:2013</w:t>
            </w:r>
          </w:p>
        </w:tc>
        <w:tc>
          <w:tcPr>
            <w:tcW w:w="3871" w:type="pct"/>
          </w:tcPr>
          <w:p w14:paraId="5B0C265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Cewniki wewnątrznaczyniowe -- Cewniki sterylne i jednorazowego użytku -- Część 1: Wymagania ogólne</w:t>
            </w:r>
          </w:p>
        </w:tc>
      </w:tr>
      <w:tr w:rsidR="0094168A" w:rsidRPr="009461CC" w14:paraId="088E27B4" w14:textId="77777777" w:rsidTr="00293453">
        <w:tc>
          <w:tcPr>
            <w:tcW w:w="1129" w:type="pct"/>
          </w:tcPr>
          <w:p w14:paraId="47460872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EN 556-1:2024</w:t>
            </w:r>
          </w:p>
        </w:tc>
        <w:tc>
          <w:tcPr>
            <w:tcW w:w="3871" w:type="pct"/>
          </w:tcPr>
          <w:p w14:paraId="64BED8C0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Sterylizacja wyrobów medycznych. Wymagania dotyczące urządzeń medycznych, które mają zostać oznaczone jako STERYLNE. Wymagania dotyczące finalnie sterylizowanych wyrobów medycznych</w:t>
            </w:r>
          </w:p>
        </w:tc>
      </w:tr>
      <w:tr w:rsidR="0094168A" w:rsidRPr="009461CC" w14:paraId="4DEE0525" w14:textId="77777777" w:rsidTr="00293453">
        <w:tc>
          <w:tcPr>
            <w:tcW w:w="1129" w:type="pct"/>
          </w:tcPr>
          <w:p w14:paraId="5095D1B9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EN ISO 11135:2019</w:t>
            </w:r>
          </w:p>
        </w:tc>
        <w:tc>
          <w:tcPr>
            <w:tcW w:w="3871" w:type="pct"/>
          </w:tcPr>
          <w:p w14:paraId="1E9B7BE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Sterylizacja produktów stosowanych w ochronie zdrowia - Tlenek etylenu - Część 1: Wymagania dotyczące opracowywania, walidacji i rutynowej kontroli procesu sterylizacji wyrobów medycznych</w:t>
            </w:r>
          </w:p>
        </w:tc>
      </w:tr>
      <w:tr w:rsidR="0094168A" w:rsidRPr="009461CC" w14:paraId="6B89F042" w14:textId="77777777" w:rsidTr="00293453">
        <w:tc>
          <w:tcPr>
            <w:tcW w:w="1129" w:type="pct"/>
          </w:tcPr>
          <w:p w14:paraId="3F48324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AAMI TIR28:2016</w:t>
            </w:r>
          </w:p>
          <w:p w14:paraId="4FBEE0AF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71" w:type="pct"/>
          </w:tcPr>
          <w:p w14:paraId="68BE6733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Przyjęcie produktu do stosowania i równoważność procesu sterylizacji tlenkiem etylenu</w:t>
            </w:r>
          </w:p>
        </w:tc>
      </w:tr>
      <w:tr w:rsidR="0094168A" w:rsidRPr="009461CC" w14:paraId="1E1CCCD6" w14:textId="77777777" w:rsidTr="00293453">
        <w:tc>
          <w:tcPr>
            <w:tcW w:w="1129" w:type="pct"/>
          </w:tcPr>
          <w:p w14:paraId="25D300ED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EN ISO 14644-1:2015</w:t>
            </w:r>
          </w:p>
        </w:tc>
        <w:tc>
          <w:tcPr>
            <w:tcW w:w="3871" w:type="pct"/>
          </w:tcPr>
          <w:p w14:paraId="2AD73BC5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Klasyfikacja czystości powietrza, pomieszczeń czystych i powiązanych środowisk kontrolowanych. Część 1: Klasyfikacja czystości powietrza</w:t>
            </w:r>
          </w:p>
        </w:tc>
      </w:tr>
      <w:tr w:rsidR="0094168A" w:rsidRPr="009461CC" w14:paraId="27E7EE41" w14:textId="77777777" w:rsidTr="00293453">
        <w:trPr>
          <w:trHeight w:val="1097"/>
        </w:trPr>
        <w:tc>
          <w:tcPr>
            <w:tcW w:w="1129" w:type="pct"/>
          </w:tcPr>
          <w:p w14:paraId="51EAE02B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EN ISO 14644-2:2015</w:t>
            </w:r>
          </w:p>
        </w:tc>
        <w:tc>
          <w:tcPr>
            <w:tcW w:w="3871" w:type="pct"/>
          </w:tcPr>
          <w:p w14:paraId="3AA6B4D4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 xml:space="preserve">Pomieszczenia czyste i powiązane z nimi kontrolowane środowiska – Część 2: Monitorowanie w celu wykazania ciągłej zgodności z klasą czystości powietrza. </w:t>
            </w:r>
          </w:p>
          <w:p w14:paraId="2873EF60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 xml:space="preserve">wyniki związane z czystością powietrza według stężenia. </w:t>
            </w:r>
          </w:p>
          <w:p w14:paraId="02B2FEDC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cząstek</w:t>
            </w:r>
          </w:p>
        </w:tc>
      </w:tr>
      <w:tr w:rsidR="0094168A" w:rsidRPr="009461CC" w14:paraId="0A4BF260" w14:textId="77777777" w:rsidTr="00293453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ED2A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pl"/>
              </w:rPr>
              <w:t>EN ISO 11737-1:2018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1B8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pl"/>
              </w:rPr>
              <w:t>Sterylizacja produktów ochrony zdrowia – Mikrobiologia – Część 1: Oznaczanie populacji żywych mikroorganizmów na produktach</w:t>
            </w:r>
          </w:p>
        </w:tc>
      </w:tr>
      <w:tr w:rsidR="0094168A" w:rsidRPr="009461CC" w14:paraId="79153AFF" w14:textId="77777777" w:rsidTr="00293453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13E9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pl"/>
              </w:rPr>
              <w:t>EN ISO 10993-7:2022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C9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pl"/>
              </w:rPr>
              <w:t>Biologiczna ocena wyrobów medycznych. Pozostałości po sterylizacji tlenkiem etylenu</w:t>
            </w:r>
          </w:p>
        </w:tc>
      </w:tr>
      <w:tr w:rsidR="0094168A" w:rsidRPr="009461CC" w14:paraId="255576C7" w14:textId="77777777" w:rsidTr="00293453">
        <w:tc>
          <w:tcPr>
            <w:tcW w:w="1129" w:type="pct"/>
          </w:tcPr>
          <w:p w14:paraId="3E85524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NSI/AAMI ST72:2019</w:t>
            </w:r>
          </w:p>
        </w:tc>
        <w:tc>
          <w:tcPr>
            <w:tcW w:w="3871" w:type="pct"/>
          </w:tcPr>
          <w:p w14:paraId="1BB2618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Test endotoksyn bakteryjnych</w:t>
            </w:r>
          </w:p>
        </w:tc>
      </w:tr>
      <w:tr w:rsidR="0094168A" w:rsidRPr="009461CC" w14:paraId="404997EC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5ABA833D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pl"/>
              </w:rPr>
              <w:t>Normy ogólne – Systemy jakości</w:t>
            </w:r>
          </w:p>
        </w:tc>
      </w:tr>
      <w:tr w:rsidR="0094168A" w:rsidRPr="009461CC" w14:paraId="63A55C82" w14:textId="77777777" w:rsidTr="00293453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0DA0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pl"/>
              </w:rPr>
              <w:t>EN ISO 13485:2016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AB9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pl"/>
              </w:rPr>
              <w:t>Wyroby medyczne. Systemy zarządzania jakością. Wymagania dla celów regulacyjnych</w:t>
            </w:r>
          </w:p>
        </w:tc>
      </w:tr>
      <w:tr w:rsidR="0094168A" w:rsidRPr="009461CC" w14:paraId="387B175B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59DAC316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pl"/>
              </w:rPr>
              <w:t>Zarządzanie ryzykiem</w:t>
            </w:r>
          </w:p>
        </w:tc>
      </w:tr>
      <w:tr w:rsidR="0094168A" w:rsidRPr="009461CC" w14:paraId="75307B89" w14:textId="77777777" w:rsidTr="00293453">
        <w:tc>
          <w:tcPr>
            <w:tcW w:w="1129" w:type="pct"/>
          </w:tcPr>
          <w:p w14:paraId="653BDB44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EN ISO 14971:2019</w:t>
            </w:r>
          </w:p>
        </w:tc>
        <w:tc>
          <w:tcPr>
            <w:tcW w:w="3871" w:type="pct"/>
          </w:tcPr>
          <w:p w14:paraId="4457BE6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Wyroby medyczne – Zastosowanie zarządzania ryzykiem do wyrobów medycznych</w:t>
            </w:r>
          </w:p>
        </w:tc>
      </w:tr>
      <w:tr w:rsidR="0094168A" w:rsidRPr="009461CC" w14:paraId="0412F728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60003C37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b/>
                <w:bCs/>
                <w:sz w:val="22"/>
                <w:lang w:val="pl"/>
              </w:rPr>
              <w:t>Bezpieczeństwo biologiczne</w:t>
            </w:r>
          </w:p>
        </w:tc>
      </w:tr>
      <w:tr w:rsidR="0094168A" w:rsidRPr="009461CC" w14:paraId="4EC2D858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5F9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>EN ISO 10993-1:2020 + LC:2021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02E8D" w14:textId="77777777" w:rsidR="0094168A" w:rsidRPr="009461CC" w:rsidRDefault="0094168A" w:rsidP="00293453">
            <w:pPr>
              <w:spacing w:after="14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Biologiczna ocena wyrobów medycznych - Część 1: </w:t>
            </w:r>
          </w:p>
          <w:p w14:paraId="1D869305" w14:textId="77777777" w:rsidR="0094168A" w:rsidRPr="009461CC" w:rsidRDefault="0094168A" w:rsidP="00293453">
            <w:pPr>
              <w:tabs>
                <w:tab w:val="left" w:pos="1320"/>
              </w:tabs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Ocena i badanie  </w:t>
            </w:r>
          </w:p>
        </w:tc>
      </w:tr>
      <w:tr w:rsidR="0094168A" w:rsidRPr="009461CC" w14:paraId="3496F1CB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844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>EN ISO 10993-3:2014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8F9B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Ocena biologiczna wyrobów medycznych – Część 3: Badania genotoksyczności, rakotwórczości i toksyczności reprodukcyjnej </w:t>
            </w:r>
          </w:p>
        </w:tc>
      </w:tr>
      <w:tr w:rsidR="0094168A" w:rsidRPr="009461CC" w14:paraId="5B12C58D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D356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>EN ISO 10993-4:2017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54DE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Biologiczna ocena wyrobów medycznych – Część 4: Wybór badań i ocena oddziaływań z krwią </w:t>
            </w:r>
          </w:p>
        </w:tc>
      </w:tr>
      <w:tr w:rsidR="0094168A" w:rsidRPr="009461CC" w14:paraId="6B4C18F9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AAA1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>EN ISO 10993-5:2009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DEB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Ocena biologiczna wyrobów medycznych – Część 5: Badania cytotoksyczności in vitro </w:t>
            </w:r>
          </w:p>
        </w:tc>
      </w:tr>
      <w:tr w:rsidR="0094168A" w:rsidRPr="009461CC" w14:paraId="0C8F61CC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0A62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>EN ISO 10993-10:2013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2A3E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Ocena biologiczna wyrobów medycznych – Część 10: Badania działania drażniącego i uczulającego na skórę </w:t>
            </w:r>
          </w:p>
        </w:tc>
      </w:tr>
      <w:tr w:rsidR="0094168A" w:rsidRPr="009461CC" w14:paraId="0E6AC70D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775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>EN ISO 10993-11:2018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598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Ocena biologiczna wyrobów medycznych – Część 11: Badania toksyczności układowej </w:t>
            </w:r>
          </w:p>
        </w:tc>
      </w:tr>
      <w:tr w:rsidR="0094168A" w:rsidRPr="009461CC" w14:paraId="4DA537CC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FA31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>EN ISO 10993-12:2021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F3AE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Biologiczna ocena wyrobów medycznych – Część 12: Przygotowanie próbek i odniesienia do badań </w:t>
            </w:r>
          </w:p>
        </w:tc>
      </w:tr>
      <w:tr w:rsidR="00586415" w:rsidRPr="009461CC" w14:paraId="5BDB3E61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4CB5" w14:textId="75B11B14" w:rsidR="00586415" w:rsidRPr="009461CC" w:rsidRDefault="00522664" w:rsidP="00586415">
            <w:pPr>
              <w:spacing w:after="0" w:afterAutospacing="0"/>
              <w:rPr>
                <w:rFonts w:eastAsia="Arial"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lastRenderedPageBreak/>
              <w:t>EN ISO 10993-17:2023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5B5F" w14:textId="1691BD78" w:rsidR="00586415" w:rsidRPr="009461CC" w:rsidRDefault="00586415" w:rsidP="00586415">
            <w:pPr>
              <w:spacing w:after="0" w:afterAutospacing="0"/>
              <w:rPr>
                <w:rFonts w:eastAsia="Arial"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>Ocena ryzyka toksykologicznego składników wyrobów medycznych</w:t>
            </w:r>
          </w:p>
        </w:tc>
      </w:tr>
      <w:tr w:rsidR="00586415" w:rsidRPr="009461CC" w14:paraId="14855AA5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781D3BA0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b/>
                <w:bCs/>
                <w:sz w:val="22"/>
                <w:lang w:val="pl"/>
              </w:rPr>
              <w:t>Ocena kliniczna</w:t>
            </w:r>
          </w:p>
        </w:tc>
      </w:tr>
      <w:tr w:rsidR="00586415" w:rsidRPr="009461CC" w14:paraId="1F26EC64" w14:textId="77777777" w:rsidTr="00293453">
        <w:tc>
          <w:tcPr>
            <w:tcW w:w="1129" w:type="pct"/>
          </w:tcPr>
          <w:p w14:paraId="5AF3269C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>MEDDEV 2.7/1 Rev4</w:t>
            </w:r>
          </w:p>
        </w:tc>
        <w:tc>
          <w:tcPr>
            <w:tcW w:w="3871" w:type="pct"/>
          </w:tcPr>
          <w:p w14:paraId="3D1D1121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Ocena kliniczna: Przewodnik dla producentów i jednostek notyfikowanych</w:t>
            </w:r>
          </w:p>
        </w:tc>
      </w:tr>
      <w:tr w:rsidR="00586415" w:rsidRPr="009461CC" w14:paraId="59A5C57A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33478428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b/>
                <w:bCs/>
                <w:sz w:val="22"/>
                <w:lang w:val="pl"/>
              </w:rPr>
              <w:t>Kontrola projektu</w:t>
            </w:r>
          </w:p>
        </w:tc>
      </w:tr>
      <w:tr w:rsidR="00586415" w:rsidRPr="009461CC" w14:paraId="54F49ECD" w14:textId="77777777" w:rsidTr="00293453">
        <w:tc>
          <w:tcPr>
            <w:tcW w:w="1129" w:type="pct"/>
          </w:tcPr>
          <w:p w14:paraId="4795B615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EN ISO 14971</w:t>
            </w:r>
          </w:p>
        </w:tc>
        <w:tc>
          <w:tcPr>
            <w:tcW w:w="3871" w:type="pct"/>
          </w:tcPr>
          <w:p w14:paraId="55771886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Zastosowanie zarządzania ryzykiem do wyrobów medycznych</w:t>
            </w:r>
          </w:p>
        </w:tc>
      </w:tr>
      <w:tr w:rsidR="00586415" w:rsidRPr="009461CC" w14:paraId="48F71F50" w14:textId="77777777" w:rsidTr="00293453">
        <w:tc>
          <w:tcPr>
            <w:tcW w:w="1129" w:type="pct"/>
          </w:tcPr>
          <w:p w14:paraId="477CFB4F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71" w:type="pct"/>
          </w:tcPr>
          <w:p w14:paraId="20C1E190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</w:p>
        </w:tc>
      </w:tr>
      <w:tr w:rsidR="00586415" w:rsidRPr="009461CC" w14:paraId="0064DEC6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4B791D46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pl"/>
              </w:rPr>
              <w:t>Użyteczność</w:t>
            </w:r>
          </w:p>
        </w:tc>
      </w:tr>
      <w:tr w:rsidR="00586415" w:rsidRPr="009461CC" w14:paraId="29A23DD2" w14:textId="77777777" w:rsidTr="00293453">
        <w:tc>
          <w:tcPr>
            <w:tcW w:w="1129" w:type="pct"/>
          </w:tcPr>
          <w:p w14:paraId="38C30B53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IEC 62366-1:2015 i</w:t>
            </w:r>
          </w:p>
          <w:p w14:paraId="2D964E3D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IEC 62366-1:2015/ COR1:2016</w:t>
            </w:r>
          </w:p>
        </w:tc>
        <w:tc>
          <w:tcPr>
            <w:tcW w:w="3871" w:type="pct"/>
          </w:tcPr>
          <w:p w14:paraId="7A444F47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Urządzenia medyczne – zastosowanie inżynierii użyteczności w urządzeniach medycznych</w:t>
            </w:r>
          </w:p>
        </w:tc>
      </w:tr>
      <w:tr w:rsidR="00586415" w:rsidRPr="009461CC" w14:paraId="075E02B3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502A71D6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pl"/>
              </w:rPr>
              <w:t>Opakowanie</w:t>
            </w:r>
          </w:p>
        </w:tc>
      </w:tr>
      <w:tr w:rsidR="00586415" w:rsidRPr="009461CC" w14:paraId="0144C9E3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4C58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>EN ISO 11607-1:2020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F921B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Opakowania do wyrobów medycznych sterylizowanych w końcowym opakowaniu. Część 1: Wymagania dotyczące materiałów, systemów bariery sterylnej i systemów opakowaniowych. </w:t>
            </w:r>
          </w:p>
        </w:tc>
      </w:tr>
      <w:tr w:rsidR="00586415" w:rsidRPr="009461CC" w14:paraId="32D78976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C628" w14:textId="77777777" w:rsidR="00586415" w:rsidRPr="009461CC" w:rsidRDefault="00586415" w:rsidP="00586415">
            <w:pPr>
              <w:spacing w:after="16" w:afterAutospacing="0"/>
              <w:ind w:left="1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>EN ISO 11607-2:2020</w:t>
            </w:r>
          </w:p>
          <w:p w14:paraId="2A1BCB52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BF1E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Opakowania do wyrobów medycznych sterylizowanych w końcowym opakowaniu. Część 2: Wymagania dotyczące walidacji procesów formowania, uszczelniania i montowania </w:t>
            </w:r>
          </w:p>
        </w:tc>
      </w:tr>
      <w:tr w:rsidR="00586415" w:rsidRPr="009461CC" w14:paraId="1D891E68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4A1D" w14:textId="77777777" w:rsidR="00586415" w:rsidRPr="009461CC" w:rsidRDefault="00586415" w:rsidP="00586415">
            <w:pPr>
              <w:spacing w:after="14" w:afterAutospacing="0"/>
              <w:ind w:left="1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>EN ISO 2233:2001</w:t>
            </w:r>
          </w:p>
          <w:p w14:paraId="3F44F0A2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563C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Opakowanie – Kompletne, wypełnione opakowania transportowe i ładunki jednostkowe – Kondycjonowanie do badań </w:t>
            </w:r>
          </w:p>
        </w:tc>
      </w:tr>
      <w:tr w:rsidR="00586415" w:rsidRPr="009461CC" w14:paraId="7DFBA781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30C2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14">
              <w:r>
                <w:rPr>
                  <w:rFonts w:eastAsia="Arial" w:cs="Times New Roman"/>
                  <w:sz w:val="22"/>
                  <w:lang w:val="pl"/>
                </w:rPr>
                <w:t xml:space="preserve">ASTM D4169 </w:t>
              </w:r>
            </w:hyperlink>
            <w:r>
              <w:rPr>
                <w:rFonts w:eastAsia="Arial" w:cs="Times New Roman"/>
                <w:sz w:val="22"/>
                <w:lang w:val="pl"/>
              </w:rPr>
              <w:t>: 2022</w:t>
            </w:r>
            <w:hyperlink r:id="rId15">
              <w:r>
                <w:rPr>
                  <w:rFonts w:eastAsia="Arial" w:cs="Times New Roman"/>
                  <w:sz w:val="22"/>
                  <w:lang w:val="pl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460F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Standardowa praktyka badania działania pojemników i systemów transportowych - </w:t>
            </w:r>
          </w:p>
        </w:tc>
      </w:tr>
      <w:tr w:rsidR="00586415" w:rsidRPr="009461CC" w14:paraId="1A9015DB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FC05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16">
              <w:r>
                <w:rPr>
                  <w:rFonts w:eastAsia="Arial" w:cs="Times New Roman"/>
                  <w:sz w:val="22"/>
                  <w:lang w:val="pl"/>
                </w:rPr>
                <w:t xml:space="preserve">ASTM F2096 </w:t>
              </w:r>
            </w:hyperlink>
            <w:hyperlink r:id="rId17">
              <w:r>
                <w:rPr>
                  <w:rFonts w:eastAsia="Arial" w:cs="Times New Roman"/>
                  <w:sz w:val="22"/>
                  <w:lang w:val="pl"/>
                </w:rPr>
                <w:t xml:space="preserve"> – </w:t>
              </w:r>
            </w:hyperlink>
            <w:r>
              <w:rPr>
                <w:rFonts w:eastAsia="Arial" w:cs="Times New Roman"/>
                <w:sz w:val="22"/>
                <w:lang w:val="pl"/>
              </w:rPr>
              <w:t>20</w:t>
            </w:r>
            <w:hyperlink r:id="rId18">
              <w:r>
                <w:rPr>
                  <w:rFonts w:eastAsia="Arial" w:cs="Times New Roman"/>
                  <w:sz w:val="22"/>
                  <w:lang w:val="pl"/>
                </w:rPr>
                <w:t xml:space="preserve">11 (R2019) </w:t>
              </w:r>
            </w:hyperlink>
            <w:hyperlink r:id="rId19">
              <w:r>
                <w:rPr>
                  <w:rFonts w:eastAsia="Arial" w:cs="Times New Roman"/>
                  <w:sz w:val="22"/>
                  <w:lang w:val="pl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24E9" w14:textId="77777777" w:rsidR="00586415" w:rsidRPr="009461CC" w:rsidRDefault="00586415" w:rsidP="00586415">
            <w:pPr>
              <w:spacing w:after="14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Standardowa metoda testowa do wykrywania dużych wycieków w </w:t>
            </w:r>
          </w:p>
          <w:p w14:paraId="403EB0FF" w14:textId="77777777" w:rsidR="00586415" w:rsidRPr="009461CC" w:rsidRDefault="00586415" w:rsidP="00586415">
            <w:pPr>
              <w:spacing w:after="16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opakowaniach medycznych metodą ciśnienia wewnętrznego (test pęcherzykowy) </w:t>
            </w:r>
          </w:p>
          <w:p w14:paraId="401902E0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- ASTM F 2096-11 (2019) </w:t>
            </w:r>
          </w:p>
        </w:tc>
      </w:tr>
      <w:tr w:rsidR="00586415" w:rsidRPr="009461CC" w14:paraId="6A8F5AF4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3B2B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20">
              <w:r>
                <w:rPr>
                  <w:rFonts w:eastAsia="Arial" w:cs="Times New Roman"/>
                  <w:sz w:val="22"/>
                  <w:lang w:val="pl"/>
                </w:rPr>
                <w:t xml:space="preserve">ASTM F1929 </w:t>
              </w:r>
            </w:hyperlink>
            <w:hyperlink r:id="rId21">
              <w:r>
                <w:rPr>
                  <w:rFonts w:eastAsia="Arial" w:cs="Times New Roman"/>
                  <w:sz w:val="22"/>
                  <w:lang w:val="pl"/>
                </w:rPr>
                <w:t xml:space="preserve"> - </w:t>
              </w:r>
            </w:hyperlink>
            <w:hyperlink r:id="rId22">
              <w:r>
                <w:rPr>
                  <w:rFonts w:eastAsia="Arial" w:cs="Times New Roman"/>
                  <w:sz w:val="22"/>
                  <w:lang w:val="pl"/>
                </w:rPr>
                <w:t xml:space="preserve">15 </w:t>
              </w:r>
            </w:hyperlink>
            <w:hyperlink r:id="rId23">
              <w:r>
                <w:rPr>
                  <w:rFonts w:eastAsia="Arial" w:cs="Times New Roman"/>
                  <w:sz w:val="22"/>
                  <w:lang w:val="pl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9479" w14:textId="77777777" w:rsidR="00586415" w:rsidRPr="009461CC" w:rsidRDefault="00586415" w:rsidP="00586415">
            <w:pPr>
              <w:spacing w:after="14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Standardowa metoda testowa do wykrywania nieszczelności uszczelnień w materiałach porowatych </w:t>
            </w:r>
          </w:p>
          <w:p w14:paraId="1449B41C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opakowań medycznych metodą penetracji barwnika – ASTM F 1929 </w:t>
            </w:r>
          </w:p>
        </w:tc>
      </w:tr>
      <w:tr w:rsidR="00586415" w:rsidRPr="009461CC" w14:paraId="5231BAAE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391B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24">
              <w:r>
                <w:rPr>
                  <w:rFonts w:eastAsia="Arial" w:cs="Times New Roman"/>
                  <w:sz w:val="22"/>
                  <w:lang w:val="pl"/>
                </w:rPr>
                <w:t xml:space="preserve">ASTM F88 / F88M </w:t>
              </w:r>
            </w:hyperlink>
            <w:hyperlink r:id="rId25">
              <w:r>
                <w:rPr>
                  <w:rFonts w:eastAsia="Arial" w:cs="Times New Roman"/>
                  <w:sz w:val="22"/>
                  <w:lang w:val="pl"/>
                </w:rPr>
                <w:t xml:space="preserve"> - </w:t>
              </w:r>
            </w:hyperlink>
            <w:r>
              <w:rPr>
                <w:rFonts w:eastAsia="Arial" w:cs="Times New Roman"/>
                <w:sz w:val="22"/>
                <w:lang w:val="pl"/>
              </w:rPr>
              <w:t>2021</w:t>
            </w:r>
            <w:hyperlink r:id="rId26">
              <w:r>
                <w:rPr>
                  <w:rFonts w:eastAsia="Arial" w:cs="Times New Roman"/>
                  <w:sz w:val="22"/>
                  <w:lang w:val="pl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7AF3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Standardowa metoda badania wytrzymałości uszczelnienia elastycznych materiałów barierowych – ASTM F88 </w:t>
            </w:r>
          </w:p>
        </w:tc>
      </w:tr>
      <w:tr w:rsidR="00586415" w:rsidRPr="009461CC" w14:paraId="08E5E708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8F88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27">
              <w:r>
                <w:rPr>
                  <w:rFonts w:eastAsia="Arial" w:cs="Times New Roman"/>
                  <w:sz w:val="22"/>
                  <w:lang w:val="pl"/>
                </w:rPr>
                <w:t xml:space="preserve">ASTM F1980 </w:t>
              </w:r>
            </w:hyperlink>
            <w:hyperlink r:id="rId28">
              <w:r>
                <w:rPr>
                  <w:rFonts w:eastAsia="Arial" w:cs="Times New Roman"/>
                  <w:sz w:val="22"/>
                  <w:lang w:val="pl"/>
                </w:rPr>
                <w:t xml:space="preserve"> - </w:t>
              </w:r>
            </w:hyperlink>
            <w:r>
              <w:rPr>
                <w:rFonts w:eastAsia="Arial" w:cs="Times New Roman"/>
                <w:sz w:val="22"/>
                <w:lang w:val="pl"/>
              </w:rPr>
              <w:t>2021</w:t>
            </w:r>
            <w:hyperlink r:id="rId29">
              <w:r>
                <w:rPr>
                  <w:rFonts w:eastAsia="Arial" w:cs="Times New Roman"/>
                  <w:sz w:val="22"/>
                  <w:lang w:val="pl"/>
                </w:rPr>
                <w:t xml:space="preserve"> </w:t>
              </w:r>
            </w:hyperlink>
            <w:hyperlink r:id="rId30">
              <w:r>
                <w:rPr>
                  <w:rFonts w:eastAsia="Arial" w:cs="Times New Roman"/>
                  <w:sz w:val="22"/>
                  <w:lang w:val="pl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64AF1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pl"/>
              </w:rPr>
              <w:t xml:space="preserve">Standardowy przewodnik dotyczący przyspieszonego starzenia systemów barier sterylnych dla wyrobów medycznych – ASTM F1980 </w:t>
            </w:r>
          </w:p>
        </w:tc>
      </w:tr>
      <w:tr w:rsidR="00586415" w:rsidRPr="009461CC" w14:paraId="0F76587E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76DCCB76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pl"/>
              </w:rPr>
              <w:t>Obserwacja kliniczna po wprowadzeniu do obrotu</w:t>
            </w:r>
          </w:p>
        </w:tc>
      </w:tr>
      <w:tr w:rsidR="00586415" w:rsidRPr="009461CC" w14:paraId="72BDA171" w14:textId="77777777" w:rsidTr="00293453">
        <w:tc>
          <w:tcPr>
            <w:tcW w:w="1129" w:type="pct"/>
          </w:tcPr>
          <w:p w14:paraId="4A2D9F88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MEDDEV 2.12/2 Rev2</w:t>
            </w:r>
          </w:p>
        </w:tc>
        <w:tc>
          <w:tcPr>
            <w:tcW w:w="3871" w:type="pct"/>
          </w:tcPr>
          <w:p w14:paraId="534E025E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Obserwacja kliniczna po wprowadzeniu do obrotu</w:t>
            </w:r>
          </w:p>
        </w:tc>
      </w:tr>
      <w:tr w:rsidR="00586415" w:rsidRPr="009461CC" w14:paraId="1CA6A5FC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6FE76F53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pl"/>
              </w:rPr>
              <w:t>Nadzór nad bezpieczeństwem wyrobu</w:t>
            </w:r>
          </w:p>
        </w:tc>
      </w:tr>
      <w:tr w:rsidR="00586415" w:rsidRPr="009461CC" w14:paraId="577ABEC8" w14:textId="77777777" w:rsidTr="00293453">
        <w:tc>
          <w:tcPr>
            <w:tcW w:w="1129" w:type="pct"/>
          </w:tcPr>
          <w:p w14:paraId="403A7E80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MEDDEV 2.12/1 Rev8</w:t>
            </w:r>
          </w:p>
        </w:tc>
        <w:tc>
          <w:tcPr>
            <w:tcW w:w="3871" w:type="pct"/>
          </w:tcPr>
          <w:p w14:paraId="1F13D90E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Wytyczne dotyczące systemu nadzoru nad wyrobami medycznymi</w:t>
            </w:r>
          </w:p>
        </w:tc>
      </w:tr>
    </w:tbl>
    <w:p w14:paraId="06B25AF7" w14:textId="77777777" w:rsidR="00582286" w:rsidRPr="009461CC" w:rsidRDefault="00582286" w:rsidP="000A23CB">
      <w:pPr>
        <w:spacing w:after="0" w:afterAutospacing="0" w:line="240" w:lineRule="auto"/>
        <w:rPr>
          <w:rFonts w:cs="Times New Roman"/>
        </w:rPr>
      </w:pPr>
    </w:p>
    <w:p w14:paraId="6F757B16" w14:textId="77777777" w:rsidR="00601F87" w:rsidRPr="009461CC" w:rsidRDefault="00601F87" w:rsidP="000A23CB">
      <w:pPr>
        <w:spacing w:after="0" w:afterAutospacing="0" w:line="240" w:lineRule="auto"/>
        <w:rPr>
          <w:rFonts w:cs="Times New Roman"/>
        </w:rPr>
      </w:pPr>
    </w:p>
    <w:p w14:paraId="438059D7" w14:textId="77777777" w:rsidR="00601F87" w:rsidRPr="009461CC" w:rsidRDefault="00601F87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80" w:name="_Toc181362715"/>
      <w:bookmarkStart w:id="81" w:name="_Toc222741603"/>
      <w:r>
        <w:rPr>
          <w:rFonts w:cs="Times New Roman"/>
          <w:bCs/>
          <w:lang w:val="pl"/>
        </w:rPr>
        <w:t>Historia zmian</w:t>
      </w:r>
      <w:bookmarkEnd w:id="80"/>
      <w:bookmarkEnd w:id="8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9"/>
        <w:gridCol w:w="1506"/>
        <w:gridCol w:w="4819"/>
        <w:gridCol w:w="2906"/>
      </w:tblGrid>
      <w:tr w:rsidR="00601F87" w:rsidRPr="009461CC" w14:paraId="5B6BFC55" w14:textId="77777777" w:rsidTr="00293453">
        <w:tc>
          <w:tcPr>
            <w:tcW w:w="575" w:type="pct"/>
          </w:tcPr>
          <w:p w14:paraId="2E035377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pl"/>
              </w:rPr>
              <w:t>Wersja</w:t>
            </w:r>
          </w:p>
        </w:tc>
        <w:tc>
          <w:tcPr>
            <w:tcW w:w="722" w:type="pct"/>
          </w:tcPr>
          <w:p w14:paraId="50A5C536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pl"/>
              </w:rPr>
              <w:t>Data wydania</w:t>
            </w:r>
          </w:p>
        </w:tc>
        <w:tc>
          <w:tcPr>
            <w:tcW w:w="2310" w:type="pct"/>
          </w:tcPr>
          <w:p w14:paraId="028B7F50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pl"/>
              </w:rPr>
              <w:t>Opis zmiany</w:t>
            </w:r>
          </w:p>
        </w:tc>
        <w:tc>
          <w:tcPr>
            <w:tcW w:w="1393" w:type="pct"/>
          </w:tcPr>
          <w:p w14:paraId="3C9FD99C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pl"/>
              </w:rPr>
              <w:t>Wersja zatwierdzona przez jednostkę notyfikowaną?</w:t>
            </w:r>
          </w:p>
        </w:tc>
      </w:tr>
      <w:tr w:rsidR="00601F87" w:rsidRPr="009461CC" w14:paraId="16EC10C7" w14:textId="77777777" w:rsidTr="00293453">
        <w:tc>
          <w:tcPr>
            <w:tcW w:w="575" w:type="pct"/>
          </w:tcPr>
          <w:p w14:paraId="58BC1E5F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A</w:t>
            </w:r>
          </w:p>
        </w:tc>
        <w:tc>
          <w:tcPr>
            <w:tcW w:w="722" w:type="pct"/>
          </w:tcPr>
          <w:p w14:paraId="6A81A9AF" w14:textId="71A1E241" w:rsidR="00601F87" w:rsidRPr="009461CC" w:rsidRDefault="002069F1" w:rsidP="00293453">
            <w:pPr>
              <w:spacing w:after="0" w:afterAutospacing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22 maja 2022 r.</w:t>
            </w:r>
          </w:p>
        </w:tc>
        <w:tc>
          <w:tcPr>
            <w:tcW w:w="2310" w:type="pct"/>
          </w:tcPr>
          <w:p w14:paraId="0B577D70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>Pierwsze wydanie wewnętrzne – niezweryfikowane przez BSI</w:t>
            </w:r>
          </w:p>
        </w:tc>
        <w:tc>
          <w:tcPr>
            <w:tcW w:w="1393" w:type="pct"/>
          </w:tcPr>
          <w:p w14:paraId="3673E384" w14:textId="77777777" w:rsidR="00601F87" w:rsidRPr="009461CC" w:rsidRDefault="00000000" w:rsidP="00293453">
            <w:pPr>
              <w:spacing w:after="0" w:afterAutospacing="0"/>
              <w:rPr>
                <w:rFonts w:cs="Times New Roman"/>
                <w:sz w:val="22"/>
              </w:rPr>
            </w:pPr>
            <w:sdt>
              <w:sdtPr>
                <w:rPr>
                  <w:rFonts w:ascii="Segoe UI Symbol" w:eastAsia="MS Gothic" w:hAnsi="Segoe UI Symbol" w:cs="Times New Roman"/>
                  <w:sz w:val="22"/>
                </w:rPr>
                <w:id w:val="-2162127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2"/>
                    <w:lang w:val="pl"/>
                  </w:rPr>
                  <w:t>☒</w:t>
                </w:r>
              </w:sdtContent>
            </w:sdt>
            <w:r>
              <w:rPr>
                <w:rFonts w:eastAsia="MS Gothic"/>
                <w:sz w:val="22"/>
                <w:lang w:val="pl"/>
              </w:rPr>
              <w:t xml:space="preserve"> Tylko do użytku wewnętrznego</w:t>
            </w:r>
          </w:p>
        </w:tc>
      </w:tr>
      <w:tr w:rsidR="00601F87" w:rsidRPr="009461CC" w14:paraId="253ED939" w14:textId="77777777" w:rsidTr="00293453">
        <w:tc>
          <w:tcPr>
            <w:tcW w:w="575" w:type="pct"/>
          </w:tcPr>
          <w:p w14:paraId="794C6341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 xml:space="preserve">B </w:t>
            </w:r>
          </w:p>
        </w:tc>
        <w:tc>
          <w:tcPr>
            <w:tcW w:w="722" w:type="pct"/>
          </w:tcPr>
          <w:p w14:paraId="4E93CA05" w14:textId="47A5412E" w:rsidR="00601F87" w:rsidRPr="009461CC" w:rsidRDefault="00624761" w:rsidP="00293453">
            <w:pPr>
              <w:spacing w:after="0" w:afterAutospacing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 xml:space="preserve">15 września 2025 r. </w:t>
            </w:r>
          </w:p>
          <w:p w14:paraId="76ECF0BB" w14:textId="21F4F941" w:rsidR="00601F87" w:rsidRPr="009461CC" w:rsidRDefault="00601F87" w:rsidP="00293453">
            <w:pPr>
              <w:spacing w:after="0" w:afterAutospacing="0"/>
              <w:rPr>
                <w:rFonts w:cs="Times New Roman"/>
                <w:iCs/>
                <w:sz w:val="22"/>
              </w:rPr>
            </w:pPr>
          </w:p>
        </w:tc>
        <w:tc>
          <w:tcPr>
            <w:tcW w:w="2310" w:type="pct"/>
          </w:tcPr>
          <w:p w14:paraId="7ADC2C3E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lastRenderedPageBreak/>
              <w:t>Wstępne przesłanie do oceny przez BSI</w:t>
            </w:r>
          </w:p>
          <w:p w14:paraId="17842BBC" w14:textId="53FA9776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 xml:space="preserve"> </w:t>
            </w:r>
          </w:p>
        </w:tc>
        <w:tc>
          <w:tcPr>
            <w:tcW w:w="1393" w:type="pct"/>
          </w:tcPr>
          <w:p w14:paraId="0FC9FC92" w14:textId="465431A0" w:rsidR="006D6EA3" w:rsidRPr="009461CC" w:rsidRDefault="00000000" w:rsidP="006D6EA3">
            <w:pPr>
              <w:spacing w:after="0" w:afterAutospacing="0"/>
              <w:rPr>
                <w:rFonts w:cs="Times New Roman"/>
                <w:sz w:val="22"/>
              </w:rPr>
            </w:pPr>
            <w:sdt>
              <w:sdtPr>
                <w:rPr>
                  <w:rFonts w:ascii="Segoe UI Symbol" w:eastAsia="MS Gothic" w:hAnsi="Segoe UI Symbol" w:cs="Times New Roman"/>
                  <w:sz w:val="22"/>
                </w:rPr>
                <w:id w:val="1250311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2"/>
                    <w:lang w:val="pl"/>
                  </w:rPr>
                  <w:t>☒</w:t>
                </w:r>
              </w:sdtContent>
            </w:sdt>
            <w:r>
              <w:rPr>
                <w:rFonts w:eastAsia="MS Gothic"/>
                <w:sz w:val="22"/>
                <w:lang w:val="pl"/>
              </w:rPr>
              <w:t xml:space="preserve"> Tak </w:t>
            </w:r>
          </w:p>
          <w:p w14:paraId="52EB2E13" w14:textId="77777777" w:rsidR="006D6EA3" w:rsidRPr="009461CC" w:rsidRDefault="006D6EA3" w:rsidP="006D6EA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t xml:space="preserve">Język walidacji: </w:t>
            </w:r>
          </w:p>
          <w:p w14:paraId="293F45BE" w14:textId="789551FE" w:rsidR="00CA46B0" w:rsidRPr="009461CC" w:rsidRDefault="006D6EA3" w:rsidP="006D6EA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pl"/>
              </w:rPr>
              <w:lastRenderedPageBreak/>
              <w:t>Polski</w:t>
            </w:r>
          </w:p>
          <w:p w14:paraId="2C6B2388" w14:textId="23538238" w:rsidR="00601F87" w:rsidRPr="009461CC" w:rsidRDefault="006D6EA3" w:rsidP="006D6EA3">
            <w:pPr>
              <w:spacing w:after="0" w:afterAutospacing="0"/>
              <w:rPr>
                <w:rFonts w:cs="Times New Roman"/>
                <w:sz w:val="22"/>
                <w:highlight w:val="yellow"/>
              </w:rPr>
            </w:pPr>
            <w:r>
              <w:rPr>
                <w:rFonts w:ascii="Segoe UI Symbol" w:hAnsi="Segoe UI Symbol"/>
                <w:sz w:val="22"/>
                <w:lang w:val="pl"/>
              </w:rPr>
              <w:t>☐</w:t>
            </w:r>
            <w:r>
              <w:rPr>
                <w:sz w:val="22"/>
                <w:lang w:val="pl"/>
              </w:rPr>
              <w:t xml:space="preserve"> Nie (dotyczy tylko urządzeń klasy IIa lub niektórych klasy IIb, dla których podsumowanie SSCP nie zostało jeszcze zatwierdzone przez jednostkę notyfikowaną)</w:t>
            </w:r>
          </w:p>
        </w:tc>
      </w:tr>
    </w:tbl>
    <w:p w14:paraId="05B94FC3" w14:textId="73ABFCCD" w:rsidR="00601F87" w:rsidRPr="009461CC" w:rsidRDefault="00601F87" w:rsidP="00601F87">
      <w:pPr>
        <w:tabs>
          <w:tab w:val="left" w:pos="3633"/>
        </w:tabs>
        <w:rPr>
          <w:rFonts w:cs="Times New Roman"/>
        </w:rPr>
      </w:pPr>
    </w:p>
    <w:sectPr w:rsidR="00601F87" w:rsidRPr="009461CC" w:rsidSect="008018FA">
      <w:headerReference w:type="default" r:id="rId31"/>
      <w:footerReference w:type="default" r:id="rId32"/>
      <w:pgSz w:w="12240" w:h="15840"/>
      <w:pgMar w:top="1800" w:right="720" w:bottom="144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C453" w14:textId="77777777" w:rsidR="00E770DA" w:rsidRDefault="00E770DA" w:rsidP="009855C3">
      <w:r>
        <w:separator/>
      </w:r>
    </w:p>
  </w:endnote>
  <w:endnote w:type="continuationSeparator" w:id="0">
    <w:p w14:paraId="6EDC7368" w14:textId="77777777" w:rsidR="00E770DA" w:rsidRDefault="00E770DA" w:rsidP="0098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G Times 12p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9D42" w14:textId="6BB303DF" w:rsidR="00BE3D15" w:rsidRPr="00F44E82" w:rsidRDefault="003036AD" w:rsidP="009855C3">
    <w:pPr>
      <w:pStyle w:val="Footer"/>
      <w:rPr>
        <w:szCs w:val="24"/>
      </w:rPr>
    </w:pPr>
    <w:r>
      <w:rPr>
        <w:b/>
        <w:bCs/>
        <w:sz w:val="18"/>
        <w:szCs w:val="18"/>
        <w:lang w:val="pl"/>
      </w:rPr>
      <w:t xml:space="preserve">CAQ-QA-025-F1 </w:t>
    </w:r>
    <w:r>
      <w:rPr>
        <w:b/>
        <w:bCs/>
        <w:sz w:val="18"/>
        <w:szCs w:val="18"/>
        <w:lang w:val="pl"/>
      </w:rPr>
      <w:t>Rev G: Podsumowanie bezpieczeństwa i skuteczności klinicznej (SSCP)</w:t>
    </w:r>
    <w:r>
      <w:rPr>
        <w:lang w:val="pl"/>
      </w:rPr>
      <w:t xml:space="preserve"> </w:t>
    </w:r>
    <w:r>
      <w:rPr>
        <w:lang w:val="pl"/>
      </w:rPr>
      <w:tab/>
      <w:t xml:space="preserve">Strona </w:t>
    </w:r>
    <w:r>
      <w:rPr>
        <w:lang w:val="pl"/>
      </w:rPr>
      <w:fldChar w:fldCharType="begin"/>
    </w:r>
    <w:r>
      <w:rPr>
        <w:lang w:val="pl"/>
      </w:rPr>
      <w:instrText xml:space="preserve"> PAGE  \* Arabic </w:instrText>
    </w:r>
    <w:r>
      <w:rPr>
        <w:lang w:val="pl"/>
      </w:rPr>
      <w:fldChar w:fldCharType="separate"/>
    </w:r>
    <w:r>
      <w:rPr>
        <w:lang w:val="pl"/>
      </w:rPr>
      <w:t>0</w:t>
    </w:r>
    <w:r>
      <w:rPr>
        <w:lang w:val="pl"/>
      </w:rPr>
      <w:fldChar w:fldCharType="end"/>
    </w:r>
    <w:r>
      <w:rPr>
        <w:lang w:val="pl"/>
      </w:rPr>
      <w:t xml:space="preserve"> z </w:t>
    </w:r>
    <w:r>
      <w:fldChar w:fldCharType="begin"/>
    </w:r>
    <w:r>
      <w:instrText xml:space="preserve"> NUMPAGES  </w:instrText>
    </w:r>
    <w:r>
      <w:fldChar w:fldCharType="separate"/>
    </w:r>
    <w:r>
      <w:rPr>
        <w:lang w:val="pl"/>
      </w:rPr>
      <w:t>12</w:t>
    </w:r>
    <w:r>
      <w:rPr>
        <w:lang w:val="pl"/>
      </w:rPr>
      <w:fldChar w:fldCharType="end"/>
    </w:r>
    <w:r>
      <w:rPr>
        <w:lang w:val="pl"/>
      </w:rPr>
      <w:t xml:space="preserve">  </w:t>
    </w:r>
    <w:r>
      <w:rPr>
        <w:lang w:val="pl"/>
      </w:rPr>
      <w:tab/>
    </w:r>
    <w:r>
      <w:rPr>
        <w:lang w:val="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0453" w14:textId="77777777" w:rsidR="00E770DA" w:rsidRDefault="00E770DA" w:rsidP="009855C3">
      <w:r>
        <w:separator/>
      </w:r>
    </w:p>
  </w:footnote>
  <w:footnote w:type="continuationSeparator" w:id="0">
    <w:p w14:paraId="181A7201" w14:textId="77777777" w:rsidR="00E770DA" w:rsidRDefault="00E770DA" w:rsidP="0098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0"/>
      <w:gridCol w:w="7350"/>
    </w:tblGrid>
    <w:tr w:rsidR="00B62140" w14:paraId="7E46E4C7" w14:textId="77777777" w:rsidTr="00B62140">
      <w:tc>
        <w:tcPr>
          <w:tcW w:w="3080" w:type="dxa"/>
        </w:tcPr>
        <w:p w14:paraId="184F2588" w14:textId="6EABB2E0" w:rsidR="00B62140" w:rsidRDefault="00B62140" w:rsidP="00B62140">
          <w:pPr>
            <w:pStyle w:val="Header"/>
            <w:jc w:val="left"/>
          </w:pPr>
          <w:r>
            <w:rPr>
              <w:noProof/>
              <w:lang w:val="pl"/>
            </w:rPr>
            <w:drawing>
              <wp:inline distT="0" distB="0" distL="0" distR="0" wp14:anchorId="4BFA3582" wp14:editId="165F9D90">
                <wp:extent cx="1016000" cy="635000"/>
                <wp:effectExtent l="0" t="0" r="0" b="0"/>
                <wp:docPr id="14" name="Picture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0" w:type="dxa"/>
        </w:tcPr>
        <w:p w14:paraId="6E8300D8" w14:textId="7A70FCBF" w:rsidR="005450DC" w:rsidRPr="005450DC" w:rsidRDefault="005450DC" w:rsidP="005450DC">
          <w:pPr>
            <w:spacing w:after="0" w:afterAutospacing="0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  <w:lang w:val="pl"/>
            </w:rPr>
            <w:t>Podsumowanie dotyczące bezpieczeństwa i skuteczności klinicznej (SSCP)</w:t>
          </w:r>
        </w:p>
        <w:p w14:paraId="3BB3B2B1" w14:textId="67404184" w:rsidR="009F5769" w:rsidRPr="005450DC" w:rsidRDefault="009F5769" w:rsidP="009F5769">
          <w:pPr>
            <w:spacing w:after="0" w:afterAutospacing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  <w:lang w:val="pl"/>
            </w:rPr>
            <w:t xml:space="preserve">SSCP-0006: </w:t>
          </w:r>
          <w:bookmarkStart w:id="82" w:name="_Hlk196721157"/>
          <w:r>
            <w:rPr>
              <w:rFonts w:ascii="Arial" w:hAnsi="Arial" w:cs="Arial"/>
              <w:sz w:val="18"/>
              <w:szCs w:val="18"/>
              <w:lang w:val="pl"/>
            </w:rPr>
            <w:t xml:space="preserve">Zestaw </w:t>
          </w:r>
          <w:r w:rsidR="006D7F85">
            <w:rPr>
              <w:rFonts w:ascii="Arial" w:hAnsi="Arial" w:cs="Arial"/>
              <w:sz w:val="18"/>
              <w:szCs w:val="18"/>
              <w:lang w:val="pl"/>
            </w:rPr>
            <w:t xml:space="preserve">Snare </w:t>
          </w:r>
          <w:r>
            <w:rPr>
              <w:rFonts w:ascii="Arial" w:hAnsi="Arial" w:cs="Arial"/>
              <w:sz w:val="18"/>
              <w:szCs w:val="18"/>
              <w:lang w:val="pl"/>
            </w:rPr>
            <w:t>naczyniowej Atrieve</w:t>
          </w:r>
          <w:bookmarkEnd w:id="82"/>
        </w:p>
        <w:p w14:paraId="32066318" w14:textId="5996CDC6" w:rsidR="005450DC" w:rsidRPr="005450DC" w:rsidRDefault="005450DC" w:rsidP="005450DC">
          <w:pPr>
            <w:spacing w:after="0" w:afterAutospacing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pl"/>
            </w:rPr>
            <w:t>Wersja: B</w:t>
          </w:r>
        </w:p>
        <w:p w14:paraId="2F5F8390" w14:textId="0ABFBBD1" w:rsidR="005450DC" w:rsidRPr="00B62140" w:rsidRDefault="005450DC" w:rsidP="005450DC">
          <w:pPr>
            <w:pStyle w:val="Header"/>
            <w:jc w:val="left"/>
            <w:rPr>
              <w:rFonts w:ascii="Arial" w:hAnsi="Arial" w:cs="Arial"/>
              <w:sz w:val="18"/>
            </w:rPr>
          </w:pPr>
          <w:r>
            <w:rPr>
              <w:rFonts w:ascii="Calibri" w:eastAsiaTheme="minorHAnsi" w:hAnsi="Calibri" w:cs="Calibri"/>
              <w:sz w:val="18"/>
              <w:szCs w:val="18"/>
              <w:lang w:val="pl"/>
            </w:rPr>
            <w:t>Siedziba firmy Argon: Wszystkie lokalizacje</w:t>
          </w:r>
        </w:p>
      </w:tc>
    </w:tr>
  </w:tbl>
  <w:p w14:paraId="0BD58B4F" w14:textId="7DA38D57" w:rsidR="00B62140" w:rsidRDefault="00B62140" w:rsidP="00B62140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686"/>
    <w:multiLevelType w:val="hybridMultilevel"/>
    <w:tmpl w:val="DA0C7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77569"/>
    <w:multiLevelType w:val="hybridMultilevel"/>
    <w:tmpl w:val="15B4E1B2"/>
    <w:lvl w:ilvl="0" w:tplc="35E4F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3642F"/>
    <w:multiLevelType w:val="multilevel"/>
    <w:tmpl w:val="475A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D7021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37B14"/>
    <w:multiLevelType w:val="hybridMultilevel"/>
    <w:tmpl w:val="DD1A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72A27"/>
    <w:multiLevelType w:val="hybridMultilevel"/>
    <w:tmpl w:val="CA6E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54A05"/>
    <w:multiLevelType w:val="hybridMultilevel"/>
    <w:tmpl w:val="FEAE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C16D5"/>
    <w:multiLevelType w:val="multilevel"/>
    <w:tmpl w:val="3DB2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544DA"/>
    <w:multiLevelType w:val="hybridMultilevel"/>
    <w:tmpl w:val="4126C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5329F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95574"/>
    <w:multiLevelType w:val="hybridMultilevel"/>
    <w:tmpl w:val="1DF48DB6"/>
    <w:lvl w:ilvl="0" w:tplc="35E4F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15951"/>
    <w:multiLevelType w:val="multilevel"/>
    <w:tmpl w:val="51F6CE6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6F32A0"/>
    <w:multiLevelType w:val="hybridMultilevel"/>
    <w:tmpl w:val="DD72E76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ADC3F5B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EC1CC7"/>
    <w:multiLevelType w:val="multilevel"/>
    <w:tmpl w:val="19D2CB6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pStyle w:val="Heading1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F33BF6"/>
    <w:multiLevelType w:val="hybridMultilevel"/>
    <w:tmpl w:val="5A40E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4B7D64"/>
    <w:multiLevelType w:val="multilevel"/>
    <w:tmpl w:val="7B2C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A37D2"/>
    <w:multiLevelType w:val="multilevel"/>
    <w:tmpl w:val="51F6CE6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CF27DD"/>
    <w:multiLevelType w:val="multilevel"/>
    <w:tmpl w:val="1CA0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0F5615"/>
    <w:multiLevelType w:val="hybridMultilevel"/>
    <w:tmpl w:val="39B8B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8342CC"/>
    <w:multiLevelType w:val="hybridMultilevel"/>
    <w:tmpl w:val="D3948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2B39D6"/>
    <w:multiLevelType w:val="hybridMultilevel"/>
    <w:tmpl w:val="726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43C02"/>
    <w:multiLevelType w:val="multilevel"/>
    <w:tmpl w:val="75F0F646"/>
    <w:lvl w:ilvl="0">
      <w:start w:val="1"/>
      <w:numFmt w:val="decimal"/>
      <w:pStyle w:val="Heading5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2866B7F"/>
    <w:multiLevelType w:val="hybridMultilevel"/>
    <w:tmpl w:val="0D6C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C0CD0"/>
    <w:multiLevelType w:val="hybridMultilevel"/>
    <w:tmpl w:val="57DCF6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AE87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C224B"/>
    <w:multiLevelType w:val="multilevel"/>
    <w:tmpl w:val="8E1C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AC4F74"/>
    <w:multiLevelType w:val="hybridMultilevel"/>
    <w:tmpl w:val="C85A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66B5D"/>
    <w:multiLevelType w:val="multilevel"/>
    <w:tmpl w:val="1C2A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F14B8E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DF0477"/>
    <w:multiLevelType w:val="hybridMultilevel"/>
    <w:tmpl w:val="E6F8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87167"/>
    <w:multiLevelType w:val="hybridMultilevel"/>
    <w:tmpl w:val="980EE75C"/>
    <w:lvl w:ilvl="0" w:tplc="35E4F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86F75"/>
    <w:multiLevelType w:val="multilevel"/>
    <w:tmpl w:val="30BC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176312">
    <w:abstractNumId w:val="22"/>
  </w:num>
  <w:num w:numId="2" w16cid:durableId="1360936298">
    <w:abstractNumId w:val="14"/>
  </w:num>
  <w:num w:numId="3" w16cid:durableId="300112310">
    <w:abstractNumId w:val="19"/>
  </w:num>
  <w:num w:numId="4" w16cid:durableId="1853834821">
    <w:abstractNumId w:val="6"/>
  </w:num>
  <w:num w:numId="5" w16cid:durableId="1034691173">
    <w:abstractNumId w:val="12"/>
  </w:num>
  <w:num w:numId="6" w16cid:durableId="1593513253">
    <w:abstractNumId w:val="21"/>
  </w:num>
  <w:num w:numId="7" w16cid:durableId="346831415">
    <w:abstractNumId w:val="23"/>
  </w:num>
  <w:num w:numId="8" w16cid:durableId="1853715173">
    <w:abstractNumId w:val="0"/>
  </w:num>
  <w:num w:numId="9" w16cid:durableId="1855343271">
    <w:abstractNumId w:val="15"/>
  </w:num>
  <w:num w:numId="10" w16cid:durableId="916865255">
    <w:abstractNumId w:val="24"/>
  </w:num>
  <w:num w:numId="11" w16cid:durableId="364184473">
    <w:abstractNumId w:val="25"/>
  </w:num>
  <w:num w:numId="12" w16cid:durableId="2108647119">
    <w:abstractNumId w:val="16"/>
  </w:num>
  <w:num w:numId="13" w16cid:durableId="1982877844">
    <w:abstractNumId w:val="3"/>
  </w:num>
  <w:num w:numId="14" w16cid:durableId="1684937638">
    <w:abstractNumId w:val="9"/>
  </w:num>
  <w:num w:numId="15" w16cid:durableId="586424511">
    <w:abstractNumId w:val="17"/>
  </w:num>
  <w:num w:numId="16" w16cid:durableId="1213268901">
    <w:abstractNumId w:val="28"/>
  </w:num>
  <w:num w:numId="17" w16cid:durableId="171838373">
    <w:abstractNumId w:val="13"/>
  </w:num>
  <w:num w:numId="18" w16cid:durableId="799612473">
    <w:abstractNumId w:val="11"/>
  </w:num>
  <w:num w:numId="19" w16cid:durableId="475414826">
    <w:abstractNumId w:val="31"/>
  </w:num>
  <w:num w:numId="20" w16cid:durableId="320740550">
    <w:abstractNumId w:val="27"/>
  </w:num>
  <w:num w:numId="21" w16cid:durableId="166943843">
    <w:abstractNumId w:val="4"/>
  </w:num>
  <w:num w:numId="22" w16cid:durableId="1888569262">
    <w:abstractNumId w:val="8"/>
  </w:num>
  <w:num w:numId="23" w16cid:durableId="1644770191">
    <w:abstractNumId w:val="20"/>
  </w:num>
  <w:num w:numId="24" w16cid:durableId="1439636620">
    <w:abstractNumId w:val="26"/>
  </w:num>
  <w:num w:numId="25" w16cid:durableId="882600577">
    <w:abstractNumId w:val="5"/>
  </w:num>
  <w:num w:numId="26" w16cid:durableId="1718622400">
    <w:abstractNumId w:val="10"/>
  </w:num>
  <w:num w:numId="27" w16cid:durableId="1475558162">
    <w:abstractNumId w:val="30"/>
  </w:num>
  <w:num w:numId="28" w16cid:durableId="1475566087">
    <w:abstractNumId w:val="1"/>
  </w:num>
  <w:num w:numId="29" w16cid:durableId="1286497301">
    <w:abstractNumId w:val="7"/>
  </w:num>
  <w:num w:numId="30" w16cid:durableId="3093058">
    <w:abstractNumId w:val="18"/>
  </w:num>
  <w:num w:numId="31" w16cid:durableId="972251898">
    <w:abstractNumId w:val="29"/>
  </w:num>
  <w:num w:numId="32" w16cid:durableId="705914316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AA"/>
    <w:rsid w:val="00006459"/>
    <w:rsid w:val="00011045"/>
    <w:rsid w:val="00012E12"/>
    <w:rsid w:val="000167B6"/>
    <w:rsid w:val="00017BF4"/>
    <w:rsid w:val="00021D6F"/>
    <w:rsid w:val="00021E83"/>
    <w:rsid w:val="0002755B"/>
    <w:rsid w:val="00034879"/>
    <w:rsid w:val="000379B4"/>
    <w:rsid w:val="00042B91"/>
    <w:rsid w:val="00047250"/>
    <w:rsid w:val="00050F24"/>
    <w:rsid w:val="0005411A"/>
    <w:rsid w:val="00057D5B"/>
    <w:rsid w:val="000628F7"/>
    <w:rsid w:val="00063367"/>
    <w:rsid w:val="00076AE4"/>
    <w:rsid w:val="00076F70"/>
    <w:rsid w:val="000774DD"/>
    <w:rsid w:val="000857E5"/>
    <w:rsid w:val="000920E7"/>
    <w:rsid w:val="000975C6"/>
    <w:rsid w:val="000A1236"/>
    <w:rsid w:val="000A23CB"/>
    <w:rsid w:val="000A25FA"/>
    <w:rsid w:val="000A5EBD"/>
    <w:rsid w:val="000A6E93"/>
    <w:rsid w:val="000B3E80"/>
    <w:rsid w:val="000B6CF0"/>
    <w:rsid w:val="000C41AC"/>
    <w:rsid w:val="000C5F93"/>
    <w:rsid w:val="000C633A"/>
    <w:rsid w:val="000C7AF6"/>
    <w:rsid w:val="000D2F57"/>
    <w:rsid w:val="000D5406"/>
    <w:rsid w:val="000D7B59"/>
    <w:rsid w:val="000E39A6"/>
    <w:rsid w:val="000F0AC2"/>
    <w:rsid w:val="000F0DCC"/>
    <w:rsid w:val="000F4DF1"/>
    <w:rsid w:val="001035F0"/>
    <w:rsid w:val="00103AF7"/>
    <w:rsid w:val="00113A33"/>
    <w:rsid w:val="001209D7"/>
    <w:rsid w:val="00120DD8"/>
    <w:rsid w:val="00122999"/>
    <w:rsid w:val="00125511"/>
    <w:rsid w:val="00125D9F"/>
    <w:rsid w:val="00142B70"/>
    <w:rsid w:val="00142D15"/>
    <w:rsid w:val="001440E1"/>
    <w:rsid w:val="001475A8"/>
    <w:rsid w:val="00151F01"/>
    <w:rsid w:val="001533A4"/>
    <w:rsid w:val="00154AAA"/>
    <w:rsid w:val="00155220"/>
    <w:rsid w:val="0015690A"/>
    <w:rsid w:val="00156CF3"/>
    <w:rsid w:val="00162917"/>
    <w:rsid w:val="00162923"/>
    <w:rsid w:val="00165A00"/>
    <w:rsid w:val="001861C6"/>
    <w:rsid w:val="00187CF5"/>
    <w:rsid w:val="001919D6"/>
    <w:rsid w:val="00191ED2"/>
    <w:rsid w:val="001A3916"/>
    <w:rsid w:val="001A7EA5"/>
    <w:rsid w:val="001B4005"/>
    <w:rsid w:val="001B6D13"/>
    <w:rsid w:val="001C43C6"/>
    <w:rsid w:val="001D1887"/>
    <w:rsid w:val="001E5AFF"/>
    <w:rsid w:val="001E6921"/>
    <w:rsid w:val="001E7A0E"/>
    <w:rsid w:val="001F4798"/>
    <w:rsid w:val="001F48BA"/>
    <w:rsid w:val="001F5B3B"/>
    <w:rsid w:val="00201156"/>
    <w:rsid w:val="002069F1"/>
    <w:rsid w:val="00207A7C"/>
    <w:rsid w:val="00210ACA"/>
    <w:rsid w:val="00210E41"/>
    <w:rsid w:val="00214E2F"/>
    <w:rsid w:val="0021589A"/>
    <w:rsid w:val="0022033C"/>
    <w:rsid w:val="00221CEF"/>
    <w:rsid w:val="00226C45"/>
    <w:rsid w:val="002277B9"/>
    <w:rsid w:val="00230011"/>
    <w:rsid w:val="002351E5"/>
    <w:rsid w:val="00235AAE"/>
    <w:rsid w:val="00237870"/>
    <w:rsid w:val="00242075"/>
    <w:rsid w:val="00243417"/>
    <w:rsid w:val="002538C9"/>
    <w:rsid w:val="00257EE2"/>
    <w:rsid w:val="002669BD"/>
    <w:rsid w:val="00272B97"/>
    <w:rsid w:val="00272DEA"/>
    <w:rsid w:val="00273413"/>
    <w:rsid w:val="00275A67"/>
    <w:rsid w:val="00277426"/>
    <w:rsid w:val="00280A53"/>
    <w:rsid w:val="00290AFE"/>
    <w:rsid w:val="002914F4"/>
    <w:rsid w:val="00291A3E"/>
    <w:rsid w:val="00297A62"/>
    <w:rsid w:val="002A1AF1"/>
    <w:rsid w:val="002A24E8"/>
    <w:rsid w:val="002A75DC"/>
    <w:rsid w:val="002B2F38"/>
    <w:rsid w:val="002D4833"/>
    <w:rsid w:val="002D4C43"/>
    <w:rsid w:val="002D6103"/>
    <w:rsid w:val="002D6725"/>
    <w:rsid w:val="002E59B4"/>
    <w:rsid w:val="002F199B"/>
    <w:rsid w:val="002F2571"/>
    <w:rsid w:val="002F344E"/>
    <w:rsid w:val="002F37BF"/>
    <w:rsid w:val="002F39DB"/>
    <w:rsid w:val="00300E25"/>
    <w:rsid w:val="00300FC0"/>
    <w:rsid w:val="003036AD"/>
    <w:rsid w:val="003074B3"/>
    <w:rsid w:val="00314ACD"/>
    <w:rsid w:val="0032368A"/>
    <w:rsid w:val="003326A4"/>
    <w:rsid w:val="00335020"/>
    <w:rsid w:val="00335181"/>
    <w:rsid w:val="0033663C"/>
    <w:rsid w:val="0034308B"/>
    <w:rsid w:val="003513E0"/>
    <w:rsid w:val="00354365"/>
    <w:rsid w:val="003663A1"/>
    <w:rsid w:val="0037316E"/>
    <w:rsid w:val="00375370"/>
    <w:rsid w:val="0037599D"/>
    <w:rsid w:val="00375CFE"/>
    <w:rsid w:val="00376A92"/>
    <w:rsid w:val="00380316"/>
    <w:rsid w:val="00383678"/>
    <w:rsid w:val="00384B21"/>
    <w:rsid w:val="003859AF"/>
    <w:rsid w:val="003859DA"/>
    <w:rsid w:val="00386F47"/>
    <w:rsid w:val="003912E5"/>
    <w:rsid w:val="00394151"/>
    <w:rsid w:val="003951DC"/>
    <w:rsid w:val="00395788"/>
    <w:rsid w:val="00395FDB"/>
    <w:rsid w:val="003966BD"/>
    <w:rsid w:val="00397AE0"/>
    <w:rsid w:val="003A26B9"/>
    <w:rsid w:val="003A3A2E"/>
    <w:rsid w:val="003A3DB1"/>
    <w:rsid w:val="003B4C77"/>
    <w:rsid w:val="003B5B28"/>
    <w:rsid w:val="003B70D7"/>
    <w:rsid w:val="003C1072"/>
    <w:rsid w:val="003D4104"/>
    <w:rsid w:val="003D63DA"/>
    <w:rsid w:val="003E5476"/>
    <w:rsid w:val="003F2EB4"/>
    <w:rsid w:val="003F3F3C"/>
    <w:rsid w:val="003F5F86"/>
    <w:rsid w:val="004065D7"/>
    <w:rsid w:val="004235A7"/>
    <w:rsid w:val="004263BF"/>
    <w:rsid w:val="0043056A"/>
    <w:rsid w:val="004329F3"/>
    <w:rsid w:val="00433305"/>
    <w:rsid w:val="00441215"/>
    <w:rsid w:val="0044138A"/>
    <w:rsid w:val="00442087"/>
    <w:rsid w:val="004430BE"/>
    <w:rsid w:val="00446152"/>
    <w:rsid w:val="004466ED"/>
    <w:rsid w:val="00453251"/>
    <w:rsid w:val="00453B44"/>
    <w:rsid w:val="00454296"/>
    <w:rsid w:val="004553D9"/>
    <w:rsid w:val="00465F4B"/>
    <w:rsid w:val="00466071"/>
    <w:rsid w:val="00466981"/>
    <w:rsid w:val="004673EB"/>
    <w:rsid w:val="004714F7"/>
    <w:rsid w:val="00472F06"/>
    <w:rsid w:val="00474E2A"/>
    <w:rsid w:val="00475E00"/>
    <w:rsid w:val="0047648B"/>
    <w:rsid w:val="00476A48"/>
    <w:rsid w:val="00481A9E"/>
    <w:rsid w:val="0048338B"/>
    <w:rsid w:val="00483CA4"/>
    <w:rsid w:val="004846A6"/>
    <w:rsid w:val="00490703"/>
    <w:rsid w:val="0049079D"/>
    <w:rsid w:val="00490B97"/>
    <w:rsid w:val="0049275B"/>
    <w:rsid w:val="00493B5B"/>
    <w:rsid w:val="00495F6C"/>
    <w:rsid w:val="004A0035"/>
    <w:rsid w:val="004A2596"/>
    <w:rsid w:val="004A4063"/>
    <w:rsid w:val="004A4D87"/>
    <w:rsid w:val="004B30A3"/>
    <w:rsid w:val="004B4929"/>
    <w:rsid w:val="004C0D7F"/>
    <w:rsid w:val="004C12F0"/>
    <w:rsid w:val="004C73EF"/>
    <w:rsid w:val="004D77A4"/>
    <w:rsid w:val="004D7A94"/>
    <w:rsid w:val="004E24F8"/>
    <w:rsid w:val="004E28F8"/>
    <w:rsid w:val="004E397F"/>
    <w:rsid w:val="004E3C57"/>
    <w:rsid w:val="004E6C1C"/>
    <w:rsid w:val="004F01A5"/>
    <w:rsid w:val="004F26D9"/>
    <w:rsid w:val="004F2CB7"/>
    <w:rsid w:val="004F3CA9"/>
    <w:rsid w:val="004F5057"/>
    <w:rsid w:val="004F7F77"/>
    <w:rsid w:val="005010E4"/>
    <w:rsid w:val="005063EA"/>
    <w:rsid w:val="005072B8"/>
    <w:rsid w:val="005104CC"/>
    <w:rsid w:val="0051131D"/>
    <w:rsid w:val="00511B41"/>
    <w:rsid w:val="0051305A"/>
    <w:rsid w:val="00516D79"/>
    <w:rsid w:val="00522664"/>
    <w:rsid w:val="00524D41"/>
    <w:rsid w:val="00525377"/>
    <w:rsid w:val="005257E7"/>
    <w:rsid w:val="0052695A"/>
    <w:rsid w:val="00533C0A"/>
    <w:rsid w:val="00536EDE"/>
    <w:rsid w:val="00540616"/>
    <w:rsid w:val="005439FC"/>
    <w:rsid w:val="005450DC"/>
    <w:rsid w:val="00547018"/>
    <w:rsid w:val="00547353"/>
    <w:rsid w:val="00550F97"/>
    <w:rsid w:val="0055697A"/>
    <w:rsid w:val="00560A40"/>
    <w:rsid w:val="00563107"/>
    <w:rsid w:val="005647F4"/>
    <w:rsid w:val="00567FF4"/>
    <w:rsid w:val="00570454"/>
    <w:rsid w:val="00575EE3"/>
    <w:rsid w:val="00577A16"/>
    <w:rsid w:val="00580274"/>
    <w:rsid w:val="0058041F"/>
    <w:rsid w:val="005808F2"/>
    <w:rsid w:val="00582286"/>
    <w:rsid w:val="005842F3"/>
    <w:rsid w:val="00586415"/>
    <w:rsid w:val="00595963"/>
    <w:rsid w:val="005A1E4B"/>
    <w:rsid w:val="005A23F3"/>
    <w:rsid w:val="005A310B"/>
    <w:rsid w:val="005A3D4F"/>
    <w:rsid w:val="005A48D7"/>
    <w:rsid w:val="005A5584"/>
    <w:rsid w:val="005A6AE9"/>
    <w:rsid w:val="005B3E76"/>
    <w:rsid w:val="005B4422"/>
    <w:rsid w:val="005C642C"/>
    <w:rsid w:val="005C6A90"/>
    <w:rsid w:val="005D00E4"/>
    <w:rsid w:val="005D04DF"/>
    <w:rsid w:val="005D3210"/>
    <w:rsid w:val="005D41AF"/>
    <w:rsid w:val="005D424F"/>
    <w:rsid w:val="005D4A52"/>
    <w:rsid w:val="005D7627"/>
    <w:rsid w:val="005D7D43"/>
    <w:rsid w:val="005E76F6"/>
    <w:rsid w:val="005F1F10"/>
    <w:rsid w:val="00601F73"/>
    <w:rsid w:val="00601F87"/>
    <w:rsid w:val="00602115"/>
    <w:rsid w:val="006027B7"/>
    <w:rsid w:val="00607046"/>
    <w:rsid w:val="00612216"/>
    <w:rsid w:val="00612BE6"/>
    <w:rsid w:val="00614E9F"/>
    <w:rsid w:val="00616ADF"/>
    <w:rsid w:val="00620D8F"/>
    <w:rsid w:val="00622C5B"/>
    <w:rsid w:val="00623CC6"/>
    <w:rsid w:val="00624761"/>
    <w:rsid w:val="006266F5"/>
    <w:rsid w:val="00634E28"/>
    <w:rsid w:val="00647A09"/>
    <w:rsid w:val="0065086A"/>
    <w:rsid w:val="006517A0"/>
    <w:rsid w:val="006524A2"/>
    <w:rsid w:val="00674185"/>
    <w:rsid w:val="00683D4A"/>
    <w:rsid w:val="00686D39"/>
    <w:rsid w:val="00692CDD"/>
    <w:rsid w:val="0069398D"/>
    <w:rsid w:val="006962F2"/>
    <w:rsid w:val="00696541"/>
    <w:rsid w:val="006A4B34"/>
    <w:rsid w:val="006A5C21"/>
    <w:rsid w:val="006B14EA"/>
    <w:rsid w:val="006B2504"/>
    <w:rsid w:val="006B3C71"/>
    <w:rsid w:val="006C1385"/>
    <w:rsid w:val="006C2B68"/>
    <w:rsid w:val="006C66D0"/>
    <w:rsid w:val="006D00F2"/>
    <w:rsid w:val="006D0CBE"/>
    <w:rsid w:val="006D29A6"/>
    <w:rsid w:val="006D6EA3"/>
    <w:rsid w:val="006D72CB"/>
    <w:rsid w:val="006D7D1C"/>
    <w:rsid w:val="006D7F85"/>
    <w:rsid w:val="006E0847"/>
    <w:rsid w:val="006E4BCB"/>
    <w:rsid w:val="006E55CB"/>
    <w:rsid w:val="006F0810"/>
    <w:rsid w:val="006F0D7E"/>
    <w:rsid w:val="006F12B6"/>
    <w:rsid w:val="006F1D9B"/>
    <w:rsid w:val="006F2D64"/>
    <w:rsid w:val="006F76E2"/>
    <w:rsid w:val="006F7FE6"/>
    <w:rsid w:val="007002E4"/>
    <w:rsid w:val="00706757"/>
    <w:rsid w:val="007076C9"/>
    <w:rsid w:val="00710948"/>
    <w:rsid w:val="00710EE4"/>
    <w:rsid w:val="00713233"/>
    <w:rsid w:val="0071436C"/>
    <w:rsid w:val="00716E6B"/>
    <w:rsid w:val="00717248"/>
    <w:rsid w:val="00720869"/>
    <w:rsid w:val="00725BB8"/>
    <w:rsid w:val="007263BF"/>
    <w:rsid w:val="0073263C"/>
    <w:rsid w:val="007349B0"/>
    <w:rsid w:val="007354A2"/>
    <w:rsid w:val="00736211"/>
    <w:rsid w:val="0073680D"/>
    <w:rsid w:val="00737E50"/>
    <w:rsid w:val="00740900"/>
    <w:rsid w:val="0074262E"/>
    <w:rsid w:val="00744702"/>
    <w:rsid w:val="0075662C"/>
    <w:rsid w:val="00757131"/>
    <w:rsid w:val="00760400"/>
    <w:rsid w:val="00761873"/>
    <w:rsid w:val="007618AC"/>
    <w:rsid w:val="00762212"/>
    <w:rsid w:val="00763272"/>
    <w:rsid w:val="007646E7"/>
    <w:rsid w:val="00765B21"/>
    <w:rsid w:val="00770C94"/>
    <w:rsid w:val="00771CF6"/>
    <w:rsid w:val="0077387D"/>
    <w:rsid w:val="00773B3B"/>
    <w:rsid w:val="00775E6F"/>
    <w:rsid w:val="00780A59"/>
    <w:rsid w:val="007811AA"/>
    <w:rsid w:val="007867EE"/>
    <w:rsid w:val="00790BF0"/>
    <w:rsid w:val="00790C23"/>
    <w:rsid w:val="007A1221"/>
    <w:rsid w:val="007A2AD5"/>
    <w:rsid w:val="007A47F1"/>
    <w:rsid w:val="007A5226"/>
    <w:rsid w:val="007B0F04"/>
    <w:rsid w:val="007B2D5F"/>
    <w:rsid w:val="007B72EE"/>
    <w:rsid w:val="007C7E15"/>
    <w:rsid w:val="007D5088"/>
    <w:rsid w:val="007D708F"/>
    <w:rsid w:val="007F42BD"/>
    <w:rsid w:val="008002AB"/>
    <w:rsid w:val="008018FA"/>
    <w:rsid w:val="0080432B"/>
    <w:rsid w:val="00804949"/>
    <w:rsid w:val="00805DD8"/>
    <w:rsid w:val="008103FA"/>
    <w:rsid w:val="008170F8"/>
    <w:rsid w:val="0083288A"/>
    <w:rsid w:val="00832C94"/>
    <w:rsid w:val="00832EBC"/>
    <w:rsid w:val="008373C6"/>
    <w:rsid w:val="0084795E"/>
    <w:rsid w:val="00864E1E"/>
    <w:rsid w:val="00873051"/>
    <w:rsid w:val="008735FE"/>
    <w:rsid w:val="0087371C"/>
    <w:rsid w:val="008745ED"/>
    <w:rsid w:val="00874EDF"/>
    <w:rsid w:val="00882C64"/>
    <w:rsid w:val="0088793A"/>
    <w:rsid w:val="00887E5D"/>
    <w:rsid w:val="00894B7F"/>
    <w:rsid w:val="008A15B7"/>
    <w:rsid w:val="008A210D"/>
    <w:rsid w:val="008B0C3D"/>
    <w:rsid w:val="008B13A5"/>
    <w:rsid w:val="008B1BA9"/>
    <w:rsid w:val="008B3CB9"/>
    <w:rsid w:val="008B667F"/>
    <w:rsid w:val="008C2DA2"/>
    <w:rsid w:val="008C5C2C"/>
    <w:rsid w:val="008C7623"/>
    <w:rsid w:val="008C78ED"/>
    <w:rsid w:val="008D7F1C"/>
    <w:rsid w:val="008F6E85"/>
    <w:rsid w:val="00900933"/>
    <w:rsid w:val="0090367B"/>
    <w:rsid w:val="00905F56"/>
    <w:rsid w:val="00914027"/>
    <w:rsid w:val="009140CD"/>
    <w:rsid w:val="009214EC"/>
    <w:rsid w:val="009224DD"/>
    <w:rsid w:val="00922F95"/>
    <w:rsid w:val="00923982"/>
    <w:rsid w:val="00923DA5"/>
    <w:rsid w:val="00924CA5"/>
    <w:rsid w:val="00930F2F"/>
    <w:rsid w:val="009337D8"/>
    <w:rsid w:val="00934A5D"/>
    <w:rsid w:val="00941292"/>
    <w:rsid w:val="0094168A"/>
    <w:rsid w:val="00941D63"/>
    <w:rsid w:val="00942C1E"/>
    <w:rsid w:val="0094476E"/>
    <w:rsid w:val="009456AE"/>
    <w:rsid w:val="009461CC"/>
    <w:rsid w:val="00953A7F"/>
    <w:rsid w:val="009645C9"/>
    <w:rsid w:val="00966ED8"/>
    <w:rsid w:val="009709B4"/>
    <w:rsid w:val="00970F10"/>
    <w:rsid w:val="00971960"/>
    <w:rsid w:val="00972802"/>
    <w:rsid w:val="00976460"/>
    <w:rsid w:val="00976960"/>
    <w:rsid w:val="00981AFC"/>
    <w:rsid w:val="00982459"/>
    <w:rsid w:val="00982823"/>
    <w:rsid w:val="00982903"/>
    <w:rsid w:val="009855C3"/>
    <w:rsid w:val="00987307"/>
    <w:rsid w:val="00994DB9"/>
    <w:rsid w:val="009964D2"/>
    <w:rsid w:val="009977D7"/>
    <w:rsid w:val="009A1AED"/>
    <w:rsid w:val="009A1FF8"/>
    <w:rsid w:val="009A5F24"/>
    <w:rsid w:val="009B4453"/>
    <w:rsid w:val="009B569A"/>
    <w:rsid w:val="009B7C1D"/>
    <w:rsid w:val="009C4FD5"/>
    <w:rsid w:val="009D19D6"/>
    <w:rsid w:val="009D3291"/>
    <w:rsid w:val="009D54C6"/>
    <w:rsid w:val="009D6FE2"/>
    <w:rsid w:val="009D7E33"/>
    <w:rsid w:val="009E10C6"/>
    <w:rsid w:val="009E1EBB"/>
    <w:rsid w:val="009E4BE1"/>
    <w:rsid w:val="009F1498"/>
    <w:rsid w:val="009F1998"/>
    <w:rsid w:val="009F1BD0"/>
    <w:rsid w:val="009F282F"/>
    <w:rsid w:val="009F2A57"/>
    <w:rsid w:val="009F319A"/>
    <w:rsid w:val="009F4223"/>
    <w:rsid w:val="009F51B0"/>
    <w:rsid w:val="009F5769"/>
    <w:rsid w:val="009F78EE"/>
    <w:rsid w:val="00A00853"/>
    <w:rsid w:val="00A0129F"/>
    <w:rsid w:val="00A02A54"/>
    <w:rsid w:val="00A030DC"/>
    <w:rsid w:val="00A03A91"/>
    <w:rsid w:val="00A05360"/>
    <w:rsid w:val="00A06EA0"/>
    <w:rsid w:val="00A12C5D"/>
    <w:rsid w:val="00A2055A"/>
    <w:rsid w:val="00A24C7B"/>
    <w:rsid w:val="00A25FCE"/>
    <w:rsid w:val="00A30F54"/>
    <w:rsid w:val="00A36237"/>
    <w:rsid w:val="00A3639B"/>
    <w:rsid w:val="00A44D21"/>
    <w:rsid w:val="00A4616A"/>
    <w:rsid w:val="00A5239F"/>
    <w:rsid w:val="00A538EF"/>
    <w:rsid w:val="00A56D87"/>
    <w:rsid w:val="00A570BF"/>
    <w:rsid w:val="00A57182"/>
    <w:rsid w:val="00A603C9"/>
    <w:rsid w:val="00A62721"/>
    <w:rsid w:val="00A62AA4"/>
    <w:rsid w:val="00A80721"/>
    <w:rsid w:val="00A8284F"/>
    <w:rsid w:val="00A8483B"/>
    <w:rsid w:val="00A8663C"/>
    <w:rsid w:val="00A86CBA"/>
    <w:rsid w:val="00A90A1C"/>
    <w:rsid w:val="00A95910"/>
    <w:rsid w:val="00AA2E04"/>
    <w:rsid w:val="00AA3502"/>
    <w:rsid w:val="00AA3694"/>
    <w:rsid w:val="00AA7F1D"/>
    <w:rsid w:val="00AB04FB"/>
    <w:rsid w:val="00AC1EE8"/>
    <w:rsid w:val="00AC53BA"/>
    <w:rsid w:val="00AC7864"/>
    <w:rsid w:val="00AD0542"/>
    <w:rsid w:val="00AD355F"/>
    <w:rsid w:val="00AD3C62"/>
    <w:rsid w:val="00AD4A16"/>
    <w:rsid w:val="00AE212B"/>
    <w:rsid w:val="00AE2B73"/>
    <w:rsid w:val="00AE5A46"/>
    <w:rsid w:val="00AF2584"/>
    <w:rsid w:val="00B0012D"/>
    <w:rsid w:val="00B01620"/>
    <w:rsid w:val="00B0256A"/>
    <w:rsid w:val="00B04139"/>
    <w:rsid w:val="00B06F88"/>
    <w:rsid w:val="00B07777"/>
    <w:rsid w:val="00B1087D"/>
    <w:rsid w:val="00B11A66"/>
    <w:rsid w:val="00B15E55"/>
    <w:rsid w:val="00B16AB3"/>
    <w:rsid w:val="00B17CC3"/>
    <w:rsid w:val="00B26297"/>
    <w:rsid w:val="00B32916"/>
    <w:rsid w:val="00B343C2"/>
    <w:rsid w:val="00B37A72"/>
    <w:rsid w:val="00B407B6"/>
    <w:rsid w:val="00B459A4"/>
    <w:rsid w:val="00B62140"/>
    <w:rsid w:val="00B66253"/>
    <w:rsid w:val="00B67432"/>
    <w:rsid w:val="00B7112F"/>
    <w:rsid w:val="00B714A8"/>
    <w:rsid w:val="00B7247B"/>
    <w:rsid w:val="00B73BEA"/>
    <w:rsid w:val="00B763A0"/>
    <w:rsid w:val="00B82FB3"/>
    <w:rsid w:val="00B8570A"/>
    <w:rsid w:val="00B8696D"/>
    <w:rsid w:val="00B9692A"/>
    <w:rsid w:val="00BA7D3E"/>
    <w:rsid w:val="00BB36B1"/>
    <w:rsid w:val="00BB79B1"/>
    <w:rsid w:val="00BC0CE0"/>
    <w:rsid w:val="00BC3DD7"/>
    <w:rsid w:val="00BD1913"/>
    <w:rsid w:val="00BD7F46"/>
    <w:rsid w:val="00BE0727"/>
    <w:rsid w:val="00BE09C5"/>
    <w:rsid w:val="00BE3D15"/>
    <w:rsid w:val="00BE7E3B"/>
    <w:rsid w:val="00BF53FD"/>
    <w:rsid w:val="00BF7DE6"/>
    <w:rsid w:val="00C00243"/>
    <w:rsid w:val="00C01A53"/>
    <w:rsid w:val="00C0200E"/>
    <w:rsid w:val="00C02BC0"/>
    <w:rsid w:val="00C134BC"/>
    <w:rsid w:val="00C13612"/>
    <w:rsid w:val="00C1549E"/>
    <w:rsid w:val="00C16423"/>
    <w:rsid w:val="00C16D85"/>
    <w:rsid w:val="00C3050A"/>
    <w:rsid w:val="00C361CA"/>
    <w:rsid w:val="00C3745E"/>
    <w:rsid w:val="00C46C3A"/>
    <w:rsid w:val="00C47B0F"/>
    <w:rsid w:val="00C56109"/>
    <w:rsid w:val="00C6261A"/>
    <w:rsid w:val="00C64987"/>
    <w:rsid w:val="00C64AB4"/>
    <w:rsid w:val="00C673A6"/>
    <w:rsid w:val="00C706D6"/>
    <w:rsid w:val="00C70884"/>
    <w:rsid w:val="00C76698"/>
    <w:rsid w:val="00C824D9"/>
    <w:rsid w:val="00C82528"/>
    <w:rsid w:val="00C83032"/>
    <w:rsid w:val="00C91927"/>
    <w:rsid w:val="00C94CB5"/>
    <w:rsid w:val="00C97841"/>
    <w:rsid w:val="00CA2472"/>
    <w:rsid w:val="00CA46B0"/>
    <w:rsid w:val="00CA4BD6"/>
    <w:rsid w:val="00CA7832"/>
    <w:rsid w:val="00CB0F1E"/>
    <w:rsid w:val="00CB7CB0"/>
    <w:rsid w:val="00CC0372"/>
    <w:rsid w:val="00CD129C"/>
    <w:rsid w:val="00CD6594"/>
    <w:rsid w:val="00CD6EF2"/>
    <w:rsid w:val="00CD76E0"/>
    <w:rsid w:val="00CE3EA4"/>
    <w:rsid w:val="00CE6144"/>
    <w:rsid w:val="00CE7154"/>
    <w:rsid w:val="00CF0AF4"/>
    <w:rsid w:val="00CF6BEB"/>
    <w:rsid w:val="00CF7C5F"/>
    <w:rsid w:val="00D0560B"/>
    <w:rsid w:val="00D104AC"/>
    <w:rsid w:val="00D14601"/>
    <w:rsid w:val="00D15BBE"/>
    <w:rsid w:val="00D16500"/>
    <w:rsid w:val="00D20FA4"/>
    <w:rsid w:val="00D23267"/>
    <w:rsid w:val="00D23846"/>
    <w:rsid w:val="00D24167"/>
    <w:rsid w:val="00D26121"/>
    <w:rsid w:val="00D26B0D"/>
    <w:rsid w:val="00D35E63"/>
    <w:rsid w:val="00D42481"/>
    <w:rsid w:val="00D4289F"/>
    <w:rsid w:val="00D47200"/>
    <w:rsid w:val="00D479C6"/>
    <w:rsid w:val="00D52DF8"/>
    <w:rsid w:val="00D558E5"/>
    <w:rsid w:val="00D56C82"/>
    <w:rsid w:val="00D600D7"/>
    <w:rsid w:val="00D62E8E"/>
    <w:rsid w:val="00D63EAA"/>
    <w:rsid w:val="00D64EA5"/>
    <w:rsid w:val="00D75384"/>
    <w:rsid w:val="00D75D87"/>
    <w:rsid w:val="00D760D8"/>
    <w:rsid w:val="00D82C89"/>
    <w:rsid w:val="00D91CDB"/>
    <w:rsid w:val="00D94089"/>
    <w:rsid w:val="00D96F6A"/>
    <w:rsid w:val="00D979CC"/>
    <w:rsid w:val="00DA4404"/>
    <w:rsid w:val="00DA5FD1"/>
    <w:rsid w:val="00DA6381"/>
    <w:rsid w:val="00DB020C"/>
    <w:rsid w:val="00DB582A"/>
    <w:rsid w:val="00DB74A8"/>
    <w:rsid w:val="00DD13F4"/>
    <w:rsid w:val="00DD54B4"/>
    <w:rsid w:val="00DE0007"/>
    <w:rsid w:val="00DE2118"/>
    <w:rsid w:val="00DE3CC0"/>
    <w:rsid w:val="00DE6313"/>
    <w:rsid w:val="00DE6327"/>
    <w:rsid w:val="00DE7FD7"/>
    <w:rsid w:val="00DF0617"/>
    <w:rsid w:val="00DF62DC"/>
    <w:rsid w:val="00E03D31"/>
    <w:rsid w:val="00E11D92"/>
    <w:rsid w:val="00E1442F"/>
    <w:rsid w:val="00E14C97"/>
    <w:rsid w:val="00E213E0"/>
    <w:rsid w:val="00E23984"/>
    <w:rsid w:val="00E269CF"/>
    <w:rsid w:val="00E3060B"/>
    <w:rsid w:val="00E3332E"/>
    <w:rsid w:val="00E352B4"/>
    <w:rsid w:val="00E407A5"/>
    <w:rsid w:val="00E409AE"/>
    <w:rsid w:val="00E41C44"/>
    <w:rsid w:val="00E46137"/>
    <w:rsid w:val="00E529DC"/>
    <w:rsid w:val="00E535E2"/>
    <w:rsid w:val="00E541DE"/>
    <w:rsid w:val="00E7114E"/>
    <w:rsid w:val="00E714ED"/>
    <w:rsid w:val="00E770DA"/>
    <w:rsid w:val="00E818B5"/>
    <w:rsid w:val="00E87974"/>
    <w:rsid w:val="00E91403"/>
    <w:rsid w:val="00E950A1"/>
    <w:rsid w:val="00E9587C"/>
    <w:rsid w:val="00EA0589"/>
    <w:rsid w:val="00EA2539"/>
    <w:rsid w:val="00EA2A12"/>
    <w:rsid w:val="00EA34B1"/>
    <w:rsid w:val="00EA386A"/>
    <w:rsid w:val="00EA3F04"/>
    <w:rsid w:val="00EB3CE1"/>
    <w:rsid w:val="00EB4EEE"/>
    <w:rsid w:val="00EB5323"/>
    <w:rsid w:val="00EB55F4"/>
    <w:rsid w:val="00EC009B"/>
    <w:rsid w:val="00EC0A5C"/>
    <w:rsid w:val="00EC0F3C"/>
    <w:rsid w:val="00ED2006"/>
    <w:rsid w:val="00ED2C52"/>
    <w:rsid w:val="00ED57DD"/>
    <w:rsid w:val="00ED6077"/>
    <w:rsid w:val="00ED60E5"/>
    <w:rsid w:val="00EE18FA"/>
    <w:rsid w:val="00EE3541"/>
    <w:rsid w:val="00EF2775"/>
    <w:rsid w:val="00F0588E"/>
    <w:rsid w:val="00F07DD1"/>
    <w:rsid w:val="00F12464"/>
    <w:rsid w:val="00F12AB9"/>
    <w:rsid w:val="00F1562A"/>
    <w:rsid w:val="00F1569C"/>
    <w:rsid w:val="00F20DD6"/>
    <w:rsid w:val="00F24AE3"/>
    <w:rsid w:val="00F32C32"/>
    <w:rsid w:val="00F332F1"/>
    <w:rsid w:val="00F343C3"/>
    <w:rsid w:val="00F347FB"/>
    <w:rsid w:val="00F3731D"/>
    <w:rsid w:val="00F37F87"/>
    <w:rsid w:val="00F44E82"/>
    <w:rsid w:val="00F501B1"/>
    <w:rsid w:val="00F56303"/>
    <w:rsid w:val="00F604C9"/>
    <w:rsid w:val="00F63689"/>
    <w:rsid w:val="00F66077"/>
    <w:rsid w:val="00F66E1F"/>
    <w:rsid w:val="00F67A0E"/>
    <w:rsid w:val="00F67D06"/>
    <w:rsid w:val="00F7558C"/>
    <w:rsid w:val="00F761EC"/>
    <w:rsid w:val="00F86E3F"/>
    <w:rsid w:val="00F9112F"/>
    <w:rsid w:val="00FA1D26"/>
    <w:rsid w:val="00FB05F7"/>
    <w:rsid w:val="00FB0A38"/>
    <w:rsid w:val="00FB14AD"/>
    <w:rsid w:val="00FB1FDD"/>
    <w:rsid w:val="00FB59FD"/>
    <w:rsid w:val="00FC52C8"/>
    <w:rsid w:val="00FC5667"/>
    <w:rsid w:val="00FC6DBB"/>
    <w:rsid w:val="00FD0ECB"/>
    <w:rsid w:val="00FE191E"/>
    <w:rsid w:val="00FE3112"/>
    <w:rsid w:val="00FE4230"/>
    <w:rsid w:val="00FE5B73"/>
    <w:rsid w:val="00FE6595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914C6"/>
  <w15:chartTrackingRefBased/>
  <w15:docId w15:val="{EC7DA20C-9F38-4A81-966B-D50D5F52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5C3"/>
    <w:pPr>
      <w:spacing w:after="100" w:afterAutospacing="1"/>
    </w:pPr>
    <w:rPr>
      <w:rFonts w:ascii="Times New Roman" w:hAnsi="Times New Roman"/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B91"/>
    <w:pPr>
      <w:numPr>
        <w:ilvl w:val="1"/>
        <w:numId w:val="2"/>
      </w:numPr>
      <w:spacing w:after="0" w:afterAutospacing="0" w:line="240" w:lineRule="auto"/>
      <w:ind w:left="792"/>
      <w:outlineLvl w:val="0"/>
    </w:pPr>
    <w:rPr>
      <w:b/>
      <w:color w:val="000000" w:themeColor="text1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855C3"/>
    <w:pPr>
      <w:numPr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8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0810"/>
    <w:pPr>
      <w:keepNext/>
      <w:keepLines/>
      <w:numPr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05411A"/>
    <w:pPr>
      <w:keepNext/>
      <w:spacing w:after="120" w:line="240" w:lineRule="auto"/>
      <w:jc w:val="center"/>
      <w:outlineLvl w:val="6"/>
    </w:pPr>
    <w:rPr>
      <w:rFonts w:eastAsia="Times New Roman" w:cs="Times New Roman"/>
      <w:b/>
      <w:sz w:val="3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Bullet List Paragraph,Bullet 1,Bullet,Title 1,List Paragraph1,Trust List Numbering"/>
    <w:basedOn w:val="Normal"/>
    <w:link w:val="ListParagraphChar"/>
    <w:uiPriority w:val="34"/>
    <w:qFormat/>
    <w:rsid w:val="007811AA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05411A"/>
    <w:rPr>
      <w:rFonts w:ascii="Times New Roman" w:eastAsia="Times New Roman" w:hAnsi="Times New Roman" w:cs="Times New Roman"/>
      <w:b/>
      <w:sz w:val="36"/>
      <w:szCs w:val="24"/>
      <w:lang w:val="en-GB" w:eastAsia="en-GB"/>
    </w:rPr>
  </w:style>
  <w:style w:type="paragraph" w:styleId="Header">
    <w:name w:val="header"/>
    <w:basedOn w:val="Normal"/>
    <w:link w:val="HeaderChar"/>
    <w:rsid w:val="0005411A"/>
    <w:pPr>
      <w:widowControl w:val="0"/>
      <w:tabs>
        <w:tab w:val="center" w:pos="4153"/>
        <w:tab w:val="right" w:pos="8306"/>
      </w:tabs>
      <w:spacing w:after="120" w:line="240" w:lineRule="auto"/>
      <w:jc w:val="both"/>
    </w:pPr>
    <w:rPr>
      <w:rFonts w:ascii="CG Times 12pt" w:eastAsia="Times New Roman" w:hAnsi="CG Times 12pt" w:cs="Times New Roman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05411A"/>
    <w:rPr>
      <w:rFonts w:ascii="CG Times 12pt" w:eastAsia="Times New Roman" w:hAnsi="CG Times 12pt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05411A"/>
    <w:pPr>
      <w:spacing w:after="120" w:line="240" w:lineRule="auto"/>
      <w:jc w:val="center"/>
    </w:pPr>
    <w:rPr>
      <w:rFonts w:eastAsia="Times New Roman" w:cs="Times New Roman"/>
      <w:b/>
      <w:sz w:val="28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05411A"/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character" w:styleId="Hyperlink">
    <w:name w:val="Hyperlink"/>
    <w:uiPriority w:val="99"/>
    <w:rsid w:val="006F0810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2B91"/>
    <w:rPr>
      <w:rFonts w:ascii="Times New Roman" w:hAnsi="Times New Roman"/>
      <w:b/>
      <w:color w:val="000000" w:themeColor="text1"/>
      <w:sz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F0810"/>
    <w:pPr>
      <w:spacing w:after="120"/>
      <w:outlineLvl w:val="9"/>
    </w:pPr>
    <w:rPr>
      <w:rFonts w:ascii="Calibri Light" w:eastAsia="MS Gothic" w:hAnsi="Calibri Light" w:cs="Times New Roman"/>
      <w:color w:val="2E74B5"/>
    </w:rPr>
  </w:style>
  <w:style w:type="paragraph" w:styleId="TOC3">
    <w:name w:val="toc 3"/>
    <w:basedOn w:val="Normal"/>
    <w:next w:val="Normal"/>
    <w:autoRedefine/>
    <w:uiPriority w:val="39"/>
    <w:rsid w:val="006F0810"/>
    <w:pPr>
      <w:tabs>
        <w:tab w:val="left" w:pos="1080"/>
        <w:tab w:val="right" w:leader="dot" w:pos="9629"/>
      </w:tabs>
      <w:spacing w:line="240" w:lineRule="auto"/>
      <w:ind w:left="400"/>
      <w:jc w:val="both"/>
    </w:pPr>
    <w:rPr>
      <w:rFonts w:eastAsia="Times New Roman" w:cs="Times New Roman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rsid w:val="00A2055A"/>
    <w:pPr>
      <w:tabs>
        <w:tab w:val="left" w:pos="660"/>
        <w:tab w:val="right" w:leader="dot" w:pos="9350"/>
      </w:tabs>
      <w:spacing w:after="0" w:afterAutospacing="0" w:line="240" w:lineRule="auto"/>
      <w:ind w:left="720" w:right="1710" w:hanging="720"/>
      <w:jc w:val="both"/>
    </w:pPr>
    <w:rPr>
      <w:rFonts w:eastAsia="Times New Roman" w:cs="Times New Roman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8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F08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0810"/>
  </w:style>
  <w:style w:type="table" w:styleId="TableGrid">
    <w:name w:val="Table Grid"/>
    <w:basedOn w:val="TableNormal"/>
    <w:uiPriority w:val="39"/>
    <w:qFormat/>
    <w:rsid w:val="006F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855C3"/>
    <w:rPr>
      <w:rFonts w:ascii="Times New Roman" w:hAnsi="Times New Roman"/>
      <w:b/>
      <w:color w:val="000000" w:themeColor="text1"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F0810"/>
    <w:rPr>
      <w:rFonts w:asciiTheme="majorHAnsi" w:eastAsiaTheme="majorEastAsia" w:hAnsiTheme="majorHAnsi" w:cstheme="majorBidi"/>
      <w:color w:val="2F5496" w:themeColor="accent1" w:themeShade="BF"/>
      <w:sz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11A66"/>
    <w:pPr>
      <w:ind w:left="220"/>
    </w:pPr>
  </w:style>
  <w:style w:type="paragraph" w:styleId="Footer">
    <w:name w:val="footer"/>
    <w:basedOn w:val="Normal"/>
    <w:link w:val="FooterChar"/>
    <w:uiPriority w:val="99"/>
    <w:unhideWhenUsed/>
    <w:rsid w:val="00394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151"/>
  </w:style>
  <w:style w:type="paragraph" w:customStyle="1" w:styleId="paragraph">
    <w:name w:val="paragraph"/>
    <w:basedOn w:val="Normal"/>
    <w:rsid w:val="000D2F57"/>
    <w:pPr>
      <w:spacing w:before="100" w:beforeAutospacing="1" w:line="240" w:lineRule="auto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0D2F57"/>
  </w:style>
  <w:style w:type="character" w:customStyle="1" w:styleId="eop">
    <w:name w:val="eop"/>
    <w:basedOn w:val="DefaultParagraphFont"/>
    <w:rsid w:val="000D2F57"/>
  </w:style>
  <w:style w:type="character" w:customStyle="1" w:styleId="spellingerror">
    <w:name w:val="spellingerror"/>
    <w:basedOn w:val="DefaultParagraphFont"/>
    <w:rsid w:val="000D2F57"/>
  </w:style>
  <w:style w:type="paragraph" w:styleId="Revision">
    <w:name w:val="Revision"/>
    <w:hidden/>
    <w:uiPriority w:val="99"/>
    <w:semiHidden/>
    <w:rsid w:val="00A2055A"/>
    <w:pPr>
      <w:spacing w:after="0" w:line="240" w:lineRule="auto"/>
    </w:pPr>
    <w:rPr>
      <w:rFonts w:ascii="Times New Roman" w:hAnsi="Times New Roman"/>
      <w:sz w:val="24"/>
      <w:lang w:eastAsia="en-GB"/>
    </w:rPr>
  </w:style>
  <w:style w:type="paragraph" w:customStyle="1" w:styleId="TableHeading-Font10">
    <w:name w:val="Table Heading-Font 10"/>
    <w:next w:val="Normal"/>
    <w:link w:val="TableHeading-Font10Char"/>
    <w:qFormat/>
    <w:rsid w:val="00AC1EE8"/>
    <w:pPr>
      <w:keepNext/>
      <w:keepLines/>
      <w:tabs>
        <w:tab w:val="left" w:pos="1440"/>
      </w:tabs>
      <w:spacing w:before="80" w:after="80" w:line="200" w:lineRule="exact"/>
      <w:jc w:val="center"/>
    </w:pPr>
    <w:rPr>
      <w:rFonts w:ascii="Arial" w:hAnsi="Arial" w:cs="Arial"/>
      <w:b/>
      <w:bCs/>
      <w:kern w:val="32"/>
      <w:sz w:val="20"/>
      <w:szCs w:val="20"/>
    </w:rPr>
  </w:style>
  <w:style w:type="character" w:customStyle="1" w:styleId="TableHeading-Font10Char">
    <w:name w:val="Table Heading-Font 10 Char"/>
    <w:link w:val="TableHeading-Font10"/>
    <w:rsid w:val="00AC1EE8"/>
    <w:rPr>
      <w:rFonts w:ascii="Arial" w:hAnsi="Arial" w:cs="Arial"/>
      <w:b/>
      <w:bCs/>
      <w:kern w:val="32"/>
      <w:sz w:val="20"/>
      <w:szCs w:val="20"/>
    </w:rPr>
  </w:style>
  <w:style w:type="paragraph" w:customStyle="1" w:styleId="TableTextLeft">
    <w:name w:val="Table Text Left"/>
    <w:basedOn w:val="Normal"/>
    <w:link w:val="TableTextLeftChar"/>
    <w:qFormat/>
    <w:rsid w:val="00AC1EE8"/>
    <w:pPr>
      <w:spacing w:before="40" w:after="40" w:afterAutospacing="0" w:line="240" w:lineRule="auto"/>
    </w:pPr>
    <w:rPr>
      <w:rFonts w:ascii="Arial" w:eastAsia="Arial Unicode MS" w:hAnsi="Arial" w:cs="Arial"/>
      <w:iCs/>
      <w:sz w:val="20"/>
      <w:szCs w:val="20"/>
    </w:rPr>
  </w:style>
  <w:style w:type="character" w:customStyle="1" w:styleId="TableTextLeftChar">
    <w:name w:val="Table Text Left Char"/>
    <w:basedOn w:val="DefaultParagraphFont"/>
    <w:link w:val="TableTextLeft"/>
    <w:rsid w:val="00AC1EE8"/>
    <w:rPr>
      <w:rFonts w:ascii="Arial" w:eastAsia="Arial Unicode MS" w:hAnsi="Arial" w:cs="Arial"/>
      <w:iCs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D75D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75D87"/>
    <w:rPr>
      <w:rFonts w:ascii="Times New Roman" w:hAnsi="Times New Roman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F4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223"/>
    <w:pPr>
      <w:widowControl w:val="0"/>
      <w:autoSpaceDE w:val="0"/>
      <w:autoSpaceDN w:val="0"/>
      <w:spacing w:after="0" w:afterAutospacing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223"/>
    <w:rPr>
      <w:rFonts w:ascii="Arial" w:eastAsia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93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A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1B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BT1BodyTextI1">
    <w:name w:val="BT1: Body Text I1"/>
    <w:basedOn w:val="BodyText"/>
    <w:link w:val="BT1BodyTextI1Char"/>
    <w:qFormat/>
    <w:rsid w:val="00476A48"/>
    <w:pPr>
      <w:spacing w:before="240" w:after="0" w:afterAutospacing="0" w:line="240" w:lineRule="auto"/>
      <w:jc w:val="both"/>
    </w:pPr>
    <w:rPr>
      <w:rFonts w:ascii="Arial" w:eastAsia="Calibri" w:hAnsi="Arial" w:cs="Arial"/>
      <w:iCs/>
      <w:sz w:val="22"/>
      <w:lang w:eastAsia="en-US"/>
    </w:rPr>
  </w:style>
  <w:style w:type="character" w:customStyle="1" w:styleId="BT1BodyTextI1Char">
    <w:name w:val="BT1: Body Text I1 Char"/>
    <w:basedOn w:val="DefaultParagraphFont"/>
    <w:link w:val="BT1BodyTextI1"/>
    <w:locked/>
    <w:rsid w:val="00476A48"/>
    <w:rPr>
      <w:rFonts w:ascii="Arial" w:eastAsia="Calibri" w:hAnsi="Arial" w:cs="Arial"/>
      <w:iCs/>
    </w:rPr>
  </w:style>
  <w:style w:type="character" w:customStyle="1" w:styleId="ListParagraphChar">
    <w:name w:val="List Paragraph Char"/>
    <w:aliases w:val="Bullet List Char,Bullet List Paragraph Char,Bullet 1 Char,Bullet Char,Title 1 Char,List Paragraph1 Char,Trust List Numbering Char"/>
    <w:link w:val="ListParagraph"/>
    <w:uiPriority w:val="34"/>
    <w:locked/>
    <w:rsid w:val="00EA2539"/>
    <w:rPr>
      <w:rFonts w:ascii="Times New Roman" w:hAnsi="Times New Roman"/>
      <w:sz w:val="24"/>
      <w:lang w:eastAsia="en-GB"/>
    </w:rPr>
  </w:style>
  <w:style w:type="paragraph" w:styleId="Caption">
    <w:name w:val="caption"/>
    <w:aliases w:val="Footnote,Times Roman 10 bold,Char2,Char Char Char Char,Top Caption,1 Tbl Titles,Table Caption,Figure Caption,cerCAPTION,Pg1Title,Char Char Char + Arial,Left,Before:  6 pt,Caption Char1 Char,Fig Tittle,Caption Table, Char Char Char Char,Caption_m"/>
    <w:next w:val="Normal"/>
    <w:link w:val="CaptionChar"/>
    <w:qFormat/>
    <w:rsid w:val="00ED6077"/>
    <w:pPr>
      <w:keepNext/>
      <w:spacing w:before="240" w:after="240" w:line="240" w:lineRule="auto"/>
      <w:ind w:left="1411" w:hanging="1411"/>
    </w:pPr>
    <w:rPr>
      <w:rFonts w:ascii="Arial" w:eastAsia="Times New Roman" w:hAnsi="Arial" w:cs="Arial"/>
      <w:b/>
      <w:bCs/>
      <w:lang w:val="en-AU"/>
    </w:rPr>
  </w:style>
  <w:style w:type="character" w:customStyle="1" w:styleId="CaptionChar">
    <w:name w:val="Caption Char"/>
    <w:aliases w:val="Footnote Char,Times Roman 10 bold Char,Char2 Char,Char Char Char Char Char,Top Caption Char,1 Tbl Titles Char,Table Caption Char,Figure Caption Char,cerCAPTION Char,Pg1Title Char,Char Char Char + Arial Char,Left Char,Before:  6 pt Char"/>
    <w:link w:val="Caption"/>
    <w:qFormat/>
    <w:rsid w:val="00ED6077"/>
    <w:rPr>
      <w:rFonts w:ascii="Arial" w:eastAsia="Times New Roman" w:hAnsi="Arial" w:cs="Arial"/>
      <w:b/>
      <w:bCs/>
      <w:lang w:val="en-AU"/>
    </w:rPr>
  </w:style>
  <w:style w:type="paragraph" w:customStyle="1" w:styleId="Tablefootnotetext">
    <w:name w:val="Table footnote text"/>
    <w:basedOn w:val="Normal"/>
    <w:qFormat/>
    <w:locked/>
    <w:rsid w:val="00ED6077"/>
    <w:pPr>
      <w:spacing w:before="40" w:after="0" w:afterAutospacing="0" w:line="240" w:lineRule="auto"/>
      <w:jc w:val="both"/>
    </w:pPr>
    <w:rPr>
      <w:rFonts w:ascii="Arial" w:eastAsia="Times New Roman" w:hAnsi="Arial" w:cs="Times New Roman"/>
      <w:sz w:val="18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11D92"/>
    <w:pPr>
      <w:spacing w:before="100" w:beforeAutospacing="1" w:line="240" w:lineRule="auto"/>
    </w:pPr>
    <w:rPr>
      <w:rFonts w:eastAsia="Times New Roman" w:cs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E11D92"/>
    <w:rPr>
      <w:b/>
      <w:bCs/>
    </w:rPr>
  </w:style>
  <w:style w:type="paragraph" w:customStyle="1" w:styleId="pf0">
    <w:name w:val="pf0"/>
    <w:basedOn w:val="Normal"/>
    <w:rsid w:val="003B70D7"/>
    <w:pPr>
      <w:spacing w:before="100" w:beforeAutospacing="1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55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4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580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1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2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3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77074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0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8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3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1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sigroup.com" TargetMode="External"/><Relationship Id="rId18" Type="http://schemas.openxmlformats.org/officeDocument/2006/relationships/hyperlink" Target="https://www.astm.org/Standards/F2096.htm" TargetMode="External"/><Relationship Id="rId26" Type="http://schemas.openxmlformats.org/officeDocument/2006/relationships/hyperlink" Target="https://www.astm.org/Standards/F88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stm.org/Standards/F1929.htm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mergoVigilance@ul.com" TargetMode="External"/><Relationship Id="rId17" Type="http://schemas.openxmlformats.org/officeDocument/2006/relationships/hyperlink" Target="https://www.astm.org/Standards/F2096.htm" TargetMode="External"/><Relationship Id="rId25" Type="http://schemas.openxmlformats.org/officeDocument/2006/relationships/hyperlink" Target="https://www.astm.org/Standards/F88.ht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stm.org/Standards/F2096.htm" TargetMode="External"/><Relationship Id="rId20" Type="http://schemas.openxmlformats.org/officeDocument/2006/relationships/hyperlink" Target="https://www.astm.org/Standards/F1929.htm" TargetMode="External"/><Relationship Id="rId29" Type="http://schemas.openxmlformats.org/officeDocument/2006/relationships/hyperlink" Target="https://www.astm.org/Standards/F1980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Compliance@argonmedical.com" TargetMode="External"/><Relationship Id="rId24" Type="http://schemas.openxmlformats.org/officeDocument/2006/relationships/hyperlink" Target="https://www.astm.org/Standards/F88.htm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astm.org/Standards/D4169.htm" TargetMode="External"/><Relationship Id="rId23" Type="http://schemas.openxmlformats.org/officeDocument/2006/relationships/hyperlink" Target="https://www.astm.org/Standards/F1929.htm" TargetMode="External"/><Relationship Id="rId28" Type="http://schemas.openxmlformats.org/officeDocument/2006/relationships/hyperlink" Target="https://www.astm.org/Standards/F1980.ht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stm.org/Standards/F2096.htm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stm.org/Standards/D4169.htm" TargetMode="External"/><Relationship Id="rId22" Type="http://schemas.openxmlformats.org/officeDocument/2006/relationships/hyperlink" Target="https://www.astm.org/Standards/F1929.htm" TargetMode="External"/><Relationship Id="rId27" Type="http://schemas.openxmlformats.org/officeDocument/2006/relationships/hyperlink" Target="https://www.astm.org/Standards/F1980.htm" TargetMode="External"/><Relationship Id="rId30" Type="http://schemas.openxmlformats.org/officeDocument/2006/relationships/hyperlink" Target="https://www.astm.org/Standards/F1980.htm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5168FB229E64BB02D823972441852" ma:contentTypeVersion="8" ma:contentTypeDescription="Create a new document." ma:contentTypeScope="" ma:versionID="930cde1784db80892a686ca36e180a82">
  <xsd:schema xmlns:xsd="http://www.w3.org/2001/XMLSchema" xmlns:xs="http://www.w3.org/2001/XMLSchema" xmlns:p="http://schemas.microsoft.com/office/2006/metadata/properties" xmlns:ns1="http://schemas.microsoft.com/sharepoint/v3" xmlns:ns2="98998320-5229-49fa-b545-1146fcc196c3" xmlns:ns3="7df48557-8e40-41cc-b42f-0234d1441c26" xmlns:ns4="533d7803-0b09-441b-8841-a7d5d61164fa" targetNamespace="http://schemas.microsoft.com/office/2006/metadata/properties" ma:root="true" ma:fieldsID="a2decff7a4d88684e1e04d71338e4e58" ns1:_="" ns2:_="" ns3:_="" ns4:_="">
    <xsd:import namespace="http://schemas.microsoft.com/sharepoint/v3"/>
    <xsd:import namespace="98998320-5229-49fa-b545-1146fcc196c3"/>
    <xsd:import namespace="7df48557-8e40-41cc-b42f-0234d1441c26"/>
    <xsd:import namespace="533d7803-0b09-441b-8841-a7d5d61164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8320-5229-49fa-b545-1146fcc196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48557-8e40-41cc-b42f-0234d1441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d7803-0b09-441b-8841-a7d5d6116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998320-5229-49fa-b545-1146fcc196c3">X6KQWXAJUN6C-1856867172-302</_dlc_DocId>
    <_dlc_DocIdUrl xmlns="98998320-5229-49fa-b545-1146fcc196c3">
      <Url>https://argonmedical.sharepoint.com/Quality/PME/_layouts/15/DocIdRedir.aspx?ID=X6KQWXAJUN6C-1856867172-302</Url>
      <Description>X6KQWXAJUN6C-1856867172-302</Description>
    </_dlc_DocIdUrl>
    <SharedWithUsers xmlns="533d7803-0b09-441b-8841-a7d5d61164fa">
      <UserInfo>
        <DisplayName>Nneoma Oparah</DisplayName>
        <AccountId>317</AccountId>
        <AccountType/>
      </UserInfo>
      <UserInfo>
        <DisplayName>Gedaa Hassan</DisplayName>
        <AccountId>752</AccountId>
        <AccountType/>
      </UserInfo>
      <UserInfo>
        <DisplayName>Nadira Lotus</DisplayName>
        <AccountId>672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7BDF46-C2A2-49C5-B0CE-B782C57F7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36AD9-7C49-4C9F-8758-EEFFA6AB49F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1F52C6-68E5-4D12-B750-4728A8952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998320-5229-49fa-b545-1146fcc196c3"/>
    <ds:schemaRef ds:uri="7df48557-8e40-41cc-b42f-0234d1441c26"/>
    <ds:schemaRef ds:uri="533d7803-0b09-441b-8841-a7d5d6116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D0B19-D938-4802-9383-28F654A630FD}">
  <ds:schemaRefs>
    <ds:schemaRef ds:uri="http://schemas.microsoft.com/office/2006/metadata/properties"/>
    <ds:schemaRef ds:uri="http://schemas.microsoft.com/office/infopath/2007/PartnerControls"/>
    <ds:schemaRef ds:uri="98998320-5229-49fa-b545-1146fcc196c3"/>
    <ds:schemaRef ds:uri="533d7803-0b09-441b-8841-a7d5d61164f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4804</Words>
  <Characters>27388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Gedaa Hassan</dc:creator>
  <cp:keywords/>
  <dc:description/>
  <cp:lastModifiedBy>Pablo Lopez</cp:lastModifiedBy>
  <cp:revision>4</cp:revision>
  <cp:lastPrinted>2026-02-23T12:19:00Z</cp:lastPrinted>
  <dcterms:created xsi:type="dcterms:W3CDTF">2026-02-23T12:19:00Z</dcterms:created>
  <dcterms:modified xsi:type="dcterms:W3CDTF">2026-02-25T22:05:00Z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0x010100A845168FB229E64BB02D823972441852</vt:lpwstr>
  </property>
  <property fmtid="{D5CDD505-2E9C-101B-9397-08002B2CF9AE}" pid="3" name="_dlc_DocIdItemGuid">
    <vt:lpwstr>449f7a72-25d5-43c5-bfd7-104e0d46ffec</vt:lpwstr>
  </property>
</Properties>
</file>