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9461CC" w:rsidRDefault="0005411A" w:rsidP="00042B91">
      <w:pPr>
        <w:pStyle w:val="BodyText3"/>
        <w:spacing w:after="0" w:afterAutospacing="0"/>
        <w:rPr>
          <w:sz w:val="24"/>
        </w:rPr>
      </w:pPr>
    </w:p>
    <w:p w14:paraId="2D72A510" w14:textId="58A5ED92" w:rsidR="0005411A" w:rsidRPr="009461CC" w:rsidRDefault="00E91403" w:rsidP="00042B91">
      <w:pPr>
        <w:pStyle w:val="BodyText3"/>
        <w:spacing w:after="0" w:afterAutospacing="0"/>
      </w:pPr>
      <w:r>
        <w:rPr>
          <w:bCs/>
          <w:noProof/>
          <w:lang w:val="pt-PT"/>
        </w:rPr>
        <mc:AlternateContent>
          <mc:Choice Requires="wps">
            <w:drawing>
              <wp:anchor distT="0" distB="0" distL="114300" distR="114300" simplePos="0" relativeHeight="251659264" behindDoc="0" locked="0" layoutInCell="1" allowOverlap="1" wp14:anchorId="6FC0C8B7" wp14:editId="6DA47034">
                <wp:simplePos x="0" y="0"/>
                <wp:positionH relativeFrom="column">
                  <wp:posOffset>-190500</wp:posOffset>
                </wp:positionH>
                <wp:positionV relativeFrom="paragraph">
                  <wp:posOffset>71755</wp:posOffset>
                </wp:positionV>
                <wp:extent cx="6448425" cy="1209675"/>
                <wp:effectExtent l="19050" t="19050" r="47625"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09675"/>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E91403" w:rsidRDefault="006F0810" w:rsidP="006D00F2">
                            <w:pPr>
                              <w:pStyle w:val="Heading7"/>
                              <w:spacing w:after="0" w:afterAutospacing="0"/>
                              <w:rPr>
                                <w:sz w:val="32"/>
                                <w:szCs w:val="32"/>
                              </w:rPr>
                            </w:pPr>
                            <w:r>
                              <w:rPr>
                                <w:bCs/>
                                <w:sz w:val="32"/>
                                <w:szCs w:val="32"/>
                                <w:lang w:val="pt-PT"/>
                              </w:rPr>
                              <w:t>RESUMO DE SEGURANÇA E DESEMPENHO CLÍNICO (SSCP)</w:t>
                            </w:r>
                          </w:p>
                          <w:p w14:paraId="0E1996B2" w14:textId="77777777" w:rsidR="005D4A52" w:rsidRDefault="005D4A52" w:rsidP="006D00F2">
                            <w:pPr>
                              <w:pStyle w:val="Heading7"/>
                              <w:spacing w:after="0" w:afterAutospacing="0"/>
                              <w:rPr>
                                <w:sz w:val="32"/>
                                <w:szCs w:val="32"/>
                              </w:rPr>
                            </w:pPr>
                            <w:r>
                              <w:rPr>
                                <w:bCs/>
                                <w:sz w:val="32"/>
                                <w:szCs w:val="32"/>
                                <w:lang w:val="pt-PT"/>
                              </w:rPr>
                              <w:t>SSCP-0006</w:t>
                            </w:r>
                          </w:p>
                          <w:p w14:paraId="06B6F153" w14:textId="72F11D73" w:rsidR="005D4A52" w:rsidRDefault="00F1569C" w:rsidP="006D00F2">
                            <w:pPr>
                              <w:pStyle w:val="Heading7"/>
                              <w:spacing w:after="0" w:afterAutospacing="0"/>
                              <w:rPr>
                                <w:sz w:val="32"/>
                                <w:szCs w:val="32"/>
                              </w:rPr>
                            </w:pPr>
                            <w:r>
                              <w:rPr>
                                <w:bCs/>
                                <w:sz w:val="32"/>
                                <w:szCs w:val="32"/>
                                <w:lang w:val="pt-PT"/>
                              </w:rPr>
                              <w:t>Kit de Laço Vascular Atrieve™ Vascular Snare</w:t>
                            </w:r>
                          </w:p>
                          <w:p w14:paraId="3354BBA5" w14:textId="08AF297F" w:rsidR="005D4A52" w:rsidRPr="005B469C" w:rsidRDefault="005D4A52" w:rsidP="006D00F2">
                            <w:pPr>
                              <w:spacing w:after="0" w:afterAutospacing="0"/>
                              <w:jc w:val="center"/>
                              <w:rPr>
                                <w:b/>
                                <w:bCs/>
                                <w:sz w:val="32"/>
                                <w:szCs w:val="32"/>
                              </w:rPr>
                            </w:pPr>
                            <w:r>
                              <w:rPr>
                                <w:b/>
                                <w:bCs/>
                                <w:sz w:val="32"/>
                                <w:szCs w:val="32"/>
                                <w:lang w:val="pt-PT"/>
                              </w:rPr>
                              <w:t>DHF-82248</w:t>
                            </w:r>
                          </w:p>
                          <w:p w14:paraId="3CF39942" w14:textId="77777777" w:rsidR="0005411A" w:rsidRPr="00267292" w:rsidRDefault="0005411A" w:rsidP="009855C3"/>
                          <w:p w14:paraId="684B57C2" w14:textId="77777777" w:rsidR="0005411A" w:rsidRPr="00267292" w:rsidRDefault="0005411A" w:rsidP="009855C3">
                            <w:r>
                              <w:rPr>
                                <w:lang w:val="pt-PT"/>
                              </w:rPr>
                              <w:t>[DATA]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15pt;margin-top:5.65pt;width:507.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" strokeweight="4.5pt">
                <v:stroke linestyle="thinThick"/>
                <v:textbox>
                  <w:txbxContent>
                    <w:p w14:paraId="488C1F47" w14:textId="77777777" w:rsidR="0005411A" w:rsidRPr="00E91403" w:rsidRDefault="006F0810" w:rsidP="006D00F2">
                      <w:pPr>
                        <w:pStyle w:val="Heading7"/>
                        <w:spacing w:after="0" w:afterAutospacing="0"/>
                        <w:rPr>
                          <w:sz w:val="32"/>
                          <w:szCs w:val="32"/>
                        </w:rPr>
                      </w:pPr>
                      <w:r>
                        <w:rPr>
                          <w:bCs/>
                          <w:sz w:val="32"/>
                          <w:szCs w:val="32"/>
                          <w:lang w:val="pt-PT"/>
                        </w:rPr>
                        <w:t>RESUMO DE SEGURANÇA E DESEMPENHO CLÍNICO (SSCP)</w:t>
                      </w:r>
                    </w:p>
                    <w:p w14:paraId="0E1996B2" w14:textId="77777777" w:rsidR="005D4A52" w:rsidRDefault="005D4A52" w:rsidP="006D00F2">
                      <w:pPr>
                        <w:pStyle w:val="Heading7"/>
                        <w:spacing w:after="0" w:afterAutospacing="0"/>
                        <w:rPr>
                          <w:sz w:val="32"/>
                          <w:szCs w:val="32"/>
                        </w:rPr>
                      </w:pPr>
                      <w:r>
                        <w:rPr>
                          <w:bCs/>
                          <w:sz w:val="32"/>
                          <w:szCs w:val="32"/>
                          <w:lang w:val="pt-PT"/>
                        </w:rPr>
                        <w:t>SSCP-0006</w:t>
                      </w:r>
                    </w:p>
                    <w:p w14:paraId="06B6F153" w14:textId="72F11D73" w:rsidR="005D4A52" w:rsidRDefault="00F1569C" w:rsidP="006D00F2">
                      <w:pPr>
                        <w:pStyle w:val="Heading7"/>
                        <w:spacing w:after="0" w:afterAutospacing="0"/>
                        <w:rPr>
                          <w:sz w:val="32"/>
                          <w:szCs w:val="32"/>
                        </w:rPr>
                      </w:pPr>
                      <w:r>
                        <w:rPr>
                          <w:bCs/>
                          <w:sz w:val="32"/>
                          <w:szCs w:val="32"/>
                          <w:lang w:val="pt-PT"/>
                        </w:rPr>
                        <w:t>Kit de Laço Vascular Atrieve™ Vascular Snare</w:t>
                      </w:r>
                    </w:p>
                    <w:p w14:paraId="3354BBA5" w14:textId="08AF297F" w:rsidR="005D4A52" w:rsidRPr="005B469C" w:rsidRDefault="005D4A52" w:rsidP="006D00F2">
                      <w:pPr>
                        <w:spacing w:after="0" w:afterAutospacing="0"/>
                        <w:jc w:val="center"/>
                        <w:rPr>
                          <w:b/>
                          <w:bCs/>
                          <w:sz w:val="32"/>
                          <w:szCs w:val="32"/>
                        </w:rPr>
                      </w:pPr>
                      <w:r>
                        <w:rPr>
                          <w:b/>
                          <w:bCs/>
                          <w:sz w:val="32"/>
                          <w:szCs w:val="32"/>
                          <w:lang w:val="pt-PT"/>
                        </w:rPr>
                        <w:t>DHF-82248</w:t>
                      </w:r>
                    </w:p>
                    <w:p w14:paraId="3CF39942" w14:textId="77777777" w:rsidR="0005411A" w:rsidRPr="00267292" w:rsidRDefault="0005411A" w:rsidP="009855C3"/>
                    <w:p w14:paraId="684B57C2" w14:textId="77777777" w:rsidR="0005411A" w:rsidRPr="00267292" w:rsidRDefault="0005411A" w:rsidP="009855C3">
                      <w:r>
                        <w:rPr>
                          <w:lang w:val="pt-PT"/>
                        </w:rPr>
                        <w:t>[DATA]</w:t>
                      </w:r>
                    </w:p>
                  </w:txbxContent>
                </v:textbox>
              </v:shape>
            </w:pict>
          </mc:Fallback>
        </mc:AlternateContent>
      </w:r>
    </w:p>
    <w:p w14:paraId="22332CC2" w14:textId="77777777" w:rsidR="0005411A" w:rsidRPr="009461CC" w:rsidRDefault="0005411A" w:rsidP="00042B91">
      <w:pPr>
        <w:pStyle w:val="BodyText3"/>
        <w:spacing w:after="0" w:afterAutospacing="0"/>
      </w:pPr>
    </w:p>
    <w:p w14:paraId="2048CF11" w14:textId="77777777" w:rsidR="0005411A" w:rsidRPr="009461CC" w:rsidRDefault="0005411A" w:rsidP="00042B91">
      <w:pPr>
        <w:pStyle w:val="BodyText3"/>
        <w:spacing w:after="0" w:afterAutospacing="0"/>
      </w:pPr>
    </w:p>
    <w:p w14:paraId="243C88AF" w14:textId="77777777" w:rsidR="0005411A" w:rsidRPr="009461CC" w:rsidRDefault="0005411A" w:rsidP="00042B91">
      <w:pPr>
        <w:pStyle w:val="BodyText3"/>
        <w:spacing w:after="0" w:afterAutospacing="0"/>
      </w:pPr>
    </w:p>
    <w:p w14:paraId="41545C51" w14:textId="2690A02B" w:rsidR="0005411A" w:rsidRPr="009461CC" w:rsidRDefault="0005411A" w:rsidP="00042B91">
      <w:pPr>
        <w:spacing w:after="0" w:afterAutospacing="0" w:line="240" w:lineRule="auto"/>
        <w:rPr>
          <w:rFonts w:cs="Times New Roman"/>
        </w:rPr>
      </w:pPr>
    </w:p>
    <w:p w14:paraId="155D5FB3" w14:textId="51695512" w:rsidR="00042B91" w:rsidRPr="009461CC" w:rsidRDefault="00042B91" w:rsidP="00042B91">
      <w:pPr>
        <w:spacing w:after="0" w:afterAutospacing="0" w:line="240" w:lineRule="auto"/>
        <w:rPr>
          <w:rFonts w:cs="Times New Roman"/>
        </w:rPr>
      </w:pPr>
    </w:p>
    <w:p w14:paraId="50F16F2D" w14:textId="5942F0CE" w:rsidR="00042B91" w:rsidRPr="009461CC" w:rsidRDefault="00042B91" w:rsidP="00042B91">
      <w:pPr>
        <w:spacing w:after="0" w:afterAutospacing="0" w:line="240" w:lineRule="auto"/>
        <w:rPr>
          <w:rFonts w:cs="Times New Roman"/>
        </w:rPr>
      </w:pPr>
    </w:p>
    <w:p w14:paraId="781CF868" w14:textId="0A72AB5D" w:rsidR="00042B91" w:rsidRPr="009461CC" w:rsidRDefault="00042B91" w:rsidP="00042B91">
      <w:pPr>
        <w:spacing w:after="0" w:afterAutospacing="0" w:line="240" w:lineRule="auto"/>
        <w:rPr>
          <w:rFonts w:cs="Times New Roman"/>
        </w:rPr>
      </w:pPr>
    </w:p>
    <w:p w14:paraId="7525C55B" w14:textId="09737261" w:rsidR="00042B91" w:rsidRPr="009461CC" w:rsidRDefault="00042B91" w:rsidP="00042B91">
      <w:pPr>
        <w:spacing w:after="0" w:afterAutospacing="0" w:line="240" w:lineRule="auto"/>
        <w:rPr>
          <w:rFonts w:cs="Times New Roman"/>
        </w:rPr>
      </w:pPr>
    </w:p>
    <w:p w14:paraId="2CF7AE6F" w14:textId="1272C31A" w:rsidR="00E91403" w:rsidRPr="009461CC" w:rsidRDefault="00E91403" w:rsidP="00042B91">
      <w:pPr>
        <w:spacing w:after="0" w:afterAutospacing="0" w:line="240" w:lineRule="auto"/>
        <w:rPr>
          <w:rFonts w:cs="Times New Roman"/>
        </w:rPr>
      </w:pPr>
      <w:r>
        <w:rPr>
          <w:rFonts w:cs="Times New Roman"/>
          <w:lang w:val="pt-PT"/>
        </w:rPr>
        <w:t>Para publicação no Eudamed</w:t>
      </w:r>
    </w:p>
    <w:p w14:paraId="57B38593" w14:textId="77777777" w:rsidR="00E91403" w:rsidRPr="009461CC"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97"/>
        <w:gridCol w:w="1443"/>
        <w:gridCol w:w="7209"/>
      </w:tblGrid>
      <w:tr w:rsidR="00E91403" w:rsidRPr="009461CC" w14:paraId="481127A2" w14:textId="77777777" w:rsidTr="00E91403">
        <w:tc>
          <w:tcPr>
            <w:tcW w:w="1125" w:type="dxa"/>
            <w:tcBorders>
              <w:top w:val="single" w:sz="18" w:space="0" w:color="auto"/>
              <w:bottom w:val="double" w:sz="4" w:space="0" w:color="auto"/>
            </w:tcBorders>
            <w:shd w:val="clear" w:color="auto" w:fill="E0E0E0"/>
          </w:tcPr>
          <w:p w14:paraId="164CC73A" w14:textId="77777777" w:rsidR="00E91403" w:rsidRPr="009461CC" w:rsidRDefault="00E91403" w:rsidP="00842611">
            <w:pPr>
              <w:jc w:val="center"/>
              <w:rPr>
                <w:rFonts w:cs="Times New Roman"/>
                <w:b/>
                <w:szCs w:val="24"/>
              </w:rPr>
            </w:pPr>
            <w:r>
              <w:rPr>
                <w:rFonts w:cs="Times New Roman"/>
                <w:b/>
                <w:bCs/>
                <w:szCs w:val="24"/>
                <w:lang w:val="pt-PT"/>
              </w:rPr>
              <w:t>FUNÇÃO</w:t>
            </w:r>
          </w:p>
        </w:tc>
        <w:tc>
          <w:tcPr>
            <w:tcW w:w="1305" w:type="dxa"/>
            <w:tcBorders>
              <w:top w:val="single" w:sz="18" w:space="0" w:color="auto"/>
              <w:bottom w:val="double" w:sz="4" w:space="0" w:color="auto"/>
            </w:tcBorders>
            <w:shd w:val="clear" w:color="auto" w:fill="E0E0E0"/>
          </w:tcPr>
          <w:p w14:paraId="1A83C01C" w14:textId="77777777" w:rsidR="00E91403" w:rsidRPr="009461CC" w:rsidRDefault="00E91403" w:rsidP="00842611">
            <w:pPr>
              <w:jc w:val="center"/>
              <w:rPr>
                <w:rFonts w:cs="Times New Roman"/>
                <w:b/>
                <w:szCs w:val="24"/>
              </w:rPr>
            </w:pPr>
            <w:r>
              <w:rPr>
                <w:rFonts w:cs="Times New Roman"/>
                <w:b/>
                <w:bCs/>
                <w:szCs w:val="24"/>
                <w:lang w:val="pt-PT"/>
              </w:rPr>
              <w:t>DPTO.</w:t>
            </w:r>
          </w:p>
        </w:tc>
        <w:tc>
          <w:tcPr>
            <w:tcW w:w="7519" w:type="dxa"/>
            <w:tcBorders>
              <w:top w:val="single" w:sz="18" w:space="0" w:color="auto"/>
              <w:bottom w:val="double" w:sz="4" w:space="0" w:color="auto"/>
            </w:tcBorders>
            <w:shd w:val="clear" w:color="auto" w:fill="E0E0E0"/>
          </w:tcPr>
          <w:p w14:paraId="4B6DA2F3" w14:textId="77777777" w:rsidR="00E91403" w:rsidRPr="009461CC" w:rsidRDefault="00E91403" w:rsidP="00842611">
            <w:pPr>
              <w:jc w:val="center"/>
              <w:rPr>
                <w:rFonts w:cs="Times New Roman"/>
                <w:b/>
                <w:szCs w:val="24"/>
              </w:rPr>
            </w:pPr>
            <w:r>
              <w:rPr>
                <w:rFonts w:cs="Times New Roman"/>
                <w:b/>
                <w:bCs/>
                <w:szCs w:val="24"/>
                <w:lang w:val="pt-PT"/>
              </w:rPr>
              <w:t>NOME/CARGO</w:t>
            </w:r>
          </w:p>
        </w:tc>
      </w:tr>
      <w:tr w:rsidR="006E0847" w:rsidRPr="00A43FDF" w14:paraId="45F6CF0D" w14:textId="77777777" w:rsidTr="008E1D43">
        <w:trPr>
          <w:trHeight w:val="582"/>
        </w:trPr>
        <w:tc>
          <w:tcPr>
            <w:tcW w:w="1125" w:type="dxa"/>
            <w:tcBorders>
              <w:top w:val="double" w:sz="4" w:space="0" w:color="auto"/>
            </w:tcBorders>
            <w:vAlign w:val="center"/>
          </w:tcPr>
          <w:p w14:paraId="552A4625" w14:textId="77777777" w:rsidR="006E0847" w:rsidRPr="009461CC" w:rsidRDefault="006E0847" w:rsidP="006E0847">
            <w:pPr>
              <w:jc w:val="center"/>
              <w:rPr>
                <w:rFonts w:cs="Times New Roman"/>
                <w:b/>
                <w:szCs w:val="24"/>
              </w:rPr>
            </w:pPr>
            <w:r>
              <w:rPr>
                <w:rFonts w:cs="Times New Roman"/>
                <w:b/>
                <w:bCs/>
                <w:szCs w:val="24"/>
                <w:lang w:val="pt-PT"/>
              </w:rPr>
              <w:t>Elaborado por</w:t>
            </w:r>
          </w:p>
        </w:tc>
        <w:tc>
          <w:tcPr>
            <w:tcW w:w="1305" w:type="dxa"/>
            <w:tcBorders>
              <w:top w:val="double" w:sz="4" w:space="0" w:color="auto"/>
            </w:tcBorders>
          </w:tcPr>
          <w:p w14:paraId="51D1E08B" w14:textId="5374772E" w:rsidR="006E0847" w:rsidRPr="009461CC" w:rsidRDefault="006E0847" w:rsidP="006E0847">
            <w:pPr>
              <w:jc w:val="center"/>
              <w:rPr>
                <w:rFonts w:cs="Times New Roman"/>
                <w:szCs w:val="24"/>
              </w:rPr>
            </w:pPr>
            <w:r>
              <w:rPr>
                <w:rFonts w:cs="Times New Roman"/>
                <w:szCs w:val="24"/>
                <w:lang w:val="pt-PT"/>
              </w:rPr>
              <w:t>Assuntos Regulatórios</w:t>
            </w:r>
          </w:p>
        </w:tc>
        <w:tc>
          <w:tcPr>
            <w:tcW w:w="7519" w:type="dxa"/>
            <w:tcBorders>
              <w:top w:val="double" w:sz="4" w:space="0" w:color="auto"/>
            </w:tcBorders>
          </w:tcPr>
          <w:p w14:paraId="360D10DB" w14:textId="77777777" w:rsidR="006E0847" w:rsidRPr="00A43FDF" w:rsidRDefault="006E0847" w:rsidP="006E0847">
            <w:pPr>
              <w:spacing w:after="0" w:afterAutospacing="0"/>
              <w:jc w:val="center"/>
              <w:rPr>
                <w:rFonts w:cs="Times New Roman"/>
                <w:szCs w:val="24"/>
                <w:lang w:val="it-IT"/>
              </w:rPr>
            </w:pPr>
            <w:r>
              <w:rPr>
                <w:rFonts w:cs="Times New Roman"/>
                <w:szCs w:val="24"/>
                <w:lang w:val="pt-PT"/>
              </w:rPr>
              <w:t>Nadira Lotus</w:t>
            </w:r>
          </w:p>
          <w:p w14:paraId="7BA00BEF" w14:textId="2E4C5FAD" w:rsidR="006E0847" w:rsidRPr="00A43FDF" w:rsidRDefault="006E0847" w:rsidP="006E0847">
            <w:pPr>
              <w:jc w:val="center"/>
              <w:rPr>
                <w:rFonts w:cs="Times New Roman"/>
                <w:szCs w:val="24"/>
                <w:lang w:val="it-IT"/>
              </w:rPr>
            </w:pPr>
            <w:r>
              <w:rPr>
                <w:rFonts w:cs="Times New Roman"/>
                <w:szCs w:val="24"/>
                <w:lang w:val="pt-PT"/>
              </w:rPr>
              <w:t>Gestor de Vigilância Pós-Comercialização</w:t>
            </w:r>
          </w:p>
        </w:tc>
      </w:tr>
    </w:tbl>
    <w:p w14:paraId="45EA3393" w14:textId="77777777" w:rsidR="00E91403" w:rsidRPr="00A43FDF" w:rsidRDefault="00E91403" w:rsidP="00E91403">
      <w:pPr>
        <w:jc w:val="center"/>
        <w:rPr>
          <w:rFonts w:cs="Times New Roman"/>
          <w:b/>
          <w:lang w:val="it-IT"/>
        </w:rPr>
      </w:pPr>
    </w:p>
    <w:p w14:paraId="3ADE6C89" w14:textId="0496458B" w:rsidR="00E91403" w:rsidRPr="00A43FDF" w:rsidRDefault="00E91403" w:rsidP="00E91403">
      <w:pPr>
        <w:tabs>
          <w:tab w:val="center" w:pos="5220"/>
          <w:tab w:val="right" w:pos="10440"/>
        </w:tabs>
        <w:rPr>
          <w:rFonts w:cs="Times New Roman"/>
          <w:b/>
          <w:lang w:val="it-IT"/>
        </w:rPr>
      </w:pPr>
      <w:r>
        <w:rPr>
          <w:rFonts w:cs="Times New Roman"/>
          <w:lang w:val="pt-PT"/>
        </w:rPr>
        <w:tab/>
      </w:r>
      <w:r>
        <w:rPr>
          <w:rFonts w:cs="Times New Roman"/>
          <w:b/>
          <w:bCs/>
          <w:lang w:val="pt-PT"/>
        </w:rPr>
        <w:t>Matriz de aprovação de assinatura</w:t>
      </w:r>
      <w:r>
        <w:rPr>
          <w:rFonts w:cs="Times New Roman"/>
          <w:lang w:val="pt-PT"/>
        </w:rPr>
        <w:tab/>
      </w:r>
    </w:p>
    <w:p w14:paraId="01F684E3" w14:textId="77777777" w:rsidR="00E91403" w:rsidRPr="00A43FDF" w:rsidRDefault="00E91403" w:rsidP="00E91403">
      <w:pPr>
        <w:spacing w:after="60"/>
        <w:ind w:right="274"/>
        <w:rPr>
          <w:rFonts w:cs="Times New Roman"/>
          <w:sz w:val="20"/>
          <w:szCs w:val="20"/>
          <w:lang w:val="it-IT"/>
        </w:rPr>
      </w:pPr>
      <w:r>
        <w:rPr>
          <w:rFonts w:cs="Times New Roman"/>
          <w:sz w:val="20"/>
          <w:szCs w:val="20"/>
          <w:lang w:val="pt-PT"/>
        </w:rPr>
        <w:t>Este documento deve ser revisto e aprovado por todos os indivíduos listados abaixo ou pelos seus representantes autorizados.</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336"/>
        <w:gridCol w:w="1816"/>
        <w:gridCol w:w="6797"/>
      </w:tblGrid>
      <w:tr w:rsidR="00E91403" w:rsidRPr="009461CC"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9461CC" w:rsidRDefault="00E91403" w:rsidP="00842611">
            <w:pPr>
              <w:jc w:val="center"/>
              <w:rPr>
                <w:rFonts w:cs="Times New Roman"/>
                <w:b/>
                <w:szCs w:val="24"/>
              </w:rPr>
            </w:pPr>
            <w:r>
              <w:rPr>
                <w:rFonts w:cs="Times New Roman"/>
                <w:b/>
                <w:bCs/>
                <w:szCs w:val="24"/>
                <w:lang w:val="pt-PT"/>
              </w:rPr>
              <w:t>FUNÇÃO</w:t>
            </w:r>
          </w:p>
        </w:tc>
        <w:tc>
          <w:tcPr>
            <w:tcW w:w="1305" w:type="dxa"/>
            <w:tcBorders>
              <w:top w:val="single" w:sz="18" w:space="0" w:color="auto"/>
              <w:bottom w:val="double" w:sz="4" w:space="0" w:color="auto"/>
            </w:tcBorders>
            <w:shd w:val="clear" w:color="auto" w:fill="E0E0E0"/>
          </w:tcPr>
          <w:p w14:paraId="6F71F870" w14:textId="77777777" w:rsidR="00E91403" w:rsidRPr="009461CC" w:rsidRDefault="00E91403" w:rsidP="00842611">
            <w:pPr>
              <w:jc w:val="center"/>
              <w:rPr>
                <w:rFonts w:cs="Times New Roman"/>
                <w:b/>
                <w:szCs w:val="24"/>
              </w:rPr>
            </w:pPr>
            <w:r>
              <w:rPr>
                <w:rFonts w:cs="Times New Roman"/>
                <w:b/>
                <w:bCs/>
                <w:szCs w:val="24"/>
                <w:lang w:val="pt-PT"/>
              </w:rPr>
              <w:t>DPTO.</w:t>
            </w:r>
          </w:p>
        </w:tc>
        <w:tc>
          <w:tcPr>
            <w:tcW w:w="7519" w:type="dxa"/>
            <w:tcBorders>
              <w:top w:val="single" w:sz="18" w:space="0" w:color="auto"/>
              <w:bottom w:val="double" w:sz="4" w:space="0" w:color="auto"/>
            </w:tcBorders>
            <w:shd w:val="clear" w:color="auto" w:fill="E0E0E0"/>
          </w:tcPr>
          <w:p w14:paraId="0254E3BE" w14:textId="77777777" w:rsidR="00E91403" w:rsidRPr="009461CC" w:rsidRDefault="00E91403" w:rsidP="00842611">
            <w:pPr>
              <w:jc w:val="center"/>
              <w:rPr>
                <w:rFonts w:cs="Times New Roman"/>
                <w:b/>
                <w:szCs w:val="24"/>
              </w:rPr>
            </w:pPr>
            <w:r>
              <w:rPr>
                <w:rFonts w:cs="Times New Roman"/>
                <w:b/>
                <w:bCs/>
                <w:szCs w:val="24"/>
                <w:lang w:val="pt-PT"/>
              </w:rPr>
              <w:t>NOME/CARGO</w:t>
            </w:r>
          </w:p>
        </w:tc>
      </w:tr>
      <w:tr w:rsidR="00386F47" w:rsidRPr="00A43FDF" w14:paraId="658FB919" w14:textId="77777777" w:rsidTr="00E91403">
        <w:trPr>
          <w:trHeight w:val="606"/>
        </w:trPr>
        <w:tc>
          <w:tcPr>
            <w:tcW w:w="1125" w:type="dxa"/>
            <w:vAlign w:val="center"/>
          </w:tcPr>
          <w:p w14:paraId="41D60951" w14:textId="77777777" w:rsidR="00386F47" w:rsidRPr="009461CC" w:rsidRDefault="00386F47" w:rsidP="00386F47">
            <w:pPr>
              <w:jc w:val="center"/>
              <w:rPr>
                <w:rFonts w:cs="Times New Roman"/>
                <w:b/>
                <w:szCs w:val="24"/>
              </w:rPr>
            </w:pPr>
            <w:r>
              <w:rPr>
                <w:rFonts w:cs="Times New Roman"/>
                <w:b/>
                <w:bCs/>
                <w:szCs w:val="24"/>
                <w:lang w:val="pt-PT"/>
              </w:rPr>
              <w:t>Aprovação</w:t>
            </w:r>
          </w:p>
        </w:tc>
        <w:tc>
          <w:tcPr>
            <w:tcW w:w="1305" w:type="dxa"/>
            <w:vAlign w:val="center"/>
          </w:tcPr>
          <w:p w14:paraId="4B304E07" w14:textId="2D98EABD" w:rsidR="00386F47" w:rsidRPr="009461CC" w:rsidRDefault="00386F47" w:rsidP="00386F47">
            <w:pPr>
              <w:jc w:val="center"/>
              <w:rPr>
                <w:rFonts w:cs="Times New Roman"/>
                <w:szCs w:val="24"/>
              </w:rPr>
            </w:pPr>
            <w:r>
              <w:rPr>
                <w:rFonts w:cs="Times New Roman"/>
                <w:szCs w:val="24"/>
                <w:lang w:val="pt-PT"/>
              </w:rPr>
              <w:t>Assuntos Clínicos</w:t>
            </w:r>
          </w:p>
        </w:tc>
        <w:tc>
          <w:tcPr>
            <w:tcW w:w="7519" w:type="dxa"/>
            <w:vAlign w:val="center"/>
          </w:tcPr>
          <w:p w14:paraId="613876EC" w14:textId="77777777" w:rsidR="00386F47" w:rsidRPr="00A43FDF" w:rsidRDefault="00386F47" w:rsidP="00386F47">
            <w:pPr>
              <w:spacing w:after="0" w:afterAutospacing="0"/>
              <w:jc w:val="center"/>
              <w:rPr>
                <w:rFonts w:cs="Times New Roman"/>
                <w:szCs w:val="24"/>
                <w:lang w:val="it-IT"/>
              </w:rPr>
            </w:pPr>
            <w:r>
              <w:rPr>
                <w:rFonts w:cs="Times New Roman"/>
                <w:szCs w:val="24"/>
                <w:lang w:val="pt-PT"/>
              </w:rPr>
              <w:t>Danyel Carr</w:t>
            </w:r>
          </w:p>
          <w:p w14:paraId="172E4813" w14:textId="2E4F9175" w:rsidR="00386F47" w:rsidRPr="00A43FDF" w:rsidRDefault="00E03D31" w:rsidP="00386F47">
            <w:pPr>
              <w:jc w:val="center"/>
              <w:rPr>
                <w:rFonts w:cs="Times New Roman"/>
                <w:szCs w:val="24"/>
                <w:lang w:val="it-IT"/>
              </w:rPr>
            </w:pPr>
            <w:r>
              <w:rPr>
                <w:rFonts w:cs="Times New Roman"/>
                <w:szCs w:val="24"/>
                <w:lang w:val="pt-PT"/>
              </w:rPr>
              <w:t>Diretor Sénior de Assuntos Clínicos</w:t>
            </w:r>
          </w:p>
        </w:tc>
      </w:tr>
      <w:tr w:rsidR="00386F47" w:rsidRPr="009461CC" w14:paraId="526E9923" w14:textId="77777777" w:rsidTr="00E91403">
        <w:trPr>
          <w:trHeight w:val="624"/>
        </w:trPr>
        <w:tc>
          <w:tcPr>
            <w:tcW w:w="1125" w:type="dxa"/>
            <w:vAlign w:val="center"/>
          </w:tcPr>
          <w:p w14:paraId="55BCD6C3" w14:textId="77777777" w:rsidR="00386F47" w:rsidRPr="009461CC" w:rsidRDefault="00386F47" w:rsidP="00386F47">
            <w:pPr>
              <w:jc w:val="center"/>
              <w:rPr>
                <w:rFonts w:cs="Times New Roman"/>
                <w:b/>
                <w:szCs w:val="24"/>
              </w:rPr>
            </w:pPr>
            <w:r>
              <w:rPr>
                <w:rFonts w:cs="Times New Roman"/>
                <w:b/>
                <w:bCs/>
                <w:szCs w:val="24"/>
                <w:lang w:val="pt-PT"/>
              </w:rPr>
              <w:t>Aprovação</w:t>
            </w:r>
          </w:p>
        </w:tc>
        <w:tc>
          <w:tcPr>
            <w:tcW w:w="1305" w:type="dxa"/>
            <w:vAlign w:val="center"/>
          </w:tcPr>
          <w:p w14:paraId="4887D925" w14:textId="1B032CD4" w:rsidR="00386F47" w:rsidRPr="009461CC" w:rsidRDefault="00386F47" w:rsidP="00386F47">
            <w:pPr>
              <w:jc w:val="center"/>
              <w:rPr>
                <w:rFonts w:cs="Times New Roman"/>
                <w:szCs w:val="24"/>
              </w:rPr>
            </w:pPr>
            <w:r>
              <w:rPr>
                <w:rFonts w:cs="Times New Roman"/>
                <w:szCs w:val="24"/>
                <w:lang w:val="pt-PT"/>
              </w:rPr>
              <w:t xml:space="preserve">Qualidade </w:t>
            </w:r>
          </w:p>
        </w:tc>
        <w:tc>
          <w:tcPr>
            <w:tcW w:w="7519" w:type="dxa"/>
            <w:vAlign w:val="center"/>
          </w:tcPr>
          <w:p w14:paraId="3D954801" w14:textId="77777777" w:rsidR="00F07DD1" w:rsidRDefault="00F07DD1" w:rsidP="004065D7">
            <w:pPr>
              <w:spacing w:after="0" w:afterAutospacing="0"/>
              <w:jc w:val="center"/>
              <w:rPr>
                <w:rFonts w:cs="Times New Roman"/>
                <w:szCs w:val="24"/>
              </w:rPr>
            </w:pPr>
            <w:r>
              <w:rPr>
                <w:rFonts w:cs="Times New Roman"/>
                <w:szCs w:val="24"/>
                <w:lang w:val="pt-PT"/>
              </w:rPr>
              <w:t xml:space="preserve">James Stephens </w:t>
            </w:r>
          </w:p>
          <w:p w14:paraId="1EA24645" w14:textId="5BC698A1" w:rsidR="00386F47" w:rsidRPr="009461CC" w:rsidRDefault="00547353" w:rsidP="004065D7">
            <w:pPr>
              <w:spacing w:after="0" w:afterAutospacing="0"/>
              <w:jc w:val="center"/>
              <w:rPr>
                <w:rFonts w:cs="Times New Roman"/>
                <w:szCs w:val="24"/>
              </w:rPr>
            </w:pPr>
            <w:r>
              <w:rPr>
                <w:rFonts w:cs="Times New Roman"/>
                <w:szCs w:val="24"/>
                <w:lang w:val="pt-PT"/>
              </w:rPr>
              <w:t>Diretor Sénior de Operações de Qualidade</w:t>
            </w:r>
          </w:p>
        </w:tc>
      </w:tr>
      <w:tr w:rsidR="00386F47" w:rsidRPr="00A43FDF" w14:paraId="01329AB2" w14:textId="77777777" w:rsidTr="00E91403">
        <w:trPr>
          <w:trHeight w:val="624"/>
        </w:trPr>
        <w:tc>
          <w:tcPr>
            <w:tcW w:w="1125" w:type="dxa"/>
            <w:vAlign w:val="center"/>
          </w:tcPr>
          <w:p w14:paraId="77F5A5E8" w14:textId="77777777" w:rsidR="00386F47" w:rsidRPr="009461CC" w:rsidRDefault="00386F47" w:rsidP="00386F47">
            <w:pPr>
              <w:jc w:val="center"/>
              <w:rPr>
                <w:rFonts w:cs="Times New Roman"/>
                <w:b/>
                <w:szCs w:val="24"/>
              </w:rPr>
            </w:pPr>
            <w:r>
              <w:rPr>
                <w:rFonts w:cs="Times New Roman"/>
                <w:b/>
                <w:bCs/>
                <w:szCs w:val="24"/>
                <w:lang w:val="pt-PT"/>
              </w:rPr>
              <w:t>Aprovação</w:t>
            </w:r>
          </w:p>
        </w:tc>
        <w:tc>
          <w:tcPr>
            <w:tcW w:w="1305" w:type="dxa"/>
            <w:vAlign w:val="center"/>
          </w:tcPr>
          <w:p w14:paraId="25EABF73" w14:textId="63DB84E6" w:rsidR="00386F47" w:rsidRPr="009461CC" w:rsidRDefault="00386F47" w:rsidP="00386F47">
            <w:pPr>
              <w:jc w:val="center"/>
              <w:rPr>
                <w:rFonts w:cs="Times New Roman"/>
                <w:szCs w:val="24"/>
              </w:rPr>
            </w:pPr>
            <w:r>
              <w:rPr>
                <w:rFonts w:cs="Times New Roman"/>
                <w:szCs w:val="24"/>
                <w:lang w:val="pt-PT"/>
              </w:rPr>
              <w:t xml:space="preserve">Regulamentação </w:t>
            </w:r>
          </w:p>
        </w:tc>
        <w:tc>
          <w:tcPr>
            <w:tcW w:w="7519" w:type="dxa"/>
            <w:vAlign w:val="center"/>
          </w:tcPr>
          <w:p w14:paraId="7676555E" w14:textId="77777777" w:rsidR="00386F47" w:rsidRPr="00A43FDF" w:rsidRDefault="00386F47" w:rsidP="00386F47">
            <w:pPr>
              <w:spacing w:after="0" w:afterAutospacing="0" w:line="240" w:lineRule="auto"/>
              <w:jc w:val="center"/>
              <w:rPr>
                <w:rFonts w:eastAsia="Times New Roman" w:cs="Times New Roman"/>
                <w:color w:val="000000" w:themeColor="text1"/>
                <w:szCs w:val="24"/>
                <w:lang w:val="it-IT"/>
              </w:rPr>
            </w:pPr>
            <w:r>
              <w:rPr>
                <w:rFonts w:eastAsia="Times New Roman" w:cs="Times New Roman"/>
                <w:color w:val="000000" w:themeColor="text1"/>
                <w:szCs w:val="24"/>
                <w:lang w:val="pt-PT"/>
              </w:rPr>
              <w:t>Scott Bishops</w:t>
            </w:r>
          </w:p>
          <w:p w14:paraId="39BF7685" w14:textId="4DD9DE97" w:rsidR="00386F47" w:rsidRPr="00A43FDF" w:rsidRDefault="00E950A1" w:rsidP="00386F47">
            <w:pPr>
              <w:jc w:val="center"/>
              <w:rPr>
                <w:rFonts w:cs="Times New Roman"/>
                <w:szCs w:val="24"/>
                <w:lang w:val="it-IT"/>
              </w:rPr>
            </w:pPr>
            <w:r>
              <w:rPr>
                <w:rFonts w:eastAsia="Times New Roman" w:cs="Times New Roman"/>
                <w:color w:val="000000" w:themeColor="text1"/>
                <w:szCs w:val="24"/>
                <w:lang w:val="pt-PT"/>
              </w:rPr>
              <w:t>Vice-presidente, Assuntos Regulatórios Globais e Garantia da Qualidade</w:t>
            </w:r>
          </w:p>
        </w:tc>
      </w:tr>
    </w:tbl>
    <w:p w14:paraId="51DA0A01" w14:textId="5402C604" w:rsidR="00E91403" w:rsidRPr="009461CC" w:rsidRDefault="00E91403" w:rsidP="00E91403">
      <w:pPr>
        <w:jc w:val="center"/>
        <w:rPr>
          <w:rFonts w:cs="Times New Roman"/>
          <w:b/>
        </w:rPr>
      </w:pPr>
      <w:r>
        <w:rPr>
          <w:rFonts w:cs="Times New Roman"/>
          <w:b/>
          <w:bCs/>
          <w:lang w:val="pt-PT"/>
        </w:rPr>
        <w:t>Histórico de revisões</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05"/>
        <w:gridCol w:w="1310"/>
        <w:gridCol w:w="1143"/>
        <w:gridCol w:w="4357"/>
        <w:gridCol w:w="1772"/>
      </w:tblGrid>
      <w:tr w:rsidR="00E91403" w:rsidRPr="00A43FDF" w14:paraId="38F29FD4" w14:textId="77777777" w:rsidTr="00740900">
        <w:tc>
          <w:tcPr>
            <w:tcW w:w="1214" w:type="dxa"/>
            <w:tcBorders>
              <w:top w:val="single" w:sz="18" w:space="0" w:color="auto"/>
              <w:bottom w:val="double" w:sz="4" w:space="0" w:color="auto"/>
            </w:tcBorders>
            <w:shd w:val="clear" w:color="auto" w:fill="E0E0E0"/>
          </w:tcPr>
          <w:p w14:paraId="34BEB815" w14:textId="77777777" w:rsidR="00E91403" w:rsidRPr="009461CC" w:rsidRDefault="00E91403" w:rsidP="00842611">
            <w:pPr>
              <w:jc w:val="center"/>
              <w:rPr>
                <w:rFonts w:cs="Times New Roman"/>
                <w:b/>
                <w:szCs w:val="24"/>
              </w:rPr>
            </w:pPr>
            <w:r>
              <w:rPr>
                <w:rFonts w:cs="Times New Roman"/>
                <w:b/>
                <w:bCs/>
                <w:szCs w:val="24"/>
                <w:lang w:val="pt-PT"/>
              </w:rPr>
              <w:t>Revisão</w:t>
            </w:r>
          </w:p>
        </w:tc>
        <w:tc>
          <w:tcPr>
            <w:tcW w:w="1128" w:type="dxa"/>
            <w:tcBorders>
              <w:top w:val="single" w:sz="18" w:space="0" w:color="auto"/>
              <w:bottom w:val="double" w:sz="4" w:space="0" w:color="auto"/>
            </w:tcBorders>
            <w:shd w:val="clear" w:color="auto" w:fill="E0E0E0"/>
          </w:tcPr>
          <w:p w14:paraId="13A8D0CD" w14:textId="77777777" w:rsidR="00E91403" w:rsidRPr="009461CC" w:rsidRDefault="00E91403" w:rsidP="00842611">
            <w:pPr>
              <w:jc w:val="center"/>
              <w:rPr>
                <w:rFonts w:cs="Times New Roman"/>
                <w:b/>
                <w:szCs w:val="24"/>
              </w:rPr>
            </w:pPr>
            <w:r>
              <w:rPr>
                <w:rFonts w:cs="Times New Roman"/>
                <w:b/>
                <w:bCs/>
                <w:szCs w:val="24"/>
                <w:lang w:val="pt-PT"/>
              </w:rPr>
              <w:t>Data</w:t>
            </w:r>
          </w:p>
        </w:tc>
        <w:tc>
          <w:tcPr>
            <w:tcW w:w="1150" w:type="dxa"/>
            <w:tcBorders>
              <w:top w:val="single" w:sz="18" w:space="0" w:color="auto"/>
              <w:bottom w:val="double" w:sz="4" w:space="0" w:color="auto"/>
            </w:tcBorders>
            <w:shd w:val="clear" w:color="auto" w:fill="E0E0E0"/>
          </w:tcPr>
          <w:p w14:paraId="4E5F13C6" w14:textId="77777777" w:rsidR="00E91403" w:rsidRPr="009461CC" w:rsidRDefault="00E91403" w:rsidP="00842611">
            <w:pPr>
              <w:jc w:val="center"/>
              <w:rPr>
                <w:rFonts w:cs="Times New Roman"/>
                <w:b/>
                <w:szCs w:val="24"/>
              </w:rPr>
            </w:pPr>
            <w:r>
              <w:rPr>
                <w:rFonts w:cs="Times New Roman"/>
                <w:b/>
                <w:bCs/>
                <w:szCs w:val="24"/>
                <w:lang w:val="pt-PT"/>
              </w:rPr>
              <w:t>Secções</w:t>
            </w:r>
          </w:p>
        </w:tc>
        <w:tc>
          <w:tcPr>
            <w:tcW w:w="4496" w:type="dxa"/>
            <w:tcBorders>
              <w:top w:val="single" w:sz="18" w:space="0" w:color="auto"/>
              <w:bottom w:val="double" w:sz="4" w:space="0" w:color="auto"/>
            </w:tcBorders>
            <w:shd w:val="clear" w:color="auto" w:fill="E0E0E0"/>
          </w:tcPr>
          <w:p w14:paraId="308681D3" w14:textId="77777777" w:rsidR="00E91403" w:rsidRPr="009461CC" w:rsidRDefault="00E91403" w:rsidP="00842611">
            <w:pPr>
              <w:jc w:val="center"/>
              <w:rPr>
                <w:rFonts w:cs="Times New Roman"/>
                <w:b/>
                <w:szCs w:val="24"/>
              </w:rPr>
            </w:pPr>
            <w:r>
              <w:rPr>
                <w:rFonts w:cs="Times New Roman"/>
                <w:b/>
                <w:bCs/>
                <w:szCs w:val="24"/>
                <w:lang w:val="pt-PT"/>
              </w:rPr>
              <w:t>Descrição da revisão</w:t>
            </w:r>
          </w:p>
        </w:tc>
        <w:tc>
          <w:tcPr>
            <w:tcW w:w="1799" w:type="dxa"/>
            <w:tcBorders>
              <w:top w:val="single" w:sz="18" w:space="0" w:color="auto"/>
              <w:bottom w:val="double" w:sz="4" w:space="0" w:color="auto"/>
            </w:tcBorders>
            <w:shd w:val="clear" w:color="auto" w:fill="E0E0E0"/>
          </w:tcPr>
          <w:p w14:paraId="332F4EE6" w14:textId="77777777" w:rsidR="00E91403" w:rsidRPr="00A43FDF" w:rsidRDefault="00E91403" w:rsidP="00842611">
            <w:pPr>
              <w:tabs>
                <w:tab w:val="left" w:pos="465"/>
              </w:tabs>
              <w:jc w:val="center"/>
              <w:rPr>
                <w:rFonts w:cs="Times New Roman"/>
                <w:b/>
                <w:szCs w:val="24"/>
                <w:lang w:val="it-IT"/>
              </w:rPr>
            </w:pPr>
            <w:r>
              <w:rPr>
                <w:rFonts w:cs="Times New Roman"/>
                <w:b/>
                <w:bCs/>
                <w:szCs w:val="24"/>
                <w:lang w:val="pt-PT"/>
              </w:rPr>
              <w:t>Pedido de mudança n.º</w:t>
            </w:r>
          </w:p>
        </w:tc>
      </w:tr>
      <w:tr w:rsidR="00740900" w:rsidRPr="009461CC" w14:paraId="47D66140" w14:textId="77777777" w:rsidTr="00740900">
        <w:tc>
          <w:tcPr>
            <w:tcW w:w="1214" w:type="dxa"/>
            <w:tcBorders>
              <w:top w:val="double" w:sz="4" w:space="0" w:color="auto"/>
              <w:bottom w:val="single" w:sz="4" w:space="0" w:color="auto"/>
            </w:tcBorders>
          </w:tcPr>
          <w:p w14:paraId="4EEA4C6D" w14:textId="5A95910B" w:rsidR="00740900" w:rsidRPr="009461CC" w:rsidRDefault="00740900" w:rsidP="00740900">
            <w:pPr>
              <w:jc w:val="center"/>
              <w:rPr>
                <w:rFonts w:cs="Times New Roman"/>
                <w:szCs w:val="24"/>
              </w:rPr>
            </w:pPr>
            <w:r>
              <w:rPr>
                <w:rFonts w:cs="Times New Roman"/>
                <w:szCs w:val="24"/>
                <w:lang w:val="pt-PT"/>
              </w:rPr>
              <w:t>A</w:t>
            </w:r>
          </w:p>
        </w:tc>
        <w:tc>
          <w:tcPr>
            <w:tcW w:w="1128" w:type="dxa"/>
            <w:tcBorders>
              <w:top w:val="double" w:sz="4" w:space="0" w:color="auto"/>
              <w:bottom w:val="single" w:sz="4" w:space="0" w:color="auto"/>
            </w:tcBorders>
          </w:tcPr>
          <w:p w14:paraId="0D82C539" w14:textId="6206AFE6" w:rsidR="00740900" w:rsidRPr="009461CC" w:rsidRDefault="00740900" w:rsidP="00740900">
            <w:pPr>
              <w:jc w:val="center"/>
              <w:rPr>
                <w:rFonts w:cs="Times New Roman"/>
                <w:szCs w:val="24"/>
              </w:rPr>
            </w:pPr>
            <w:r>
              <w:rPr>
                <w:rFonts w:cs="Times New Roman"/>
                <w:szCs w:val="24"/>
                <w:lang w:val="pt-PT"/>
              </w:rPr>
              <w:t>22/05/2022</w:t>
            </w:r>
          </w:p>
        </w:tc>
        <w:tc>
          <w:tcPr>
            <w:tcW w:w="1150" w:type="dxa"/>
            <w:tcBorders>
              <w:top w:val="double" w:sz="4" w:space="0" w:color="auto"/>
              <w:bottom w:val="single" w:sz="4" w:space="0" w:color="auto"/>
            </w:tcBorders>
          </w:tcPr>
          <w:p w14:paraId="6CD4C417" w14:textId="536D40E4" w:rsidR="00740900" w:rsidRPr="009461CC" w:rsidRDefault="00740900" w:rsidP="00740900">
            <w:pPr>
              <w:jc w:val="center"/>
              <w:rPr>
                <w:rFonts w:cs="Times New Roman"/>
                <w:szCs w:val="24"/>
              </w:rPr>
            </w:pPr>
            <w:r>
              <w:rPr>
                <w:rFonts w:cs="Times New Roman"/>
                <w:szCs w:val="24"/>
                <w:lang w:val="pt-PT"/>
              </w:rPr>
              <w:t>Tudo</w:t>
            </w:r>
          </w:p>
        </w:tc>
        <w:tc>
          <w:tcPr>
            <w:tcW w:w="4496" w:type="dxa"/>
            <w:tcBorders>
              <w:top w:val="double" w:sz="4" w:space="0" w:color="auto"/>
              <w:bottom w:val="single" w:sz="4" w:space="0" w:color="auto"/>
            </w:tcBorders>
          </w:tcPr>
          <w:p w14:paraId="3973A2E3" w14:textId="3D8B33BA" w:rsidR="00740900" w:rsidRPr="00A43FDF" w:rsidRDefault="00740900" w:rsidP="00740900">
            <w:pPr>
              <w:rPr>
                <w:rFonts w:cs="Times New Roman"/>
                <w:szCs w:val="24"/>
                <w:lang w:val="it-IT"/>
              </w:rPr>
            </w:pPr>
            <w:r>
              <w:rPr>
                <w:rFonts w:cs="Times New Roman"/>
                <w:szCs w:val="24"/>
                <w:lang w:val="pt-PT"/>
              </w:rPr>
              <w:t>Relatório inicial para uso interno apenas</w:t>
            </w:r>
          </w:p>
        </w:tc>
        <w:tc>
          <w:tcPr>
            <w:tcW w:w="1799" w:type="dxa"/>
            <w:tcBorders>
              <w:top w:val="double" w:sz="4" w:space="0" w:color="auto"/>
              <w:bottom w:val="single" w:sz="4" w:space="0" w:color="auto"/>
            </w:tcBorders>
          </w:tcPr>
          <w:p w14:paraId="243CB41C" w14:textId="62833BA2" w:rsidR="00740900" w:rsidRPr="009461CC" w:rsidRDefault="00740900" w:rsidP="00740900">
            <w:pPr>
              <w:rPr>
                <w:rFonts w:cs="Times New Roman"/>
                <w:szCs w:val="24"/>
              </w:rPr>
            </w:pPr>
            <w:r>
              <w:rPr>
                <w:rFonts w:cs="Times New Roman"/>
                <w:szCs w:val="24"/>
                <w:lang w:val="pt-PT"/>
              </w:rPr>
              <w:t>N/D</w:t>
            </w:r>
          </w:p>
        </w:tc>
      </w:tr>
      <w:tr w:rsidR="00923982" w:rsidRPr="009461CC" w14:paraId="495D8A1C" w14:textId="77777777" w:rsidTr="00740900">
        <w:tc>
          <w:tcPr>
            <w:tcW w:w="1214" w:type="dxa"/>
            <w:tcBorders>
              <w:top w:val="single" w:sz="4" w:space="0" w:color="auto"/>
              <w:bottom w:val="single" w:sz="12" w:space="0" w:color="auto"/>
            </w:tcBorders>
          </w:tcPr>
          <w:p w14:paraId="065DAE3E" w14:textId="16DC1CE4" w:rsidR="00923982" w:rsidRPr="009461CC" w:rsidRDefault="00923982" w:rsidP="00923982">
            <w:pPr>
              <w:jc w:val="center"/>
              <w:rPr>
                <w:rFonts w:cs="Times New Roman"/>
                <w:szCs w:val="24"/>
              </w:rPr>
            </w:pPr>
            <w:r>
              <w:rPr>
                <w:rFonts w:cs="Times New Roman"/>
                <w:szCs w:val="24"/>
                <w:lang w:val="pt-PT"/>
              </w:rPr>
              <w:t>B</w:t>
            </w:r>
          </w:p>
        </w:tc>
        <w:tc>
          <w:tcPr>
            <w:tcW w:w="1128" w:type="dxa"/>
            <w:tcBorders>
              <w:top w:val="single" w:sz="4" w:space="0" w:color="auto"/>
              <w:bottom w:val="single" w:sz="12" w:space="0" w:color="auto"/>
            </w:tcBorders>
          </w:tcPr>
          <w:p w14:paraId="52F239C5" w14:textId="69AD5128" w:rsidR="00923982" w:rsidRPr="009461CC" w:rsidRDefault="006F76E2" w:rsidP="00923982">
            <w:pPr>
              <w:jc w:val="center"/>
              <w:rPr>
                <w:rFonts w:cs="Times New Roman"/>
                <w:szCs w:val="24"/>
              </w:rPr>
            </w:pPr>
            <w:r>
              <w:rPr>
                <w:rFonts w:cs="Times New Roman"/>
                <w:szCs w:val="24"/>
                <w:lang w:val="pt-PT"/>
              </w:rPr>
              <w:t>15/12/2025</w:t>
            </w:r>
          </w:p>
        </w:tc>
        <w:tc>
          <w:tcPr>
            <w:tcW w:w="1150" w:type="dxa"/>
            <w:tcBorders>
              <w:top w:val="single" w:sz="4" w:space="0" w:color="auto"/>
              <w:bottom w:val="single" w:sz="12" w:space="0" w:color="auto"/>
            </w:tcBorders>
          </w:tcPr>
          <w:p w14:paraId="319F0BB7" w14:textId="488E18A0" w:rsidR="00923982" w:rsidRPr="009461CC" w:rsidRDefault="00923982" w:rsidP="00923982">
            <w:pPr>
              <w:jc w:val="center"/>
              <w:rPr>
                <w:rFonts w:cs="Times New Roman"/>
                <w:szCs w:val="24"/>
              </w:rPr>
            </w:pPr>
            <w:r>
              <w:rPr>
                <w:rFonts w:cs="Times New Roman"/>
                <w:szCs w:val="24"/>
                <w:lang w:val="pt-PT"/>
              </w:rPr>
              <w:t>Tudo</w:t>
            </w:r>
          </w:p>
        </w:tc>
        <w:tc>
          <w:tcPr>
            <w:tcW w:w="4496" w:type="dxa"/>
            <w:tcBorders>
              <w:top w:val="single" w:sz="4" w:space="0" w:color="auto"/>
              <w:bottom w:val="single" w:sz="12" w:space="0" w:color="auto"/>
            </w:tcBorders>
          </w:tcPr>
          <w:p w14:paraId="3D913A75" w14:textId="09B5D375" w:rsidR="00923982" w:rsidRPr="009461CC" w:rsidRDefault="0080432B" w:rsidP="00923982">
            <w:pPr>
              <w:rPr>
                <w:rFonts w:cs="Times New Roman"/>
                <w:szCs w:val="24"/>
              </w:rPr>
            </w:pPr>
            <w:r>
              <w:rPr>
                <w:rFonts w:cs="Times New Roman"/>
                <w:szCs w:val="24"/>
                <w:lang w:val="pt-PT"/>
              </w:rPr>
              <w:t>Submissão do MDR à UE</w:t>
            </w:r>
          </w:p>
        </w:tc>
        <w:tc>
          <w:tcPr>
            <w:tcW w:w="1799" w:type="dxa"/>
            <w:tcBorders>
              <w:top w:val="single" w:sz="4" w:space="0" w:color="auto"/>
              <w:bottom w:val="single" w:sz="12" w:space="0" w:color="auto"/>
            </w:tcBorders>
          </w:tcPr>
          <w:p w14:paraId="077C5F38" w14:textId="76003B93" w:rsidR="00923982" w:rsidRPr="009461CC" w:rsidRDefault="008735FE" w:rsidP="00923982">
            <w:pPr>
              <w:rPr>
                <w:rFonts w:cs="Times New Roman"/>
                <w:szCs w:val="24"/>
              </w:rPr>
            </w:pPr>
            <w:r>
              <w:rPr>
                <w:rFonts w:cs="Times New Roman"/>
                <w:szCs w:val="24"/>
                <w:lang w:val="pt-PT"/>
              </w:rPr>
              <w:t>07919</w:t>
            </w:r>
          </w:p>
        </w:tc>
      </w:tr>
    </w:tbl>
    <w:p w14:paraId="5C951A98" w14:textId="6A651DC3" w:rsidR="0005411A" w:rsidRPr="009461CC" w:rsidRDefault="00E91403" w:rsidP="00E91403">
      <w:pPr>
        <w:jc w:val="center"/>
        <w:rPr>
          <w:rFonts w:cs="Times New Roman"/>
        </w:rPr>
      </w:pPr>
      <w:r>
        <w:rPr>
          <w:rFonts w:cs="Times New Roman"/>
          <w:i/>
          <w:iCs/>
          <w:lang w:val="pt-PT"/>
        </w:rPr>
        <w:t>Observação: as aprovações serão capturadas por meio da solicitação de mudança associada.</w:t>
      </w:r>
    </w:p>
    <w:p w14:paraId="700C8B5F" w14:textId="34A53550" w:rsidR="006F0810" w:rsidRPr="009461CC" w:rsidRDefault="0005411A" w:rsidP="00042B91">
      <w:pPr>
        <w:spacing w:after="0" w:afterAutospacing="0" w:line="240" w:lineRule="auto"/>
        <w:rPr>
          <w:rFonts w:cs="Times New Roman"/>
        </w:rPr>
      </w:pPr>
      <w:r>
        <w:rPr>
          <w:rFonts w:cs="Times New Roman"/>
          <w:szCs w:val="24"/>
          <w:lang w:val="pt-PT"/>
        </w:rPr>
        <w:br w:type="page"/>
      </w:r>
      <w:r>
        <w:rPr>
          <w:rFonts w:cs="Times New Roman"/>
          <w:lang w:val="pt-PT"/>
        </w:rPr>
        <w:lastRenderedPageBreak/>
        <w:t>Índice</w:t>
      </w:r>
    </w:p>
    <w:p w14:paraId="0896A199" w14:textId="4E6E5094" w:rsidR="00A43FDF" w:rsidRDefault="006F0810">
      <w:pPr>
        <w:pStyle w:val="TOC1"/>
        <w:rPr>
          <w:rFonts w:asciiTheme="minorHAnsi" w:eastAsiaTheme="minorEastAsia" w:hAnsiTheme="minorHAnsi" w:cstheme="minorBidi"/>
          <w:noProof/>
          <w:kern w:val="2"/>
          <w:lang w:val="en-RS" w:eastAsia="zh-CN"/>
          <w14:ligatures w14:val="standardContextual"/>
        </w:rPr>
      </w:pPr>
      <w:r>
        <w:rPr>
          <w:lang w:val="pt-PT"/>
        </w:rPr>
        <w:fldChar w:fldCharType="begin"/>
      </w:r>
      <w:r>
        <w:instrText xml:space="preserve"> TOC \o "1-3" \h \z \u </w:instrText>
      </w:r>
      <w:r>
        <w:fldChar w:fldCharType="separate"/>
      </w:r>
      <w:hyperlink w:anchor="_Toc222741632" w:history="1">
        <w:r w:rsidR="00A43FDF" w:rsidRPr="00474E02">
          <w:rPr>
            <w:rStyle w:val="Hyperlink"/>
            <w:noProof/>
          </w:rPr>
          <w:t>1.</w:t>
        </w:r>
        <w:r w:rsidR="00A43FDF">
          <w:rPr>
            <w:rFonts w:asciiTheme="minorHAnsi" w:eastAsiaTheme="minorEastAsia" w:hAnsiTheme="minorHAnsi" w:cstheme="minorBidi"/>
            <w:noProof/>
            <w:kern w:val="2"/>
            <w:lang w:val="en-RS" w:eastAsia="zh-CN"/>
            <w14:ligatures w14:val="standardContextual"/>
          </w:rPr>
          <w:tab/>
        </w:r>
        <w:r w:rsidR="00A43FDF" w:rsidRPr="00474E02">
          <w:rPr>
            <w:rStyle w:val="Hyperlink"/>
            <w:bCs/>
            <w:noProof/>
            <w:lang w:val="pt-PT"/>
          </w:rPr>
          <w:t>Âmbito deste Resumo de Segurança e Desempenho Clínico (SSCP):</w:t>
        </w:r>
        <w:r w:rsidR="00A43FDF">
          <w:rPr>
            <w:noProof/>
            <w:webHidden/>
          </w:rPr>
          <w:tab/>
        </w:r>
        <w:r w:rsidR="00A43FDF">
          <w:rPr>
            <w:noProof/>
            <w:webHidden/>
          </w:rPr>
          <w:fldChar w:fldCharType="begin"/>
        </w:r>
        <w:r w:rsidR="00A43FDF">
          <w:rPr>
            <w:noProof/>
            <w:webHidden/>
          </w:rPr>
          <w:instrText xml:space="preserve"> PAGEREF _Toc222741632 \h </w:instrText>
        </w:r>
        <w:r w:rsidR="00A43FDF">
          <w:rPr>
            <w:noProof/>
            <w:webHidden/>
          </w:rPr>
        </w:r>
        <w:r w:rsidR="00A43FDF">
          <w:rPr>
            <w:noProof/>
            <w:webHidden/>
          </w:rPr>
          <w:fldChar w:fldCharType="separate"/>
        </w:r>
        <w:r w:rsidR="00444AB2">
          <w:rPr>
            <w:noProof/>
            <w:webHidden/>
          </w:rPr>
          <w:t>3</w:t>
        </w:r>
        <w:r w:rsidR="00A43FDF">
          <w:rPr>
            <w:noProof/>
            <w:webHidden/>
          </w:rPr>
          <w:fldChar w:fldCharType="end"/>
        </w:r>
      </w:hyperlink>
    </w:p>
    <w:p w14:paraId="15C23164" w14:textId="260B5846"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33" w:history="1">
        <w:r w:rsidRPr="00474E02">
          <w:rPr>
            <w:rStyle w:val="Hyperlink"/>
            <w:noProof/>
          </w:rPr>
          <w:t>1.1.</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Nome comercial do dispositivo:</w:t>
        </w:r>
        <w:r>
          <w:rPr>
            <w:noProof/>
            <w:webHidden/>
          </w:rPr>
          <w:tab/>
        </w:r>
        <w:r>
          <w:rPr>
            <w:noProof/>
            <w:webHidden/>
          </w:rPr>
          <w:fldChar w:fldCharType="begin"/>
        </w:r>
        <w:r>
          <w:rPr>
            <w:noProof/>
            <w:webHidden/>
          </w:rPr>
          <w:instrText xml:space="preserve"> PAGEREF _Toc222741633 \h </w:instrText>
        </w:r>
        <w:r>
          <w:rPr>
            <w:noProof/>
            <w:webHidden/>
          </w:rPr>
        </w:r>
        <w:r>
          <w:rPr>
            <w:noProof/>
            <w:webHidden/>
          </w:rPr>
          <w:fldChar w:fldCharType="separate"/>
        </w:r>
        <w:r w:rsidR="00444AB2">
          <w:rPr>
            <w:noProof/>
            <w:webHidden/>
          </w:rPr>
          <w:t>3</w:t>
        </w:r>
        <w:r>
          <w:rPr>
            <w:noProof/>
            <w:webHidden/>
          </w:rPr>
          <w:fldChar w:fldCharType="end"/>
        </w:r>
      </w:hyperlink>
    </w:p>
    <w:p w14:paraId="55ED95C1" w14:textId="4DD238F7"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34" w:history="1">
        <w:r w:rsidRPr="00474E02">
          <w:rPr>
            <w:rStyle w:val="Hyperlink"/>
            <w:noProof/>
          </w:rPr>
          <w:t>1.2.</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Descrição do dispositivo, UDI-DI básico e Classificação da UE:</w:t>
        </w:r>
        <w:r>
          <w:rPr>
            <w:noProof/>
            <w:webHidden/>
          </w:rPr>
          <w:tab/>
        </w:r>
        <w:r>
          <w:rPr>
            <w:noProof/>
            <w:webHidden/>
          </w:rPr>
          <w:fldChar w:fldCharType="begin"/>
        </w:r>
        <w:r>
          <w:rPr>
            <w:noProof/>
            <w:webHidden/>
          </w:rPr>
          <w:instrText xml:space="preserve"> PAGEREF _Toc222741634 \h </w:instrText>
        </w:r>
        <w:r>
          <w:rPr>
            <w:noProof/>
            <w:webHidden/>
          </w:rPr>
        </w:r>
        <w:r>
          <w:rPr>
            <w:noProof/>
            <w:webHidden/>
          </w:rPr>
          <w:fldChar w:fldCharType="separate"/>
        </w:r>
        <w:r w:rsidR="00444AB2">
          <w:rPr>
            <w:noProof/>
            <w:webHidden/>
          </w:rPr>
          <w:t>3</w:t>
        </w:r>
        <w:r>
          <w:rPr>
            <w:noProof/>
            <w:webHidden/>
          </w:rPr>
          <w:fldChar w:fldCharType="end"/>
        </w:r>
      </w:hyperlink>
    </w:p>
    <w:p w14:paraId="1696F172" w14:textId="79FAE21F"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35" w:history="1">
        <w:r w:rsidRPr="00474E02">
          <w:rPr>
            <w:rStyle w:val="Hyperlink"/>
            <w:noProof/>
          </w:rPr>
          <w:t>1.3.</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Ano em que foi emitido o primeiro certificado (CE) que abrange o dispositivo:</w:t>
        </w:r>
        <w:r>
          <w:rPr>
            <w:noProof/>
            <w:webHidden/>
          </w:rPr>
          <w:tab/>
        </w:r>
        <w:r>
          <w:rPr>
            <w:noProof/>
            <w:webHidden/>
          </w:rPr>
          <w:fldChar w:fldCharType="begin"/>
        </w:r>
        <w:r>
          <w:rPr>
            <w:noProof/>
            <w:webHidden/>
          </w:rPr>
          <w:instrText xml:space="preserve"> PAGEREF _Toc222741635 \h </w:instrText>
        </w:r>
        <w:r>
          <w:rPr>
            <w:noProof/>
            <w:webHidden/>
          </w:rPr>
        </w:r>
        <w:r>
          <w:rPr>
            <w:noProof/>
            <w:webHidden/>
          </w:rPr>
          <w:fldChar w:fldCharType="separate"/>
        </w:r>
        <w:r w:rsidR="00444AB2">
          <w:rPr>
            <w:noProof/>
            <w:webHidden/>
          </w:rPr>
          <w:t>3</w:t>
        </w:r>
        <w:r>
          <w:rPr>
            <w:noProof/>
            <w:webHidden/>
          </w:rPr>
          <w:fldChar w:fldCharType="end"/>
        </w:r>
      </w:hyperlink>
    </w:p>
    <w:p w14:paraId="37B95E35" w14:textId="2848F31B"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36" w:history="1">
        <w:r w:rsidRPr="00474E02">
          <w:rPr>
            <w:rStyle w:val="Hyperlink"/>
            <w:noProof/>
          </w:rPr>
          <w:t>1.4.</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Nome do fabricante, endereço e SRN:</w:t>
        </w:r>
        <w:r>
          <w:rPr>
            <w:noProof/>
            <w:webHidden/>
          </w:rPr>
          <w:tab/>
        </w:r>
        <w:r>
          <w:rPr>
            <w:noProof/>
            <w:webHidden/>
          </w:rPr>
          <w:fldChar w:fldCharType="begin"/>
        </w:r>
        <w:r>
          <w:rPr>
            <w:noProof/>
            <w:webHidden/>
          </w:rPr>
          <w:instrText xml:space="preserve"> PAGEREF _Toc222741636 \h </w:instrText>
        </w:r>
        <w:r>
          <w:rPr>
            <w:noProof/>
            <w:webHidden/>
          </w:rPr>
        </w:r>
        <w:r>
          <w:rPr>
            <w:noProof/>
            <w:webHidden/>
          </w:rPr>
          <w:fldChar w:fldCharType="separate"/>
        </w:r>
        <w:r w:rsidR="00444AB2">
          <w:rPr>
            <w:noProof/>
            <w:webHidden/>
          </w:rPr>
          <w:t>4</w:t>
        </w:r>
        <w:r>
          <w:rPr>
            <w:noProof/>
            <w:webHidden/>
          </w:rPr>
          <w:fldChar w:fldCharType="end"/>
        </w:r>
      </w:hyperlink>
    </w:p>
    <w:p w14:paraId="5D5FEF25" w14:textId="381ABA56"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37" w:history="1">
        <w:r w:rsidRPr="00474E02">
          <w:rPr>
            <w:rStyle w:val="Hyperlink"/>
            <w:noProof/>
          </w:rPr>
          <w:t>1.5.</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Nome do representante autorizado e SRN:</w:t>
        </w:r>
        <w:r>
          <w:rPr>
            <w:noProof/>
            <w:webHidden/>
          </w:rPr>
          <w:tab/>
        </w:r>
        <w:r>
          <w:rPr>
            <w:noProof/>
            <w:webHidden/>
          </w:rPr>
          <w:fldChar w:fldCharType="begin"/>
        </w:r>
        <w:r>
          <w:rPr>
            <w:noProof/>
            <w:webHidden/>
          </w:rPr>
          <w:instrText xml:space="preserve"> PAGEREF _Toc222741637 \h </w:instrText>
        </w:r>
        <w:r>
          <w:rPr>
            <w:noProof/>
            <w:webHidden/>
          </w:rPr>
        </w:r>
        <w:r>
          <w:rPr>
            <w:noProof/>
            <w:webHidden/>
          </w:rPr>
          <w:fldChar w:fldCharType="separate"/>
        </w:r>
        <w:r w:rsidR="00444AB2">
          <w:rPr>
            <w:noProof/>
            <w:webHidden/>
          </w:rPr>
          <w:t>4</w:t>
        </w:r>
        <w:r>
          <w:rPr>
            <w:noProof/>
            <w:webHidden/>
          </w:rPr>
          <w:fldChar w:fldCharType="end"/>
        </w:r>
      </w:hyperlink>
    </w:p>
    <w:p w14:paraId="44663AC1" w14:textId="52D1554B"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38" w:history="1">
        <w:r w:rsidRPr="00474E02">
          <w:rPr>
            <w:rStyle w:val="Hyperlink"/>
            <w:noProof/>
          </w:rPr>
          <w:t>1.6.</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Nome do organismo notificado e número de identificação único:</w:t>
        </w:r>
        <w:r>
          <w:rPr>
            <w:noProof/>
            <w:webHidden/>
          </w:rPr>
          <w:tab/>
        </w:r>
        <w:r>
          <w:rPr>
            <w:noProof/>
            <w:webHidden/>
          </w:rPr>
          <w:fldChar w:fldCharType="begin"/>
        </w:r>
        <w:r>
          <w:rPr>
            <w:noProof/>
            <w:webHidden/>
          </w:rPr>
          <w:instrText xml:space="preserve"> PAGEREF _Toc222741638 \h </w:instrText>
        </w:r>
        <w:r>
          <w:rPr>
            <w:noProof/>
            <w:webHidden/>
          </w:rPr>
        </w:r>
        <w:r>
          <w:rPr>
            <w:noProof/>
            <w:webHidden/>
          </w:rPr>
          <w:fldChar w:fldCharType="separate"/>
        </w:r>
        <w:r w:rsidR="00444AB2">
          <w:rPr>
            <w:noProof/>
            <w:webHidden/>
          </w:rPr>
          <w:t>4</w:t>
        </w:r>
        <w:r>
          <w:rPr>
            <w:noProof/>
            <w:webHidden/>
          </w:rPr>
          <w:fldChar w:fldCharType="end"/>
        </w:r>
      </w:hyperlink>
    </w:p>
    <w:p w14:paraId="20E8CF90" w14:textId="04096DA6"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39" w:history="1">
        <w:r w:rsidRPr="00474E02">
          <w:rPr>
            <w:rStyle w:val="Hyperlink"/>
            <w:noProof/>
          </w:rPr>
          <w:t>2.</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Utilização pretendida/Utilização prevista do dispositivo</w:t>
        </w:r>
        <w:r>
          <w:rPr>
            <w:noProof/>
            <w:webHidden/>
          </w:rPr>
          <w:tab/>
        </w:r>
        <w:r>
          <w:rPr>
            <w:noProof/>
            <w:webHidden/>
          </w:rPr>
          <w:fldChar w:fldCharType="begin"/>
        </w:r>
        <w:r>
          <w:rPr>
            <w:noProof/>
            <w:webHidden/>
          </w:rPr>
          <w:instrText xml:space="preserve"> PAGEREF _Toc222741639 \h </w:instrText>
        </w:r>
        <w:r>
          <w:rPr>
            <w:noProof/>
            <w:webHidden/>
          </w:rPr>
        </w:r>
        <w:r>
          <w:rPr>
            <w:noProof/>
            <w:webHidden/>
          </w:rPr>
          <w:fldChar w:fldCharType="separate"/>
        </w:r>
        <w:r w:rsidR="00444AB2">
          <w:rPr>
            <w:noProof/>
            <w:webHidden/>
          </w:rPr>
          <w:t>4</w:t>
        </w:r>
        <w:r>
          <w:rPr>
            <w:noProof/>
            <w:webHidden/>
          </w:rPr>
          <w:fldChar w:fldCharType="end"/>
        </w:r>
      </w:hyperlink>
    </w:p>
    <w:p w14:paraId="1E6F8BCD" w14:textId="0165B09B"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40" w:history="1">
        <w:r w:rsidRPr="00474E02">
          <w:rPr>
            <w:rStyle w:val="Hyperlink"/>
            <w:noProof/>
          </w:rPr>
          <w:t>2.1.</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Finalidade pretendida/Utilização prevista</w:t>
        </w:r>
        <w:r>
          <w:rPr>
            <w:noProof/>
            <w:webHidden/>
          </w:rPr>
          <w:tab/>
        </w:r>
        <w:r>
          <w:rPr>
            <w:noProof/>
            <w:webHidden/>
          </w:rPr>
          <w:fldChar w:fldCharType="begin"/>
        </w:r>
        <w:r>
          <w:rPr>
            <w:noProof/>
            <w:webHidden/>
          </w:rPr>
          <w:instrText xml:space="preserve"> PAGEREF _Toc222741640 \h </w:instrText>
        </w:r>
        <w:r>
          <w:rPr>
            <w:noProof/>
            <w:webHidden/>
          </w:rPr>
        </w:r>
        <w:r>
          <w:rPr>
            <w:noProof/>
            <w:webHidden/>
          </w:rPr>
          <w:fldChar w:fldCharType="separate"/>
        </w:r>
        <w:r w:rsidR="00444AB2">
          <w:rPr>
            <w:noProof/>
            <w:webHidden/>
          </w:rPr>
          <w:t>4</w:t>
        </w:r>
        <w:r>
          <w:rPr>
            <w:noProof/>
            <w:webHidden/>
          </w:rPr>
          <w:fldChar w:fldCharType="end"/>
        </w:r>
      </w:hyperlink>
    </w:p>
    <w:p w14:paraId="3852EBB3" w14:textId="47D6FD92"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41" w:history="1">
        <w:r w:rsidRPr="00474E02">
          <w:rPr>
            <w:rStyle w:val="Hyperlink"/>
            <w:noProof/>
          </w:rPr>
          <w:t>2.2.</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Indicação de uso</w:t>
        </w:r>
        <w:r>
          <w:rPr>
            <w:noProof/>
            <w:webHidden/>
          </w:rPr>
          <w:tab/>
        </w:r>
        <w:r>
          <w:rPr>
            <w:noProof/>
            <w:webHidden/>
          </w:rPr>
          <w:fldChar w:fldCharType="begin"/>
        </w:r>
        <w:r>
          <w:rPr>
            <w:noProof/>
            <w:webHidden/>
          </w:rPr>
          <w:instrText xml:space="preserve"> PAGEREF _Toc222741641 \h </w:instrText>
        </w:r>
        <w:r>
          <w:rPr>
            <w:noProof/>
            <w:webHidden/>
          </w:rPr>
        </w:r>
        <w:r>
          <w:rPr>
            <w:noProof/>
            <w:webHidden/>
          </w:rPr>
          <w:fldChar w:fldCharType="separate"/>
        </w:r>
        <w:r w:rsidR="00444AB2">
          <w:rPr>
            <w:noProof/>
            <w:webHidden/>
          </w:rPr>
          <w:t>5</w:t>
        </w:r>
        <w:r>
          <w:rPr>
            <w:noProof/>
            <w:webHidden/>
          </w:rPr>
          <w:fldChar w:fldCharType="end"/>
        </w:r>
      </w:hyperlink>
    </w:p>
    <w:p w14:paraId="6028FCA7" w14:textId="04ED6EA2"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42" w:history="1">
        <w:r w:rsidRPr="00474E02">
          <w:rPr>
            <w:rStyle w:val="Hyperlink"/>
            <w:noProof/>
          </w:rPr>
          <w:t>2.3.</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População-alvo</w:t>
        </w:r>
        <w:r>
          <w:rPr>
            <w:noProof/>
            <w:webHidden/>
          </w:rPr>
          <w:tab/>
        </w:r>
        <w:r>
          <w:rPr>
            <w:noProof/>
            <w:webHidden/>
          </w:rPr>
          <w:fldChar w:fldCharType="begin"/>
        </w:r>
        <w:r>
          <w:rPr>
            <w:noProof/>
            <w:webHidden/>
          </w:rPr>
          <w:instrText xml:space="preserve"> PAGEREF _Toc222741642 \h </w:instrText>
        </w:r>
        <w:r>
          <w:rPr>
            <w:noProof/>
            <w:webHidden/>
          </w:rPr>
        </w:r>
        <w:r>
          <w:rPr>
            <w:noProof/>
            <w:webHidden/>
          </w:rPr>
          <w:fldChar w:fldCharType="separate"/>
        </w:r>
        <w:r w:rsidR="00444AB2">
          <w:rPr>
            <w:noProof/>
            <w:webHidden/>
          </w:rPr>
          <w:t>5</w:t>
        </w:r>
        <w:r>
          <w:rPr>
            <w:noProof/>
            <w:webHidden/>
          </w:rPr>
          <w:fldChar w:fldCharType="end"/>
        </w:r>
      </w:hyperlink>
    </w:p>
    <w:p w14:paraId="1F718F93" w14:textId="2F3458F7"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43" w:history="1">
        <w:r w:rsidRPr="00474E02">
          <w:rPr>
            <w:rStyle w:val="Hyperlink"/>
            <w:noProof/>
          </w:rPr>
          <w:t>2.4.</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Contraindicações</w:t>
        </w:r>
        <w:r>
          <w:rPr>
            <w:noProof/>
            <w:webHidden/>
          </w:rPr>
          <w:tab/>
        </w:r>
        <w:r>
          <w:rPr>
            <w:noProof/>
            <w:webHidden/>
          </w:rPr>
          <w:fldChar w:fldCharType="begin"/>
        </w:r>
        <w:r>
          <w:rPr>
            <w:noProof/>
            <w:webHidden/>
          </w:rPr>
          <w:instrText xml:space="preserve"> PAGEREF _Toc222741643 \h </w:instrText>
        </w:r>
        <w:r>
          <w:rPr>
            <w:noProof/>
            <w:webHidden/>
          </w:rPr>
        </w:r>
        <w:r>
          <w:rPr>
            <w:noProof/>
            <w:webHidden/>
          </w:rPr>
          <w:fldChar w:fldCharType="separate"/>
        </w:r>
        <w:r w:rsidR="00444AB2">
          <w:rPr>
            <w:noProof/>
            <w:webHidden/>
          </w:rPr>
          <w:t>5</w:t>
        </w:r>
        <w:r>
          <w:rPr>
            <w:noProof/>
            <w:webHidden/>
          </w:rPr>
          <w:fldChar w:fldCharType="end"/>
        </w:r>
      </w:hyperlink>
    </w:p>
    <w:p w14:paraId="629DCC5F" w14:textId="3E02AC06"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44" w:history="1">
        <w:r w:rsidRPr="00474E02">
          <w:rPr>
            <w:rStyle w:val="Hyperlink"/>
            <w:noProof/>
          </w:rPr>
          <w:t>3.</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Descrição do dispositivo</w:t>
        </w:r>
        <w:r>
          <w:rPr>
            <w:noProof/>
            <w:webHidden/>
          </w:rPr>
          <w:tab/>
        </w:r>
        <w:r>
          <w:rPr>
            <w:noProof/>
            <w:webHidden/>
          </w:rPr>
          <w:fldChar w:fldCharType="begin"/>
        </w:r>
        <w:r>
          <w:rPr>
            <w:noProof/>
            <w:webHidden/>
          </w:rPr>
          <w:instrText xml:space="preserve"> PAGEREF _Toc222741644 \h </w:instrText>
        </w:r>
        <w:r>
          <w:rPr>
            <w:noProof/>
            <w:webHidden/>
          </w:rPr>
        </w:r>
        <w:r>
          <w:rPr>
            <w:noProof/>
            <w:webHidden/>
          </w:rPr>
          <w:fldChar w:fldCharType="separate"/>
        </w:r>
        <w:r w:rsidR="00444AB2">
          <w:rPr>
            <w:noProof/>
            <w:webHidden/>
          </w:rPr>
          <w:t>5</w:t>
        </w:r>
        <w:r>
          <w:rPr>
            <w:noProof/>
            <w:webHidden/>
          </w:rPr>
          <w:fldChar w:fldCharType="end"/>
        </w:r>
      </w:hyperlink>
    </w:p>
    <w:p w14:paraId="5AB64DC6" w14:textId="77AF9154"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45" w:history="1">
        <w:r w:rsidRPr="00474E02">
          <w:rPr>
            <w:rStyle w:val="Hyperlink"/>
            <w:noProof/>
          </w:rPr>
          <w:t>3.1.</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Descrição do dispositivo</w:t>
        </w:r>
        <w:r>
          <w:rPr>
            <w:noProof/>
            <w:webHidden/>
          </w:rPr>
          <w:tab/>
        </w:r>
        <w:r>
          <w:rPr>
            <w:noProof/>
            <w:webHidden/>
          </w:rPr>
          <w:fldChar w:fldCharType="begin"/>
        </w:r>
        <w:r>
          <w:rPr>
            <w:noProof/>
            <w:webHidden/>
          </w:rPr>
          <w:instrText xml:space="preserve"> PAGEREF _Toc222741645 \h </w:instrText>
        </w:r>
        <w:r>
          <w:rPr>
            <w:noProof/>
            <w:webHidden/>
          </w:rPr>
        </w:r>
        <w:r>
          <w:rPr>
            <w:noProof/>
            <w:webHidden/>
          </w:rPr>
          <w:fldChar w:fldCharType="separate"/>
        </w:r>
        <w:r w:rsidR="00444AB2">
          <w:rPr>
            <w:noProof/>
            <w:webHidden/>
          </w:rPr>
          <w:t>5</w:t>
        </w:r>
        <w:r>
          <w:rPr>
            <w:noProof/>
            <w:webHidden/>
          </w:rPr>
          <w:fldChar w:fldCharType="end"/>
        </w:r>
      </w:hyperlink>
    </w:p>
    <w:p w14:paraId="1ED28909" w14:textId="04FCC2D6"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46" w:history="1">
        <w:r w:rsidRPr="00474E02">
          <w:rPr>
            <w:rStyle w:val="Hyperlink"/>
            <w:noProof/>
          </w:rPr>
          <w:t>3.2.</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Variantes anteriores e suas diferenças</w:t>
        </w:r>
        <w:r>
          <w:rPr>
            <w:noProof/>
            <w:webHidden/>
          </w:rPr>
          <w:tab/>
        </w:r>
        <w:r>
          <w:rPr>
            <w:noProof/>
            <w:webHidden/>
          </w:rPr>
          <w:fldChar w:fldCharType="begin"/>
        </w:r>
        <w:r>
          <w:rPr>
            <w:noProof/>
            <w:webHidden/>
          </w:rPr>
          <w:instrText xml:space="preserve"> PAGEREF _Toc222741646 \h </w:instrText>
        </w:r>
        <w:r>
          <w:rPr>
            <w:noProof/>
            <w:webHidden/>
          </w:rPr>
        </w:r>
        <w:r>
          <w:rPr>
            <w:noProof/>
            <w:webHidden/>
          </w:rPr>
          <w:fldChar w:fldCharType="separate"/>
        </w:r>
        <w:r w:rsidR="00444AB2">
          <w:rPr>
            <w:noProof/>
            <w:webHidden/>
          </w:rPr>
          <w:t>5</w:t>
        </w:r>
        <w:r>
          <w:rPr>
            <w:noProof/>
            <w:webHidden/>
          </w:rPr>
          <w:fldChar w:fldCharType="end"/>
        </w:r>
      </w:hyperlink>
    </w:p>
    <w:p w14:paraId="0DDFEB86" w14:textId="64562CBA"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47" w:history="1">
        <w:r w:rsidRPr="00474E02">
          <w:rPr>
            <w:rStyle w:val="Hyperlink"/>
            <w:noProof/>
          </w:rPr>
          <w:t>3.3.</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Acessórios, dispositivos compatíveis e outros produtos utilizados em combinação</w:t>
        </w:r>
        <w:r>
          <w:rPr>
            <w:noProof/>
            <w:webHidden/>
          </w:rPr>
          <w:tab/>
        </w:r>
        <w:r>
          <w:rPr>
            <w:noProof/>
            <w:webHidden/>
          </w:rPr>
          <w:fldChar w:fldCharType="begin"/>
        </w:r>
        <w:r>
          <w:rPr>
            <w:noProof/>
            <w:webHidden/>
          </w:rPr>
          <w:instrText xml:space="preserve"> PAGEREF _Toc222741647 \h </w:instrText>
        </w:r>
        <w:r>
          <w:rPr>
            <w:noProof/>
            <w:webHidden/>
          </w:rPr>
        </w:r>
        <w:r>
          <w:rPr>
            <w:noProof/>
            <w:webHidden/>
          </w:rPr>
          <w:fldChar w:fldCharType="separate"/>
        </w:r>
        <w:r w:rsidR="00444AB2">
          <w:rPr>
            <w:noProof/>
            <w:webHidden/>
          </w:rPr>
          <w:t>5</w:t>
        </w:r>
        <w:r>
          <w:rPr>
            <w:noProof/>
            <w:webHidden/>
          </w:rPr>
          <w:fldChar w:fldCharType="end"/>
        </w:r>
      </w:hyperlink>
    </w:p>
    <w:p w14:paraId="625B3192" w14:textId="4305DAD4"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48" w:history="1">
        <w:r w:rsidRPr="00474E02">
          <w:rPr>
            <w:rStyle w:val="Hyperlink"/>
            <w:noProof/>
          </w:rPr>
          <w:t>4.</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Riscos e avisos</w:t>
        </w:r>
        <w:r>
          <w:rPr>
            <w:noProof/>
            <w:webHidden/>
          </w:rPr>
          <w:tab/>
        </w:r>
        <w:r>
          <w:rPr>
            <w:noProof/>
            <w:webHidden/>
          </w:rPr>
          <w:fldChar w:fldCharType="begin"/>
        </w:r>
        <w:r>
          <w:rPr>
            <w:noProof/>
            <w:webHidden/>
          </w:rPr>
          <w:instrText xml:space="preserve"> PAGEREF _Toc222741648 \h </w:instrText>
        </w:r>
        <w:r>
          <w:rPr>
            <w:noProof/>
            <w:webHidden/>
          </w:rPr>
        </w:r>
        <w:r>
          <w:rPr>
            <w:noProof/>
            <w:webHidden/>
          </w:rPr>
          <w:fldChar w:fldCharType="separate"/>
        </w:r>
        <w:r w:rsidR="00444AB2">
          <w:rPr>
            <w:noProof/>
            <w:webHidden/>
          </w:rPr>
          <w:t>6</w:t>
        </w:r>
        <w:r>
          <w:rPr>
            <w:noProof/>
            <w:webHidden/>
          </w:rPr>
          <w:fldChar w:fldCharType="end"/>
        </w:r>
      </w:hyperlink>
    </w:p>
    <w:p w14:paraId="5F89893A" w14:textId="3041C02A"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49" w:history="1">
        <w:r w:rsidRPr="00474E02">
          <w:rPr>
            <w:rStyle w:val="Hyperlink"/>
            <w:noProof/>
          </w:rPr>
          <w:t>4.1.</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Riscos residuais e efeitos secundários indesejáveis</w:t>
        </w:r>
        <w:r>
          <w:rPr>
            <w:noProof/>
            <w:webHidden/>
          </w:rPr>
          <w:tab/>
        </w:r>
        <w:r>
          <w:rPr>
            <w:noProof/>
            <w:webHidden/>
          </w:rPr>
          <w:fldChar w:fldCharType="begin"/>
        </w:r>
        <w:r>
          <w:rPr>
            <w:noProof/>
            <w:webHidden/>
          </w:rPr>
          <w:instrText xml:space="preserve"> PAGEREF _Toc222741649 \h </w:instrText>
        </w:r>
        <w:r>
          <w:rPr>
            <w:noProof/>
            <w:webHidden/>
          </w:rPr>
        </w:r>
        <w:r>
          <w:rPr>
            <w:noProof/>
            <w:webHidden/>
          </w:rPr>
          <w:fldChar w:fldCharType="separate"/>
        </w:r>
        <w:r w:rsidR="00444AB2">
          <w:rPr>
            <w:noProof/>
            <w:webHidden/>
          </w:rPr>
          <w:t>6</w:t>
        </w:r>
        <w:r>
          <w:rPr>
            <w:noProof/>
            <w:webHidden/>
          </w:rPr>
          <w:fldChar w:fldCharType="end"/>
        </w:r>
      </w:hyperlink>
    </w:p>
    <w:p w14:paraId="3A625215" w14:textId="75561399"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50" w:history="1">
        <w:r w:rsidRPr="00474E02">
          <w:rPr>
            <w:rStyle w:val="Hyperlink"/>
            <w:noProof/>
          </w:rPr>
          <w:t>4.2.</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Avisos e precauções</w:t>
        </w:r>
        <w:r>
          <w:rPr>
            <w:noProof/>
            <w:webHidden/>
          </w:rPr>
          <w:tab/>
        </w:r>
        <w:r>
          <w:rPr>
            <w:noProof/>
            <w:webHidden/>
          </w:rPr>
          <w:fldChar w:fldCharType="begin"/>
        </w:r>
        <w:r>
          <w:rPr>
            <w:noProof/>
            <w:webHidden/>
          </w:rPr>
          <w:instrText xml:space="preserve"> PAGEREF _Toc222741650 \h </w:instrText>
        </w:r>
        <w:r>
          <w:rPr>
            <w:noProof/>
            <w:webHidden/>
          </w:rPr>
        </w:r>
        <w:r>
          <w:rPr>
            <w:noProof/>
            <w:webHidden/>
          </w:rPr>
          <w:fldChar w:fldCharType="separate"/>
        </w:r>
        <w:r w:rsidR="00444AB2">
          <w:rPr>
            <w:noProof/>
            <w:webHidden/>
          </w:rPr>
          <w:t>6</w:t>
        </w:r>
        <w:r>
          <w:rPr>
            <w:noProof/>
            <w:webHidden/>
          </w:rPr>
          <w:fldChar w:fldCharType="end"/>
        </w:r>
      </w:hyperlink>
    </w:p>
    <w:p w14:paraId="68F3CB90" w14:textId="24EE012F"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51" w:history="1">
        <w:r w:rsidRPr="00474E02">
          <w:rPr>
            <w:rStyle w:val="Hyperlink"/>
            <w:noProof/>
          </w:rPr>
          <w:t>4.3.</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Outros aspetos relevantes de segurança, incluindo um resumo de qualquer ação corretiva de segurança em campo (FSCA incluindo FSN), se aplicável</w:t>
        </w:r>
        <w:r>
          <w:rPr>
            <w:noProof/>
            <w:webHidden/>
          </w:rPr>
          <w:tab/>
        </w:r>
        <w:r>
          <w:rPr>
            <w:noProof/>
            <w:webHidden/>
          </w:rPr>
          <w:fldChar w:fldCharType="begin"/>
        </w:r>
        <w:r>
          <w:rPr>
            <w:noProof/>
            <w:webHidden/>
          </w:rPr>
          <w:instrText xml:space="preserve"> PAGEREF _Toc222741651 \h </w:instrText>
        </w:r>
        <w:r>
          <w:rPr>
            <w:noProof/>
            <w:webHidden/>
          </w:rPr>
        </w:r>
        <w:r>
          <w:rPr>
            <w:noProof/>
            <w:webHidden/>
          </w:rPr>
          <w:fldChar w:fldCharType="separate"/>
        </w:r>
        <w:r w:rsidR="00444AB2">
          <w:rPr>
            <w:noProof/>
            <w:webHidden/>
          </w:rPr>
          <w:t>7</w:t>
        </w:r>
        <w:r>
          <w:rPr>
            <w:noProof/>
            <w:webHidden/>
          </w:rPr>
          <w:fldChar w:fldCharType="end"/>
        </w:r>
      </w:hyperlink>
    </w:p>
    <w:p w14:paraId="6BD54EA4" w14:textId="56E3D8F4"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52" w:history="1">
        <w:r w:rsidRPr="00474E02">
          <w:rPr>
            <w:rStyle w:val="Hyperlink"/>
            <w:noProof/>
          </w:rPr>
          <w:t>5.</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Resumo da avaliação clínica e acompanhamento clínico pós-comercialização (PMCF)</w:t>
        </w:r>
        <w:r>
          <w:rPr>
            <w:noProof/>
            <w:webHidden/>
          </w:rPr>
          <w:tab/>
        </w:r>
        <w:r>
          <w:rPr>
            <w:noProof/>
            <w:webHidden/>
          </w:rPr>
          <w:fldChar w:fldCharType="begin"/>
        </w:r>
        <w:r>
          <w:rPr>
            <w:noProof/>
            <w:webHidden/>
          </w:rPr>
          <w:instrText xml:space="preserve"> PAGEREF _Toc222741652 \h </w:instrText>
        </w:r>
        <w:r>
          <w:rPr>
            <w:noProof/>
            <w:webHidden/>
          </w:rPr>
        </w:r>
        <w:r>
          <w:rPr>
            <w:noProof/>
            <w:webHidden/>
          </w:rPr>
          <w:fldChar w:fldCharType="separate"/>
        </w:r>
        <w:r w:rsidR="00444AB2">
          <w:rPr>
            <w:noProof/>
            <w:webHidden/>
          </w:rPr>
          <w:t>7</w:t>
        </w:r>
        <w:r>
          <w:rPr>
            <w:noProof/>
            <w:webHidden/>
          </w:rPr>
          <w:fldChar w:fldCharType="end"/>
        </w:r>
      </w:hyperlink>
    </w:p>
    <w:p w14:paraId="7136E907" w14:textId="6A6D4BDE"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53" w:history="1">
        <w:r w:rsidRPr="00474E02">
          <w:rPr>
            <w:rStyle w:val="Hyperlink"/>
            <w:noProof/>
          </w:rPr>
          <w:t>5.1.</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Resumo dos dados clínicos relacionados ao dispositivo equivalente, se aplicável</w:t>
        </w:r>
        <w:r>
          <w:rPr>
            <w:noProof/>
            <w:webHidden/>
          </w:rPr>
          <w:tab/>
        </w:r>
        <w:r>
          <w:rPr>
            <w:noProof/>
            <w:webHidden/>
          </w:rPr>
          <w:fldChar w:fldCharType="begin"/>
        </w:r>
        <w:r>
          <w:rPr>
            <w:noProof/>
            <w:webHidden/>
          </w:rPr>
          <w:instrText xml:space="preserve"> PAGEREF _Toc222741653 \h </w:instrText>
        </w:r>
        <w:r>
          <w:rPr>
            <w:noProof/>
            <w:webHidden/>
          </w:rPr>
        </w:r>
        <w:r>
          <w:rPr>
            <w:noProof/>
            <w:webHidden/>
          </w:rPr>
          <w:fldChar w:fldCharType="separate"/>
        </w:r>
        <w:r w:rsidR="00444AB2">
          <w:rPr>
            <w:noProof/>
            <w:webHidden/>
          </w:rPr>
          <w:t>8</w:t>
        </w:r>
        <w:r>
          <w:rPr>
            <w:noProof/>
            <w:webHidden/>
          </w:rPr>
          <w:fldChar w:fldCharType="end"/>
        </w:r>
      </w:hyperlink>
    </w:p>
    <w:p w14:paraId="6296B0B2" w14:textId="0E03D6B7"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54" w:history="1">
        <w:r w:rsidRPr="00474E02">
          <w:rPr>
            <w:rStyle w:val="Hyperlink"/>
            <w:noProof/>
          </w:rPr>
          <w:t>5.2.</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Resumo dos dados clínicos das investigações conduzidas do dispositivo antes da marcação CE, se aplicável</w:t>
        </w:r>
        <w:r>
          <w:rPr>
            <w:noProof/>
            <w:webHidden/>
          </w:rPr>
          <w:tab/>
        </w:r>
        <w:r>
          <w:rPr>
            <w:noProof/>
            <w:webHidden/>
          </w:rPr>
          <w:fldChar w:fldCharType="begin"/>
        </w:r>
        <w:r>
          <w:rPr>
            <w:noProof/>
            <w:webHidden/>
          </w:rPr>
          <w:instrText xml:space="preserve"> PAGEREF _Toc222741654 \h </w:instrText>
        </w:r>
        <w:r>
          <w:rPr>
            <w:noProof/>
            <w:webHidden/>
          </w:rPr>
        </w:r>
        <w:r>
          <w:rPr>
            <w:noProof/>
            <w:webHidden/>
          </w:rPr>
          <w:fldChar w:fldCharType="separate"/>
        </w:r>
        <w:r w:rsidR="00444AB2">
          <w:rPr>
            <w:noProof/>
            <w:webHidden/>
          </w:rPr>
          <w:t>8</w:t>
        </w:r>
        <w:r>
          <w:rPr>
            <w:noProof/>
            <w:webHidden/>
          </w:rPr>
          <w:fldChar w:fldCharType="end"/>
        </w:r>
      </w:hyperlink>
    </w:p>
    <w:p w14:paraId="4A057FF2" w14:textId="6F653A65"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55" w:history="1">
        <w:r w:rsidRPr="00474E02">
          <w:rPr>
            <w:rStyle w:val="Hyperlink"/>
            <w:noProof/>
          </w:rPr>
          <w:t>5.3.</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Resumo dos dados clínicos de outras fontes, se aplicável</w:t>
        </w:r>
        <w:r>
          <w:rPr>
            <w:noProof/>
            <w:webHidden/>
          </w:rPr>
          <w:tab/>
        </w:r>
        <w:r>
          <w:rPr>
            <w:noProof/>
            <w:webHidden/>
          </w:rPr>
          <w:fldChar w:fldCharType="begin"/>
        </w:r>
        <w:r>
          <w:rPr>
            <w:noProof/>
            <w:webHidden/>
          </w:rPr>
          <w:instrText xml:space="preserve"> PAGEREF _Toc222741655 \h </w:instrText>
        </w:r>
        <w:r>
          <w:rPr>
            <w:noProof/>
            <w:webHidden/>
          </w:rPr>
        </w:r>
        <w:r>
          <w:rPr>
            <w:noProof/>
            <w:webHidden/>
          </w:rPr>
          <w:fldChar w:fldCharType="separate"/>
        </w:r>
        <w:r w:rsidR="00444AB2">
          <w:rPr>
            <w:noProof/>
            <w:webHidden/>
          </w:rPr>
          <w:t>8</w:t>
        </w:r>
        <w:r>
          <w:rPr>
            <w:noProof/>
            <w:webHidden/>
          </w:rPr>
          <w:fldChar w:fldCharType="end"/>
        </w:r>
      </w:hyperlink>
    </w:p>
    <w:p w14:paraId="500A343D" w14:textId="17C05DF6"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56" w:history="1">
        <w:r w:rsidRPr="00474E02">
          <w:rPr>
            <w:rStyle w:val="Hyperlink"/>
            <w:noProof/>
          </w:rPr>
          <w:t>5.4.</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Um resumo geral do desempenho clínico e segurança</w:t>
        </w:r>
        <w:r>
          <w:rPr>
            <w:noProof/>
            <w:webHidden/>
          </w:rPr>
          <w:tab/>
        </w:r>
        <w:r>
          <w:rPr>
            <w:noProof/>
            <w:webHidden/>
          </w:rPr>
          <w:fldChar w:fldCharType="begin"/>
        </w:r>
        <w:r>
          <w:rPr>
            <w:noProof/>
            <w:webHidden/>
          </w:rPr>
          <w:instrText xml:space="preserve"> PAGEREF _Toc222741656 \h </w:instrText>
        </w:r>
        <w:r>
          <w:rPr>
            <w:noProof/>
            <w:webHidden/>
          </w:rPr>
        </w:r>
        <w:r>
          <w:rPr>
            <w:noProof/>
            <w:webHidden/>
          </w:rPr>
          <w:fldChar w:fldCharType="separate"/>
        </w:r>
        <w:r w:rsidR="00444AB2">
          <w:rPr>
            <w:noProof/>
            <w:webHidden/>
          </w:rPr>
          <w:t>9</w:t>
        </w:r>
        <w:r>
          <w:rPr>
            <w:noProof/>
            <w:webHidden/>
          </w:rPr>
          <w:fldChar w:fldCharType="end"/>
        </w:r>
      </w:hyperlink>
    </w:p>
    <w:p w14:paraId="3282F362" w14:textId="66ECD1DE"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57" w:history="1">
        <w:r w:rsidRPr="00474E02">
          <w:rPr>
            <w:rStyle w:val="Hyperlink"/>
            <w:noProof/>
          </w:rPr>
          <w:t>5.5.</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Acompanhamento clínico pós-comercialização em curso ou planeado</w:t>
        </w:r>
        <w:r>
          <w:rPr>
            <w:noProof/>
            <w:webHidden/>
          </w:rPr>
          <w:tab/>
        </w:r>
        <w:r>
          <w:rPr>
            <w:noProof/>
            <w:webHidden/>
          </w:rPr>
          <w:fldChar w:fldCharType="begin"/>
        </w:r>
        <w:r>
          <w:rPr>
            <w:noProof/>
            <w:webHidden/>
          </w:rPr>
          <w:instrText xml:space="preserve"> PAGEREF _Toc222741657 \h </w:instrText>
        </w:r>
        <w:r>
          <w:rPr>
            <w:noProof/>
            <w:webHidden/>
          </w:rPr>
        </w:r>
        <w:r>
          <w:rPr>
            <w:noProof/>
            <w:webHidden/>
          </w:rPr>
          <w:fldChar w:fldCharType="separate"/>
        </w:r>
        <w:r w:rsidR="00444AB2">
          <w:rPr>
            <w:noProof/>
            <w:webHidden/>
          </w:rPr>
          <w:t>10</w:t>
        </w:r>
        <w:r>
          <w:rPr>
            <w:noProof/>
            <w:webHidden/>
          </w:rPr>
          <w:fldChar w:fldCharType="end"/>
        </w:r>
      </w:hyperlink>
    </w:p>
    <w:p w14:paraId="64BFCDAB" w14:textId="6E376B07"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58" w:history="1">
        <w:r w:rsidRPr="00474E02">
          <w:rPr>
            <w:rStyle w:val="Hyperlink"/>
            <w:noProof/>
          </w:rPr>
          <w:t>6.</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Possíveis alternativas diagnósticas ou terapêuticas</w:t>
        </w:r>
        <w:r>
          <w:rPr>
            <w:noProof/>
            <w:webHidden/>
          </w:rPr>
          <w:tab/>
        </w:r>
        <w:r>
          <w:rPr>
            <w:noProof/>
            <w:webHidden/>
          </w:rPr>
          <w:fldChar w:fldCharType="begin"/>
        </w:r>
        <w:r>
          <w:rPr>
            <w:noProof/>
            <w:webHidden/>
          </w:rPr>
          <w:instrText xml:space="preserve"> PAGEREF _Toc222741658 \h </w:instrText>
        </w:r>
        <w:r>
          <w:rPr>
            <w:noProof/>
            <w:webHidden/>
          </w:rPr>
        </w:r>
        <w:r>
          <w:rPr>
            <w:noProof/>
            <w:webHidden/>
          </w:rPr>
          <w:fldChar w:fldCharType="separate"/>
        </w:r>
        <w:r w:rsidR="00444AB2">
          <w:rPr>
            <w:noProof/>
            <w:webHidden/>
          </w:rPr>
          <w:t>11</w:t>
        </w:r>
        <w:r>
          <w:rPr>
            <w:noProof/>
            <w:webHidden/>
          </w:rPr>
          <w:fldChar w:fldCharType="end"/>
        </w:r>
      </w:hyperlink>
    </w:p>
    <w:p w14:paraId="2D41F582" w14:textId="4D4BB308"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59" w:history="1">
        <w:r w:rsidRPr="00474E02">
          <w:rPr>
            <w:rStyle w:val="Hyperlink"/>
            <w:noProof/>
          </w:rPr>
          <w:t>7.</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Perfil sugerido e formação para utilizadores</w:t>
        </w:r>
        <w:r>
          <w:rPr>
            <w:noProof/>
            <w:webHidden/>
          </w:rPr>
          <w:tab/>
        </w:r>
        <w:r>
          <w:rPr>
            <w:noProof/>
            <w:webHidden/>
          </w:rPr>
          <w:fldChar w:fldCharType="begin"/>
        </w:r>
        <w:r>
          <w:rPr>
            <w:noProof/>
            <w:webHidden/>
          </w:rPr>
          <w:instrText xml:space="preserve"> PAGEREF _Toc222741659 \h </w:instrText>
        </w:r>
        <w:r>
          <w:rPr>
            <w:noProof/>
            <w:webHidden/>
          </w:rPr>
        </w:r>
        <w:r>
          <w:rPr>
            <w:noProof/>
            <w:webHidden/>
          </w:rPr>
          <w:fldChar w:fldCharType="separate"/>
        </w:r>
        <w:r w:rsidR="00444AB2">
          <w:rPr>
            <w:noProof/>
            <w:webHidden/>
          </w:rPr>
          <w:t>12</w:t>
        </w:r>
        <w:r>
          <w:rPr>
            <w:noProof/>
            <w:webHidden/>
          </w:rPr>
          <w:fldChar w:fldCharType="end"/>
        </w:r>
      </w:hyperlink>
    </w:p>
    <w:p w14:paraId="567454A4" w14:textId="2845D9AB"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60" w:history="1">
        <w:r w:rsidRPr="00474E02">
          <w:rPr>
            <w:rStyle w:val="Hyperlink"/>
            <w:noProof/>
          </w:rPr>
          <w:t>8.</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Normas harmonizadas/Especificações comuns</w:t>
        </w:r>
        <w:r>
          <w:rPr>
            <w:noProof/>
            <w:webHidden/>
          </w:rPr>
          <w:tab/>
        </w:r>
        <w:r>
          <w:rPr>
            <w:noProof/>
            <w:webHidden/>
          </w:rPr>
          <w:fldChar w:fldCharType="begin"/>
        </w:r>
        <w:r>
          <w:rPr>
            <w:noProof/>
            <w:webHidden/>
          </w:rPr>
          <w:instrText xml:space="preserve"> PAGEREF _Toc222741660 \h </w:instrText>
        </w:r>
        <w:r>
          <w:rPr>
            <w:noProof/>
            <w:webHidden/>
          </w:rPr>
        </w:r>
        <w:r>
          <w:rPr>
            <w:noProof/>
            <w:webHidden/>
          </w:rPr>
          <w:fldChar w:fldCharType="separate"/>
        </w:r>
        <w:r w:rsidR="00444AB2">
          <w:rPr>
            <w:noProof/>
            <w:webHidden/>
          </w:rPr>
          <w:t>12</w:t>
        </w:r>
        <w:r>
          <w:rPr>
            <w:noProof/>
            <w:webHidden/>
          </w:rPr>
          <w:fldChar w:fldCharType="end"/>
        </w:r>
      </w:hyperlink>
    </w:p>
    <w:p w14:paraId="47DFFE4E" w14:textId="43B855DA" w:rsidR="00A43FDF" w:rsidRDefault="00A43FDF">
      <w:pPr>
        <w:pStyle w:val="TOC1"/>
        <w:rPr>
          <w:rFonts w:asciiTheme="minorHAnsi" w:eastAsiaTheme="minorEastAsia" w:hAnsiTheme="minorHAnsi" w:cstheme="minorBidi"/>
          <w:noProof/>
          <w:kern w:val="2"/>
          <w:lang w:val="en-RS" w:eastAsia="zh-CN"/>
          <w14:ligatures w14:val="standardContextual"/>
        </w:rPr>
      </w:pPr>
      <w:hyperlink w:anchor="_Toc222741661" w:history="1">
        <w:r w:rsidRPr="00474E02">
          <w:rPr>
            <w:rStyle w:val="Hyperlink"/>
            <w:noProof/>
          </w:rPr>
          <w:t>9.</w:t>
        </w:r>
        <w:r>
          <w:rPr>
            <w:rFonts w:asciiTheme="minorHAnsi" w:eastAsiaTheme="minorEastAsia" w:hAnsiTheme="minorHAnsi" w:cstheme="minorBidi"/>
            <w:noProof/>
            <w:kern w:val="2"/>
            <w:lang w:val="en-RS" w:eastAsia="zh-CN"/>
            <w14:ligatures w14:val="standardContextual"/>
          </w:rPr>
          <w:tab/>
        </w:r>
        <w:r w:rsidRPr="00474E02">
          <w:rPr>
            <w:rStyle w:val="Hyperlink"/>
            <w:bCs/>
            <w:noProof/>
            <w:lang w:val="pt-PT"/>
          </w:rPr>
          <w:t>Histórico de revisões</w:t>
        </w:r>
        <w:r>
          <w:rPr>
            <w:noProof/>
            <w:webHidden/>
          </w:rPr>
          <w:tab/>
        </w:r>
        <w:r>
          <w:rPr>
            <w:noProof/>
            <w:webHidden/>
          </w:rPr>
          <w:fldChar w:fldCharType="begin"/>
        </w:r>
        <w:r>
          <w:rPr>
            <w:noProof/>
            <w:webHidden/>
          </w:rPr>
          <w:instrText xml:space="preserve"> PAGEREF _Toc222741661 \h </w:instrText>
        </w:r>
        <w:r>
          <w:rPr>
            <w:noProof/>
            <w:webHidden/>
          </w:rPr>
        </w:r>
        <w:r>
          <w:rPr>
            <w:noProof/>
            <w:webHidden/>
          </w:rPr>
          <w:fldChar w:fldCharType="separate"/>
        </w:r>
        <w:r w:rsidR="00444AB2">
          <w:rPr>
            <w:noProof/>
            <w:webHidden/>
          </w:rPr>
          <w:t>14</w:t>
        </w:r>
        <w:r>
          <w:rPr>
            <w:noProof/>
            <w:webHidden/>
          </w:rPr>
          <w:fldChar w:fldCharType="end"/>
        </w:r>
      </w:hyperlink>
    </w:p>
    <w:p w14:paraId="29D6E5E3" w14:textId="772BD14C" w:rsidR="006F0810" w:rsidRPr="009461CC" w:rsidRDefault="006F0810" w:rsidP="00042B91">
      <w:pPr>
        <w:spacing w:after="0" w:afterAutospacing="0" w:line="240" w:lineRule="auto"/>
        <w:rPr>
          <w:rFonts w:cs="Times New Roman"/>
        </w:rPr>
      </w:pPr>
      <w:r>
        <w:rPr>
          <w:rFonts w:cs="Times New Roman"/>
        </w:rPr>
        <w:fldChar w:fldCharType="end"/>
      </w:r>
    </w:p>
    <w:p w14:paraId="343DF155" w14:textId="77777777" w:rsidR="006F0810" w:rsidRPr="009461CC" w:rsidRDefault="006F0810" w:rsidP="00042B91">
      <w:pPr>
        <w:spacing w:after="0" w:afterAutospacing="0" w:line="240" w:lineRule="auto"/>
        <w:rPr>
          <w:rFonts w:cs="Times New Roman"/>
        </w:rPr>
      </w:pPr>
      <w:r>
        <w:rPr>
          <w:rFonts w:cs="Times New Roman"/>
          <w:lang w:val="pt-PT"/>
        </w:rPr>
        <w:br w:type="page"/>
      </w:r>
    </w:p>
    <w:p w14:paraId="453DC774" w14:textId="77777777" w:rsidR="00221CEF" w:rsidRPr="00A43FDF" w:rsidRDefault="00221CEF" w:rsidP="00042B91">
      <w:pPr>
        <w:pStyle w:val="Heading7"/>
        <w:spacing w:after="0" w:afterAutospacing="0"/>
        <w:rPr>
          <w:lang w:val="it-IT"/>
        </w:rPr>
      </w:pPr>
      <w:r>
        <w:rPr>
          <w:bCs/>
          <w:lang w:val="pt-PT"/>
        </w:rPr>
        <w:lastRenderedPageBreak/>
        <w:t>Resumo de Segurança e Desempenho Clínico</w:t>
      </w:r>
    </w:p>
    <w:p w14:paraId="2D567C3A" w14:textId="4D6B7954" w:rsidR="00221CEF" w:rsidRPr="00444AB2" w:rsidRDefault="00221CEF" w:rsidP="00042B91">
      <w:pPr>
        <w:spacing w:after="0" w:afterAutospacing="0" w:line="240" w:lineRule="auto"/>
        <w:rPr>
          <w:rFonts w:cs="Times New Roman"/>
          <w:lang w:val="it-IT"/>
        </w:rPr>
      </w:pPr>
      <w:r>
        <w:rPr>
          <w:rFonts w:cs="Times New Roman"/>
          <w:lang w:val="pt-PT"/>
        </w:rPr>
        <w:t>Este resumo de segurança e desempenho clínico (SSCP) destina-se a fornecer acesso público a um resumo atualizado dos principais aspetos de segurança e desempenho clínico do dispositivo.</w:t>
      </w:r>
    </w:p>
    <w:p w14:paraId="549AF428" w14:textId="35F6904C" w:rsidR="00221CEF" w:rsidRPr="00444AB2" w:rsidRDefault="00221CEF" w:rsidP="00042B91">
      <w:pPr>
        <w:spacing w:after="0" w:afterAutospacing="0" w:line="240" w:lineRule="auto"/>
        <w:rPr>
          <w:rFonts w:cs="Times New Roman"/>
          <w:lang w:val="it-IT"/>
        </w:rPr>
      </w:pPr>
      <w:r>
        <w:rPr>
          <w:rFonts w:cs="Times New Roman"/>
          <w:lang w:val="pt-PT"/>
        </w:rPr>
        <w:t>O SSCP não se destina a substituir as Instruções de Utilização como o documento principal para garantir o uso seguro do dispositivo, nem se destina a fornecer sugestões diagnósticas ou terapêuticas aos utilizadores ou pacientes previstos.</w:t>
      </w:r>
    </w:p>
    <w:p w14:paraId="6E1D4297" w14:textId="77777777" w:rsidR="00042B91" w:rsidRPr="00444AB2" w:rsidRDefault="00042B91" w:rsidP="00042B91">
      <w:pPr>
        <w:spacing w:after="0" w:afterAutospacing="0" w:line="240" w:lineRule="auto"/>
        <w:rPr>
          <w:rFonts w:cs="Times New Roman"/>
          <w:lang w:val="it-IT"/>
        </w:rPr>
      </w:pPr>
    </w:p>
    <w:p w14:paraId="57958E5A" w14:textId="739089BF" w:rsidR="00221CEF" w:rsidRPr="009461CC" w:rsidRDefault="00221CEF" w:rsidP="00042B91">
      <w:pPr>
        <w:spacing w:after="0" w:afterAutospacing="0" w:line="240" w:lineRule="auto"/>
        <w:rPr>
          <w:rFonts w:cs="Times New Roman"/>
        </w:rPr>
      </w:pPr>
      <w:r>
        <w:rPr>
          <w:rFonts w:cs="Times New Roman"/>
          <w:lang w:val="pt-PT"/>
        </w:rPr>
        <w:t>As informações seguintes destinam-se a utilizadores/profissionais de saúde.</w:t>
      </w:r>
    </w:p>
    <w:p w14:paraId="18A77BED" w14:textId="77777777" w:rsidR="00042B91" w:rsidRPr="009461CC" w:rsidRDefault="00042B91" w:rsidP="00042B91">
      <w:pPr>
        <w:spacing w:after="0" w:afterAutospacing="0" w:line="240" w:lineRule="auto"/>
        <w:rPr>
          <w:rFonts w:cs="Times New Roman"/>
        </w:rPr>
      </w:pPr>
    </w:p>
    <w:p w14:paraId="6E5276B4" w14:textId="2AFD9220" w:rsidR="00042B91" w:rsidRPr="00444AB2" w:rsidRDefault="006F0810" w:rsidP="00F67A0E">
      <w:pPr>
        <w:pStyle w:val="Heading1"/>
        <w:numPr>
          <w:ilvl w:val="0"/>
          <w:numId w:val="2"/>
        </w:numPr>
        <w:rPr>
          <w:rFonts w:cs="Times New Roman"/>
          <w:lang w:val="it-IT"/>
        </w:rPr>
      </w:pPr>
      <w:bookmarkStart w:id="0" w:name="_Toc222741632"/>
      <w:r>
        <w:rPr>
          <w:rFonts w:cs="Times New Roman"/>
          <w:bCs/>
          <w:lang w:val="pt-PT"/>
        </w:rPr>
        <w:t>Âmbito deste Resumo de Segurança e Desempenho Clínico (SSCP):</w:t>
      </w:r>
      <w:bookmarkEnd w:id="0"/>
    </w:p>
    <w:p w14:paraId="5CDBAEA3" w14:textId="77777777" w:rsidR="00042B91" w:rsidRPr="00444AB2" w:rsidRDefault="00042B91" w:rsidP="00042B91">
      <w:pPr>
        <w:spacing w:after="0" w:afterAutospacing="0" w:line="240" w:lineRule="auto"/>
        <w:rPr>
          <w:rFonts w:cs="Times New Roman"/>
          <w:lang w:val="it-IT"/>
        </w:rPr>
      </w:pPr>
    </w:p>
    <w:p w14:paraId="45E5BCB2" w14:textId="6E901CD2" w:rsidR="00AA2E04" w:rsidRPr="009461CC" w:rsidRDefault="00221CEF" w:rsidP="00042B91">
      <w:pPr>
        <w:pStyle w:val="Heading1"/>
        <w:rPr>
          <w:rFonts w:cs="Times New Roman"/>
        </w:rPr>
      </w:pPr>
      <w:bookmarkStart w:id="1" w:name="_Toc222741633"/>
      <w:r>
        <w:rPr>
          <w:rFonts w:cs="Times New Roman"/>
          <w:bCs/>
          <w:lang w:val="pt-PT"/>
        </w:rPr>
        <w:t>Nome comercial do dispositivo:</w:t>
      </w:r>
      <w:bookmarkEnd w:id="1"/>
      <w:r>
        <w:rPr>
          <w:rFonts w:cs="Times New Roman"/>
          <w:bCs/>
          <w:lang w:val="pt-PT"/>
        </w:rPr>
        <w:t xml:space="preserve"> </w:t>
      </w:r>
    </w:p>
    <w:p w14:paraId="29AE9E59" w14:textId="5B8D3A96" w:rsidR="00042B91" w:rsidRPr="009461CC" w:rsidRDefault="00982459" w:rsidP="001E6921">
      <w:pPr>
        <w:spacing w:after="0" w:afterAutospacing="0" w:line="240" w:lineRule="auto"/>
        <w:ind w:left="792"/>
        <w:rPr>
          <w:rFonts w:cs="Times New Roman"/>
        </w:rPr>
      </w:pPr>
      <w:r>
        <w:rPr>
          <w:rFonts w:cs="Times New Roman"/>
          <w:lang w:val="pt-PT"/>
        </w:rPr>
        <w:t>Kit de Laço Vascular Atrieve</w:t>
      </w:r>
    </w:p>
    <w:p w14:paraId="6E4554A3" w14:textId="77777777" w:rsidR="00982459" w:rsidRPr="009461CC" w:rsidRDefault="00982459" w:rsidP="00042B91">
      <w:pPr>
        <w:spacing w:after="0" w:afterAutospacing="0" w:line="240" w:lineRule="auto"/>
        <w:rPr>
          <w:rFonts w:cs="Times New Roman"/>
        </w:rPr>
      </w:pPr>
    </w:p>
    <w:p w14:paraId="7E6E8DB0" w14:textId="23280863" w:rsidR="00221CEF" w:rsidRPr="00444AB2" w:rsidRDefault="00221CEF" w:rsidP="00042B91">
      <w:pPr>
        <w:pStyle w:val="Heading1"/>
        <w:rPr>
          <w:rFonts w:cs="Times New Roman"/>
          <w:lang w:val="it-IT"/>
        </w:rPr>
      </w:pPr>
      <w:bookmarkStart w:id="2" w:name="_Toc222741634"/>
      <w:r>
        <w:rPr>
          <w:rFonts w:cs="Times New Roman"/>
          <w:bCs/>
          <w:lang w:val="pt-PT"/>
        </w:rPr>
        <w:t>Descrição do dispositivo, UDI-DI básico e Classificação da UE:</w:t>
      </w:r>
      <w:bookmarkEnd w:id="2"/>
    </w:p>
    <w:tbl>
      <w:tblPr>
        <w:tblStyle w:val="TableGrid"/>
        <w:tblW w:w="0" w:type="auto"/>
        <w:tblLook w:val="04A0" w:firstRow="1" w:lastRow="0" w:firstColumn="1" w:lastColumn="0" w:noHBand="0" w:noVBand="1"/>
      </w:tblPr>
      <w:tblGrid>
        <w:gridCol w:w="3795"/>
        <w:gridCol w:w="1603"/>
        <w:gridCol w:w="1350"/>
        <w:gridCol w:w="1266"/>
        <w:gridCol w:w="2416"/>
      </w:tblGrid>
      <w:tr w:rsidR="006266F5" w:rsidRPr="009461CC" w14:paraId="77A15E5D" w14:textId="77777777" w:rsidTr="00536EDE">
        <w:tc>
          <w:tcPr>
            <w:tcW w:w="3795" w:type="dxa"/>
            <w:shd w:val="clear" w:color="auto" w:fill="E7E6E6" w:themeFill="background2"/>
          </w:tcPr>
          <w:p w14:paraId="6089AC65" w14:textId="5ACA6E64" w:rsidR="006266F5" w:rsidRPr="00444AB2" w:rsidRDefault="006266F5" w:rsidP="0015690A">
            <w:pPr>
              <w:jc w:val="center"/>
              <w:rPr>
                <w:rFonts w:cs="Times New Roman"/>
                <w:b/>
                <w:bCs/>
                <w:lang w:val="it-IT"/>
              </w:rPr>
            </w:pPr>
            <w:r>
              <w:rPr>
                <w:rFonts w:cs="Times New Roman"/>
                <w:b/>
                <w:bCs/>
                <w:lang w:val="pt-PT"/>
              </w:rPr>
              <w:t>Nome e descrição do dispositivo</w:t>
            </w:r>
          </w:p>
        </w:tc>
        <w:tc>
          <w:tcPr>
            <w:tcW w:w="1603" w:type="dxa"/>
            <w:shd w:val="clear" w:color="auto" w:fill="E7E6E6" w:themeFill="background2"/>
          </w:tcPr>
          <w:p w14:paraId="18959F52" w14:textId="108D25E1" w:rsidR="006266F5" w:rsidRPr="009461CC" w:rsidRDefault="006266F5" w:rsidP="0015690A">
            <w:pPr>
              <w:jc w:val="center"/>
              <w:rPr>
                <w:rFonts w:cs="Times New Roman"/>
                <w:b/>
                <w:bCs/>
              </w:rPr>
            </w:pPr>
            <w:r>
              <w:rPr>
                <w:rFonts w:cs="Times New Roman"/>
                <w:b/>
                <w:bCs/>
                <w:lang w:val="pt-PT"/>
              </w:rPr>
              <w:t>Classificação</w:t>
            </w:r>
          </w:p>
        </w:tc>
        <w:tc>
          <w:tcPr>
            <w:tcW w:w="1350" w:type="dxa"/>
            <w:shd w:val="clear" w:color="auto" w:fill="E7E6E6" w:themeFill="background2"/>
          </w:tcPr>
          <w:p w14:paraId="1CA77B88" w14:textId="5CBB4D69" w:rsidR="006266F5" w:rsidRPr="009461CC" w:rsidRDefault="006266F5" w:rsidP="0015690A">
            <w:pPr>
              <w:jc w:val="center"/>
              <w:rPr>
                <w:rFonts w:cs="Times New Roman"/>
                <w:b/>
                <w:bCs/>
              </w:rPr>
            </w:pPr>
            <w:r>
              <w:rPr>
                <w:rFonts w:cs="Times New Roman"/>
                <w:b/>
                <w:bCs/>
                <w:lang w:val="pt-PT"/>
              </w:rPr>
              <w:t>Código GMDN</w:t>
            </w:r>
          </w:p>
        </w:tc>
        <w:tc>
          <w:tcPr>
            <w:tcW w:w="1266" w:type="dxa"/>
            <w:shd w:val="clear" w:color="auto" w:fill="E7E6E6" w:themeFill="background2"/>
          </w:tcPr>
          <w:p w14:paraId="603AC5E7" w14:textId="64E6761C" w:rsidR="006266F5" w:rsidRPr="009461CC" w:rsidRDefault="006266F5" w:rsidP="0015690A">
            <w:pPr>
              <w:jc w:val="center"/>
              <w:rPr>
                <w:rFonts w:cs="Times New Roman"/>
                <w:b/>
                <w:bCs/>
              </w:rPr>
            </w:pPr>
            <w:r>
              <w:rPr>
                <w:rFonts w:cs="Times New Roman"/>
                <w:b/>
                <w:bCs/>
                <w:lang w:val="pt-PT"/>
              </w:rPr>
              <w:t>EMDN</w:t>
            </w:r>
          </w:p>
        </w:tc>
        <w:tc>
          <w:tcPr>
            <w:tcW w:w="2416" w:type="dxa"/>
            <w:shd w:val="clear" w:color="auto" w:fill="E7E6E6" w:themeFill="background2"/>
          </w:tcPr>
          <w:p w14:paraId="49C72348" w14:textId="0CB79C70" w:rsidR="006266F5" w:rsidRPr="009461CC" w:rsidRDefault="006266F5" w:rsidP="0015690A">
            <w:pPr>
              <w:jc w:val="center"/>
              <w:rPr>
                <w:rFonts w:cs="Times New Roman"/>
                <w:b/>
                <w:bCs/>
              </w:rPr>
            </w:pPr>
            <w:r>
              <w:rPr>
                <w:rFonts w:cs="Times New Roman"/>
                <w:b/>
                <w:bCs/>
                <w:lang w:val="pt-PT"/>
              </w:rPr>
              <w:t>UDI-DI básico</w:t>
            </w:r>
          </w:p>
        </w:tc>
      </w:tr>
      <w:tr w:rsidR="006266F5" w:rsidRPr="009461CC" w14:paraId="72288A12" w14:textId="77777777" w:rsidTr="006266F5">
        <w:tc>
          <w:tcPr>
            <w:tcW w:w="3795" w:type="dxa"/>
          </w:tcPr>
          <w:p w14:paraId="04AE147E" w14:textId="07005FC5" w:rsidR="006266F5" w:rsidRPr="00444AB2" w:rsidRDefault="006266F5" w:rsidP="005B3E76">
            <w:pPr>
              <w:rPr>
                <w:rFonts w:cs="Times New Roman"/>
                <w:lang w:val="it-IT"/>
              </w:rPr>
            </w:pPr>
            <w:r>
              <w:rPr>
                <w:rFonts w:cs="Times New Roman"/>
                <w:lang w:val="pt-PT"/>
              </w:rPr>
              <w:t>Kit de Laço Vascular Atrieve™, laço de 6-10 mm de diâmetro x 120 cm, cateter 6F x 100 cm</w:t>
            </w:r>
          </w:p>
        </w:tc>
        <w:tc>
          <w:tcPr>
            <w:tcW w:w="1603" w:type="dxa"/>
            <w:vMerge w:val="restart"/>
          </w:tcPr>
          <w:p w14:paraId="016CD4E1" w14:textId="205743A9" w:rsidR="006266F5" w:rsidRPr="009461CC" w:rsidRDefault="00BA7D3E" w:rsidP="00D24167">
            <w:pPr>
              <w:jc w:val="center"/>
              <w:rPr>
                <w:rFonts w:cs="Times New Roman"/>
              </w:rPr>
            </w:pPr>
            <w:r>
              <w:rPr>
                <w:rFonts w:cs="Times New Roman"/>
                <w:lang w:val="pt-PT"/>
              </w:rPr>
              <w:t>Classe III</w:t>
            </w:r>
          </w:p>
        </w:tc>
        <w:tc>
          <w:tcPr>
            <w:tcW w:w="1350" w:type="dxa"/>
            <w:vMerge w:val="restart"/>
          </w:tcPr>
          <w:p w14:paraId="2554DF3F" w14:textId="217E32BA" w:rsidR="006266F5" w:rsidRPr="009461CC" w:rsidRDefault="006266F5" w:rsidP="00D24167">
            <w:pPr>
              <w:jc w:val="center"/>
              <w:rPr>
                <w:rFonts w:cs="Times New Roman"/>
              </w:rPr>
            </w:pPr>
            <w:r>
              <w:rPr>
                <w:rFonts w:cs="Times New Roman"/>
                <w:lang w:val="pt-PT"/>
              </w:rPr>
              <w:t>17927</w:t>
            </w:r>
          </w:p>
        </w:tc>
        <w:tc>
          <w:tcPr>
            <w:tcW w:w="1266" w:type="dxa"/>
            <w:vMerge w:val="restart"/>
          </w:tcPr>
          <w:p w14:paraId="44053393" w14:textId="5F7E5816" w:rsidR="006266F5" w:rsidRPr="009461CC" w:rsidRDefault="006266F5" w:rsidP="00D24167">
            <w:pPr>
              <w:jc w:val="center"/>
              <w:rPr>
                <w:rFonts w:cs="Times New Roman"/>
              </w:rPr>
            </w:pPr>
            <w:r>
              <w:rPr>
                <w:rFonts w:cs="Times New Roman"/>
                <w:lang w:val="pt-PT"/>
              </w:rPr>
              <w:t>C019005</w:t>
            </w:r>
          </w:p>
        </w:tc>
        <w:tc>
          <w:tcPr>
            <w:tcW w:w="2416" w:type="dxa"/>
            <w:vMerge w:val="restart"/>
          </w:tcPr>
          <w:p w14:paraId="16987761" w14:textId="1464A232" w:rsidR="006266F5" w:rsidRPr="009461CC" w:rsidRDefault="006266F5" w:rsidP="00D24167">
            <w:pPr>
              <w:jc w:val="center"/>
              <w:rPr>
                <w:rFonts w:cs="Times New Roman"/>
              </w:rPr>
            </w:pPr>
            <w:r>
              <w:rPr>
                <w:rFonts w:cs="Times New Roman"/>
                <w:lang w:val="pt-PT"/>
              </w:rPr>
              <w:t>088633329000132</w:t>
            </w:r>
          </w:p>
        </w:tc>
      </w:tr>
      <w:tr w:rsidR="006266F5" w:rsidRPr="00444AB2" w14:paraId="674985B4" w14:textId="77777777" w:rsidTr="006266F5">
        <w:tc>
          <w:tcPr>
            <w:tcW w:w="3795" w:type="dxa"/>
          </w:tcPr>
          <w:p w14:paraId="1845B978" w14:textId="3466CA48" w:rsidR="006266F5" w:rsidRPr="00444AB2" w:rsidRDefault="006266F5" w:rsidP="005B3E76">
            <w:pPr>
              <w:rPr>
                <w:rFonts w:cs="Times New Roman"/>
                <w:lang w:val="it-IT"/>
              </w:rPr>
            </w:pPr>
            <w:r>
              <w:rPr>
                <w:rFonts w:cs="Times New Roman"/>
                <w:lang w:val="pt-PT"/>
              </w:rPr>
              <w:t xml:space="preserve">Kit de Laço Vascular Atrieve™, laço de 9-15 mm de diâmetro x 120 cm, cateter 6F x 100 cm </w:t>
            </w:r>
          </w:p>
        </w:tc>
        <w:tc>
          <w:tcPr>
            <w:tcW w:w="1603" w:type="dxa"/>
            <w:vMerge/>
          </w:tcPr>
          <w:p w14:paraId="0F2DCD20" w14:textId="77777777" w:rsidR="006266F5" w:rsidRPr="00444AB2" w:rsidRDefault="006266F5" w:rsidP="005B3E76">
            <w:pPr>
              <w:rPr>
                <w:rFonts w:cs="Times New Roman"/>
                <w:lang w:val="it-IT"/>
              </w:rPr>
            </w:pPr>
          </w:p>
        </w:tc>
        <w:tc>
          <w:tcPr>
            <w:tcW w:w="1350" w:type="dxa"/>
            <w:vMerge/>
          </w:tcPr>
          <w:p w14:paraId="45E8FDD8" w14:textId="4AADF8C7" w:rsidR="006266F5" w:rsidRPr="00444AB2" w:rsidRDefault="006266F5" w:rsidP="005B3E76">
            <w:pPr>
              <w:rPr>
                <w:rFonts w:cs="Times New Roman"/>
                <w:lang w:val="it-IT"/>
              </w:rPr>
            </w:pPr>
          </w:p>
        </w:tc>
        <w:tc>
          <w:tcPr>
            <w:tcW w:w="1266" w:type="dxa"/>
            <w:vMerge/>
          </w:tcPr>
          <w:p w14:paraId="165F2BBA" w14:textId="77777777" w:rsidR="006266F5" w:rsidRPr="00444AB2" w:rsidRDefault="006266F5" w:rsidP="005B3E76">
            <w:pPr>
              <w:rPr>
                <w:rFonts w:cs="Times New Roman"/>
                <w:lang w:val="it-IT"/>
              </w:rPr>
            </w:pPr>
          </w:p>
        </w:tc>
        <w:tc>
          <w:tcPr>
            <w:tcW w:w="2416" w:type="dxa"/>
            <w:vMerge/>
          </w:tcPr>
          <w:p w14:paraId="5C1D3365" w14:textId="77777777" w:rsidR="006266F5" w:rsidRPr="00444AB2" w:rsidRDefault="006266F5" w:rsidP="005B3E76">
            <w:pPr>
              <w:rPr>
                <w:rFonts w:cs="Times New Roman"/>
                <w:lang w:val="it-IT"/>
              </w:rPr>
            </w:pPr>
          </w:p>
        </w:tc>
      </w:tr>
      <w:tr w:rsidR="006266F5" w:rsidRPr="00444AB2" w14:paraId="1B0B0E25" w14:textId="77777777" w:rsidTr="006266F5">
        <w:tc>
          <w:tcPr>
            <w:tcW w:w="3795" w:type="dxa"/>
          </w:tcPr>
          <w:p w14:paraId="0A9B2655" w14:textId="666AEB18" w:rsidR="006266F5" w:rsidRPr="00444AB2" w:rsidRDefault="006266F5" w:rsidP="005B3E76">
            <w:pPr>
              <w:rPr>
                <w:rFonts w:cs="Times New Roman"/>
                <w:lang w:val="it-IT"/>
              </w:rPr>
            </w:pPr>
            <w:r>
              <w:rPr>
                <w:rFonts w:cs="Times New Roman"/>
                <w:lang w:val="pt-PT"/>
              </w:rPr>
              <w:t xml:space="preserve">Kit de Laço Vascular Atrieve™, laço de 12-20 mm de diâmetro x 120 cm, cateter 6F x 100 cm </w:t>
            </w:r>
          </w:p>
        </w:tc>
        <w:tc>
          <w:tcPr>
            <w:tcW w:w="1603" w:type="dxa"/>
            <w:vMerge/>
          </w:tcPr>
          <w:p w14:paraId="4F42F09B" w14:textId="77777777" w:rsidR="006266F5" w:rsidRPr="00444AB2" w:rsidRDefault="006266F5" w:rsidP="005B3E76">
            <w:pPr>
              <w:rPr>
                <w:rFonts w:cs="Times New Roman"/>
                <w:lang w:val="it-IT"/>
              </w:rPr>
            </w:pPr>
          </w:p>
        </w:tc>
        <w:tc>
          <w:tcPr>
            <w:tcW w:w="1350" w:type="dxa"/>
            <w:vMerge/>
          </w:tcPr>
          <w:p w14:paraId="7D1A397B" w14:textId="2F1838AC" w:rsidR="006266F5" w:rsidRPr="00444AB2" w:rsidRDefault="006266F5" w:rsidP="005B3E76">
            <w:pPr>
              <w:rPr>
                <w:rFonts w:cs="Times New Roman"/>
                <w:lang w:val="it-IT"/>
              </w:rPr>
            </w:pPr>
          </w:p>
        </w:tc>
        <w:tc>
          <w:tcPr>
            <w:tcW w:w="1266" w:type="dxa"/>
            <w:vMerge/>
          </w:tcPr>
          <w:p w14:paraId="721C2322" w14:textId="77777777" w:rsidR="006266F5" w:rsidRPr="00444AB2" w:rsidRDefault="006266F5" w:rsidP="005B3E76">
            <w:pPr>
              <w:rPr>
                <w:rFonts w:cs="Times New Roman"/>
                <w:lang w:val="it-IT"/>
              </w:rPr>
            </w:pPr>
          </w:p>
        </w:tc>
        <w:tc>
          <w:tcPr>
            <w:tcW w:w="2416" w:type="dxa"/>
            <w:vMerge/>
          </w:tcPr>
          <w:p w14:paraId="3C7CCE81" w14:textId="77777777" w:rsidR="006266F5" w:rsidRPr="00444AB2" w:rsidRDefault="006266F5" w:rsidP="005B3E76">
            <w:pPr>
              <w:rPr>
                <w:rFonts w:cs="Times New Roman"/>
                <w:lang w:val="it-IT"/>
              </w:rPr>
            </w:pPr>
          </w:p>
        </w:tc>
      </w:tr>
      <w:tr w:rsidR="006266F5" w:rsidRPr="00444AB2" w14:paraId="06B07953" w14:textId="77777777" w:rsidTr="006266F5">
        <w:tc>
          <w:tcPr>
            <w:tcW w:w="3795" w:type="dxa"/>
          </w:tcPr>
          <w:p w14:paraId="122A6EC5" w14:textId="2EC9E7BD" w:rsidR="006266F5" w:rsidRPr="00444AB2" w:rsidRDefault="006266F5" w:rsidP="005B3E76">
            <w:pPr>
              <w:rPr>
                <w:rFonts w:cs="Times New Roman"/>
                <w:lang w:val="it-IT"/>
              </w:rPr>
            </w:pPr>
            <w:r>
              <w:rPr>
                <w:rFonts w:cs="Times New Roman"/>
                <w:lang w:val="pt-PT"/>
              </w:rPr>
              <w:t xml:space="preserve">Kit de Laço Vascular Atrieve™, laço de 18-30 mm de diâmetro x 120 cm, cateter 7F x 100 cm </w:t>
            </w:r>
          </w:p>
        </w:tc>
        <w:tc>
          <w:tcPr>
            <w:tcW w:w="1603" w:type="dxa"/>
            <w:vMerge/>
          </w:tcPr>
          <w:p w14:paraId="1913C875" w14:textId="77777777" w:rsidR="006266F5" w:rsidRPr="00444AB2" w:rsidRDefault="006266F5" w:rsidP="005B3E76">
            <w:pPr>
              <w:rPr>
                <w:rFonts w:cs="Times New Roman"/>
                <w:lang w:val="it-IT"/>
              </w:rPr>
            </w:pPr>
          </w:p>
        </w:tc>
        <w:tc>
          <w:tcPr>
            <w:tcW w:w="1350" w:type="dxa"/>
            <w:vMerge/>
          </w:tcPr>
          <w:p w14:paraId="00E8406E" w14:textId="7131A855" w:rsidR="006266F5" w:rsidRPr="00444AB2" w:rsidRDefault="006266F5" w:rsidP="005B3E76">
            <w:pPr>
              <w:rPr>
                <w:rFonts w:cs="Times New Roman"/>
                <w:lang w:val="it-IT"/>
              </w:rPr>
            </w:pPr>
          </w:p>
        </w:tc>
        <w:tc>
          <w:tcPr>
            <w:tcW w:w="1266" w:type="dxa"/>
            <w:vMerge/>
          </w:tcPr>
          <w:p w14:paraId="68FC6CAA" w14:textId="77777777" w:rsidR="006266F5" w:rsidRPr="00444AB2" w:rsidRDefault="006266F5" w:rsidP="005B3E76">
            <w:pPr>
              <w:rPr>
                <w:rFonts w:cs="Times New Roman"/>
                <w:lang w:val="it-IT"/>
              </w:rPr>
            </w:pPr>
          </w:p>
        </w:tc>
        <w:tc>
          <w:tcPr>
            <w:tcW w:w="2416" w:type="dxa"/>
            <w:vMerge/>
          </w:tcPr>
          <w:p w14:paraId="36E19225" w14:textId="77777777" w:rsidR="006266F5" w:rsidRPr="00444AB2" w:rsidRDefault="006266F5" w:rsidP="005B3E76">
            <w:pPr>
              <w:rPr>
                <w:rFonts w:cs="Times New Roman"/>
                <w:lang w:val="it-IT"/>
              </w:rPr>
            </w:pPr>
          </w:p>
        </w:tc>
      </w:tr>
      <w:tr w:rsidR="006266F5" w:rsidRPr="00444AB2" w14:paraId="70E2EDC2" w14:textId="77777777" w:rsidTr="006266F5">
        <w:tc>
          <w:tcPr>
            <w:tcW w:w="3795" w:type="dxa"/>
          </w:tcPr>
          <w:p w14:paraId="3B2B1D80" w14:textId="12CC0658" w:rsidR="006266F5" w:rsidRPr="00444AB2" w:rsidRDefault="006266F5" w:rsidP="005B3E76">
            <w:pPr>
              <w:rPr>
                <w:rFonts w:cs="Times New Roman"/>
                <w:lang w:val="it-IT"/>
              </w:rPr>
            </w:pPr>
            <w:r>
              <w:rPr>
                <w:rFonts w:cs="Times New Roman"/>
                <w:lang w:val="pt-PT"/>
              </w:rPr>
              <w:t>Kit de Laço Vascular Atrieve™, laço de 27-45 mm de diâmetro x 120 cm, cateter 7F x 100 cm</w:t>
            </w:r>
          </w:p>
        </w:tc>
        <w:tc>
          <w:tcPr>
            <w:tcW w:w="1603" w:type="dxa"/>
            <w:vMerge/>
          </w:tcPr>
          <w:p w14:paraId="5D298385" w14:textId="77777777" w:rsidR="006266F5" w:rsidRPr="00444AB2" w:rsidRDefault="006266F5" w:rsidP="005B3E76">
            <w:pPr>
              <w:rPr>
                <w:rFonts w:cs="Times New Roman"/>
                <w:lang w:val="it-IT"/>
              </w:rPr>
            </w:pPr>
          </w:p>
        </w:tc>
        <w:tc>
          <w:tcPr>
            <w:tcW w:w="1350" w:type="dxa"/>
            <w:vMerge/>
          </w:tcPr>
          <w:p w14:paraId="001781C2" w14:textId="46419622" w:rsidR="006266F5" w:rsidRPr="00444AB2" w:rsidRDefault="006266F5" w:rsidP="005B3E76">
            <w:pPr>
              <w:rPr>
                <w:rFonts w:cs="Times New Roman"/>
                <w:lang w:val="it-IT"/>
              </w:rPr>
            </w:pPr>
          </w:p>
        </w:tc>
        <w:tc>
          <w:tcPr>
            <w:tcW w:w="1266" w:type="dxa"/>
            <w:vMerge/>
          </w:tcPr>
          <w:p w14:paraId="20D9A32E" w14:textId="77777777" w:rsidR="006266F5" w:rsidRPr="00444AB2" w:rsidRDefault="006266F5" w:rsidP="005B3E76">
            <w:pPr>
              <w:rPr>
                <w:rFonts w:cs="Times New Roman"/>
                <w:lang w:val="it-IT"/>
              </w:rPr>
            </w:pPr>
          </w:p>
        </w:tc>
        <w:tc>
          <w:tcPr>
            <w:tcW w:w="2416" w:type="dxa"/>
            <w:vMerge/>
          </w:tcPr>
          <w:p w14:paraId="5855DBED" w14:textId="77777777" w:rsidR="006266F5" w:rsidRPr="00444AB2" w:rsidRDefault="006266F5" w:rsidP="005B3E76">
            <w:pPr>
              <w:rPr>
                <w:rFonts w:cs="Times New Roman"/>
                <w:lang w:val="it-IT"/>
              </w:rPr>
            </w:pPr>
          </w:p>
        </w:tc>
      </w:tr>
      <w:tr w:rsidR="006266F5" w:rsidRPr="00444AB2" w14:paraId="7E3403A6" w14:textId="77777777" w:rsidTr="006266F5">
        <w:tc>
          <w:tcPr>
            <w:tcW w:w="3795" w:type="dxa"/>
          </w:tcPr>
          <w:p w14:paraId="675708BF" w14:textId="381C18CA" w:rsidR="006266F5" w:rsidRPr="00444AB2" w:rsidRDefault="006266F5" w:rsidP="005B3E76">
            <w:pPr>
              <w:rPr>
                <w:rFonts w:cs="Times New Roman"/>
                <w:lang w:val="it-IT"/>
              </w:rPr>
            </w:pPr>
            <w:r>
              <w:rPr>
                <w:rFonts w:cs="Times New Roman"/>
                <w:lang w:val="pt-PT"/>
              </w:rPr>
              <w:t xml:space="preserve">Kit de Laço Vascular Atrieve™, laço de 2-4 mm de diâmetro x 175 cm, cateter 3,2F x 150 cm </w:t>
            </w:r>
          </w:p>
        </w:tc>
        <w:tc>
          <w:tcPr>
            <w:tcW w:w="1603" w:type="dxa"/>
            <w:vMerge/>
          </w:tcPr>
          <w:p w14:paraId="4005AAE7" w14:textId="77777777" w:rsidR="006266F5" w:rsidRPr="00444AB2" w:rsidRDefault="006266F5" w:rsidP="005B3E76">
            <w:pPr>
              <w:rPr>
                <w:rFonts w:cs="Times New Roman"/>
                <w:lang w:val="it-IT"/>
              </w:rPr>
            </w:pPr>
          </w:p>
        </w:tc>
        <w:tc>
          <w:tcPr>
            <w:tcW w:w="1350" w:type="dxa"/>
            <w:vMerge/>
          </w:tcPr>
          <w:p w14:paraId="10F77F80" w14:textId="1EEE88E0" w:rsidR="006266F5" w:rsidRPr="00444AB2" w:rsidRDefault="006266F5" w:rsidP="005B3E76">
            <w:pPr>
              <w:rPr>
                <w:rFonts w:cs="Times New Roman"/>
                <w:lang w:val="it-IT"/>
              </w:rPr>
            </w:pPr>
          </w:p>
        </w:tc>
        <w:tc>
          <w:tcPr>
            <w:tcW w:w="1266" w:type="dxa"/>
            <w:vMerge/>
          </w:tcPr>
          <w:p w14:paraId="01E30B80" w14:textId="77777777" w:rsidR="006266F5" w:rsidRPr="00444AB2" w:rsidRDefault="006266F5" w:rsidP="005B3E76">
            <w:pPr>
              <w:rPr>
                <w:rFonts w:cs="Times New Roman"/>
                <w:lang w:val="it-IT"/>
              </w:rPr>
            </w:pPr>
          </w:p>
        </w:tc>
        <w:tc>
          <w:tcPr>
            <w:tcW w:w="2416" w:type="dxa"/>
            <w:vMerge/>
          </w:tcPr>
          <w:p w14:paraId="7E3CD13D" w14:textId="77777777" w:rsidR="006266F5" w:rsidRPr="00444AB2" w:rsidRDefault="006266F5" w:rsidP="005B3E76">
            <w:pPr>
              <w:rPr>
                <w:rFonts w:cs="Times New Roman"/>
                <w:lang w:val="it-IT"/>
              </w:rPr>
            </w:pPr>
          </w:p>
        </w:tc>
      </w:tr>
      <w:tr w:rsidR="006266F5" w:rsidRPr="00444AB2" w14:paraId="163BEE28" w14:textId="77777777" w:rsidTr="006266F5">
        <w:tc>
          <w:tcPr>
            <w:tcW w:w="3795" w:type="dxa"/>
          </w:tcPr>
          <w:p w14:paraId="2C7CFD34" w14:textId="28EFC76A" w:rsidR="006266F5" w:rsidRPr="00444AB2" w:rsidRDefault="006266F5" w:rsidP="005B3E76">
            <w:pPr>
              <w:rPr>
                <w:rFonts w:cs="Times New Roman"/>
                <w:lang w:val="it-IT"/>
              </w:rPr>
            </w:pPr>
            <w:r>
              <w:rPr>
                <w:rFonts w:cs="Times New Roman"/>
                <w:lang w:val="pt-PT"/>
              </w:rPr>
              <w:t>Kit de Laço Vascular Atrieve™, laço de 4-8 mm de diâmetro x 175 cm, cateter 3,2F x 150 cm</w:t>
            </w:r>
          </w:p>
        </w:tc>
        <w:tc>
          <w:tcPr>
            <w:tcW w:w="1603" w:type="dxa"/>
            <w:vMerge/>
          </w:tcPr>
          <w:p w14:paraId="796C4314" w14:textId="77777777" w:rsidR="006266F5" w:rsidRPr="00444AB2" w:rsidRDefault="006266F5" w:rsidP="005B3E76">
            <w:pPr>
              <w:rPr>
                <w:rFonts w:cs="Times New Roman"/>
                <w:lang w:val="it-IT"/>
              </w:rPr>
            </w:pPr>
          </w:p>
        </w:tc>
        <w:tc>
          <w:tcPr>
            <w:tcW w:w="1350" w:type="dxa"/>
            <w:vMerge/>
          </w:tcPr>
          <w:p w14:paraId="520A7E25" w14:textId="5F41C696" w:rsidR="006266F5" w:rsidRPr="00444AB2" w:rsidRDefault="006266F5" w:rsidP="005B3E76">
            <w:pPr>
              <w:rPr>
                <w:rFonts w:cs="Times New Roman"/>
                <w:lang w:val="it-IT"/>
              </w:rPr>
            </w:pPr>
          </w:p>
        </w:tc>
        <w:tc>
          <w:tcPr>
            <w:tcW w:w="1266" w:type="dxa"/>
            <w:vMerge/>
          </w:tcPr>
          <w:p w14:paraId="77962B81" w14:textId="77777777" w:rsidR="006266F5" w:rsidRPr="00444AB2" w:rsidRDefault="006266F5" w:rsidP="005B3E76">
            <w:pPr>
              <w:rPr>
                <w:rFonts w:cs="Times New Roman"/>
                <w:lang w:val="it-IT"/>
              </w:rPr>
            </w:pPr>
          </w:p>
        </w:tc>
        <w:tc>
          <w:tcPr>
            <w:tcW w:w="2416" w:type="dxa"/>
            <w:vMerge/>
          </w:tcPr>
          <w:p w14:paraId="570FDA70" w14:textId="77777777" w:rsidR="006266F5" w:rsidRPr="00444AB2" w:rsidRDefault="006266F5" w:rsidP="005B3E76">
            <w:pPr>
              <w:rPr>
                <w:rFonts w:cs="Times New Roman"/>
                <w:lang w:val="it-IT"/>
              </w:rPr>
            </w:pPr>
          </w:p>
        </w:tc>
      </w:tr>
    </w:tbl>
    <w:p w14:paraId="2DAE4D4B" w14:textId="77777777" w:rsidR="00AA2E04" w:rsidRPr="00444AB2" w:rsidRDefault="00AA2E04" w:rsidP="00AA3694">
      <w:pPr>
        <w:pStyle w:val="Heading1"/>
        <w:numPr>
          <w:ilvl w:val="0"/>
          <w:numId w:val="0"/>
        </w:numPr>
        <w:rPr>
          <w:rFonts w:cs="Times New Roman"/>
          <w:lang w:val="it-IT"/>
        </w:rPr>
      </w:pPr>
    </w:p>
    <w:p w14:paraId="4B18C73D" w14:textId="72C79B52" w:rsidR="009855C3" w:rsidRPr="00444AB2" w:rsidRDefault="009855C3" w:rsidP="00042B91">
      <w:pPr>
        <w:pStyle w:val="Heading1"/>
        <w:rPr>
          <w:rFonts w:cs="Times New Roman"/>
          <w:lang w:val="it-IT"/>
        </w:rPr>
      </w:pPr>
      <w:bookmarkStart w:id="3" w:name="_Toc222741635"/>
      <w:r>
        <w:rPr>
          <w:rFonts w:cs="Times New Roman"/>
          <w:bCs/>
          <w:lang w:val="pt-PT"/>
        </w:rPr>
        <w:t>Ano em que foi emitido o primeiro certificado (CE) que abrange o dispositivo:</w:t>
      </w:r>
      <w:bookmarkEnd w:id="3"/>
      <w:r>
        <w:rPr>
          <w:rFonts w:cs="Times New Roman"/>
          <w:bCs/>
          <w:lang w:val="pt-PT"/>
        </w:rPr>
        <w:t xml:space="preserve"> </w:t>
      </w:r>
    </w:p>
    <w:p w14:paraId="76BA3EF9" w14:textId="540D85A6" w:rsidR="00713233" w:rsidRPr="00444AB2" w:rsidRDefault="00780A59" w:rsidP="00E714ED">
      <w:pPr>
        <w:spacing w:after="0" w:afterAutospacing="0" w:line="240" w:lineRule="auto"/>
        <w:ind w:left="792"/>
        <w:rPr>
          <w:rFonts w:cs="Times New Roman"/>
          <w:lang w:val="it-IT"/>
        </w:rPr>
      </w:pPr>
      <w:r>
        <w:rPr>
          <w:rFonts w:cs="Times New Roman"/>
          <w:lang w:val="pt-PT"/>
        </w:rPr>
        <w:t xml:space="preserve">O Kit Atrieve Vascular Snare recebeu a marcação CE (CE 608298) em 2010, de acordo com a Diretiva de Dispositivos Médicos (MDD) </w:t>
      </w:r>
    </w:p>
    <w:p w14:paraId="6B157940" w14:textId="77777777" w:rsidR="00FE78AD" w:rsidRPr="00444AB2" w:rsidRDefault="00FE78AD" w:rsidP="00E714ED">
      <w:pPr>
        <w:spacing w:after="0" w:afterAutospacing="0" w:line="240" w:lineRule="auto"/>
        <w:ind w:left="792"/>
        <w:rPr>
          <w:rFonts w:cs="Times New Roman"/>
          <w:lang w:val="it-IT"/>
        </w:rPr>
      </w:pPr>
    </w:p>
    <w:p w14:paraId="7DB260B7" w14:textId="77777777" w:rsidR="00FE78AD" w:rsidRPr="00444AB2" w:rsidRDefault="00FE78AD" w:rsidP="00E714ED">
      <w:pPr>
        <w:spacing w:after="0" w:afterAutospacing="0" w:line="240" w:lineRule="auto"/>
        <w:ind w:left="792"/>
        <w:rPr>
          <w:rFonts w:cs="Times New Roman"/>
          <w:lang w:val="it-IT"/>
        </w:rPr>
      </w:pPr>
    </w:p>
    <w:p w14:paraId="79EE515A" w14:textId="77777777" w:rsidR="00FE78AD" w:rsidRPr="00444AB2" w:rsidRDefault="00FE78AD" w:rsidP="00E714ED">
      <w:pPr>
        <w:spacing w:after="0" w:afterAutospacing="0" w:line="240" w:lineRule="auto"/>
        <w:ind w:left="792"/>
        <w:rPr>
          <w:rFonts w:cs="Times New Roman"/>
          <w:lang w:val="it-IT"/>
        </w:rPr>
      </w:pPr>
    </w:p>
    <w:p w14:paraId="234B8791" w14:textId="77777777" w:rsidR="005C6A90" w:rsidRPr="00444AB2" w:rsidRDefault="005C6A90" w:rsidP="00E714ED">
      <w:pPr>
        <w:spacing w:after="0" w:afterAutospacing="0" w:line="240" w:lineRule="auto"/>
        <w:ind w:left="792"/>
        <w:rPr>
          <w:rFonts w:cs="Times New Roman"/>
          <w:lang w:val="it-IT"/>
        </w:rPr>
      </w:pPr>
    </w:p>
    <w:p w14:paraId="10A04209" w14:textId="75FC9DEC" w:rsidR="009855C3" w:rsidRPr="00444AB2" w:rsidRDefault="009855C3" w:rsidP="00042B91">
      <w:pPr>
        <w:pStyle w:val="Heading1"/>
        <w:rPr>
          <w:rFonts w:cs="Times New Roman"/>
          <w:lang w:val="it-IT"/>
        </w:rPr>
      </w:pPr>
      <w:r>
        <w:rPr>
          <w:rFonts w:cs="Times New Roman"/>
          <w:bCs/>
          <w:lang w:val="pt-PT"/>
        </w:rPr>
        <w:t xml:space="preserve"> </w:t>
      </w:r>
      <w:bookmarkStart w:id="4" w:name="_Toc222741636"/>
      <w:r>
        <w:rPr>
          <w:rFonts w:cs="Times New Roman"/>
          <w:bCs/>
          <w:lang w:val="pt-PT"/>
        </w:rPr>
        <w:t>Nome do fabricante, endereço e SRN:</w:t>
      </w:r>
      <w:bookmarkEnd w:id="4"/>
    </w:p>
    <w:tbl>
      <w:tblPr>
        <w:tblStyle w:val="TableGrid1"/>
        <w:tblW w:w="5000" w:type="pct"/>
        <w:tblLook w:val="04A0" w:firstRow="1" w:lastRow="0" w:firstColumn="1" w:lastColumn="0" w:noHBand="0" w:noVBand="1"/>
      </w:tblPr>
      <w:tblGrid>
        <w:gridCol w:w="4675"/>
        <w:gridCol w:w="5755"/>
      </w:tblGrid>
      <w:tr w:rsidR="00493B5B" w:rsidRPr="009461CC" w14:paraId="49C995E4" w14:textId="77777777" w:rsidTr="00272DEA">
        <w:tc>
          <w:tcPr>
            <w:tcW w:w="5000" w:type="pct"/>
            <w:gridSpan w:val="2"/>
            <w:shd w:val="clear" w:color="auto" w:fill="D9D9D9" w:themeFill="background1" w:themeFillShade="D9"/>
          </w:tcPr>
          <w:p w14:paraId="6DB8134E" w14:textId="77777777" w:rsidR="00493B5B" w:rsidRPr="009461CC" w:rsidRDefault="00493B5B" w:rsidP="00AA3694">
            <w:pPr>
              <w:spacing w:after="0" w:afterAutospacing="0"/>
              <w:jc w:val="center"/>
              <w:rPr>
                <w:b/>
                <w:bCs/>
                <w:szCs w:val="24"/>
              </w:rPr>
            </w:pPr>
            <w:r>
              <w:rPr>
                <w:b/>
                <w:bCs/>
                <w:szCs w:val="24"/>
                <w:lang w:val="pt-PT"/>
              </w:rPr>
              <w:t>Informações do fabricante</w:t>
            </w:r>
          </w:p>
        </w:tc>
      </w:tr>
      <w:tr w:rsidR="00493B5B" w:rsidRPr="009461CC" w14:paraId="49F686BA" w14:textId="77777777" w:rsidTr="00272DEA">
        <w:trPr>
          <w:trHeight w:val="489"/>
        </w:trPr>
        <w:tc>
          <w:tcPr>
            <w:tcW w:w="2241" w:type="pct"/>
          </w:tcPr>
          <w:p w14:paraId="55881DB9" w14:textId="77777777" w:rsidR="00493B5B" w:rsidRPr="009461CC" w:rsidRDefault="00493B5B" w:rsidP="00AA3694">
            <w:pPr>
              <w:spacing w:after="0" w:afterAutospacing="0"/>
              <w:jc w:val="both"/>
              <w:rPr>
                <w:spacing w:val="-5"/>
                <w:szCs w:val="24"/>
              </w:rPr>
            </w:pPr>
            <w:r>
              <w:rPr>
                <w:szCs w:val="24"/>
                <w:lang w:val="pt-PT"/>
              </w:rPr>
              <w:t>Fabricante SRN: US-MF-000002324</w:t>
            </w:r>
          </w:p>
        </w:tc>
        <w:tc>
          <w:tcPr>
            <w:tcW w:w="2759" w:type="pct"/>
          </w:tcPr>
          <w:p w14:paraId="61E93080" w14:textId="77777777" w:rsidR="00493B5B" w:rsidRPr="009461CC" w:rsidRDefault="00493B5B" w:rsidP="00AA3694">
            <w:pPr>
              <w:spacing w:after="0" w:afterAutospacing="0"/>
              <w:rPr>
                <w:szCs w:val="24"/>
              </w:rPr>
            </w:pPr>
            <w:r>
              <w:rPr>
                <w:szCs w:val="24"/>
                <w:lang w:val="pt-PT"/>
              </w:rPr>
              <w:t>Nome do fabricante: Argon Medical Devices, Inc.</w:t>
            </w:r>
          </w:p>
        </w:tc>
      </w:tr>
      <w:tr w:rsidR="00493B5B" w:rsidRPr="009461CC" w14:paraId="03F91594" w14:textId="77777777" w:rsidTr="00272DEA">
        <w:trPr>
          <w:trHeight w:val="525"/>
        </w:trPr>
        <w:tc>
          <w:tcPr>
            <w:tcW w:w="2241" w:type="pct"/>
          </w:tcPr>
          <w:p w14:paraId="119B5A73" w14:textId="77777777" w:rsidR="00493B5B" w:rsidRPr="00444AB2" w:rsidRDefault="00493B5B" w:rsidP="00AA3694">
            <w:pPr>
              <w:spacing w:after="0" w:afterAutospacing="0"/>
              <w:jc w:val="both"/>
              <w:rPr>
                <w:spacing w:val="-2"/>
                <w:szCs w:val="24"/>
                <w:lang w:val="it-IT"/>
              </w:rPr>
            </w:pPr>
            <w:r>
              <w:rPr>
                <w:szCs w:val="24"/>
                <w:lang w:val="pt-PT"/>
              </w:rPr>
              <w:t>Nome e apelido do contacto: Scott Bishop</w:t>
            </w:r>
          </w:p>
        </w:tc>
        <w:tc>
          <w:tcPr>
            <w:tcW w:w="2759" w:type="pct"/>
          </w:tcPr>
          <w:p w14:paraId="0FE9AF31" w14:textId="77777777" w:rsidR="00493B5B" w:rsidRPr="009461CC" w:rsidRDefault="00493B5B" w:rsidP="00AA3694">
            <w:pPr>
              <w:widowControl w:val="0"/>
              <w:autoSpaceDE w:val="0"/>
              <w:autoSpaceDN w:val="0"/>
              <w:spacing w:before="42" w:after="0" w:afterAutospacing="0"/>
              <w:rPr>
                <w:spacing w:val="-2"/>
                <w:szCs w:val="24"/>
              </w:rPr>
            </w:pPr>
            <w:r>
              <w:rPr>
                <w:szCs w:val="24"/>
                <w:lang w:val="pt-PT"/>
              </w:rPr>
              <w:t>E-mail:</w:t>
            </w:r>
            <w:r>
              <w:rPr>
                <w:sz w:val="22"/>
                <w:lang w:val="pt-PT"/>
              </w:rPr>
              <w:t xml:space="preserve"> </w:t>
            </w:r>
            <w:hyperlink r:id="rId11" w:history="1">
              <w:r>
                <w:rPr>
                  <w:color w:val="0563C1"/>
                  <w:szCs w:val="24"/>
                  <w:u w:val="single"/>
                  <w:lang w:val="pt-PT"/>
                </w:rPr>
                <w:t>RegCompliance@argonmedical.com</w:t>
              </w:r>
            </w:hyperlink>
          </w:p>
          <w:p w14:paraId="12F2B43C" w14:textId="77777777" w:rsidR="00493B5B" w:rsidRPr="009461CC" w:rsidRDefault="00493B5B" w:rsidP="00AA3694">
            <w:pPr>
              <w:spacing w:after="0" w:afterAutospacing="0"/>
              <w:rPr>
                <w:szCs w:val="24"/>
              </w:rPr>
            </w:pPr>
          </w:p>
        </w:tc>
      </w:tr>
      <w:tr w:rsidR="00493B5B" w:rsidRPr="009461CC" w14:paraId="075079C3" w14:textId="77777777" w:rsidTr="00272DEA">
        <w:trPr>
          <w:trHeight w:val="525"/>
        </w:trPr>
        <w:tc>
          <w:tcPr>
            <w:tcW w:w="2241" w:type="pct"/>
          </w:tcPr>
          <w:p w14:paraId="05BD6F97" w14:textId="77777777" w:rsidR="00493B5B" w:rsidRPr="009461CC" w:rsidRDefault="00493B5B" w:rsidP="00AA3694">
            <w:pPr>
              <w:widowControl w:val="0"/>
              <w:autoSpaceDE w:val="0"/>
              <w:autoSpaceDN w:val="0"/>
              <w:spacing w:before="42" w:after="0" w:afterAutospacing="0"/>
              <w:rPr>
                <w:spacing w:val="-2"/>
                <w:szCs w:val="24"/>
              </w:rPr>
            </w:pPr>
            <w:r>
              <w:rPr>
                <w:szCs w:val="24"/>
                <w:lang w:val="pt-PT"/>
              </w:rPr>
              <w:t>Número de telefone: 903.675.9321</w:t>
            </w:r>
          </w:p>
        </w:tc>
        <w:tc>
          <w:tcPr>
            <w:tcW w:w="2759" w:type="pct"/>
          </w:tcPr>
          <w:p w14:paraId="260E0D3D" w14:textId="77777777" w:rsidR="001533A4" w:rsidRPr="009461CC" w:rsidRDefault="001533A4" w:rsidP="009709B4">
            <w:pPr>
              <w:widowControl w:val="0"/>
              <w:autoSpaceDE w:val="0"/>
              <w:autoSpaceDN w:val="0"/>
              <w:spacing w:after="0" w:afterAutospacing="0"/>
              <w:rPr>
                <w:spacing w:val="-2"/>
                <w:szCs w:val="24"/>
              </w:rPr>
            </w:pPr>
            <w:r>
              <w:rPr>
                <w:szCs w:val="24"/>
                <w:lang w:val="pt-PT"/>
              </w:rPr>
              <w:t>Endereço:</w:t>
            </w:r>
          </w:p>
          <w:p w14:paraId="041EA64B" w14:textId="77777777" w:rsidR="001533A4" w:rsidRPr="009461CC" w:rsidRDefault="001533A4" w:rsidP="009709B4">
            <w:pPr>
              <w:widowControl w:val="0"/>
              <w:autoSpaceDE w:val="0"/>
              <w:autoSpaceDN w:val="0"/>
              <w:spacing w:after="0" w:afterAutospacing="0"/>
              <w:rPr>
                <w:spacing w:val="-2"/>
                <w:szCs w:val="24"/>
              </w:rPr>
            </w:pPr>
            <w:r>
              <w:rPr>
                <w:szCs w:val="24"/>
                <w:lang w:val="pt-PT"/>
              </w:rPr>
              <w:t>1445 Flat Creek Rd.</w:t>
            </w:r>
          </w:p>
          <w:p w14:paraId="26DE4983" w14:textId="77777777" w:rsidR="001533A4" w:rsidRPr="009461CC" w:rsidRDefault="001533A4" w:rsidP="009709B4">
            <w:pPr>
              <w:widowControl w:val="0"/>
              <w:autoSpaceDE w:val="0"/>
              <w:autoSpaceDN w:val="0"/>
              <w:spacing w:after="0" w:afterAutospacing="0"/>
              <w:rPr>
                <w:spacing w:val="-2"/>
                <w:szCs w:val="24"/>
              </w:rPr>
            </w:pPr>
            <w:r>
              <w:rPr>
                <w:szCs w:val="24"/>
                <w:lang w:val="pt-PT"/>
              </w:rPr>
              <w:t>Athens, Texas 75751</w:t>
            </w:r>
          </w:p>
          <w:p w14:paraId="586DCCA3" w14:textId="38B6FE42" w:rsidR="00493B5B" w:rsidRPr="009461CC" w:rsidRDefault="001533A4" w:rsidP="009709B4">
            <w:pPr>
              <w:widowControl w:val="0"/>
              <w:autoSpaceDE w:val="0"/>
              <w:autoSpaceDN w:val="0"/>
              <w:spacing w:after="0" w:afterAutospacing="0"/>
              <w:rPr>
                <w:spacing w:val="-2"/>
                <w:szCs w:val="24"/>
              </w:rPr>
            </w:pPr>
            <w:r>
              <w:rPr>
                <w:szCs w:val="24"/>
                <w:lang w:val="pt-PT"/>
              </w:rPr>
              <w:t>EUA</w:t>
            </w:r>
          </w:p>
        </w:tc>
      </w:tr>
    </w:tbl>
    <w:p w14:paraId="2E5002E8" w14:textId="77777777" w:rsidR="00D20FA4" w:rsidRPr="009461CC" w:rsidRDefault="00D20FA4" w:rsidP="00042B91">
      <w:pPr>
        <w:spacing w:after="0" w:afterAutospacing="0" w:line="240" w:lineRule="auto"/>
        <w:ind w:left="1440"/>
        <w:rPr>
          <w:rFonts w:cs="Times New Roman"/>
        </w:rPr>
      </w:pPr>
    </w:p>
    <w:p w14:paraId="1CFB1B57" w14:textId="4BD4E170" w:rsidR="009855C3" w:rsidRPr="009461CC" w:rsidRDefault="00887E5D" w:rsidP="00AA3694">
      <w:pPr>
        <w:pStyle w:val="Heading1"/>
        <w:rPr>
          <w:rFonts w:cs="Times New Roman"/>
        </w:rPr>
      </w:pPr>
      <w:bookmarkStart w:id="5" w:name="_Toc222741637"/>
      <w:r>
        <w:rPr>
          <w:rFonts w:cs="Times New Roman"/>
          <w:bCs/>
          <w:lang w:val="pt-PT"/>
        </w:rPr>
        <w:t>Nome do representante autorizado e SRN:</w:t>
      </w:r>
      <w:bookmarkEnd w:id="5"/>
    </w:p>
    <w:tbl>
      <w:tblPr>
        <w:tblStyle w:val="TableGrid2"/>
        <w:tblW w:w="5000" w:type="pct"/>
        <w:tblLook w:val="04A0" w:firstRow="1" w:lastRow="0" w:firstColumn="1" w:lastColumn="0" w:noHBand="0" w:noVBand="1"/>
      </w:tblPr>
      <w:tblGrid>
        <w:gridCol w:w="4675"/>
        <w:gridCol w:w="5755"/>
      </w:tblGrid>
      <w:tr w:rsidR="008A210D" w:rsidRPr="009461CC" w14:paraId="5389928F" w14:textId="77777777" w:rsidTr="00272DEA">
        <w:tc>
          <w:tcPr>
            <w:tcW w:w="5000" w:type="pct"/>
            <w:gridSpan w:val="2"/>
            <w:shd w:val="clear" w:color="auto" w:fill="D9D9D9" w:themeFill="background1" w:themeFillShade="D9"/>
          </w:tcPr>
          <w:p w14:paraId="7FB4BB7C" w14:textId="77777777" w:rsidR="008A210D" w:rsidRPr="009461CC" w:rsidRDefault="008A210D" w:rsidP="008A210D">
            <w:pPr>
              <w:spacing w:after="0" w:afterAutospacing="0"/>
              <w:jc w:val="center"/>
              <w:rPr>
                <w:b/>
                <w:bCs/>
                <w:szCs w:val="24"/>
              </w:rPr>
            </w:pPr>
            <w:r>
              <w:rPr>
                <w:b/>
                <w:bCs/>
                <w:szCs w:val="24"/>
                <w:lang w:val="pt-PT"/>
              </w:rPr>
              <w:t>Informações do representante autorizado</w:t>
            </w:r>
          </w:p>
        </w:tc>
      </w:tr>
      <w:tr w:rsidR="008A210D" w:rsidRPr="009461CC" w14:paraId="486856D5" w14:textId="77777777" w:rsidTr="00272DEA">
        <w:trPr>
          <w:trHeight w:val="489"/>
        </w:trPr>
        <w:tc>
          <w:tcPr>
            <w:tcW w:w="2241" w:type="pct"/>
          </w:tcPr>
          <w:p w14:paraId="5FC8645E" w14:textId="77777777" w:rsidR="008A210D" w:rsidRPr="009461CC" w:rsidRDefault="008A210D" w:rsidP="008A210D">
            <w:pPr>
              <w:spacing w:after="0" w:afterAutospacing="0"/>
              <w:jc w:val="both"/>
              <w:rPr>
                <w:spacing w:val="-5"/>
                <w:szCs w:val="24"/>
              </w:rPr>
            </w:pPr>
            <w:r>
              <w:rPr>
                <w:szCs w:val="24"/>
                <w:lang w:val="pt-PT"/>
              </w:rPr>
              <w:t>SRN: NL-AR-000000116</w:t>
            </w:r>
          </w:p>
        </w:tc>
        <w:tc>
          <w:tcPr>
            <w:tcW w:w="2759" w:type="pct"/>
          </w:tcPr>
          <w:p w14:paraId="25BF63FC" w14:textId="77777777" w:rsidR="008A210D" w:rsidRPr="009461CC" w:rsidRDefault="008A210D" w:rsidP="008A210D">
            <w:pPr>
              <w:widowControl w:val="0"/>
              <w:autoSpaceDE w:val="0"/>
              <w:autoSpaceDN w:val="0"/>
              <w:spacing w:before="119" w:after="0" w:afterAutospacing="0"/>
              <w:rPr>
                <w:bCs/>
                <w:szCs w:val="24"/>
              </w:rPr>
            </w:pPr>
            <w:r>
              <w:rPr>
                <w:szCs w:val="24"/>
                <w:lang w:val="pt-PT"/>
              </w:rPr>
              <w:t>Nome da organização do representante autorizado:</w:t>
            </w:r>
          </w:p>
          <w:p w14:paraId="3A6B7B5C" w14:textId="77777777" w:rsidR="008A210D" w:rsidRPr="009461CC" w:rsidRDefault="008A210D" w:rsidP="008A210D">
            <w:pPr>
              <w:spacing w:after="0" w:afterAutospacing="0"/>
              <w:rPr>
                <w:szCs w:val="24"/>
              </w:rPr>
            </w:pPr>
            <w:r>
              <w:rPr>
                <w:szCs w:val="24"/>
                <w:lang w:val="pt-PT"/>
              </w:rPr>
              <w:t>Emergo Europe</w:t>
            </w:r>
          </w:p>
        </w:tc>
      </w:tr>
      <w:tr w:rsidR="008A210D" w:rsidRPr="009461CC" w14:paraId="7AE34B46" w14:textId="77777777" w:rsidTr="00272DEA">
        <w:trPr>
          <w:trHeight w:val="525"/>
        </w:trPr>
        <w:tc>
          <w:tcPr>
            <w:tcW w:w="2241" w:type="pct"/>
          </w:tcPr>
          <w:p w14:paraId="65D7FE1F" w14:textId="77777777" w:rsidR="008A210D" w:rsidRPr="009461CC" w:rsidRDefault="008A210D" w:rsidP="008A210D">
            <w:pPr>
              <w:spacing w:after="0" w:afterAutospacing="0"/>
              <w:jc w:val="both"/>
              <w:rPr>
                <w:spacing w:val="-2"/>
                <w:szCs w:val="24"/>
              </w:rPr>
            </w:pPr>
            <w:r>
              <w:rPr>
                <w:szCs w:val="24"/>
                <w:lang w:val="pt-PT"/>
              </w:rPr>
              <w:t>Informações de contacto: Equipa de Vigilância</w:t>
            </w:r>
          </w:p>
        </w:tc>
        <w:tc>
          <w:tcPr>
            <w:tcW w:w="2759" w:type="pct"/>
          </w:tcPr>
          <w:p w14:paraId="2A3CD5D0" w14:textId="77777777" w:rsidR="008A210D" w:rsidRPr="009461CC" w:rsidRDefault="008A210D" w:rsidP="008A210D">
            <w:pPr>
              <w:widowControl w:val="0"/>
              <w:autoSpaceDE w:val="0"/>
              <w:autoSpaceDN w:val="0"/>
              <w:spacing w:before="39" w:after="0" w:afterAutospacing="0"/>
              <w:rPr>
                <w:spacing w:val="-2"/>
                <w:szCs w:val="24"/>
              </w:rPr>
            </w:pPr>
            <w:r>
              <w:rPr>
                <w:szCs w:val="24"/>
                <w:lang w:val="pt-PT"/>
              </w:rPr>
              <w:t xml:space="preserve">E-mail: </w:t>
            </w:r>
            <w:hyperlink r:id="rId12" w:history="1">
              <w:r>
                <w:rPr>
                  <w:color w:val="0563C1"/>
                  <w:szCs w:val="24"/>
                  <w:u w:val="single"/>
                  <w:lang w:val="pt-PT"/>
                </w:rPr>
                <w:t>EmergoVigilância@ul.com</w:t>
              </w:r>
            </w:hyperlink>
          </w:p>
        </w:tc>
      </w:tr>
      <w:tr w:rsidR="008A210D" w:rsidRPr="009461CC" w14:paraId="0CB481FF" w14:textId="77777777" w:rsidTr="00272DEA">
        <w:trPr>
          <w:trHeight w:val="525"/>
        </w:trPr>
        <w:tc>
          <w:tcPr>
            <w:tcW w:w="2241" w:type="pct"/>
          </w:tcPr>
          <w:p w14:paraId="3652CFB2" w14:textId="77777777" w:rsidR="008A210D" w:rsidRPr="009461CC" w:rsidRDefault="008A210D" w:rsidP="008A210D">
            <w:pPr>
              <w:widowControl w:val="0"/>
              <w:autoSpaceDE w:val="0"/>
              <w:autoSpaceDN w:val="0"/>
              <w:spacing w:before="42" w:after="0" w:afterAutospacing="0"/>
              <w:rPr>
                <w:spacing w:val="-2"/>
                <w:szCs w:val="24"/>
              </w:rPr>
            </w:pPr>
            <w:r>
              <w:rPr>
                <w:szCs w:val="24"/>
                <w:lang w:val="pt-PT"/>
              </w:rPr>
              <w:t>Número de telefone: +31.70.345.8570</w:t>
            </w:r>
          </w:p>
          <w:p w14:paraId="7CCBBDE7" w14:textId="739E5D21" w:rsidR="00A603C9" w:rsidRPr="009461CC" w:rsidRDefault="00A603C9" w:rsidP="008A210D">
            <w:pPr>
              <w:widowControl w:val="0"/>
              <w:autoSpaceDE w:val="0"/>
              <w:autoSpaceDN w:val="0"/>
              <w:spacing w:before="42" w:after="0" w:afterAutospacing="0"/>
              <w:rPr>
                <w:spacing w:val="-2"/>
                <w:szCs w:val="24"/>
              </w:rPr>
            </w:pPr>
            <w:r>
              <w:rPr>
                <w:color w:val="000000"/>
                <w:szCs w:val="24"/>
                <w:lang w:val="pt-PT"/>
              </w:rPr>
              <w:t>Fax: +31 (0)70 346 7299</w:t>
            </w:r>
          </w:p>
        </w:tc>
        <w:tc>
          <w:tcPr>
            <w:tcW w:w="2759" w:type="pct"/>
          </w:tcPr>
          <w:p w14:paraId="2F414254" w14:textId="77777777" w:rsidR="008A210D" w:rsidRPr="009461CC" w:rsidRDefault="008A210D" w:rsidP="009709B4">
            <w:pPr>
              <w:widowControl w:val="0"/>
              <w:autoSpaceDE w:val="0"/>
              <w:autoSpaceDN w:val="0"/>
              <w:spacing w:after="0" w:afterAutospacing="0"/>
              <w:rPr>
                <w:spacing w:val="-2"/>
                <w:szCs w:val="24"/>
              </w:rPr>
            </w:pPr>
            <w:r>
              <w:rPr>
                <w:szCs w:val="24"/>
                <w:lang w:val="pt-PT"/>
              </w:rPr>
              <w:t>Endereço</w:t>
            </w:r>
          </w:p>
          <w:p w14:paraId="759A4A48" w14:textId="77777777" w:rsidR="008A210D" w:rsidRPr="009461CC" w:rsidRDefault="008A210D" w:rsidP="009709B4">
            <w:pPr>
              <w:widowControl w:val="0"/>
              <w:autoSpaceDE w:val="0"/>
              <w:autoSpaceDN w:val="0"/>
              <w:spacing w:after="0" w:afterAutospacing="0"/>
              <w:rPr>
                <w:spacing w:val="-2"/>
                <w:szCs w:val="24"/>
              </w:rPr>
            </w:pPr>
            <w:r>
              <w:rPr>
                <w:szCs w:val="24"/>
                <w:lang w:val="pt-PT"/>
              </w:rPr>
              <w:t>Número e nome da rua:</w:t>
            </w:r>
            <w:r>
              <w:rPr>
                <w:sz w:val="22"/>
                <w:lang w:val="pt-PT"/>
              </w:rPr>
              <w:t xml:space="preserve"> 60 </w:t>
            </w:r>
            <w:r>
              <w:rPr>
                <w:szCs w:val="24"/>
                <w:lang w:val="pt-PT"/>
              </w:rPr>
              <w:t>Westervoortsedijk</w:t>
            </w:r>
          </w:p>
          <w:p w14:paraId="3B20AE15" w14:textId="77777777" w:rsidR="008A210D" w:rsidRPr="009461CC" w:rsidRDefault="008A210D" w:rsidP="009709B4">
            <w:pPr>
              <w:widowControl w:val="0"/>
              <w:autoSpaceDE w:val="0"/>
              <w:autoSpaceDN w:val="0"/>
              <w:spacing w:after="0" w:afterAutospacing="0"/>
              <w:rPr>
                <w:spacing w:val="-2"/>
                <w:szCs w:val="24"/>
              </w:rPr>
            </w:pPr>
            <w:r>
              <w:rPr>
                <w:szCs w:val="24"/>
                <w:lang w:val="pt-PT"/>
              </w:rPr>
              <w:t>Cidade: Arnhem</w:t>
            </w:r>
          </w:p>
          <w:p w14:paraId="6FC33444" w14:textId="77777777" w:rsidR="008A210D" w:rsidRPr="009461CC" w:rsidRDefault="008A210D" w:rsidP="009709B4">
            <w:pPr>
              <w:widowControl w:val="0"/>
              <w:autoSpaceDE w:val="0"/>
              <w:autoSpaceDN w:val="0"/>
              <w:spacing w:after="0" w:afterAutospacing="0"/>
              <w:rPr>
                <w:spacing w:val="-2"/>
                <w:szCs w:val="24"/>
              </w:rPr>
            </w:pPr>
            <w:r>
              <w:rPr>
                <w:szCs w:val="24"/>
                <w:lang w:val="pt-PT"/>
              </w:rPr>
              <w:t>Código postal: 6827 AT</w:t>
            </w:r>
          </w:p>
          <w:p w14:paraId="2EB91056" w14:textId="77777777" w:rsidR="008A210D" w:rsidRPr="009461CC" w:rsidRDefault="008A210D" w:rsidP="009709B4">
            <w:pPr>
              <w:widowControl w:val="0"/>
              <w:autoSpaceDE w:val="0"/>
              <w:autoSpaceDN w:val="0"/>
              <w:spacing w:after="0" w:afterAutospacing="0"/>
              <w:rPr>
                <w:spacing w:val="-2"/>
                <w:szCs w:val="24"/>
              </w:rPr>
            </w:pPr>
            <w:r>
              <w:rPr>
                <w:szCs w:val="24"/>
                <w:lang w:val="pt-PT"/>
              </w:rPr>
              <w:t>País: Países Baixos</w:t>
            </w:r>
          </w:p>
        </w:tc>
      </w:tr>
    </w:tbl>
    <w:p w14:paraId="1624A296" w14:textId="77777777" w:rsidR="009855C3" w:rsidRPr="009461CC" w:rsidRDefault="009855C3" w:rsidP="00042B91">
      <w:pPr>
        <w:spacing w:after="0" w:afterAutospacing="0" w:line="240" w:lineRule="auto"/>
        <w:ind w:left="1440"/>
        <w:rPr>
          <w:rFonts w:cs="Times New Roman"/>
        </w:rPr>
      </w:pPr>
    </w:p>
    <w:p w14:paraId="6CE36BA3" w14:textId="292AEF0B" w:rsidR="006517A0" w:rsidRPr="009461CC" w:rsidRDefault="009855C3" w:rsidP="003074B3">
      <w:pPr>
        <w:pStyle w:val="Heading1"/>
        <w:rPr>
          <w:rFonts w:cs="Times New Roman"/>
        </w:rPr>
      </w:pPr>
      <w:bookmarkStart w:id="6" w:name="_Toc222741638"/>
      <w:r>
        <w:rPr>
          <w:rFonts w:cs="Times New Roman"/>
          <w:bCs/>
          <w:lang w:val="pt-PT"/>
        </w:rPr>
        <w:t>Nome do organismo notificado e número de identificação único:</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6613"/>
      </w:tblGrid>
      <w:tr w:rsidR="003074B3" w:rsidRPr="009461CC" w14:paraId="7E457138" w14:textId="77777777" w:rsidTr="00272DEA">
        <w:trPr>
          <w:trHeight w:val="260"/>
          <w:jc w:val="center"/>
        </w:trPr>
        <w:tc>
          <w:tcPr>
            <w:tcW w:w="5000" w:type="pct"/>
            <w:gridSpan w:val="2"/>
            <w:shd w:val="clear" w:color="auto" w:fill="D9D9D9" w:themeFill="background1" w:themeFillShade="D9"/>
          </w:tcPr>
          <w:p w14:paraId="59932D80" w14:textId="77777777" w:rsidR="003074B3" w:rsidRPr="009461CC" w:rsidRDefault="003074B3" w:rsidP="00B066F7">
            <w:pPr>
              <w:suppressAutoHyphens/>
              <w:spacing w:after="0" w:afterAutospacing="0" w:line="240" w:lineRule="exact"/>
              <w:jc w:val="center"/>
              <w:rPr>
                <w:rFonts w:cs="Times New Roman"/>
                <w:szCs w:val="24"/>
              </w:rPr>
            </w:pPr>
            <w:r>
              <w:rPr>
                <w:rFonts w:eastAsia="Times New Roman" w:cs="Times New Roman"/>
                <w:b/>
                <w:bCs/>
                <w:szCs w:val="24"/>
                <w:lang w:val="pt-PT"/>
              </w:rPr>
              <w:t>Organismo Notificado</w:t>
            </w:r>
          </w:p>
        </w:tc>
      </w:tr>
      <w:tr w:rsidR="00272DEA" w:rsidRPr="009461CC" w14:paraId="0B814508" w14:textId="77777777" w:rsidTr="00272DEA">
        <w:trPr>
          <w:trHeight w:val="350"/>
          <w:jc w:val="center"/>
        </w:trPr>
        <w:tc>
          <w:tcPr>
            <w:tcW w:w="1830" w:type="pct"/>
          </w:tcPr>
          <w:p w14:paraId="49157CDC"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pt-PT"/>
              </w:rPr>
              <w:t>Nome:</w:t>
            </w:r>
          </w:p>
        </w:tc>
        <w:tc>
          <w:tcPr>
            <w:tcW w:w="3170" w:type="pct"/>
          </w:tcPr>
          <w:p w14:paraId="5863E627" w14:textId="77777777" w:rsidR="003074B3" w:rsidRPr="009461CC" w:rsidRDefault="003074B3" w:rsidP="00B066F7">
            <w:pPr>
              <w:suppressAutoHyphens/>
              <w:spacing w:after="0" w:afterAutospacing="0" w:line="240" w:lineRule="exact"/>
              <w:rPr>
                <w:rFonts w:eastAsia="Times New Roman" w:cs="Times New Roman"/>
                <w:bCs/>
                <w:szCs w:val="24"/>
              </w:rPr>
            </w:pPr>
            <w:r>
              <w:rPr>
                <w:rFonts w:cs="Times New Roman"/>
                <w:szCs w:val="24"/>
                <w:lang w:val="pt-PT"/>
              </w:rPr>
              <w:t>The British Standards Institution (BSI) Group the Netherlands B.V.</w:t>
            </w:r>
          </w:p>
        </w:tc>
      </w:tr>
      <w:tr w:rsidR="003074B3" w:rsidRPr="009461CC" w14:paraId="65281175" w14:textId="77777777" w:rsidTr="009709B4">
        <w:trPr>
          <w:trHeight w:val="728"/>
          <w:jc w:val="center"/>
        </w:trPr>
        <w:tc>
          <w:tcPr>
            <w:tcW w:w="1830" w:type="pct"/>
          </w:tcPr>
          <w:p w14:paraId="7941F5BB"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pt-PT"/>
              </w:rPr>
              <w:t>Endereço:</w:t>
            </w:r>
          </w:p>
        </w:tc>
        <w:tc>
          <w:tcPr>
            <w:tcW w:w="3170" w:type="pct"/>
          </w:tcPr>
          <w:p w14:paraId="727CFF1E"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pt-PT"/>
              </w:rPr>
              <w:t>John M. Keynesplein 9</w:t>
            </w:r>
          </w:p>
          <w:p w14:paraId="4054093A"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pt-PT"/>
              </w:rPr>
              <w:t>1066 EP Amesterdão</w:t>
            </w:r>
          </w:p>
          <w:p w14:paraId="72F2BC20"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pt-PT"/>
              </w:rPr>
              <w:t xml:space="preserve"> Países Baixos</w:t>
            </w:r>
          </w:p>
        </w:tc>
      </w:tr>
      <w:tr w:rsidR="003074B3" w:rsidRPr="009461CC" w14:paraId="7A858549" w14:textId="77777777" w:rsidTr="00272DEA">
        <w:trPr>
          <w:trHeight w:val="351"/>
          <w:jc w:val="center"/>
        </w:trPr>
        <w:tc>
          <w:tcPr>
            <w:tcW w:w="1830" w:type="pct"/>
          </w:tcPr>
          <w:p w14:paraId="4D329CD4"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pt-PT"/>
              </w:rPr>
              <w:t>Website:</w:t>
            </w:r>
          </w:p>
        </w:tc>
        <w:tc>
          <w:tcPr>
            <w:tcW w:w="3170" w:type="pct"/>
          </w:tcPr>
          <w:p w14:paraId="29B75D5D" w14:textId="77777777" w:rsidR="003074B3" w:rsidRPr="009461CC" w:rsidRDefault="003074B3" w:rsidP="00B066F7">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color w:val="0000FF"/>
                  <w:szCs w:val="24"/>
                  <w:u w:val="single"/>
                  <w:lang w:val="pt-PT"/>
                </w:rPr>
                <w:t>www.bsigroup.com</w:t>
              </w:r>
            </w:hyperlink>
            <w:r>
              <w:rPr>
                <w:rFonts w:eastAsia="Times New Roman" w:cs="Times New Roman"/>
                <w:szCs w:val="24"/>
                <w:lang w:val="pt-PT"/>
              </w:rPr>
              <w:t xml:space="preserve"> </w:t>
            </w:r>
          </w:p>
        </w:tc>
      </w:tr>
      <w:tr w:rsidR="003074B3" w:rsidRPr="009461CC" w14:paraId="242654B6" w14:textId="77777777" w:rsidTr="00272DEA">
        <w:trPr>
          <w:trHeight w:val="355"/>
          <w:jc w:val="center"/>
        </w:trPr>
        <w:tc>
          <w:tcPr>
            <w:tcW w:w="1830" w:type="pct"/>
          </w:tcPr>
          <w:p w14:paraId="6F572CD0"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pt-PT"/>
              </w:rPr>
              <w:t>Telefone:</w:t>
            </w:r>
          </w:p>
        </w:tc>
        <w:tc>
          <w:tcPr>
            <w:tcW w:w="3170" w:type="pct"/>
          </w:tcPr>
          <w:p w14:paraId="7E5F2BF5"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pt-PT"/>
              </w:rPr>
              <w:t>+31 (0)20 346 07 80</w:t>
            </w:r>
          </w:p>
        </w:tc>
      </w:tr>
      <w:tr w:rsidR="003074B3" w:rsidRPr="009461CC" w14:paraId="3445789F" w14:textId="77777777" w:rsidTr="00272DEA">
        <w:trPr>
          <w:trHeight w:val="355"/>
          <w:jc w:val="center"/>
        </w:trPr>
        <w:tc>
          <w:tcPr>
            <w:tcW w:w="1830" w:type="pct"/>
          </w:tcPr>
          <w:p w14:paraId="6D8C8396"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pt-PT"/>
              </w:rPr>
              <w:t>Fax:</w:t>
            </w:r>
          </w:p>
        </w:tc>
        <w:tc>
          <w:tcPr>
            <w:tcW w:w="3170" w:type="pct"/>
          </w:tcPr>
          <w:p w14:paraId="42A0F78B"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pt-PT"/>
              </w:rPr>
              <w:t>+31 (0)20 346 07 81</w:t>
            </w:r>
          </w:p>
        </w:tc>
      </w:tr>
      <w:tr w:rsidR="003074B3" w:rsidRPr="009461CC" w14:paraId="108563A6" w14:textId="77777777" w:rsidTr="00272DEA">
        <w:trPr>
          <w:trHeight w:val="323"/>
          <w:jc w:val="center"/>
        </w:trPr>
        <w:tc>
          <w:tcPr>
            <w:tcW w:w="1830" w:type="pct"/>
          </w:tcPr>
          <w:p w14:paraId="68313F88" w14:textId="77777777" w:rsidR="003074B3" w:rsidRPr="009461CC" w:rsidRDefault="003074B3" w:rsidP="00B066F7">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pt-PT"/>
              </w:rPr>
              <w:t>Número do Organismo Notificado:</w:t>
            </w:r>
            <w:r>
              <w:rPr>
                <w:rFonts w:eastAsia="Times New Roman" w:cs="Times New Roman"/>
                <w:szCs w:val="24"/>
                <w:lang w:val="pt-PT"/>
              </w:rPr>
              <w:tab/>
            </w:r>
          </w:p>
        </w:tc>
        <w:tc>
          <w:tcPr>
            <w:tcW w:w="3170" w:type="pct"/>
          </w:tcPr>
          <w:p w14:paraId="445F2118" w14:textId="77777777" w:rsidR="003074B3" w:rsidRPr="009461CC" w:rsidRDefault="003074B3" w:rsidP="00B066F7">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pt-PT"/>
              </w:rPr>
              <w:t>2797</w:t>
            </w:r>
          </w:p>
        </w:tc>
      </w:tr>
    </w:tbl>
    <w:p w14:paraId="49CBA632" w14:textId="77777777" w:rsidR="005C6A90" w:rsidRPr="009461CC" w:rsidRDefault="005C6A90" w:rsidP="00042B91">
      <w:pPr>
        <w:spacing w:after="0" w:afterAutospacing="0" w:line="240" w:lineRule="auto"/>
        <w:rPr>
          <w:rFonts w:cs="Times New Roman"/>
        </w:rPr>
      </w:pPr>
    </w:p>
    <w:p w14:paraId="708F564C" w14:textId="58CA8111" w:rsidR="00AA2E04" w:rsidRPr="009461CC" w:rsidRDefault="00AA2E04" w:rsidP="00F67A0E">
      <w:pPr>
        <w:pStyle w:val="Heading1"/>
        <w:numPr>
          <w:ilvl w:val="0"/>
          <w:numId w:val="2"/>
        </w:numPr>
        <w:rPr>
          <w:rFonts w:cs="Times New Roman"/>
        </w:rPr>
      </w:pPr>
      <w:bookmarkStart w:id="7" w:name="_Toc222741639"/>
      <w:r>
        <w:rPr>
          <w:rFonts w:cs="Times New Roman"/>
          <w:bCs/>
          <w:lang w:val="pt-PT"/>
        </w:rPr>
        <w:t>Utilização pretendida/Utilização prevista do dispositivo</w:t>
      </w:r>
      <w:bookmarkEnd w:id="7"/>
      <w:r>
        <w:rPr>
          <w:rFonts w:cs="Times New Roman"/>
          <w:bCs/>
          <w:lang w:val="pt-PT"/>
        </w:rPr>
        <w:t xml:space="preserve"> </w:t>
      </w:r>
    </w:p>
    <w:p w14:paraId="48603D86" w14:textId="3BAB4A94" w:rsidR="00D104AC" w:rsidRPr="009461CC" w:rsidRDefault="00D104AC" w:rsidP="00FB0A38">
      <w:pPr>
        <w:spacing w:after="0" w:afterAutospacing="0"/>
        <w:ind w:left="360"/>
        <w:rPr>
          <w:rFonts w:cs="Times New Roman"/>
        </w:rPr>
      </w:pPr>
      <w:r>
        <w:rPr>
          <w:rFonts w:cs="Times New Roman"/>
          <w:lang w:val="pt-PT"/>
        </w:rPr>
        <w:t>Referências:</w:t>
      </w:r>
    </w:p>
    <w:p w14:paraId="5CC3EE9B" w14:textId="1A780D49" w:rsidR="00042B91" w:rsidRPr="009461CC" w:rsidRDefault="00FE5B73" w:rsidP="00042B91">
      <w:pPr>
        <w:spacing w:after="0" w:afterAutospacing="0" w:line="240" w:lineRule="auto"/>
        <w:rPr>
          <w:rFonts w:cs="Times New Roman"/>
        </w:rPr>
      </w:pPr>
      <w:r>
        <w:rPr>
          <w:rFonts w:cs="Times New Roman"/>
          <w:lang w:val="pt-PT"/>
        </w:rPr>
        <w:t>Números de referência: X9585730-0321-EU Rev A</w:t>
      </w:r>
    </w:p>
    <w:p w14:paraId="1254EE9F" w14:textId="77777777" w:rsidR="00FE5B73" w:rsidRPr="009461CC" w:rsidRDefault="00FE5B73" w:rsidP="00042B91">
      <w:pPr>
        <w:spacing w:after="0" w:afterAutospacing="0" w:line="240" w:lineRule="auto"/>
        <w:rPr>
          <w:rFonts w:cs="Times New Roman"/>
        </w:rPr>
      </w:pPr>
    </w:p>
    <w:p w14:paraId="39A6DB15" w14:textId="58ED6DAB" w:rsidR="006F0810" w:rsidRPr="009461CC" w:rsidRDefault="00B7112F" w:rsidP="00042B91">
      <w:pPr>
        <w:pStyle w:val="Heading1"/>
        <w:rPr>
          <w:rFonts w:cs="Times New Roman"/>
        </w:rPr>
      </w:pPr>
      <w:r>
        <w:rPr>
          <w:rFonts w:cs="Times New Roman"/>
          <w:bCs/>
          <w:lang w:val="pt-PT"/>
        </w:rPr>
        <w:t xml:space="preserve"> </w:t>
      </w:r>
      <w:bookmarkStart w:id="8" w:name="_Toc222741640"/>
      <w:r>
        <w:rPr>
          <w:rFonts w:cs="Times New Roman"/>
          <w:bCs/>
          <w:lang w:val="pt-PT"/>
        </w:rPr>
        <w:t>Finalidade pretendida/Utilização prevista</w:t>
      </w:r>
      <w:bookmarkEnd w:id="8"/>
    </w:p>
    <w:p w14:paraId="5F55F24F" w14:textId="20556298" w:rsidR="009B569A" w:rsidRPr="009461CC" w:rsidRDefault="00B82FB3" w:rsidP="00B82FB3">
      <w:pPr>
        <w:rPr>
          <w:rFonts w:cs="Times New Roman"/>
          <w:shd w:val="clear" w:color="auto" w:fill="FFFFFF"/>
        </w:rPr>
      </w:pPr>
      <w:r>
        <w:rPr>
          <w:rFonts w:cs="Times New Roman"/>
          <w:shd w:val="clear" w:color="auto" w:fill="FFFFFF"/>
          <w:lang w:val="pt-PT"/>
        </w:rPr>
        <w:t>Deve ser utilizado no sistema cardiovascular ou na víscera oca para remover e manipular objetos estranhos.</w:t>
      </w:r>
    </w:p>
    <w:p w14:paraId="0540FB4C" w14:textId="6BE36C7A" w:rsidR="006F0810" w:rsidRPr="009461CC" w:rsidRDefault="006F0810" w:rsidP="00042B91">
      <w:pPr>
        <w:pStyle w:val="Heading1"/>
        <w:rPr>
          <w:rFonts w:cs="Times New Roman"/>
        </w:rPr>
      </w:pPr>
      <w:bookmarkStart w:id="9" w:name="_Toc222741641"/>
      <w:r>
        <w:rPr>
          <w:rFonts w:cs="Times New Roman"/>
          <w:bCs/>
          <w:lang w:val="pt-PT"/>
        </w:rPr>
        <w:lastRenderedPageBreak/>
        <w:t>Indicação de uso</w:t>
      </w:r>
      <w:bookmarkEnd w:id="9"/>
    </w:p>
    <w:p w14:paraId="24ADD508" w14:textId="77777777" w:rsidR="00235AAE" w:rsidRPr="009461CC" w:rsidRDefault="00235AAE" w:rsidP="00235AAE">
      <w:pPr>
        <w:widowControl w:val="0"/>
        <w:rPr>
          <w:rFonts w:cs="Times New Roman"/>
        </w:rPr>
      </w:pPr>
      <w:r>
        <w:rPr>
          <w:rFonts w:cs="Times New Roman"/>
          <w:lang w:val="pt-PT"/>
        </w:rPr>
        <w:t>Deve ser utilizado no sistema cardiovascular ou na víscera oca para remover e manipular objetos estranhos. Os procedimentos de manipulação incluem o reposicionamento de cateteres venosos permanentes, a separação das bainhas de fibrina de cateteres venosos permanentes e a assistência com procedimentos de punção venosa para acesso venoso central.</w:t>
      </w:r>
    </w:p>
    <w:p w14:paraId="498EAE44" w14:textId="77777777" w:rsidR="00D20FA4" w:rsidRPr="009461CC" w:rsidRDefault="00D20FA4" w:rsidP="00042B91">
      <w:pPr>
        <w:pStyle w:val="Heading1"/>
        <w:rPr>
          <w:rFonts w:cs="Times New Roman"/>
        </w:rPr>
      </w:pPr>
      <w:bookmarkStart w:id="10" w:name="_Toc222741642"/>
      <w:r>
        <w:rPr>
          <w:rFonts w:cs="Times New Roman"/>
          <w:bCs/>
          <w:lang w:val="pt-PT"/>
        </w:rPr>
        <w:t>População-alvo</w:t>
      </w:r>
      <w:bookmarkEnd w:id="10"/>
    </w:p>
    <w:p w14:paraId="099A3585" w14:textId="77777777" w:rsidR="003B70D7" w:rsidRPr="009461CC" w:rsidRDefault="003B70D7" w:rsidP="005A1E4B">
      <w:pPr>
        <w:pStyle w:val="pf0"/>
        <w:widowControl w:val="0"/>
        <w:spacing w:before="0" w:beforeAutospacing="0" w:after="0" w:afterAutospacing="0"/>
      </w:pPr>
      <w:r>
        <w:rPr>
          <w:lang w:val="pt-PT"/>
        </w:rPr>
        <w:t>Pacientes adultos, incluindo idosos, de qualquer sexo, raça ou etnia.</w:t>
      </w:r>
    </w:p>
    <w:p w14:paraId="3621B4F1" w14:textId="77777777" w:rsidR="003B70D7" w:rsidRPr="009461CC" w:rsidRDefault="003B70D7" w:rsidP="003B70D7">
      <w:pPr>
        <w:pStyle w:val="pf0"/>
        <w:widowControl w:val="0"/>
        <w:spacing w:before="0" w:beforeAutospacing="0" w:after="0" w:afterAutospacing="0"/>
      </w:pPr>
    </w:p>
    <w:p w14:paraId="28F544BD" w14:textId="4F93A450" w:rsidR="006F0810" w:rsidRPr="009461CC" w:rsidRDefault="006F0810" w:rsidP="00042B91">
      <w:pPr>
        <w:pStyle w:val="Heading1"/>
        <w:rPr>
          <w:rFonts w:cs="Times New Roman"/>
        </w:rPr>
      </w:pPr>
      <w:bookmarkStart w:id="11" w:name="_Toc222741643"/>
      <w:r>
        <w:rPr>
          <w:rFonts w:cs="Times New Roman"/>
          <w:bCs/>
          <w:lang w:val="pt-PT"/>
        </w:rPr>
        <w:t>Contraindicações</w:t>
      </w:r>
      <w:bookmarkEnd w:id="11"/>
    </w:p>
    <w:p w14:paraId="169E24EB"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cs="Times New Roman"/>
          <w:color w:val="000000"/>
          <w:lang w:val="pt-PT"/>
        </w:rPr>
        <w:t>Este dispositivo não se destina à remoção de corpos estranhos retidos por conta do crescimento de tecidos</w:t>
      </w:r>
      <w:r>
        <w:rPr>
          <w:rFonts w:cs="Times New Roman"/>
          <w:color w:val="4472C4" w:themeColor="accent1"/>
          <w:lang w:val="pt-PT"/>
        </w:rPr>
        <w:t>.</w:t>
      </w:r>
    </w:p>
    <w:p w14:paraId="4BFB00B8"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eastAsia="Times New Roman" w:cs="Times New Roman"/>
          <w:lang w:val="pt-PT"/>
        </w:rPr>
        <w:t>O dispositivo não deve ser utilizado para a extração da bainha de fibrina na presença de defeitos septais de forame oval patente.</w:t>
      </w:r>
    </w:p>
    <w:p w14:paraId="77577945" w14:textId="77777777" w:rsidR="00AA3502" w:rsidRPr="009461CC" w:rsidRDefault="00AA3502" w:rsidP="004A2596">
      <w:pPr>
        <w:pStyle w:val="ListParagraph"/>
        <w:numPr>
          <w:ilvl w:val="0"/>
          <w:numId w:val="31"/>
        </w:numPr>
        <w:spacing w:after="0" w:afterAutospacing="0" w:line="240" w:lineRule="auto"/>
        <w:jc w:val="both"/>
        <w:rPr>
          <w:rFonts w:eastAsia="Times New Roman" w:cs="Times New Roman"/>
        </w:rPr>
      </w:pPr>
      <w:r>
        <w:rPr>
          <w:rFonts w:eastAsia="Times New Roman" w:cs="Times New Roman"/>
          <w:lang w:val="pt-PT"/>
        </w:rPr>
        <w:t>Este dispositivo não se destina à remoção de derivações de marca-passo implantadas.</w:t>
      </w:r>
    </w:p>
    <w:p w14:paraId="764D1032" w14:textId="77777777" w:rsidR="00761873" w:rsidRPr="009461CC" w:rsidRDefault="00761873" w:rsidP="00761873">
      <w:pPr>
        <w:pStyle w:val="ListParagraph"/>
        <w:spacing w:after="0" w:afterAutospacing="0"/>
        <w:ind w:left="1440"/>
        <w:rPr>
          <w:rFonts w:cs="Times New Roman"/>
        </w:rPr>
      </w:pPr>
    </w:p>
    <w:p w14:paraId="0A9D601E" w14:textId="53FB771D" w:rsidR="00760400" w:rsidRPr="009461CC" w:rsidRDefault="00D20FA4" w:rsidP="00F67A0E">
      <w:pPr>
        <w:pStyle w:val="Heading1"/>
        <w:numPr>
          <w:ilvl w:val="0"/>
          <w:numId w:val="2"/>
        </w:numPr>
        <w:rPr>
          <w:rFonts w:cs="Times New Roman"/>
        </w:rPr>
      </w:pPr>
      <w:bookmarkStart w:id="12" w:name="_Toc222741644"/>
      <w:r>
        <w:rPr>
          <w:rFonts w:cs="Times New Roman"/>
          <w:bCs/>
          <w:lang w:val="pt-PT"/>
        </w:rPr>
        <w:t>Descrição do dispositivo</w:t>
      </w:r>
      <w:bookmarkEnd w:id="12"/>
    </w:p>
    <w:p w14:paraId="7115673A" w14:textId="77777777" w:rsidR="00042B91" w:rsidRPr="009461CC" w:rsidRDefault="00042B91" w:rsidP="00042B91">
      <w:pPr>
        <w:spacing w:after="0" w:afterAutospacing="0" w:line="240" w:lineRule="auto"/>
        <w:rPr>
          <w:rFonts w:cs="Times New Roman"/>
        </w:rPr>
      </w:pPr>
    </w:p>
    <w:p w14:paraId="33649869" w14:textId="52085753" w:rsidR="00D20FA4" w:rsidRPr="009461CC" w:rsidRDefault="00D20FA4" w:rsidP="00042B91">
      <w:pPr>
        <w:pStyle w:val="Heading1"/>
        <w:rPr>
          <w:rFonts w:cs="Times New Roman"/>
        </w:rPr>
      </w:pPr>
      <w:bookmarkStart w:id="13" w:name="_Toc222741645"/>
      <w:r>
        <w:rPr>
          <w:rFonts w:cs="Times New Roman"/>
          <w:bCs/>
          <w:lang w:val="pt-PT"/>
        </w:rPr>
        <w:t>Descrição do dispositivo</w:t>
      </w:r>
      <w:bookmarkEnd w:id="13"/>
      <w:r>
        <w:rPr>
          <w:rFonts w:cs="Times New Roman"/>
          <w:bCs/>
          <w:lang w:val="pt-PT"/>
        </w:rPr>
        <w:t xml:space="preserve"> </w:t>
      </w:r>
    </w:p>
    <w:p w14:paraId="3DAFEC6E" w14:textId="5053E6C6" w:rsidR="00994DB9" w:rsidRPr="009461CC" w:rsidRDefault="00994DB9" w:rsidP="00994DB9">
      <w:pPr>
        <w:rPr>
          <w:rFonts w:cs="Times New Roman"/>
        </w:rPr>
      </w:pPr>
      <w:bookmarkStart w:id="14" w:name="_Hlk169187630"/>
      <w:r>
        <w:rPr>
          <w:rFonts w:cs="Times New Roman"/>
          <w:lang w:val="pt-PT"/>
        </w:rPr>
        <w:t>O Kit de Laço Vascular Atrieve™ é composto por um dispositivo de laço com três alças pré-formadas, feitas de nitinol superelástico e platina. Os laços não estão entrelaçados e podem deslizar uns em relação aos outros. Os laços do Laço podem ser introduzidos no cateter de introdução sem risco de deformação permanente do dispositivo. O Kit de Laço Vascular Atrieve™ também inclui um cateter de introdução, um punho dinamométrico e um introdutor. O cateter de introdução possui uma faixa marcadora radiopaca na extremidade distal. O produto vem embalado num suporte protetor para aro. O dispositivo destina-se a uso único e é fornecido estéril (óxido de etileno), pronto para uso.</w:t>
      </w:r>
    </w:p>
    <w:p w14:paraId="210E0750" w14:textId="77777777" w:rsidR="00994DB9" w:rsidRPr="009461CC" w:rsidRDefault="00994DB9" w:rsidP="00994DB9">
      <w:pPr>
        <w:rPr>
          <w:rFonts w:cs="Times New Roman"/>
        </w:rPr>
      </w:pPr>
      <w:r>
        <w:rPr>
          <w:rFonts w:cs="Times New Roman"/>
          <w:lang w:val="pt-PT"/>
        </w:rPr>
        <w:t>O Kit de Laço Vascular Atrieve™ está disponível nos seguintes tamanhos:</w:t>
      </w:r>
    </w:p>
    <w:tbl>
      <w:tblPr>
        <w:tblStyle w:val="TableGrid"/>
        <w:tblW w:w="5000" w:type="pct"/>
        <w:tblLook w:val="04A0" w:firstRow="1" w:lastRow="0" w:firstColumn="1" w:lastColumn="0" w:noHBand="0" w:noVBand="1"/>
      </w:tblPr>
      <w:tblGrid>
        <w:gridCol w:w="2824"/>
        <w:gridCol w:w="2658"/>
        <w:gridCol w:w="2343"/>
        <w:gridCol w:w="2605"/>
      </w:tblGrid>
      <w:tr w:rsidR="00994DB9" w:rsidRPr="009461CC" w14:paraId="5ADE64F6" w14:textId="77777777" w:rsidTr="0022766F">
        <w:tc>
          <w:tcPr>
            <w:tcW w:w="1354" w:type="pct"/>
          </w:tcPr>
          <w:p w14:paraId="323B4940" w14:textId="77777777" w:rsidR="00994DB9" w:rsidRPr="009461CC" w:rsidRDefault="00994DB9" w:rsidP="0022766F">
            <w:pPr>
              <w:widowControl w:val="0"/>
              <w:rPr>
                <w:rFonts w:cs="Times New Roman"/>
              </w:rPr>
            </w:pPr>
            <w:r>
              <w:rPr>
                <w:rFonts w:cs="Times New Roman"/>
                <w:lang w:val="pt-PT"/>
              </w:rPr>
              <w:t>Faixa de diâmetro do laço</w:t>
            </w:r>
          </w:p>
        </w:tc>
        <w:tc>
          <w:tcPr>
            <w:tcW w:w="1274" w:type="pct"/>
          </w:tcPr>
          <w:p w14:paraId="2775F724" w14:textId="77777777" w:rsidR="00994DB9" w:rsidRPr="009461CC" w:rsidRDefault="00994DB9" w:rsidP="0022766F">
            <w:pPr>
              <w:widowControl w:val="0"/>
              <w:rPr>
                <w:rFonts w:cs="Times New Roman"/>
              </w:rPr>
            </w:pPr>
            <w:r>
              <w:rPr>
                <w:rFonts w:cs="Times New Roman"/>
                <w:lang w:val="pt-PT"/>
              </w:rPr>
              <w:t>Comprimento do laço</w:t>
            </w:r>
          </w:p>
        </w:tc>
        <w:tc>
          <w:tcPr>
            <w:tcW w:w="1123" w:type="pct"/>
          </w:tcPr>
          <w:p w14:paraId="7396E037" w14:textId="77777777" w:rsidR="00994DB9" w:rsidRPr="009461CC" w:rsidRDefault="00994DB9" w:rsidP="0022766F">
            <w:pPr>
              <w:widowControl w:val="0"/>
              <w:rPr>
                <w:rFonts w:cs="Times New Roman"/>
              </w:rPr>
            </w:pPr>
            <w:r>
              <w:rPr>
                <w:rFonts w:cs="Times New Roman"/>
                <w:lang w:val="pt-PT"/>
              </w:rPr>
              <w:t>Tamanho da entrega</w:t>
            </w:r>
          </w:p>
        </w:tc>
        <w:tc>
          <w:tcPr>
            <w:tcW w:w="1250" w:type="pct"/>
          </w:tcPr>
          <w:p w14:paraId="7E248A66" w14:textId="77777777" w:rsidR="00994DB9" w:rsidRPr="009461CC" w:rsidRDefault="00994DB9" w:rsidP="0022766F">
            <w:pPr>
              <w:widowControl w:val="0"/>
              <w:rPr>
                <w:rFonts w:cs="Times New Roman"/>
              </w:rPr>
            </w:pPr>
            <w:r>
              <w:rPr>
                <w:rFonts w:cs="Times New Roman"/>
                <w:lang w:val="pt-PT"/>
              </w:rPr>
              <w:t>Comprimento do cateter</w:t>
            </w:r>
          </w:p>
        </w:tc>
      </w:tr>
      <w:tr w:rsidR="00994DB9" w:rsidRPr="009461CC" w14:paraId="41F89C56" w14:textId="77777777" w:rsidTr="0022766F">
        <w:tc>
          <w:tcPr>
            <w:tcW w:w="1354" w:type="pct"/>
          </w:tcPr>
          <w:p w14:paraId="20D41F97" w14:textId="77777777" w:rsidR="00994DB9" w:rsidRPr="009461CC" w:rsidRDefault="00994DB9" w:rsidP="0022766F">
            <w:pPr>
              <w:widowControl w:val="0"/>
              <w:rPr>
                <w:rFonts w:cs="Times New Roman"/>
              </w:rPr>
            </w:pPr>
            <w:r>
              <w:rPr>
                <w:rFonts w:cs="Times New Roman"/>
                <w:lang w:val="pt-PT"/>
              </w:rPr>
              <w:t>2-4 mm</w:t>
            </w:r>
          </w:p>
        </w:tc>
        <w:tc>
          <w:tcPr>
            <w:tcW w:w="1274" w:type="pct"/>
          </w:tcPr>
          <w:p w14:paraId="04CC9EC1" w14:textId="77777777" w:rsidR="00994DB9" w:rsidRPr="009461CC" w:rsidRDefault="00994DB9" w:rsidP="0022766F">
            <w:pPr>
              <w:widowControl w:val="0"/>
              <w:rPr>
                <w:rFonts w:cs="Times New Roman"/>
              </w:rPr>
            </w:pPr>
            <w:r>
              <w:rPr>
                <w:rFonts w:cs="Times New Roman"/>
                <w:lang w:val="pt-PT"/>
              </w:rPr>
              <w:t>175 cm</w:t>
            </w:r>
          </w:p>
        </w:tc>
        <w:tc>
          <w:tcPr>
            <w:tcW w:w="1123" w:type="pct"/>
          </w:tcPr>
          <w:p w14:paraId="38F2FCC0" w14:textId="77777777" w:rsidR="00994DB9" w:rsidRPr="009461CC" w:rsidRDefault="00994DB9" w:rsidP="0022766F">
            <w:pPr>
              <w:widowControl w:val="0"/>
              <w:rPr>
                <w:rFonts w:cs="Times New Roman"/>
              </w:rPr>
            </w:pPr>
            <w:r>
              <w:rPr>
                <w:rFonts w:cs="Times New Roman"/>
                <w:lang w:val="pt-PT"/>
              </w:rPr>
              <w:t>3,2 F</w:t>
            </w:r>
          </w:p>
        </w:tc>
        <w:tc>
          <w:tcPr>
            <w:tcW w:w="1250" w:type="pct"/>
          </w:tcPr>
          <w:p w14:paraId="5CD712C9" w14:textId="77777777" w:rsidR="00994DB9" w:rsidRPr="009461CC" w:rsidRDefault="00994DB9" w:rsidP="0022766F">
            <w:pPr>
              <w:widowControl w:val="0"/>
              <w:rPr>
                <w:rFonts w:cs="Times New Roman"/>
              </w:rPr>
            </w:pPr>
            <w:r>
              <w:rPr>
                <w:rFonts w:cs="Times New Roman"/>
                <w:lang w:val="pt-PT"/>
              </w:rPr>
              <w:t>150 cm</w:t>
            </w:r>
          </w:p>
        </w:tc>
      </w:tr>
      <w:tr w:rsidR="00994DB9" w:rsidRPr="009461CC" w14:paraId="5428D0A0" w14:textId="77777777" w:rsidTr="0022766F">
        <w:tc>
          <w:tcPr>
            <w:tcW w:w="1354" w:type="pct"/>
          </w:tcPr>
          <w:p w14:paraId="7992579F" w14:textId="77777777" w:rsidR="00994DB9" w:rsidRPr="009461CC" w:rsidRDefault="00994DB9" w:rsidP="0022766F">
            <w:pPr>
              <w:widowControl w:val="0"/>
              <w:rPr>
                <w:rFonts w:cs="Times New Roman"/>
              </w:rPr>
            </w:pPr>
            <w:r>
              <w:rPr>
                <w:rFonts w:cs="Times New Roman"/>
                <w:lang w:val="pt-PT"/>
              </w:rPr>
              <w:t>4-8 mm</w:t>
            </w:r>
          </w:p>
        </w:tc>
        <w:tc>
          <w:tcPr>
            <w:tcW w:w="1274" w:type="pct"/>
          </w:tcPr>
          <w:p w14:paraId="7E385A6E" w14:textId="77777777" w:rsidR="00994DB9" w:rsidRPr="009461CC" w:rsidRDefault="00994DB9" w:rsidP="0022766F">
            <w:pPr>
              <w:widowControl w:val="0"/>
              <w:rPr>
                <w:rFonts w:cs="Times New Roman"/>
              </w:rPr>
            </w:pPr>
            <w:r>
              <w:rPr>
                <w:rFonts w:cs="Times New Roman"/>
                <w:lang w:val="pt-PT"/>
              </w:rPr>
              <w:t>175 cm</w:t>
            </w:r>
          </w:p>
        </w:tc>
        <w:tc>
          <w:tcPr>
            <w:tcW w:w="1123" w:type="pct"/>
          </w:tcPr>
          <w:p w14:paraId="52F22EE9" w14:textId="77777777" w:rsidR="00994DB9" w:rsidRPr="009461CC" w:rsidRDefault="00994DB9" w:rsidP="0022766F">
            <w:pPr>
              <w:widowControl w:val="0"/>
              <w:rPr>
                <w:rFonts w:cs="Times New Roman"/>
              </w:rPr>
            </w:pPr>
            <w:r>
              <w:rPr>
                <w:rFonts w:cs="Times New Roman"/>
                <w:lang w:val="pt-PT"/>
              </w:rPr>
              <w:t>3,2 F</w:t>
            </w:r>
          </w:p>
        </w:tc>
        <w:tc>
          <w:tcPr>
            <w:tcW w:w="1250" w:type="pct"/>
          </w:tcPr>
          <w:p w14:paraId="2FFE91B6" w14:textId="77777777" w:rsidR="00994DB9" w:rsidRPr="009461CC" w:rsidRDefault="00994DB9" w:rsidP="0022766F">
            <w:pPr>
              <w:widowControl w:val="0"/>
              <w:rPr>
                <w:rFonts w:cs="Times New Roman"/>
              </w:rPr>
            </w:pPr>
            <w:r>
              <w:rPr>
                <w:rFonts w:cs="Times New Roman"/>
                <w:lang w:val="pt-PT"/>
              </w:rPr>
              <w:t>150 cm</w:t>
            </w:r>
          </w:p>
        </w:tc>
      </w:tr>
      <w:tr w:rsidR="00994DB9" w:rsidRPr="009461CC" w14:paraId="1CBE6E3D" w14:textId="77777777" w:rsidTr="0022766F">
        <w:tc>
          <w:tcPr>
            <w:tcW w:w="1354" w:type="pct"/>
          </w:tcPr>
          <w:p w14:paraId="3CD87E57" w14:textId="77777777" w:rsidR="00994DB9" w:rsidRPr="009461CC" w:rsidRDefault="00994DB9" w:rsidP="0022766F">
            <w:pPr>
              <w:widowControl w:val="0"/>
              <w:rPr>
                <w:rFonts w:cs="Times New Roman"/>
              </w:rPr>
            </w:pPr>
            <w:r>
              <w:rPr>
                <w:rFonts w:cs="Times New Roman"/>
                <w:lang w:val="pt-PT"/>
              </w:rPr>
              <w:t>6-10 mm</w:t>
            </w:r>
          </w:p>
        </w:tc>
        <w:tc>
          <w:tcPr>
            <w:tcW w:w="1274" w:type="pct"/>
          </w:tcPr>
          <w:p w14:paraId="58739EE1" w14:textId="77777777" w:rsidR="00994DB9" w:rsidRPr="009461CC" w:rsidRDefault="00994DB9" w:rsidP="0022766F">
            <w:pPr>
              <w:widowControl w:val="0"/>
              <w:rPr>
                <w:rFonts w:cs="Times New Roman"/>
              </w:rPr>
            </w:pPr>
            <w:r>
              <w:rPr>
                <w:rFonts w:cs="Times New Roman"/>
                <w:lang w:val="pt-PT"/>
              </w:rPr>
              <w:t>120 cm</w:t>
            </w:r>
          </w:p>
        </w:tc>
        <w:tc>
          <w:tcPr>
            <w:tcW w:w="1123" w:type="pct"/>
          </w:tcPr>
          <w:p w14:paraId="66A2FE52" w14:textId="77777777" w:rsidR="00994DB9" w:rsidRPr="009461CC" w:rsidRDefault="00994DB9" w:rsidP="0022766F">
            <w:pPr>
              <w:widowControl w:val="0"/>
              <w:rPr>
                <w:rFonts w:cs="Times New Roman"/>
              </w:rPr>
            </w:pPr>
            <w:r>
              <w:rPr>
                <w:rFonts w:cs="Times New Roman"/>
                <w:lang w:val="pt-PT"/>
              </w:rPr>
              <w:t>6 F</w:t>
            </w:r>
          </w:p>
        </w:tc>
        <w:tc>
          <w:tcPr>
            <w:tcW w:w="1250" w:type="pct"/>
          </w:tcPr>
          <w:p w14:paraId="16036ECD" w14:textId="77777777" w:rsidR="00994DB9" w:rsidRPr="009461CC" w:rsidRDefault="00994DB9" w:rsidP="0022766F">
            <w:pPr>
              <w:widowControl w:val="0"/>
              <w:rPr>
                <w:rFonts w:cs="Times New Roman"/>
              </w:rPr>
            </w:pPr>
            <w:r>
              <w:rPr>
                <w:rFonts w:cs="Times New Roman"/>
                <w:lang w:val="pt-PT"/>
              </w:rPr>
              <w:t>100 cm</w:t>
            </w:r>
          </w:p>
        </w:tc>
      </w:tr>
      <w:tr w:rsidR="00994DB9" w:rsidRPr="009461CC" w14:paraId="7137F3A0" w14:textId="77777777" w:rsidTr="0022766F">
        <w:tc>
          <w:tcPr>
            <w:tcW w:w="1354" w:type="pct"/>
          </w:tcPr>
          <w:p w14:paraId="5097E3BD" w14:textId="77777777" w:rsidR="00994DB9" w:rsidRPr="009461CC" w:rsidRDefault="00994DB9" w:rsidP="0022766F">
            <w:pPr>
              <w:widowControl w:val="0"/>
              <w:rPr>
                <w:rFonts w:cs="Times New Roman"/>
              </w:rPr>
            </w:pPr>
            <w:r>
              <w:rPr>
                <w:rFonts w:cs="Times New Roman"/>
                <w:lang w:val="pt-PT"/>
              </w:rPr>
              <w:t>9-15 mm</w:t>
            </w:r>
          </w:p>
        </w:tc>
        <w:tc>
          <w:tcPr>
            <w:tcW w:w="1274" w:type="pct"/>
          </w:tcPr>
          <w:p w14:paraId="6E08B1BC" w14:textId="77777777" w:rsidR="00994DB9" w:rsidRPr="009461CC" w:rsidRDefault="00994DB9" w:rsidP="0022766F">
            <w:pPr>
              <w:widowControl w:val="0"/>
              <w:rPr>
                <w:rFonts w:cs="Times New Roman"/>
              </w:rPr>
            </w:pPr>
            <w:r>
              <w:rPr>
                <w:rFonts w:cs="Times New Roman"/>
                <w:lang w:val="pt-PT"/>
              </w:rPr>
              <w:t>120 cm</w:t>
            </w:r>
          </w:p>
        </w:tc>
        <w:tc>
          <w:tcPr>
            <w:tcW w:w="1123" w:type="pct"/>
          </w:tcPr>
          <w:p w14:paraId="5E975E99" w14:textId="77777777" w:rsidR="00994DB9" w:rsidRPr="009461CC" w:rsidRDefault="00994DB9" w:rsidP="0022766F">
            <w:pPr>
              <w:widowControl w:val="0"/>
              <w:rPr>
                <w:rFonts w:cs="Times New Roman"/>
              </w:rPr>
            </w:pPr>
            <w:r>
              <w:rPr>
                <w:rFonts w:cs="Times New Roman"/>
                <w:lang w:val="pt-PT"/>
              </w:rPr>
              <w:t>6 F</w:t>
            </w:r>
          </w:p>
        </w:tc>
        <w:tc>
          <w:tcPr>
            <w:tcW w:w="1250" w:type="pct"/>
          </w:tcPr>
          <w:p w14:paraId="70150399" w14:textId="77777777" w:rsidR="00994DB9" w:rsidRPr="009461CC" w:rsidRDefault="00994DB9" w:rsidP="0022766F">
            <w:pPr>
              <w:widowControl w:val="0"/>
              <w:rPr>
                <w:rFonts w:cs="Times New Roman"/>
              </w:rPr>
            </w:pPr>
            <w:r>
              <w:rPr>
                <w:rFonts w:cs="Times New Roman"/>
                <w:lang w:val="pt-PT"/>
              </w:rPr>
              <w:t>100 cm</w:t>
            </w:r>
          </w:p>
        </w:tc>
      </w:tr>
      <w:tr w:rsidR="00994DB9" w:rsidRPr="009461CC" w14:paraId="6873E431" w14:textId="77777777" w:rsidTr="0022766F">
        <w:tc>
          <w:tcPr>
            <w:tcW w:w="1354" w:type="pct"/>
          </w:tcPr>
          <w:p w14:paraId="0A8A2276" w14:textId="77777777" w:rsidR="00994DB9" w:rsidRPr="009461CC" w:rsidRDefault="00994DB9" w:rsidP="0022766F">
            <w:pPr>
              <w:widowControl w:val="0"/>
              <w:rPr>
                <w:rFonts w:cs="Times New Roman"/>
              </w:rPr>
            </w:pPr>
            <w:r>
              <w:rPr>
                <w:rFonts w:cs="Times New Roman"/>
                <w:lang w:val="pt-PT"/>
              </w:rPr>
              <w:t>12-20 mm</w:t>
            </w:r>
          </w:p>
        </w:tc>
        <w:tc>
          <w:tcPr>
            <w:tcW w:w="1274" w:type="pct"/>
          </w:tcPr>
          <w:p w14:paraId="7058BA8B" w14:textId="77777777" w:rsidR="00994DB9" w:rsidRPr="009461CC" w:rsidRDefault="00994DB9" w:rsidP="0022766F">
            <w:pPr>
              <w:widowControl w:val="0"/>
              <w:rPr>
                <w:rFonts w:cs="Times New Roman"/>
              </w:rPr>
            </w:pPr>
            <w:r>
              <w:rPr>
                <w:rFonts w:cs="Times New Roman"/>
                <w:lang w:val="pt-PT"/>
              </w:rPr>
              <w:t>120 cm</w:t>
            </w:r>
          </w:p>
        </w:tc>
        <w:tc>
          <w:tcPr>
            <w:tcW w:w="1123" w:type="pct"/>
          </w:tcPr>
          <w:p w14:paraId="16F950BF" w14:textId="77777777" w:rsidR="00994DB9" w:rsidRPr="009461CC" w:rsidRDefault="00994DB9" w:rsidP="0022766F">
            <w:pPr>
              <w:widowControl w:val="0"/>
              <w:rPr>
                <w:rFonts w:cs="Times New Roman"/>
              </w:rPr>
            </w:pPr>
            <w:r>
              <w:rPr>
                <w:rFonts w:cs="Times New Roman"/>
                <w:lang w:val="pt-PT"/>
              </w:rPr>
              <w:t>6 F</w:t>
            </w:r>
          </w:p>
        </w:tc>
        <w:tc>
          <w:tcPr>
            <w:tcW w:w="1250" w:type="pct"/>
          </w:tcPr>
          <w:p w14:paraId="759B78BD" w14:textId="77777777" w:rsidR="00994DB9" w:rsidRPr="009461CC" w:rsidRDefault="00994DB9" w:rsidP="0022766F">
            <w:pPr>
              <w:widowControl w:val="0"/>
              <w:rPr>
                <w:rFonts w:cs="Times New Roman"/>
              </w:rPr>
            </w:pPr>
            <w:r>
              <w:rPr>
                <w:rFonts w:cs="Times New Roman"/>
                <w:lang w:val="pt-PT"/>
              </w:rPr>
              <w:t>100 cm</w:t>
            </w:r>
          </w:p>
        </w:tc>
      </w:tr>
      <w:tr w:rsidR="00994DB9" w:rsidRPr="009461CC" w14:paraId="52111BAB" w14:textId="77777777" w:rsidTr="0022766F">
        <w:tc>
          <w:tcPr>
            <w:tcW w:w="1354" w:type="pct"/>
          </w:tcPr>
          <w:p w14:paraId="41061D9E" w14:textId="77777777" w:rsidR="00994DB9" w:rsidRPr="009461CC" w:rsidRDefault="00994DB9" w:rsidP="0022766F">
            <w:pPr>
              <w:widowControl w:val="0"/>
              <w:rPr>
                <w:rFonts w:cs="Times New Roman"/>
              </w:rPr>
            </w:pPr>
            <w:r>
              <w:rPr>
                <w:rFonts w:cs="Times New Roman"/>
                <w:lang w:val="pt-PT"/>
              </w:rPr>
              <w:t>18-30 mm</w:t>
            </w:r>
          </w:p>
        </w:tc>
        <w:tc>
          <w:tcPr>
            <w:tcW w:w="1274" w:type="pct"/>
          </w:tcPr>
          <w:p w14:paraId="22AB0CDE" w14:textId="77777777" w:rsidR="00994DB9" w:rsidRPr="009461CC" w:rsidRDefault="00994DB9" w:rsidP="0022766F">
            <w:pPr>
              <w:widowControl w:val="0"/>
              <w:rPr>
                <w:rFonts w:cs="Times New Roman"/>
              </w:rPr>
            </w:pPr>
            <w:r>
              <w:rPr>
                <w:rFonts w:cs="Times New Roman"/>
                <w:lang w:val="pt-PT"/>
              </w:rPr>
              <w:t>120 cm</w:t>
            </w:r>
          </w:p>
        </w:tc>
        <w:tc>
          <w:tcPr>
            <w:tcW w:w="1123" w:type="pct"/>
          </w:tcPr>
          <w:p w14:paraId="17196BA8" w14:textId="77777777" w:rsidR="00994DB9" w:rsidRPr="009461CC" w:rsidRDefault="00994DB9" w:rsidP="0022766F">
            <w:pPr>
              <w:widowControl w:val="0"/>
              <w:rPr>
                <w:rFonts w:cs="Times New Roman"/>
              </w:rPr>
            </w:pPr>
            <w:r>
              <w:rPr>
                <w:rFonts w:cs="Times New Roman"/>
                <w:lang w:val="pt-PT"/>
              </w:rPr>
              <w:t>7 F</w:t>
            </w:r>
          </w:p>
        </w:tc>
        <w:tc>
          <w:tcPr>
            <w:tcW w:w="1250" w:type="pct"/>
          </w:tcPr>
          <w:p w14:paraId="4543B8B0" w14:textId="77777777" w:rsidR="00994DB9" w:rsidRPr="009461CC" w:rsidRDefault="00994DB9" w:rsidP="0022766F">
            <w:pPr>
              <w:widowControl w:val="0"/>
              <w:rPr>
                <w:rFonts w:cs="Times New Roman"/>
              </w:rPr>
            </w:pPr>
            <w:r>
              <w:rPr>
                <w:rFonts w:cs="Times New Roman"/>
                <w:lang w:val="pt-PT"/>
              </w:rPr>
              <w:t>100 cm</w:t>
            </w:r>
          </w:p>
        </w:tc>
      </w:tr>
      <w:tr w:rsidR="00994DB9" w:rsidRPr="009461CC" w14:paraId="3F7A77C7" w14:textId="77777777" w:rsidTr="0022766F">
        <w:tc>
          <w:tcPr>
            <w:tcW w:w="1354" w:type="pct"/>
          </w:tcPr>
          <w:p w14:paraId="755F3FE4" w14:textId="77777777" w:rsidR="00994DB9" w:rsidRPr="009461CC" w:rsidRDefault="00994DB9" w:rsidP="0022766F">
            <w:pPr>
              <w:widowControl w:val="0"/>
              <w:rPr>
                <w:rFonts w:cs="Times New Roman"/>
              </w:rPr>
            </w:pPr>
            <w:r>
              <w:rPr>
                <w:rFonts w:cs="Times New Roman"/>
                <w:lang w:val="pt-PT"/>
              </w:rPr>
              <w:t>27-45 mm</w:t>
            </w:r>
          </w:p>
        </w:tc>
        <w:tc>
          <w:tcPr>
            <w:tcW w:w="1274" w:type="pct"/>
          </w:tcPr>
          <w:p w14:paraId="622306B0" w14:textId="77777777" w:rsidR="00994DB9" w:rsidRPr="009461CC" w:rsidRDefault="00994DB9" w:rsidP="0022766F">
            <w:pPr>
              <w:widowControl w:val="0"/>
              <w:rPr>
                <w:rFonts w:cs="Times New Roman"/>
              </w:rPr>
            </w:pPr>
            <w:r>
              <w:rPr>
                <w:rFonts w:cs="Times New Roman"/>
                <w:lang w:val="pt-PT"/>
              </w:rPr>
              <w:t>120 cm</w:t>
            </w:r>
          </w:p>
        </w:tc>
        <w:tc>
          <w:tcPr>
            <w:tcW w:w="1123" w:type="pct"/>
          </w:tcPr>
          <w:p w14:paraId="74C46753" w14:textId="77777777" w:rsidR="00994DB9" w:rsidRPr="009461CC" w:rsidRDefault="00994DB9" w:rsidP="0022766F">
            <w:pPr>
              <w:widowControl w:val="0"/>
              <w:rPr>
                <w:rFonts w:cs="Times New Roman"/>
              </w:rPr>
            </w:pPr>
            <w:r>
              <w:rPr>
                <w:rFonts w:cs="Times New Roman"/>
                <w:lang w:val="pt-PT"/>
              </w:rPr>
              <w:t>7 F</w:t>
            </w:r>
          </w:p>
        </w:tc>
        <w:tc>
          <w:tcPr>
            <w:tcW w:w="1250" w:type="pct"/>
          </w:tcPr>
          <w:p w14:paraId="2DBCCFBE" w14:textId="77777777" w:rsidR="00994DB9" w:rsidRPr="009461CC" w:rsidRDefault="00994DB9" w:rsidP="0022766F">
            <w:pPr>
              <w:widowControl w:val="0"/>
              <w:rPr>
                <w:rFonts w:cs="Times New Roman"/>
              </w:rPr>
            </w:pPr>
            <w:r>
              <w:rPr>
                <w:rFonts w:cs="Times New Roman"/>
                <w:lang w:val="pt-PT"/>
              </w:rPr>
              <w:t>100 cm</w:t>
            </w:r>
          </w:p>
        </w:tc>
      </w:tr>
    </w:tbl>
    <w:p w14:paraId="5D27461E" w14:textId="77777777" w:rsidR="000F4DF1" w:rsidRPr="009461CC" w:rsidRDefault="000F4DF1" w:rsidP="00994DB9">
      <w:pPr>
        <w:rPr>
          <w:rFonts w:cs="Times New Roman"/>
        </w:rPr>
      </w:pPr>
    </w:p>
    <w:p w14:paraId="4C7769AE" w14:textId="77777777" w:rsidR="00D20FA4" w:rsidRPr="009461CC" w:rsidRDefault="00D20FA4" w:rsidP="00042B91">
      <w:pPr>
        <w:pStyle w:val="Heading1"/>
        <w:rPr>
          <w:rFonts w:cs="Times New Roman"/>
        </w:rPr>
      </w:pPr>
      <w:bookmarkStart w:id="15" w:name="_Toc222741646"/>
      <w:bookmarkEnd w:id="14"/>
      <w:r>
        <w:rPr>
          <w:rFonts w:cs="Times New Roman"/>
          <w:bCs/>
          <w:lang w:val="pt-PT"/>
        </w:rPr>
        <w:t>Variantes anteriores e suas diferenças</w:t>
      </w:r>
      <w:bookmarkEnd w:id="15"/>
    </w:p>
    <w:p w14:paraId="060329F5" w14:textId="3AA8BB73" w:rsidR="00042B91" w:rsidRPr="009461CC" w:rsidRDefault="009D7E33" w:rsidP="007B0F04">
      <w:pPr>
        <w:ind w:left="792"/>
        <w:rPr>
          <w:rFonts w:cs="Times New Roman"/>
        </w:rPr>
      </w:pPr>
      <w:r>
        <w:rPr>
          <w:rFonts w:cs="Times New Roman"/>
          <w:lang w:val="pt-PT"/>
        </w:rPr>
        <w:t>Esta secção não se aplica (N/A).</w:t>
      </w:r>
    </w:p>
    <w:p w14:paraId="26363C05" w14:textId="77777777" w:rsidR="00760400" w:rsidRPr="009461CC" w:rsidRDefault="00760400" w:rsidP="00042B91">
      <w:pPr>
        <w:pStyle w:val="Heading1"/>
        <w:rPr>
          <w:rFonts w:cs="Times New Roman"/>
        </w:rPr>
      </w:pPr>
      <w:bookmarkStart w:id="16" w:name="_Toc222741647"/>
      <w:r>
        <w:rPr>
          <w:rFonts w:cs="Times New Roman"/>
          <w:bCs/>
          <w:lang w:val="pt-PT"/>
        </w:rPr>
        <w:t>Acessórios, dispositivos compatíveis e outros produtos utilizados em combinação</w:t>
      </w:r>
      <w:bookmarkEnd w:id="16"/>
    </w:p>
    <w:p w14:paraId="21F32064" w14:textId="1C156DEB" w:rsidR="00C02BC0" w:rsidRPr="009461CC" w:rsidRDefault="00C02BC0" w:rsidP="007B0F04">
      <w:pPr>
        <w:spacing w:after="0" w:afterAutospacing="0"/>
        <w:ind w:left="792"/>
        <w:rPr>
          <w:rFonts w:cs="Times New Roman"/>
        </w:rPr>
      </w:pPr>
      <w:r>
        <w:rPr>
          <w:rFonts w:cs="Times New Roman"/>
          <w:lang w:val="pt-PT"/>
        </w:rPr>
        <w:lastRenderedPageBreak/>
        <w:t>Os acessórios do Kit de Laço Vascular Atrieve™ incluem o cateter de introdução, um introdutor e um punho dinamométrico (mandril manual).</w:t>
      </w:r>
    </w:p>
    <w:p w14:paraId="17CCC4B6" w14:textId="77777777" w:rsidR="00042B91" w:rsidRPr="009461CC" w:rsidRDefault="00042B91" w:rsidP="00042B91">
      <w:pPr>
        <w:spacing w:after="0" w:afterAutospacing="0" w:line="240" w:lineRule="auto"/>
        <w:rPr>
          <w:rFonts w:cs="Times New Roman"/>
          <w:i/>
          <w:color w:val="FF0000"/>
        </w:rPr>
      </w:pPr>
    </w:p>
    <w:p w14:paraId="45C0A245" w14:textId="61A622A4" w:rsidR="008745ED" w:rsidRPr="009461CC" w:rsidRDefault="008745ED" w:rsidP="00F67A0E">
      <w:pPr>
        <w:pStyle w:val="Heading1"/>
        <w:numPr>
          <w:ilvl w:val="0"/>
          <w:numId w:val="2"/>
        </w:numPr>
        <w:rPr>
          <w:rFonts w:cs="Times New Roman"/>
        </w:rPr>
      </w:pPr>
      <w:bookmarkStart w:id="17" w:name="_Toc222741648"/>
      <w:r>
        <w:rPr>
          <w:rFonts w:cs="Times New Roman"/>
          <w:bCs/>
          <w:lang w:val="pt-PT"/>
        </w:rPr>
        <w:t>Riscos e avisos</w:t>
      </w:r>
      <w:bookmarkEnd w:id="17"/>
    </w:p>
    <w:p w14:paraId="3D8BE6E3" w14:textId="77777777" w:rsidR="00042B91" w:rsidRPr="009461CC" w:rsidRDefault="00042B91" w:rsidP="00042B91">
      <w:pPr>
        <w:spacing w:after="0" w:afterAutospacing="0" w:line="240" w:lineRule="auto"/>
        <w:rPr>
          <w:rFonts w:cs="Times New Roman"/>
        </w:rPr>
      </w:pPr>
    </w:p>
    <w:p w14:paraId="04F70349" w14:textId="6FD2DA8D" w:rsidR="008745ED" w:rsidRPr="009461CC" w:rsidRDefault="008745ED" w:rsidP="00042B91">
      <w:pPr>
        <w:pStyle w:val="Heading1"/>
        <w:rPr>
          <w:rFonts w:cs="Times New Roman"/>
        </w:rPr>
      </w:pPr>
      <w:bookmarkStart w:id="18" w:name="_Toc222741649"/>
      <w:r>
        <w:rPr>
          <w:rFonts w:cs="Times New Roman"/>
          <w:bCs/>
          <w:lang w:val="pt-PT"/>
        </w:rPr>
        <w:t>Riscos residuais e efeitos secundários indesejáveis</w:t>
      </w:r>
      <w:bookmarkEnd w:id="18"/>
    </w:p>
    <w:p w14:paraId="2F64097C" w14:textId="607FF4A5" w:rsidR="00D15BBE" w:rsidRPr="009461CC" w:rsidRDefault="00C64987" w:rsidP="008D7F1C">
      <w:pPr>
        <w:ind w:left="792"/>
        <w:rPr>
          <w:rFonts w:cs="Times New Roman"/>
        </w:rPr>
      </w:pPr>
      <w:r>
        <w:rPr>
          <w:rFonts w:cs="Times New Roman"/>
          <w:lang w:val="pt-PT"/>
        </w:rPr>
        <w:t xml:space="preserve">Conforme o documento RMR-0011 Rev H, o seguinte perfil de risco-benefício foi descrito para o produto: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086"/>
        <w:gridCol w:w="2416"/>
        <w:gridCol w:w="3555"/>
      </w:tblGrid>
      <w:tr w:rsidR="00453251" w:rsidRPr="009461CC" w14:paraId="15FC12E9" w14:textId="77777777" w:rsidTr="00453251">
        <w:trPr>
          <w:trHeight w:val="620"/>
        </w:trPr>
        <w:tc>
          <w:tcPr>
            <w:tcW w:w="1138" w:type="pct"/>
            <w:shd w:val="clear" w:color="auto" w:fill="BFBFBF"/>
            <w:vAlign w:val="center"/>
          </w:tcPr>
          <w:p w14:paraId="024816D8"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pt-PT"/>
              </w:rPr>
              <w:t>Resultado</w:t>
            </w:r>
            <w:bookmarkStart w:id="19" w:name="_Toc86391902"/>
            <w:bookmarkEnd w:id="19"/>
          </w:p>
        </w:tc>
        <w:tc>
          <w:tcPr>
            <w:tcW w:w="1000" w:type="pct"/>
            <w:shd w:val="clear" w:color="auto" w:fill="BFBFBF"/>
          </w:tcPr>
          <w:p w14:paraId="22A108A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pt-PT"/>
              </w:rPr>
              <w:t>SOA</w:t>
            </w:r>
            <w:r>
              <w:rPr>
                <w:rFonts w:ascii="Times New Roman" w:hAnsi="Times New Roman" w:cs="Times New Roman"/>
                <w:lang w:val="pt-PT"/>
              </w:rPr>
              <w:br/>
              <w:t>Alcance total</w:t>
            </w:r>
          </w:p>
        </w:tc>
        <w:tc>
          <w:tcPr>
            <w:tcW w:w="1158" w:type="pct"/>
            <w:shd w:val="clear" w:color="auto" w:fill="BFBFBF"/>
            <w:vAlign w:val="center"/>
          </w:tcPr>
          <w:p w14:paraId="16D6B523"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pt-PT"/>
              </w:rPr>
              <w:t>Dispositivo concorrente</w:t>
            </w:r>
          </w:p>
          <w:p w14:paraId="45EFB37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pt-PT"/>
              </w:rPr>
              <w:t>Alcance total</w:t>
            </w:r>
            <w:bookmarkStart w:id="20" w:name="_Toc86391905"/>
            <w:bookmarkEnd w:id="20"/>
          </w:p>
        </w:tc>
        <w:tc>
          <w:tcPr>
            <w:tcW w:w="1704" w:type="pct"/>
            <w:shd w:val="clear" w:color="auto" w:fill="BFBFBF"/>
            <w:vAlign w:val="center"/>
          </w:tcPr>
          <w:p w14:paraId="17C5AFF5"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pt-PT"/>
              </w:rPr>
              <w:t>Critérios de Aceitação</w:t>
            </w:r>
            <w:bookmarkStart w:id="21" w:name="_Toc86391906"/>
            <w:bookmarkEnd w:id="21"/>
          </w:p>
        </w:tc>
        <w:bookmarkStart w:id="22" w:name="_Toc86391907"/>
        <w:bookmarkEnd w:id="22"/>
      </w:tr>
      <w:tr w:rsidR="00453251" w:rsidRPr="009461CC" w14:paraId="5B41AE2D" w14:textId="77777777" w:rsidTr="00453251">
        <w:tc>
          <w:tcPr>
            <w:tcW w:w="5000" w:type="pct"/>
            <w:gridSpan w:val="4"/>
            <w:shd w:val="clear" w:color="auto" w:fill="D9D9D9"/>
          </w:tcPr>
          <w:p w14:paraId="026E445F" w14:textId="77777777" w:rsidR="00453251" w:rsidRPr="009461CC" w:rsidRDefault="00453251" w:rsidP="00AC7398">
            <w:pPr>
              <w:pStyle w:val="TableTextLeft"/>
              <w:rPr>
                <w:rFonts w:ascii="Times New Roman" w:hAnsi="Times New Roman" w:cs="Times New Roman"/>
                <w:b/>
                <w:bCs/>
              </w:rPr>
            </w:pPr>
            <w:r>
              <w:rPr>
                <w:rFonts w:ascii="Times New Roman" w:hAnsi="Times New Roman" w:cs="Times New Roman"/>
                <w:b/>
                <w:bCs/>
                <w:iCs w:val="0"/>
                <w:lang w:val="pt-PT"/>
              </w:rPr>
              <w:t>Segurança</w:t>
            </w:r>
          </w:p>
        </w:tc>
      </w:tr>
      <w:tr w:rsidR="00453251" w:rsidRPr="009461CC" w14:paraId="2ECEC40D" w14:textId="77777777" w:rsidTr="00453251">
        <w:tc>
          <w:tcPr>
            <w:tcW w:w="1138" w:type="pct"/>
          </w:tcPr>
          <w:p w14:paraId="01C3E100"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pt-PT"/>
              </w:rPr>
              <w:t>Sangramento</w:t>
            </w:r>
            <w:bookmarkStart w:id="23" w:name="_Toc86391910"/>
            <w:bookmarkEnd w:id="23"/>
          </w:p>
        </w:tc>
        <w:tc>
          <w:tcPr>
            <w:tcW w:w="1000" w:type="pct"/>
            <w:vAlign w:val="center"/>
          </w:tcPr>
          <w:p w14:paraId="529B6FA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pt-PT"/>
              </w:rPr>
              <w:t>0-3%</w:t>
            </w:r>
          </w:p>
        </w:tc>
        <w:tc>
          <w:tcPr>
            <w:tcW w:w="1158" w:type="pct"/>
            <w:vAlign w:val="center"/>
          </w:tcPr>
          <w:p w14:paraId="30172B6B" w14:textId="77777777" w:rsidR="00453251" w:rsidRPr="009461CC" w:rsidRDefault="00453251" w:rsidP="00AC7398">
            <w:pPr>
              <w:pStyle w:val="TableTextLeft"/>
              <w:jc w:val="center"/>
              <w:rPr>
                <w:rFonts w:ascii="Times New Roman" w:hAnsi="Times New Roman" w:cs="Times New Roman"/>
                <w:iCs w:val="0"/>
              </w:rPr>
            </w:pPr>
            <w:bookmarkStart w:id="24" w:name="_Toc86391913"/>
            <w:bookmarkStart w:id="25" w:name="_Toc86391911"/>
            <w:bookmarkEnd w:id="24"/>
            <w:bookmarkEnd w:id="25"/>
            <w:r>
              <w:rPr>
                <w:rFonts w:ascii="Times New Roman" w:hAnsi="Times New Roman" w:cs="Times New Roman"/>
                <w:iCs w:val="0"/>
                <w:lang w:val="pt-PT"/>
              </w:rPr>
              <w:t>0-0,6%</w:t>
            </w:r>
          </w:p>
        </w:tc>
        <w:tc>
          <w:tcPr>
            <w:tcW w:w="1704" w:type="pct"/>
            <w:vAlign w:val="center"/>
          </w:tcPr>
          <w:p w14:paraId="03E978DF" w14:textId="77777777" w:rsidR="00453251" w:rsidRPr="009461CC" w:rsidRDefault="00453251" w:rsidP="00AC7398">
            <w:pPr>
              <w:pStyle w:val="TableTextLeft"/>
              <w:rPr>
                <w:rFonts w:ascii="Times New Roman" w:hAnsi="Times New Roman" w:cs="Times New Roman"/>
              </w:rPr>
            </w:pPr>
            <w:bookmarkStart w:id="26" w:name="_Toc86391914"/>
            <w:bookmarkEnd w:id="26"/>
            <w:r>
              <w:rPr>
                <w:rFonts w:ascii="Times New Roman" w:hAnsi="Times New Roman" w:cs="Times New Roman"/>
                <w:iCs w:val="0"/>
                <w:lang w:val="pt-PT"/>
              </w:rPr>
              <w:t xml:space="preserve">Taxas de sangramento </w:t>
            </w:r>
            <w:r>
              <w:rPr>
                <w:rFonts w:ascii="Times New Roman" w:hAnsi="Times New Roman" w:cs="Times New Roman"/>
                <w:b/>
                <w:bCs/>
                <w:iCs w:val="0"/>
                <w:lang w:val="pt-PT"/>
              </w:rPr>
              <w:t>inferiores a 3%</w:t>
            </w:r>
          </w:p>
        </w:tc>
        <w:bookmarkStart w:id="27" w:name="_Toc86391915"/>
        <w:bookmarkEnd w:id="27"/>
      </w:tr>
      <w:tr w:rsidR="00453251" w:rsidRPr="009461CC" w14:paraId="770200CA" w14:textId="77777777" w:rsidTr="00453251">
        <w:tc>
          <w:tcPr>
            <w:tcW w:w="1138" w:type="pct"/>
          </w:tcPr>
          <w:p w14:paraId="4D43F3AC"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pt-PT"/>
              </w:rPr>
              <w:t>Perfuração/danos nos tecidos</w:t>
            </w:r>
            <w:bookmarkStart w:id="28" w:name="_Toc86391916"/>
            <w:bookmarkEnd w:id="28"/>
          </w:p>
        </w:tc>
        <w:tc>
          <w:tcPr>
            <w:tcW w:w="1000" w:type="pct"/>
            <w:vAlign w:val="center"/>
          </w:tcPr>
          <w:p w14:paraId="42E7FC3B"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pt-PT"/>
              </w:rPr>
              <w:t>0-1,7%</w:t>
            </w:r>
          </w:p>
        </w:tc>
        <w:tc>
          <w:tcPr>
            <w:tcW w:w="1158" w:type="pct"/>
            <w:vAlign w:val="center"/>
          </w:tcPr>
          <w:p w14:paraId="58C428BE" w14:textId="77777777" w:rsidR="00453251" w:rsidRPr="009461CC" w:rsidRDefault="00453251" w:rsidP="00AC7398">
            <w:pPr>
              <w:pStyle w:val="TableTextLeft"/>
              <w:jc w:val="center"/>
              <w:rPr>
                <w:rFonts w:ascii="Times New Roman" w:hAnsi="Times New Roman" w:cs="Times New Roman"/>
                <w:iCs w:val="0"/>
              </w:rPr>
            </w:pPr>
            <w:bookmarkStart w:id="29" w:name="_Toc86391919"/>
            <w:bookmarkStart w:id="30" w:name="_Toc86391917"/>
            <w:bookmarkEnd w:id="29"/>
            <w:bookmarkEnd w:id="30"/>
            <w:r>
              <w:rPr>
                <w:rFonts w:ascii="Times New Roman" w:hAnsi="Times New Roman" w:cs="Times New Roman"/>
                <w:iCs w:val="0"/>
                <w:lang w:val="pt-PT"/>
              </w:rPr>
              <w:t>0-4,0%</w:t>
            </w:r>
          </w:p>
        </w:tc>
        <w:tc>
          <w:tcPr>
            <w:tcW w:w="1704" w:type="pct"/>
            <w:vAlign w:val="center"/>
          </w:tcPr>
          <w:p w14:paraId="785BDB89" w14:textId="77777777" w:rsidR="00453251" w:rsidRPr="009461CC" w:rsidRDefault="00453251" w:rsidP="00AC7398">
            <w:pPr>
              <w:pStyle w:val="TableTextLeft"/>
              <w:rPr>
                <w:rFonts w:ascii="Times New Roman" w:hAnsi="Times New Roman" w:cs="Times New Roman"/>
                <w:b/>
                <w:bCs/>
              </w:rPr>
            </w:pPr>
            <w:bookmarkStart w:id="31" w:name="_Toc86391920"/>
            <w:bookmarkEnd w:id="31"/>
            <w:r>
              <w:rPr>
                <w:rFonts w:ascii="Times New Roman" w:hAnsi="Times New Roman" w:cs="Times New Roman"/>
                <w:iCs w:val="0"/>
                <w:lang w:val="pt-PT"/>
              </w:rPr>
              <w:t xml:space="preserve">Taxas de perfuração/danos nos tecidos </w:t>
            </w:r>
            <w:r>
              <w:rPr>
                <w:rFonts w:ascii="Times New Roman" w:hAnsi="Times New Roman" w:cs="Times New Roman"/>
                <w:b/>
                <w:bCs/>
                <w:iCs w:val="0"/>
                <w:lang w:val="pt-PT"/>
              </w:rPr>
              <w:t>inferiores a 4%</w:t>
            </w:r>
          </w:p>
        </w:tc>
        <w:bookmarkStart w:id="32" w:name="_Toc86391921"/>
        <w:bookmarkEnd w:id="32"/>
      </w:tr>
      <w:tr w:rsidR="00453251" w:rsidRPr="009461CC" w14:paraId="3D17E0CA" w14:textId="77777777" w:rsidTr="00453251">
        <w:tc>
          <w:tcPr>
            <w:tcW w:w="1138" w:type="pct"/>
          </w:tcPr>
          <w:p w14:paraId="22E5467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pt-PT"/>
              </w:rPr>
              <w:t>Embolia gasosa</w:t>
            </w:r>
            <w:bookmarkStart w:id="33" w:name="_Toc86391922"/>
            <w:bookmarkEnd w:id="33"/>
          </w:p>
        </w:tc>
        <w:tc>
          <w:tcPr>
            <w:tcW w:w="1000" w:type="pct"/>
            <w:vAlign w:val="center"/>
          </w:tcPr>
          <w:p w14:paraId="50CDDBB0"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pt-PT"/>
              </w:rPr>
              <w:t>0-2,1%</w:t>
            </w:r>
          </w:p>
        </w:tc>
        <w:tc>
          <w:tcPr>
            <w:tcW w:w="1158" w:type="pct"/>
            <w:vAlign w:val="center"/>
          </w:tcPr>
          <w:p w14:paraId="0471C436" w14:textId="77777777" w:rsidR="00453251" w:rsidRPr="009461CC" w:rsidRDefault="00453251" w:rsidP="00AC7398">
            <w:pPr>
              <w:pStyle w:val="TableTextLeft"/>
              <w:jc w:val="center"/>
              <w:rPr>
                <w:rFonts w:ascii="Times New Roman" w:hAnsi="Times New Roman" w:cs="Times New Roman"/>
                <w:iCs w:val="0"/>
              </w:rPr>
            </w:pPr>
            <w:bookmarkStart w:id="34" w:name="_Toc86391925"/>
            <w:bookmarkStart w:id="35" w:name="_Toc86391923"/>
            <w:bookmarkEnd w:id="34"/>
            <w:bookmarkEnd w:id="35"/>
            <w:r>
              <w:rPr>
                <w:rFonts w:ascii="Times New Roman" w:hAnsi="Times New Roman" w:cs="Times New Roman"/>
                <w:iCs w:val="0"/>
                <w:lang w:val="pt-PT"/>
              </w:rPr>
              <w:t>0-0,6%</w:t>
            </w:r>
          </w:p>
        </w:tc>
        <w:tc>
          <w:tcPr>
            <w:tcW w:w="1704" w:type="pct"/>
            <w:vAlign w:val="center"/>
          </w:tcPr>
          <w:p w14:paraId="1B80F3DB" w14:textId="77777777" w:rsidR="00453251" w:rsidRPr="009461CC" w:rsidRDefault="00453251" w:rsidP="00AC7398">
            <w:pPr>
              <w:pStyle w:val="TableTextLeft"/>
              <w:rPr>
                <w:rFonts w:ascii="Times New Roman" w:hAnsi="Times New Roman" w:cs="Times New Roman"/>
                <w:b/>
                <w:bCs/>
              </w:rPr>
            </w:pPr>
            <w:bookmarkStart w:id="36" w:name="_Toc86391926"/>
            <w:bookmarkEnd w:id="36"/>
            <w:r>
              <w:rPr>
                <w:rFonts w:ascii="Times New Roman" w:hAnsi="Times New Roman" w:cs="Times New Roman"/>
                <w:iCs w:val="0"/>
                <w:lang w:val="pt-PT"/>
              </w:rPr>
              <w:t xml:space="preserve">Embolia </w:t>
            </w:r>
            <w:r>
              <w:rPr>
                <w:rFonts w:ascii="Times New Roman" w:hAnsi="Times New Roman" w:cs="Times New Roman"/>
                <w:b/>
                <w:bCs/>
                <w:iCs w:val="0"/>
                <w:lang w:val="pt-PT"/>
              </w:rPr>
              <w:t>inferior a 2,1%</w:t>
            </w:r>
          </w:p>
        </w:tc>
        <w:bookmarkStart w:id="37" w:name="_Toc86391927"/>
        <w:bookmarkEnd w:id="37"/>
      </w:tr>
      <w:tr w:rsidR="00453251" w:rsidRPr="009461CC" w14:paraId="33FEDA6C" w14:textId="77777777" w:rsidTr="00453251">
        <w:tc>
          <w:tcPr>
            <w:tcW w:w="1138" w:type="pct"/>
          </w:tcPr>
          <w:p w14:paraId="5817831E"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pt-PT"/>
              </w:rPr>
              <w:t>Infeção</w:t>
            </w:r>
            <w:bookmarkStart w:id="38" w:name="_Toc86391928"/>
            <w:bookmarkEnd w:id="38"/>
          </w:p>
        </w:tc>
        <w:tc>
          <w:tcPr>
            <w:tcW w:w="1000" w:type="pct"/>
            <w:vAlign w:val="center"/>
          </w:tcPr>
          <w:p w14:paraId="190DF8A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pt-PT"/>
              </w:rPr>
              <w:t>0%</w:t>
            </w:r>
          </w:p>
        </w:tc>
        <w:tc>
          <w:tcPr>
            <w:tcW w:w="1158" w:type="pct"/>
            <w:vAlign w:val="center"/>
          </w:tcPr>
          <w:p w14:paraId="480907F1" w14:textId="77777777" w:rsidR="00453251" w:rsidRPr="009461CC" w:rsidRDefault="00453251" w:rsidP="00AC7398">
            <w:pPr>
              <w:pStyle w:val="TableTextLeft"/>
              <w:jc w:val="center"/>
              <w:rPr>
                <w:rFonts w:ascii="Times New Roman" w:hAnsi="Times New Roman" w:cs="Times New Roman"/>
                <w:iCs w:val="0"/>
              </w:rPr>
            </w:pPr>
            <w:bookmarkStart w:id="39" w:name="_Toc86391931"/>
            <w:bookmarkStart w:id="40" w:name="_Toc86391929"/>
            <w:bookmarkEnd w:id="39"/>
            <w:bookmarkEnd w:id="40"/>
            <w:r>
              <w:rPr>
                <w:rFonts w:ascii="Times New Roman" w:hAnsi="Times New Roman" w:cs="Times New Roman"/>
                <w:iCs w:val="0"/>
                <w:lang w:val="pt-PT"/>
              </w:rPr>
              <w:t>0%</w:t>
            </w:r>
          </w:p>
        </w:tc>
        <w:tc>
          <w:tcPr>
            <w:tcW w:w="1704" w:type="pct"/>
            <w:vAlign w:val="center"/>
          </w:tcPr>
          <w:p w14:paraId="1D828A42" w14:textId="77777777" w:rsidR="00453251" w:rsidRPr="009461CC" w:rsidRDefault="00453251" w:rsidP="00AC7398">
            <w:pPr>
              <w:pStyle w:val="TableTextLeft"/>
              <w:rPr>
                <w:rFonts w:ascii="Times New Roman" w:hAnsi="Times New Roman" w:cs="Times New Roman"/>
                <w:b/>
                <w:bCs/>
              </w:rPr>
            </w:pPr>
            <w:bookmarkStart w:id="41" w:name="_Toc86391932"/>
            <w:bookmarkEnd w:id="41"/>
            <w:r>
              <w:rPr>
                <w:rFonts w:ascii="Times New Roman" w:hAnsi="Times New Roman" w:cs="Times New Roman"/>
                <w:iCs w:val="0"/>
                <w:lang w:val="pt-PT"/>
              </w:rPr>
              <w:t xml:space="preserve">Infeção </w:t>
            </w:r>
            <w:r>
              <w:rPr>
                <w:rFonts w:ascii="Times New Roman" w:hAnsi="Times New Roman" w:cs="Times New Roman"/>
                <w:b/>
                <w:bCs/>
                <w:iCs w:val="0"/>
                <w:lang w:val="pt-PT"/>
              </w:rPr>
              <w:t>inferior a 0%</w:t>
            </w:r>
          </w:p>
        </w:tc>
        <w:bookmarkStart w:id="42" w:name="_Toc86391933"/>
        <w:bookmarkEnd w:id="42"/>
      </w:tr>
      <w:tr w:rsidR="00453251" w:rsidRPr="009461CC" w14:paraId="00F9D43C" w14:textId="77777777" w:rsidTr="00453251">
        <w:tc>
          <w:tcPr>
            <w:tcW w:w="1138" w:type="pct"/>
          </w:tcPr>
          <w:p w14:paraId="530E2FE9"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pt-PT"/>
              </w:rPr>
              <w:t>Reação alérgica</w:t>
            </w:r>
            <w:bookmarkStart w:id="43" w:name="_Toc86391934"/>
            <w:bookmarkEnd w:id="43"/>
          </w:p>
        </w:tc>
        <w:tc>
          <w:tcPr>
            <w:tcW w:w="1000" w:type="pct"/>
            <w:vAlign w:val="center"/>
          </w:tcPr>
          <w:p w14:paraId="6250CCD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pt-PT"/>
              </w:rPr>
              <w:t>0%</w:t>
            </w:r>
          </w:p>
        </w:tc>
        <w:tc>
          <w:tcPr>
            <w:tcW w:w="1158" w:type="pct"/>
            <w:vAlign w:val="center"/>
          </w:tcPr>
          <w:p w14:paraId="50CF5415" w14:textId="77777777" w:rsidR="00453251" w:rsidRPr="009461CC" w:rsidRDefault="00453251" w:rsidP="00AC7398">
            <w:pPr>
              <w:pStyle w:val="TableTextLeft"/>
              <w:jc w:val="center"/>
              <w:rPr>
                <w:rFonts w:ascii="Times New Roman" w:hAnsi="Times New Roman" w:cs="Times New Roman"/>
                <w:iCs w:val="0"/>
              </w:rPr>
            </w:pPr>
            <w:bookmarkStart w:id="44" w:name="_Toc86391937"/>
            <w:bookmarkStart w:id="45" w:name="_Toc86391935"/>
            <w:bookmarkEnd w:id="44"/>
            <w:bookmarkEnd w:id="45"/>
            <w:r>
              <w:rPr>
                <w:rFonts w:ascii="Times New Roman" w:hAnsi="Times New Roman" w:cs="Times New Roman"/>
                <w:iCs w:val="0"/>
                <w:lang w:val="pt-PT"/>
              </w:rPr>
              <w:t>0%</w:t>
            </w:r>
          </w:p>
        </w:tc>
        <w:tc>
          <w:tcPr>
            <w:tcW w:w="1704" w:type="pct"/>
            <w:vAlign w:val="center"/>
          </w:tcPr>
          <w:p w14:paraId="3CD98CC2" w14:textId="77777777" w:rsidR="00453251" w:rsidRPr="009461CC" w:rsidRDefault="00453251" w:rsidP="00AC7398">
            <w:pPr>
              <w:pStyle w:val="TableTextLeft"/>
              <w:rPr>
                <w:rFonts w:ascii="Times New Roman" w:hAnsi="Times New Roman" w:cs="Times New Roman"/>
                <w:b/>
                <w:bCs/>
              </w:rPr>
            </w:pPr>
            <w:bookmarkStart w:id="46" w:name="_Toc86391938"/>
            <w:bookmarkEnd w:id="46"/>
            <w:r>
              <w:rPr>
                <w:rFonts w:ascii="Times New Roman" w:hAnsi="Times New Roman" w:cs="Times New Roman"/>
                <w:iCs w:val="0"/>
                <w:lang w:val="pt-PT"/>
              </w:rPr>
              <w:t xml:space="preserve">Reação alérgica </w:t>
            </w:r>
            <w:r>
              <w:rPr>
                <w:rFonts w:ascii="Times New Roman" w:hAnsi="Times New Roman" w:cs="Times New Roman"/>
                <w:b/>
                <w:bCs/>
                <w:iCs w:val="0"/>
                <w:lang w:val="pt-PT"/>
              </w:rPr>
              <w:t>inferior a 0%</w:t>
            </w:r>
          </w:p>
        </w:tc>
        <w:bookmarkStart w:id="47" w:name="_Toc86391939"/>
        <w:bookmarkEnd w:id="47"/>
      </w:tr>
      <w:tr w:rsidR="00453251" w:rsidRPr="009461CC" w14:paraId="027FF060" w14:textId="77777777" w:rsidTr="00453251">
        <w:trPr>
          <w:trHeight w:val="197"/>
        </w:trPr>
        <w:tc>
          <w:tcPr>
            <w:tcW w:w="1138" w:type="pct"/>
          </w:tcPr>
          <w:p w14:paraId="0B4FA88A"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pt-PT"/>
              </w:rPr>
              <w:t>Dor</w:t>
            </w:r>
            <w:bookmarkStart w:id="48" w:name="_Toc86391940"/>
            <w:bookmarkEnd w:id="48"/>
          </w:p>
        </w:tc>
        <w:tc>
          <w:tcPr>
            <w:tcW w:w="1000" w:type="pct"/>
            <w:vAlign w:val="center"/>
          </w:tcPr>
          <w:p w14:paraId="0A01661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pt-PT"/>
              </w:rPr>
              <w:t>0%</w:t>
            </w:r>
          </w:p>
        </w:tc>
        <w:tc>
          <w:tcPr>
            <w:tcW w:w="1158" w:type="pct"/>
            <w:vAlign w:val="center"/>
          </w:tcPr>
          <w:p w14:paraId="72B648EC" w14:textId="77777777" w:rsidR="00453251" w:rsidRPr="009461CC" w:rsidRDefault="00453251" w:rsidP="00AC7398">
            <w:pPr>
              <w:pStyle w:val="TableTextLeft"/>
              <w:jc w:val="center"/>
              <w:rPr>
                <w:rFonts w:ascii="Times New Roman" w:hAnsi="Times New Roman" w:cs="Times New Roman"/>
                <w:iCs w:val="0"/>
              </w:rPr>
            </w:pPr>
            <w:bookmarkStart w:id="49" w:name="_Toc86391943"/>
            <w:bookmarkStart w:id="50" w:name="_Toc86391941"/>
            <w:bookmarkEnd w:id="49"/>
            <w:bookmarkEnd w:id="50"/>
            <w:r>
              <w:rPr>
                <w:rFonts w:ascii="Times New Roman" w:hAnsi="Times New Roman" w:cs="Times New Roman"/>
                <w:iCs w:val="0"/>
                <w:lang w:val="pt-PT"/>
              </w:rPr>
              <w:t>0%</w:t>
            </w:r>
          </w:p>
        </w:tc>
        <w:tc>
          <w:tcPr>
            <w:tcW w:w="1704" w:type="pct"/>
            <w:vAlign w:val="center"/>
          </w:tcPr>
          <w:p w14:paraId="56186FA5" w14:textId="77777777" w:rsidR="00453251" w:rsidRPr="009461CC" w:rsidRDefault="00453251" w:rsidP="00AC7398">
            <w:pPr>
              <w:pStyle w:val="TableTextLeft"/>
              <w:rPr>
                <w:rFonts w:ascii="Times New Roman" w:hAnsi="Times New Roman" w:cs="Times New Roman"/>
                <w:b/>
                <w:bCs/>
              </w:rPr>
            </w:pPr>
            <w:bookmarkStart w:id="51" w:name="_Toc86391944"/>
            <w:bookmarkEnd w:id="51"/>
            <w:r>
              <w:rPr>
                <w:rFonts w:ascii="Times New Roman" w:hAnsi="Times New Roman" w:cs="Times New Roman"/>
                <w:iCs w:val="0"/>
                <w:lang w:val="pt-PT"/>
              </w:rPr>
              <w:t xml:space="preserve">Dor </w:t>
            </w:r>
            <w:r>
              <w:rPr>
                <w:rFonts w:ascii="Times New Roman" w:hAnsi="Times New Roman" w:cs="Times New Roman"/>
                <w:b/>
                <w:bCs/>
                <w:iCs w:val="0"/>
                <w:lang w:val="pt-PT"/>
              </w:rPr>
              <w:t>inferior a 0%</w:t>
            </w:r>
          </w:p>
        </w:tc>
        <w:bookmarkStart w:id="52" w:name="_Toc86391945"/>
        <w:bookmarkEnd w:id="52"/>
      </w:tr>
      <w:tr w:rsidR="00453251" w:rsidRPr="009461CC" w14:paraId="28252FD0" w14:textId="77777777" w:rsidTr="00453251">
        <w:tc>
          <w:tcPr>
            <w:tcW w:w="1138" w:type="pct"/>
          </w:tcPr>
          <w:p w14:paraId="013547C7"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pt-PT"/>
              </w:rPr>
              <w:t>Complicação geral</w:t>
            </w:r>
            <w:bookmarkStart w:id="53" w:name="_Toc86391946"/>
            <w:bookmarkEnd w:id="53"/>
          </w:p>
        </w:tc>
        <w:tc>
          <w:tcPr>
            <w:tcW w:w="1000" w:type="pct"/>
            <w:vAlign w:val="center"/>
          </w:tcPr>
          <w:p w14:paraId="740F59E9"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pt-PT"/>
              </w:rPr>
              <w:t>0-5,2%</w:t>
            </w:r>
          </w:p>
        </w:tc>
        <w:tc>
          <w:tcPr>
            <w:tcW w:w="1158" w:type="pct"/>
            <w:vAlign w:val="center"/>
          </w:tcPr>
          <w:p w14:paraId="0BF92E76" w14:textId="77777777" w:rsidR="00453251" w:rsidRPr="009461CC" w:rsidRDefault="00453251" w:rsidP="00AC7398">
            <w:pPr>
              <w:pStyle w:val="TableTextLeft"/>
              <w:jc w:val="center"/>
              <w:rPr>
                <w:rFonts w:ascii="Times New Roman" w:hAnsi="Times New Roman" w:cs="Times New Roman"/>
                <w:iCs w:val="0"/>
              </w:rPr>
            </w:pPr>
            <w:bookmarkStart w:id="54" w:name="_Toc86391949"/>
            <w:bookmarkStart w:id="55" w:name="_Toc86391947"/>
            <w:bookmarkEnd w:id="54"/>
            <w:bookmarkEnd w:id="55"/>
            <w:r>
              <w:rPr>
                <w:rFonts w:ascii="Times New Roman" w:hAnsi="Times New Roman" w:cs="Times New Roman"/>
                <w:iCs w:val="0"/>
                <w:lang w:val="pt-PT"/>
              </w:rPr>
              <w:t>0-4%</w:t>
            </w:r>
          </w:p>
        </w:tc>
        <w:tc>
          <w:tcPr>
            <w:tcW w:w="1704" w:type="pct"/>
            <w:vAlign w:val="center"/>
          </w:tcPr>
          <w:p w14:paraId="71781E09" w14:textId="77777777" w:rsidR="00453251" w:rsidRPr="009461CC" w:rsidRDefault="00453251" w:rsidP="00AC7398">
            <w:pPr>
              <w:pStyle w:val="TableTextLeft"/>
              <w:rPr>
                <w:rFonts w:ascii="Times New Roman" w:hAnsi="Times New Roman" w:cs="Times New Roman"/>
              </w:rPr>
            </w:pPr>
            <w:bookmarkStart w:id="56" w:name="_Toc86391950"/>
            <w:bookmarkEnd w:id="56"/>
            <w:r>
              <w:rPr>
                <w:rFonts w:ascii="Times New Roman" w:hAnsi="Times New Roman" w:cs="Times New Roman"/>
                <w:iCs w:val="0"/>
                <w:lang w:val="pt-PT"/>
              </w:rPr>
              <w:t xml:space="preserve">Complicações gerais </w:t>
            </w:r>
            <w:r>
              <w:rPr>
                <w:rFonts w:ascii="Times New Roman" w:hAnsi="Times New Roman" w:cs="Times New Roman"/>
                <w:b/>
                <w:bCs/>
                <w:iCs w:val="0"/>
                <w:lang w:val="pt-PT"/>
              </w:rPr>
              <w:t>inferiores a 5,2%</w:t>
            </w:r>
          </w:p>
        </w:tc>
        <w:bookmarkStart w:id="57" w:name="_Toc86391951"/>
        <w:bookmarkEnd w:id="57"/>
      </w:tr>
      <w:tr w:rsidR="00453251" w:rsidRPr="009461CC" w14:paraId="0BC00479" w14:textId="77777777" w:rsidTr="00453251">
        <w:tc>
          <w:tcPr>
            <w:tcW w:w="5000" w:type="pct"/>
            <w:gridSpan w:val="4"/>
            <w:shd w:val="clear" w:color="auto" w:fill="D9D9D9"/>
            <w:vAlign w:val="center"/>
          </w:tcPr>
          <w:p w14:paraId="35A811CF"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b/>
                <w:bCs/>
                <w:iCs w:val="0"/>
                <w:lang w:val="pt-PT"/>
              </w:rPr>
              <w:t>Desempenho</w:t>
            </w:r>
          </w:p>
        </w:tc>
      </w:tr>
      <w:tr w:rsidR="00453251" w:rsidRPr="009461CC" w14:paraId="6F720CB6" w14:textId="77777777" w:rsidTr="00453251">
        <w:tc>
          <w:tcPr>
            <w:tcW w:w="1138" w:type="pct"/>
            <w:vAlign w:val="center"/>
          </w:tcPr>
          <w:p w14:paraId="60785A5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pt-PT"/>
              </w:rPr>
              <w:t xml:space="preserve">Sucesso técnico </w:t>
            </w:r>
            <w:bookmarkStart w:id="58" w:name="_Toc86391954"/>
            <w:bookmarkEnd w:id="58"/>
          </w:p>
        </w:tc>
        <w:tc>
          <w:tcPr>
            <w:tcW w:w="1000" w:type="pct"/>
            <w:vAlign w:val="center"/>
          </w:tcPr>
          <w:p w14:paraId="042F9BC6" w14:textId="77777777" w:rsidR="00453251" w:rsidRPr="009461CC" w:rsidDel="002D4462"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pt-PT"/>
              </w:rPr>
              <w:t>82,8–100%</w:t>
            </w:r>
          </w:p>
        </w:tc>
        <w:tc>
          <w:tcPr>
            <w:tcW w:w="1158" w:type="pct"/>
            <w:vAlign w:val="center"/>
          </w:tcPr>
          <w:p w14:paraId="3177A351" w14:textId="77777777" w:rsidR="00453251" w:rsidRPr="009461CC" w:rsidRDefault="00453251" w:rsidP="00AC7398">
            <w:pPr>
              <w:pStyle w:val="TableTextLeft"/>
              <w:jc w:val="center"/>
              <w:rPr>
                <w:rFonts w:ascii="Times New Roman" w:hAnsi="Times New Roman" w:cs="Times New Roman"/>
                <w:iCs w:val="0"/>
              </w:rPr>
            </w:pPr>
            <w:bookmarkStart w:id="59" w:name="_Toc86391957"/>
            <w:bookmarkStart w:id="60" w:name="_Toc86391955"/>
            <w:bookmarkEnd w:id="59"/>
            <w:bookmarkEnd w:id="60"/>
            <w:r>
              <w:rPr>
                <w:rFonts w:ascii="Times New Roman" w:hAnsi="Times New Roman" w:cs="Times New Roman"/>
                <w:iCs w:val="0"/>
                <w:lang w:val="pt-PT"/>
              </w:rPr>
              <w:t>82,0-100%</w:t>
            </w:r>
          </w:p>
        </w:tc>
        <w:tc>
          <w:tcPr>
            <w:tcW w:w="1704" w:type="pct"/>
            <w:vAlign w:val="center"/>
          </w:tcPr>
          <w:p w14:paraId="55C13098" w14:textId="77777777" w:rsidR="00453251" w:rsidRPr="009461CC" w:rsidRDefault="00453251" w:rsidP="00AC7398">
            <w:pPr>
              <w:pStyle w:val="TableTextLeft"/>
              <w:rPr>
                <w:rFonts w:ascii="Times New Roman" w:hAnsi="Times New Roman" w:cs="Times New Roman"/>
              </w:rPr>
            </w:pPr>
            <w:bookmarkStart w:id="61" w:name="_Toc86391958"/>
            <w:bookmarkEnd w:id="61"/>
            <w:r>
              <w:rPr>
                <w:rFonts w:ascii="Times New Roman" w:hAnsi="Times New Roman" w:cs="Times New Roman"/>
                <w:iCs w:val="0"/>
                <w:lang w:val="pt-PT"/>
              </w:rPr>
              <w:t xml:space="preserve">Sucesso técnico </w:t>
            </w:r>
            <w:r>
              <w:rPr>
                <w:rFonts w:ascii="Times New Roman" w:hAnsi="Times New Roman" w:cs="Times New Roman"/>
                <w:b/>
                <w:bCs/>
                <w:iCs w:val="0"/>
                <w:lang w:val="pt-PT"/>
              </w:rPr>
              <w:t>superior a 82,0%</w:t>
            </w:r>
          </w:p>
        </w:tc>
        <w:bookmarkStart w:id="62" w:name="_Toc86391959"/>
        <w:bookmarkEnd w:id="62"/>
      </w:tr>
      <w:tr w:rsidR="00453251" w:rsidRPr="009461CC" w14:paraId="4E839B51" w14:textId="77777777" w:rsidTr="00453251">
        <w:tc>
          <w:tcPr>
            <w:tcW w:w="1138" w:type="pct"/>
            <w:vAlign w:val="center"/>
          </w:tcPr>
          <w:p w14:paraId="055E85A0"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pt-PT"/>
              </w:rPr>
              <w:t xml:space="preserve">Sucesso clínico </w:t>
            </w:r>
            <w:bookmarkStart w:id="63" w:name="_Toc86391960"/>
            <w:bookmarkEnd w:id="63"/>
          </w:p>
        </w:tc>
        <w:tc>
          <w:tcPr>
            <w:tcW w:w="1000" w:type="pct"/>
            <w:vAlign w:val="center"/>
          </w:tcPr>
          <w:p w14:paraId="163906FF"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pt-PT"/>
              </w:rPr>
              <w:t>95,2-100%</w:t>
            </w:r>
          </w:p>
        </w:tc>
        <w:tc>
          <w:tcPr>
            <w:tcW w:w="1158" w:type="pct"/>
            <w:vAlign w:val="center"/>
          </w:tcPr>
          <w:p w14:paraId="24CE1D22" w14:textId="77777777" w:rsidR="00453251" w:rsidRPr="009461CC" w:rsidRDefault="00453251" w:rsidP="00AC7398">
            <w:pPr>
              <w:pStyle w:val="TableTextLeft"/>
              <w:jc w:val="center"/>
              <w:rPr>
                <w:rFonts w:ascii="Times New Roman" w:hAnsi="Times New Roman" w:cs="Times New Roman"/>
                <w:iCs w:val="0"/>
              </w:rPr>
            </w:pPr>
            <w:bookmarkStart w:id="64" w:name="_Toc86391963"/>
            <w:bookmarkStart w:id="65" w:name="_Toc86391961"/>
            <w:bookmarkEnd w:id="64"/>
            <w:bookmarkEnd w:id="65"/>
            <w:r>
              <w:rPr>
                <w:rFonts w:ascii="Times New Roman" w:hAnsi="Times New Roman" w:cs="Times New Roman"/>
                <w:iCs w:val="0"/>
                <w:lang w:val="pt-PT"/>
              </w:rPr>
              <w:t>92,3-100%</w:t>
            </w:r>
          </w:p>
        </w:tc>
        <w:tc>
          <w:tcPr>
            <w:tcW w:w="1704" w:type="pct"/>
            <w:vAlign w:val="center"/>
          </w:tcPr>
          <w:p w14:paraId="1240798C" w14:textId="77777777" w:rsidR="00453251" w:rsidRPr="009461CC" w:rsidRDefault="00453251" w:rsidP="00AC7398">
            <w:pPr>
              <w:pStyle w:val="TableTextLeft"/>
              <w:rPr>
                <w:rFonts w:ascii="Times New Roman" w:hAnsi="Times New Roman" w:cs="Times New Roman"/>
              </w:rPr>
            </w:pPr>
            <w:bookmarkStart w:id="66" w:name="_Toc86391964"/>
            <w:bookmarkEnd w:id="66"/>
            <w:r>
              <w:rPr>
                <w:rFonts w:ascii="Times New Roman" w:hAnsi="Times New Roman" w:cs="Times New Roman"/>
                <w:iCs w:val="0"/>
                <w:lang w:val="pt-PT"/>
              </w:rPr>
              <w:t xml:space="preserve">Sucesso clínico </w:t>
            </w:r>
            <w:r>
              <w:rPr>
                <w:rFonts w:ascii="Times New Roman" w:hAnsi="Times New Roman" w:cs="Times New Roman"/>
                <w:b/>
                <w:bCs/>
                <w:iCs w:val="0"/>
                <w:lang w:val="pt-PT"/>
              </w:rPr>
              <w:t>superior a 92,3%</w:t>
            </w:r>
          </w:p>
        </w:tc>
        <w:bookmarkStart w:id="67" w:name="_Toc86391965"/>
        <w:bookmarkEnd w:id="67"/>
      </w:tr>
    </w:tbl>
    <w:p w14:paraId="47F3BE56" w14:textId="14358A29" w:rsidR="00941D63" w:rsidRPr="009461CC" w:rsidRDefault="00941D63" w:rsidP="00941D63">
      <w:pPr>
        <w:spacing w:before="100" w:beforeAutospacing="1" w:line="240" w:lineRule="auto"/>
        <w:rPr>
          <w:rFonts w:eastAsia="Times New Roman" w:cs="Times New Roman"/>
          <w:szCs w:val="24"/>
        </w:rPr>
      </w:pPr>
      <w:r>
        <w:rPr>
          <w:rFonts w:eastAsia="Times New Roman" w:cs="Times New Roman"/>
          <w:szCs w:val="24"/>
          <w:lang w:val="pt-PT"/>
        </w:rPr>
        <w:t>O Kit de Laço Vascular Atrieve™ apresenta um perfil de risco aceitável, sem riscos residuais classificados como inaceitáveis. Os potenciais danos ao paciente, como sangramento, embolia, infeção e lesão nos tecidos, são raros e estão dentro dos índices aceitáveis da indústria. Modos de falha comuns, como desprendimento de componentes ou resistência do dispositivo, são pouco frequentes e bem controlados.</w:t>
      </w:r>
    </w:p>
    <w:p w14:paraId="6CD9B2F8" w14:textId="27B9DB44" w:rsidR="00941D63" w:rsidRPr="009461CC" w:rsidRDefault="00941D63" w:rsidP="00941D63">
      <w:pPr>
        <w:spacing w:before="100" w:beforeAutospacing="1" w:line="240" w:lineRule="auto"/>
        <w:rPr>
          <w:rFonts w:eastAsia="Times New Roman" w:cs="Times New Roman"/>
          <w:szCs w:val="24"/>
        </w:rPr>
      </w:pPr>
      <w:r>
        <w:rPr>
          <w:rFonts w:eastAsia="Times New Roman" w:cs="Times New Roman"/>
          <w:szCs w:val="24"/>
          <w:lang w:val="pt-PT"/>
        </w:rPr>
        <w:t>Todos os riscos identificados são abordados através de rotulagem, advertências e instruções de uso. O risco geral é comparável ao de tratamentos alternativos, e os benefícios da remoção segura e minimamente invasiva de corpos estranhos pelo dispositivo superam os riscos. Nenhum novo risco foi identificado durante a monitorização pós-comercialização.</w:t>
      </w:r>
    </w:p>
    <w:p w14:paraId="503092B6" w14:textId="15AAF628" w:rsidR="000F0AC2" w:rsidRPr="009461CC" w:rsidRDefault="008745ED" w:rsidP="001035F0">
      <w:pPr>
        <w:pStyle w:val="Heading1"/>
        <w:rPr>
          <w:rFonts w:cs="Times New Roman"/>
        </w:rPr>
      </w:pPr>
      <w:bookmarkStart w:id="68" w:name="_Toc222741650"/>
      <w:r>
        <w:rPr>
          <w:rFonts w:cs="Times New Roman"/>
          <w:bCs/>
          <w:lang w:val="pt-PT"/>
        </w:rPr>
        <w:t>Avisos e precauções</w:t>
      </w:r>
      <w:bookmarkEnd w:id="68"/>
    </w:p>
    <w:p w14:paraId="3AFFFB2C" w14:textId="56B6C6C3" w:rsidR="00A030DC" w:rsidRPr="009461CC" w:rsidRDefault="00C64987" w:rsidP="006F12B6">
      <w:pPr>
        <w:spacing w:after="0" w:afterAutospacing="0" w:line="240" w:lineRule="auto"/>
        <w:ind w:left="792"/>
        <w:rPr>
          <w:rFonts w:cs="Times New Roman"/>
          <w:iCs/>
        </w:rPr>
      </w:pPr>
      <w:r>
        <w:rPr>
          <w:rFonts w:cs="Times New Roman"/>
          <w:lang w:val="pt-PT"/>
        </w:rPr>
        <w:t>Referência IFU X9585730-0321-EU Rev A</w:t>
      </w:r>
    </w:p>
    <w:p w14:paraId="581EAB6F" w14:textId="38AC09C7" w:rsidR="0084795E" w:rsidRPr="009461CC" w:rsidRDefault="0084795E" w:rsidP="006F12B6">
      <w:pPr>
        <w:spacing w:after="0" w:afterAutospacing="0" w:line="240" w:lineRule="auto"/>
        <w:ind w:left="792"/>
        <w:rPr>
          <w:rFonts w:cs="Times New Roman"/>
          <w:b/>
          <w:bCs/>
          <w:iCs/>
        </w:rPr>
      </w:pPr>
      <w:r>
        <w:rPr>
          <w:rFonts w:cs="Times New Roman"/>
          <w:b/>
          <w:bCs/>
          <w:lang w:val="pt-PT"/>
        </w:rPr>
        <w:t>Avisos:</w:t>
      </w:r>
    </w:p>
    <w:p w14:paraId="6D12BCC6"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pt-PT"/>
        </w:rPr>
        <w:t>Este dispositivo foi projetado, testado e fabricado para utilização única num paciente. A reutilização ou o reprocessamento deste dispositivo podem levar à sua falha e consequentes lesões ao paciente. O reprocessamento e/ou reesterilização deste dispositivo pode acarretar risco de contaminação e infeção do paciente. Não reutilizar, reprocessar ou reesterilizar este dispositivo.</w:t>
      </w:r>
    </w:p>
    <w:p w14:paraId="02E0F1FE"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pt-PT"/>
        </w:rPr>
        <w:t>Inspecionar a integridade da embalagem antes da sua utilização.</w:t>
      </w:r>
    </w:p>
    <w:p w14:paraId="0AB04CB5"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pt-PT"/>
        </w:rPr>
        <w:lastRenderedPageBreak/>
        <w:t>Não utilizar se a embalagem estiver aberta ou danificada e se a data de validade tiver sido ultrapassada.</w:t>
      </w:r>
    </w:p>
    <w:p w14:paraId="287B6E69"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pt-PT"/>
        </w:rPr>
        <w:t>Não continuar a utilizar se algum dos componentes for danificado durante o procedimento.</w:t>
      </w:r>
    </w:p>
    <w:p w14:paraId="22477486"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pt-PT"/>
        </w:rPr>
        <w:t>Nitinol é uma liga de níquel-titânio. Pode ocorrer reação em pacientes que apresentem sensibilidade ao níquel.</w:t>
      </w:r>
    </w:p>
    <w:p w14:paraId="2A4E00BA"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pt-PT"/>
        </w:rPr>
        <w:t>Pode ocorrer reação em pacientes que apresentem sensibilidade à platina.</w:t>
      </w:r>
    </w:p>
    <w:p w14:paraId="0D7E98B5" w14:textId="77777777" w:rsidR="00C13612" w:rsidRPr="009461CC"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rPr>
      </w:pPr>
      <w:r>
        <w:rPr>
          <w:rFonts w:eastAsia="Times New Roman" w:cs="Times New Roman"/>
          <w:szCs w:val="24"/>
          <w:lang w:val="pt-PT"/>
        </w:rPr>
        <w:t>Proceder com cuidado ao utilizar este dispositivo para remover uma bainha de fibrina grande, de modo a minimizar o risco de embolia pulmonar.</w:t>
      </w:r>
    </w:p>
    <w:p w14:paraId="4CB50B44" w14:textId="77777777" w:rsidR="00C13612" w:rsidRPr="009461CC"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rPr>
      </w:pPr>
      <w:r>
        <w:rPr>
          <w:rFonts w:eastAsia="Times New Roman" w:cs="Times New Roman"/>
          <w:szCs w:val="24"/>
          <w:lang w:val="pt-PT"/>
        </w:rPr>
        <w:t>Pode ocorrer hemorragia através da haste do cateter de introdução durante alguns procedimentos. É possível ligar uma válvula de hemóstase (não incluída) ao cateter de introdução para reduzir a hemorragia conforme necessário ou se o médico considerar apropriado.</w:t>
      </w:r>
    </w:p>
    <w:p w14:paraId="7C5DC59D" w14:textId="77777777" w:rsidR="0084795E" w:rsidRPr="009461CC" w:rsidRDefault="0084795E" w:rsidP="00FE6595">
      <w:pPr>
        <w:spacing w:after="0" w:afterAutospacing="0" w:line="240" w:lineRule="auto"/>
        <w:ind w:left="792"/>
        <w:rPr>
          <w:rFonts w:cs="Times New Roman"/>
          <w:iCs/>
        </w:rPr>
      </w:pPr>
    </w:p>
    <w:p w14:paraId="34731DB5" w14:textId="77777777" w:rsidR="0084795E" w:rsidRPr="009461CC" w:rsidRDefault="0084795E" w:rsidP="00FE6595">
      <w:pPr>
        <w:spacing w:after="0" w:afterAutospacing="0" w:line="240" w:lineRule="auto"/>
        <w:ind w:left="792"/>
        <w:rPr>
          <w:rFonts w:cs="Times New Roman"/>
          <w:b/>
          <w:bCs/>
          <w:iCs/>
        </w:rPr>
      </w:pPr>
      <w:r>
        <w:rPr>
          <w:rFonts w:cs="Times New Roman"/>
          <w:b/>
          <w:bCs/>
          <w:lang w:val="pt-PT"/>
        </w:rPr>
        <w:t>Precauções:</w:t>
      </w:r>
    </w:p>
    <w:p w14:paraId="043EE8E1" w14:textId="77777777" w:rsidR="00533C0A" w:rsidRPr="009461CC" w:rsidRDefault="00533C0A" w:rsidP="00533C0A">
      <w:pPr>
        <w:numPr>
          <w:ilvl w:val="0"/>
          <w:numId w:val="23"/>
        </w:numPr>
        <w:spacing w:after="0" w:afterAutospacing="0" w:line="240" w:lineRule="auto"/>
        <w:contextualSpacing/>
        <w:jc w:val="both"/>
        <w:rPr>
          <w:rFonts w:eastAsia="Times New Roman" w:cs="Times New Roman"/>
          <w:szCs w:val="24"/>
        </w:rPr>
      </w:pPr>
      <w:r>
        <w:rPr>
          <w:rFonts w:eastAsia="Times New Roman" w:cs="Times New Roman"/>
          <w:szCs w:val="24"/>
          <w:lang w:val="pt-PT"/>
        </w:rPr>
        <w:t>A força de tração aplicada aos cateteres durante a remoção da bainha de fibrina pode danificar, esticar ou romper cateteres permanentes com diâmetro igual ou inferior a 6 French. Não utilize força de tração excessiva ao tentar remover a bainha de fibrina de cateteres com diâmetro igual ou inferior a 6 French.</w:t>
      </w:r>
    </w:p>
    <w:p w14:paraId="7C78A400" w14:textId="77777777" w:rsidR="00533C0A" w:rsidRPr="009461CC" w:rsidRDefault="00533C0A" w:rsidP="00533C0A">
      <w:pPr>
        <w:numPr>
          <w:ilvl w:val="0"/>
          <w:numId w:val="23"/>
        </w:numPr>
        <w:spacing w:after="0" w:afterAutospacing="0" w:line="240" w:lineRule="auto"/>
        <w:contextualSpacing/>
        <w:jc w:val="both"/>
        <w:rPr>
          <w:rFonts w:eastAsia="Times New Roman" w:cs="Times New Roman"/>
          <w:szCs w:val="24"/>
        </w:rPr>
      </w:pPr>
      <w:r>
        <w:rPr>
          <w:rFonts w:eastAsia="Times New Roman" w:cs="Times New Roman"/>
          <w:szCs w:val="24"/>
          <w:lang w:val="pt-PT"/>
        </w:rPr>
        <w:t>Não utilize força excessiva ao manipular o cateter através de um introdutor.</w:t>
      </w:r>
    </w:p>
    <w:p w14:paraId="68E7CD6A" w14:textId="77777777" w:rsidR="009E4BE1" w:rsidRPr="009461CC" w:rsidRDefault="009E4BE1" w:rsidP="00DB582A">
      <w:pPr>
        <w:spacing w:after="0" w:afterAutospacing="0" w:line="240" w:lineRule="auto"/>
        <w:rPr>
          <w:rFonts w:cs="Times New Roman"/>
          <w:b/>
          <w:bCs/>
          <w:iCs/>
        </w:rPr>
      </w:pPr>
    </w:p>
    <w:p w14:paraId="1F2A8F23" w14:textId="7550D298" w:rsidR="00481A9E" w:rsidRPr="009461CC" w:rsidRDefault="00481A9E" w:rsidP="00481A9E">
      <w:pPr>
        <w:spacing w:after="120" w:afterAutospacing="0" w:line="240" w:lineRule="auto"/>
        <w:ind w:firstLine="720"/>
        <w:jc w:val="both"/>
        <w:rPr>
          <w:rFonts w:eastAsia="Times New Roman" w:cs="Times New Roman"/>
          <w:b/>
          <w:szCs w:val="24"/>
        </w:rPr>
      </w:pPr>
      <w:r>
        <w:rPr>
          <w:rFonts w:eastAsia="Times New Roman" w:cs="Times New Roman"/>
          <w:b/>
          <w:bCs/>
          <w:szCs w:val="24"/>
          <w:lang w:val="pt-PT"/>
        </w:rPr>
        <w:t xml:space="preserve">Riscos e efeitos secundários </w:t>
      </w:r>
    </w:p>
    <w:p w14:paraId="3EC1F3BA" w14:textId="77777777" w:rsidR="00481A9E" w:rsidRPr="009461CC" w:rsidRDefault="00481A9E" w:rsidP="00481A9E">
      <w:pPr>
        <w:spacing w:after="120" w:afterAutospacing="0" w:line="240" w:lineRule="auto"/>
        <w:jc w:val="both"/>
        <w:rPr>
          <w:rFonts w:eastAsia="Times New Roman" w:cs="Times New Roman"/>
          <w:szCs w:val="24"/>
        </w:rPr>
      </w:pPr>
      <w:r>
        <w:rPr>
          <w:rFonts w:eastAsia="Times New Roman" w:cs="Times New Roman"/>
          <w:szCs w:val="24"/>
          <w:lang w:val="pt-PT"/>
        </w:rPr>
        <w:t>As potenciais complicações incluem, entre outras:</w:t>
      </w:r>
    </w:p>
    <w:p w14:paraId="31B00162"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pt-PT"/>
        </w:rPr>
        <w:t>Embolia</w:t>
      </w:r>
    </w:p>
    <w:p w14:paraId="4831EC23"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pt-PT"/>
        </w:rPr>
        <w:t>AVC</w:t>
      </w:r>
    </w:p>
    <w:p w14:paraId="3E3CC4E5"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pt-PT"/>
        </w:rPr>
        <w:t>Enfarte do miocárdio (dependendo da localização)</w:t>
      </w:r>
    </w:p>
    <w:p w14:paraId="3C5A584A"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pt-PT"/>
        </w:rPr>
        <w:t>Embolia pulmonar</w:t>
      </w:r>
    </w:p>
    <w:p w14:paraId="70F9D337"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pt-PT"/>
        </w:rPr>
        <w:t>Perfuração vascular</w:t>
      </w:r>
    </w:p>
    <w:p w14:paraId="3B28D7FF"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pt-PT"/>
        </w:rPr>
        <w:t>Encapsulamento do dispositivo</w:t>
      </w:r>
    </w:p>
    <w:p w14:paraId="33ABECFB" w14:textId="77777777" w:rsidR="00D558E5" w:rsidRPr="009461CC" w:rsidRDefault="00481A9E" w:rsidP="00D558E5">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pt-PT"/>
        </w:rPr>
        <w:t>Sangramento/hemorragia</w:t>
      </w:r>
    </w:p>
    <w:p w14:paraId="0A9BFD81" w14:textId="77777777" w:rsidR="00D558E5" w:rsidRPr="009461CC" w:rsidRDefault="00D558E5" w:rsidP="00D558E5">
      <w:pPr>
        <w:widowControl w:val="0"/>
        <w:spacing w:after="0" w:afterAutospacing="0" w:line="240" w:lineRule="auto"/>
        <w:contextualSpacing/>
        <w:jc w:val="both"/>
        <w:rPr>
          <w:rFonts w:eastAsia="Times New Roman" w:cs="Times New Roman"/>
          <w:szCs w:val="24"/>
        </w:rPr>
      </w:pPr>
    </w:p>
    <w:p w14:paraId="6EEBEC55" w14:textId="65AF2143" w:rsidR="00A80721" w:rsidRPr="009461CC" w:rsidRDefault="00A80721" w:rsidP="00D558E5">
      <w:pPr>
        <w:widowControl w:val="0"/>
        <w:spacing w:after="0" w:afterAutospacing="0" w:line="240" w:lineRule="auto"/>
        <w:contextualSpacing/>
        <w:jc w:val="both"/>
        <w:rPr>
          <w:rFonts w:eastAsia="Times New Roman" w:cs="Times New Roman"/>
          <w:szCs w:val="24"/>
        </w:rPr>
      </w:pPr>
      <w:r>
        <w:rPr>
          <w:rFonts w:eastAsia="Times New Roman" w:cs="Times New Roman"/>
          <w:szCs w:val="24"/>
          <w:lang w:val="pt-PT"/>
        </w:rPr>
        <w:t>Benefícios clínicos.</w:t>
      </w:r>
    </w:p>
    <w:p w14:paraId="12CF44E5" w14:textId="357D7E57" w:rsidR="00481A9E" w:rsidRPr="009461CC" w:rsidRDefault="00A80721" w:rsidP="00A80721">
      <w:pPr>
        <w:spacing w:after="120" w:afterAutospacing="0" w:line="240" w:lineRule="auto"/>
        <w:jc w:val="both"/>
        <w:rPr>
          <w:rFonts w:eastAsia="Times New Roman" w:cs="Times New Roman"/>
          <w:szCs w:val="24"/>
        </w:rPr>
      </w:pPr>
      <w:r>
        <w:rPr>
          <w:rFonts w:eastAsia="Times New Roman" w:cs="Times New Roman"/>
          <w:szCs w:val="24"/>
          <w:lang w:val="pt-PT"/>
        </w:rPr>
        <w:t>O Laço Vascular Atrieve oferece um benefício direto ao paciente, permitindo a remoção e manipulação percutânea de corpos estranhos com menos complicações e riscos em comparação à intervenção cirúrgica.</w:t>
      </w:r>
    </w:p>
    <w:p w14:paraId="5240AF40" w14:textId="3E5A2DE2" w:rsidR="00042B91" w:rsidRPr="009461CC" w:rsidRDefault="00BB36B1" w:rsidP="00A4616A">
      <w:pPr>
        <w:spacing w:after="0" w:afterAutospacing="0" w:line="240" w:lineRule="auto"/>
        <w:rPr>
          <w:rFonts w:cs="Times New Roman"/>
          <w:iCs/>
        </w:rPr>
      </w:pPr>
      <w:r>
        <w:rPr>
          <w:rFonts w:cs="Times New Roman"/>
          <w:lang w:val="pt-PT"/>
        </w:rPr>
        <w:t>Duração/vida útil: transitório, menos de 60 minutos.</w:t>
      </w:r>
    </w:p>
    <w:p w14:paraId="393C5ED9" w14:textId="77777777" w:rsidR="00E14C97" w:rsidRPr="009461CC" w:rsidRDefault="00E14C97" w:rsidP="00042B91">
      <w:pPr>
        <w:spacing w:after="0" w:afterAutospacing="0" w:line="240" w:lineRule="auto"/>
        <w:rPr>
          <w:rFonts w:cs="Times New Roman"/>
          <w:i/>
          <w:color w:val="FF0000"/>
        </w:rPr>
      </w:pPr>
    </w:p>
    <w:p w14:paraId="09A94B0F" w14:textId="4E664EE0" w:rsidR="00760400" w:rsidRPr="009461CC" w:rsidRDefault="008745ED" w:rsidP="00042B91">
      <w:pPr>
        <w:pStyle w:val="Heading1"/>
        <w:rPr>
          <w:rFonts w:cs="Times New Roman"/>
        </w:rPr>
      </w:pPr>
      <w:bookmarkStart w:id="69" w:name="_Toc222741651"/>
      <w:r>
        <w:rPr>
          <w:rFonts w:cs="Times New Roman"/>
          <w:bCs/>
          <w:lang w:val="pt-PT"/>
        </w:rPr>
        <w:t>Outros aspetos relevantes de segurança, incluindo um resumo de qualquer ação corretiva de segurança em campo (FSCA incluindo FSN), se aplicável</w:t>
      </w:r>
      <w:bookmarkEnd w:id="69"/>
    </w:p>
    <w:p w14:paraId="65E21D1D" w14:textId="58A43005" w:rsidR="004F5057" w:rsidRPr="009461CC" w:rsidRDefault="00FC52C8" w:rsidP="001F48BA">
      <w:pPr>
        <w:rPr>
          <w:rFonts w:cs="Times New Roman"/>
        </w:rPr>
      </w:pPr>
      <w:r>
        <w:rPr>
          <w:rFonts w:cs="Times New Roman"/>
          <w:lang w:val="pt-PT"/>
        </w:rPr>
        <w:t>Não houve Ações Corretivas de Segurança em Campo (FSCA) ou recalls durante o período do relatório.</w:t>
      </w:r>
    </w:p>
    <w:p w14:paraId="21FC0F42" w14:textId="6F4CDE71" w:rsidR="008745ED" w:rsidRPr="009461CC" w:rsidRDefault="008745ED" w:rsidP="00F67A0E">
      <w:pPr>
        <w:pStyle w:val="Heading1"/>
        <w:numPr>
          <w:ilvl w:val="0"/>
          <w:numId w:val="2"/>
        </w:numPr>
        <w:rPr>
          <w:rFonts w:cs="Times New Roman"/>
        </w:rPr>
      </w:pPr>
      <w:bookmarkStart w:id="70" w:name="_Toc222741652"/>
      <w:r>
        <w:rPr>
          <w:rFonts w:cs="Times New Roman"/>
          <w:bCs/>
          <w:lang w:val="pt-PT"/>
        </w:rPr>
        <w:t>Resumo da avaliação clínica e acompanhamento clínico pós-comercialização (PMCF)</w:t>
      </w:r>
      <w:bookmarkEnd w:id="70"/>
    </w:p>
    <w:p w14:paraId="7CA310DE" w14:textId="0ED9D76A" w:rsidR="00DA4404" w:rsidRPr="009461CC" w:rsidRDefault="00DA4404" w:rsidP="00DA4404">
      <w:pPr>
        <w:rPr>
          <w:rFonts w:cs="Times New Roman"/>
        </w:rPr>
      </w:pPr>
      <w:r>
        <w:rPr>
          <w:rFonts w:cs="Times New Roman"/>
          <w:lang w:val="pt-PT"/>
        </w:rPr>
        <w:t>O Relatório de Avaliação Clínica (CER-029 Rev B) confirma que o Kit de Laço Vascular Atrieve™ é clinicamente seguro e eficaz para a remoção e manipulação de corpos estranhos no sistema cardiovascular. É utilizado principalmente por profissionais médicos treinados em procedimentos minimamente invasivos.</w:t>
      </w:r>
    </w:p>
    <w:p w14:paraId="065C32D9" w14:textId="36044E92" w:rsidR="00DA4404" w:rsidRPr="009461CC" w:rsidRDefault="00DA4404" w:rsidP="00DA4404">
      <w:pPr>
        <w:rPr>
          <w:rFonts w:cs="Times New Roman"/>
        </w:rPr>
      </w:pPr>
      <w:r>
        <w:rPr>
          <w:rFonts w:cs="Times New Roman"/>
          <w:lang w:val="pt-PT"/>
        </w:rPr>
        <w:lastRenderedPageBreak/>
        <w:t>A avaliação, baseada em revisão da literatura, experiência clínica e dados pós-comercialização, demonstra altas taxas de sucesso técnico e clínico. Complicações como sangramento, embolia, infeção ou reações alérgicas são raras e estão dentro dos limites clínicos aceitáveis.</w:t>
      </w:r>
    </w:p>
    <w:p w14:paraId="0DAD67AD" w14:textId="4FF5EA89" w:rsidR="00DA4404" w:rsidRPr="009461CC" w:rsidRDefault="00DA4404" w:rsidP="00DA4404">
      <w:pPr>
        <w:rPr>
          <w:rFonts w:cs="Times New Roman"/>
        </w:rPr>
      </w:pPr>
      <w:r>
        <w:rPr>
          <w:rFonts w:cs="Times New Roman"/>
          <w:lang w:val="pt-PT"/>
        </w:rPr>
        <w:t>Não foram identificadas novas preocupações de segurança ou riscos inesperados. O dispositivo apresenta desempenho comparável a produtos similares no mercado, mantendo um perfil consistente de risco-benefício.</w:t>
      </w:r>
    </w:p>
    <w:p w14:paraId="745B2F11" w14:textId="506F1A62" w:rsidR="00257EE2" w:rsidRPr="009461CC" w:rsidRDefault="00DA4404" w:rsidP="00DA4404">
      <w:pPr>
        <w:rPr>
          <w:rFonts w:cs="Times New Roman"/>
          <w:highlight w:val="yellow"/>
        </w:rPr>
      </w:pPr>
      <w:r>
        <w:rPr>
          <w:rFonts w:cs="Times New Roman"/>
          <w:lang w:val="pt-PT"/>
        </w:rPr>
        <w:t>Em suma, o Laço Atrieve demonstra desempenho confiável e um sólido histórico de segurança, o que justifica o seu uso contínuo em ambientes clínicos.</w:t>
      </w:r>
    </w:p>
    <w:p w14:paraId="491E112E" w14:textId="43F380B5" w:rsidR="005A5584" w:rsidRPr="009461CC" w:rsidRDefault="005A5584" w:rsidP="00300E25">
      <w:pPr>
        <w:rPr>
          <w:rFonts w:cs="Times New Roman"/>
        </w:rPr>
      </w:pPr>
      <w:r>
        <w:rPr>
          <w:rFonts w:cs="Times New Roman"/>
          <w:lang w:val="pt-PT"/>
        </w:rPr>
        <w:t>O Plano de Acompanhamento Clínico Pós-Comercialização (PMCFP) para o Atrieve descreve uma abordagem estruturada para monitorizar a sua segurança e desempenho após o lançamento do produto no mercado. Esses dispositivos de Classe III são usados para remover ou manipular corpos estranhos no sistema cardiovascular e destinam-se ao uso transitório.</w:t>
      </w:r>
    </w:p>
    <w:p w14:paraId="72FE8271" w14:textId="5FE4B52E" w:rsidR="00042B91" w:rsidRPr="009461CC" w:rsidRDefault="005A5584" w:rsidP="00A8663C">
      <w:pPr>
        <w:rPr>
          <w:rFonts w:cs="Times New Roman"/>
        </w:rPr>
      </w:pPr>
      <w:r>
        <w:rPr>
          <w:rFonts w:cs="Times New Roman"/>
          <w:lang w:val="pt-PT"/>
        </w:rPr>
        <w:t>As atividades do PMCF baseiam-se em métodos gerais, incluindo revisões da literatura anuais, monitorização de bancos de dados de eventos adversos (por exemplo, MAUDE) e análise de relatórios de vigilância pós-comercialização. Esses esforços visam confirmar a segurança e a eficácia contínuas, identificar riscos emergentes e detetar o uso não aprovado em bula. Dados clínicos de dispositivos similares também são analisados para comparar os resultados.</w:t>
      </w:r>
    </w:p>
    <w:p w14:paraId="33785C59" w14:textId="7AB0634B" w:rsidR="008745ED" w:rsidRPr="009461CC" w:rsidRDefault="008745ED" w:rsidP="00042B91">
      <w:pPr>
        <w:pStyle w:val="Heading1"/>
        <w:rPr>
          <w:rFonts w:cs="Times New Roman"/>
        </w:rPr>
      </w:pPr>
      <w:bookmarkStart w:id="71" w:name="_Toc222741653"/>
      <w:r>
        <w:rPr>
          <w:rFonts w:cs="Times New Roman"/>
          <w:bCs/>
          <w:lang w:val="pt-PT"/>
        </w:rPr>
        <w:t>Resumo dos dados clínicos relacionados ao dispositivo equivalente, se aplicável</w:t>
      </w:r>
      <w:bookmarkEnd w:id="71"/>
      <w:r>
        <w:rPr>
          <w:rFonts w:cs="Times New Roman"/>
          <w:bCs/>
          <w:lang w:val="pt-PT"/>
        </w:rPr>
        <w:t xml:space="preserve"> </w:t>
      </w:r>
    </w:p>
    <w:p w14:paraId="62C65035" w14:textId="2ED3F324" w:rsidR="00B763A0" w:rsidRPr="009461CC" w:rsidRDefault="00F24AE3" w:rsidP="00511B41">
      <w:pPr>
        <w:ind w:firstLine="360"/>
        <w:rPr>
          <w:rFonts w:cs="Times New Roman"/>
        </w:rPr>
      </w:pPr>
      <w:r>
        <w:rPr>
          <w:rFonts w:cs="Times New Roman"/>
          <w:lang w:val="pt-PT"/>
        </w:rPr>
        <w:t>Esta secção não se aplica (N/A).</w:t>
      </w:r>
    </w:p>
    <w:p w14:paraId="46CE7D79" w14:textId="2B10E133" w:rsidR="008745ED" w:rsidRPr="009461CC" w:rsidRDefault="008745ED" w:rsidP="00042B91">
      <w:pPr>
        <w:pStyle w:val="Heading1"/>
        <w:rPr>
          <w:rFonts w:cs="Times New Roman"/>
        </w:rPr>
      </w:pPr>
      <w:bookmarkStart w:id="72" w:name="_Toc222741654"/>
      <w:r>
        <w:rPr>
          <w:rFonts w:cs="Times New Roman"/>
          <w:bCs/>
          <w:lang w:val="pt-PT"/>
        </w:rPr>
        <w:t>Resumo dos dados clínicos das investigações conduzidas do dispositivo antes da marcação CE, se aplicável</w:t>
      </w:r>
      <w:bookmarkEnd w:id="72"/>
      <w:r>
        <w:rPr>
          <w:rFonts w:cs="Times New Roman"/>
          <w:bCs/>
          <w:lang w:val="pt-PT"/>
        </w:rPr>
        <w:t xml:space="preserve"> </w:t>
      </w:r>
    </w:p>
    <w:p w14:paraId="27B7D18D" w14:textId="3346219F" w:rsidR="004846A6" w:rsidRPr="009461CC" w:rsidRDefault="00F604C9" w:rsidP="00F24AE3">
      <w:pPr>
        <w:ind w:left="360"/>
        <w:rPr>
          <w:rFonts w:cs="Times New Roman"/>
        </w:rPr>
      </w:pPr>
      <w:bookmarkStart w:id="73" w:name="_Hlk196514030"/>
      <w:r>
        <w:rPr>
          <w:rFonts w:cs="Times New Roman"/>
          <w:lang w:val="pt-PT"/>
        </w:rPr>
        <w:t>Esta secção não se aplica (N/A).</w:t>
      </w:r>
    </w:p>
    <w:p w14:paraId="7A896071" w14:textId="00061818" w:rsidR="008745ED" w:rsidRPr="009461CC" w:rsidRDefault="008745ED" w:rsidP="00042B91">
      <w:pPr>
        <w:pStyle w:val="Heading1"/>
        <w:rPr>
          <w:rFonts w:cs="Times New Roman"/>
        </w:rPr>
      </w:pPr>
      <w:bookmarkStart w:id="74" w:name="_Toc222741655"/>
      <w:bookmarkEnd w:id="73"/>
      <w:r>
        <w:rPr>
          <w:rFonts w:cs="Times New Roman"/>
          <w:bCs/>
          <w:lang w:val="pt-PT"/>
        </w:rPr>
        <w:t>Resumo dos dados clínicos de outras fontes, se aplicável</w:t>
      </w:r>
      <w:bookmarkEnd w:id="74"/>
      <w:r>
        <w:rPr>
          <w:rFonts w:cs="Times New Roman"/>
          <w:bCs/>
          <w:lang w:val="pt-PT"/>
        </w:rPr>
        <w:t xml:space="preserve"> </w:t>
      </w:r>
    </w:p>
    <w:p w14:paraId="3F1ED76E" w14:textId="5FADBA51" w:rsidR="006C2B68" w:rsidRPr="009461CC" w:rsidRDefault="0037599D" w:rsidP="004846A6">
      <w:pPr>
        <w:spacing w:before="100" w:beforeAutospacing="1" w:line="240" w:lineRule="auto"/>
        <w:rPr>
          <w:rFonts w:eastAsia="Times New Roman" w:cs="Times New Roman"/>
          <w:szCs w:val="24"/>
        </w:rPr>
      </w:pPr>
      <w:r>
        <w:rPr>
          <w:rFonts w:eastAsia="Times New Roman" w:cs="Times New Roman"/>
          <w:szCs w:val="24"/>
          <w:lang w:val="pt-PT"/>
        </w:rPr>
        <w:t>O CER-029 Rev B é apoiado por uma revisão abrangente de dados clínicos externos, incluindo:</w:t>
      </w:r>
    </w:p>
    <w:p w14:paraId="421058D0" w14:textId="26D1A572" w:rsidR="00FB1FDD" w:rsidRPr="009461CC" w:rsidRDefault="00FC5667" w:rsidP="004846A6">
      <w:pPr>
        <w:spacing w:before="100" w:beforeAutospacing="1" w:line="240" w:lineRule="auto"/>
        <w:rPr>
          <w:rFonts w:cs="Times New Roman"/>
        </w:rPr>
      </w:pPr>
      <w:r>
        <w:rPr>
          <w:rFonts w:cs="Times New Roman"/>
          <w:szCs w:val="24"/>
          <w:lang w:val="pt-PT"/>
        </w:rPr>
        <w:t>Literatura sobre o estado da arte (SOA): uma revisão sistemática de 579 artigos identificou 16 estudos relevantes sobre dispositivos e procedimentos semelhantes. Esses estudos demonstraram altas taxas de sucesso técnico (≥91,2%) e baixas taxas de complicações (≤1,1%), estabelecendo parâmetros de referência para segurança e desempenho.</w:t>
      </w:r>
      <w:r>
        <w:rPr>
          <w:rFonts w:cs="Times New Roman"/>
          <w:lang w:val="pt-PT"/>
        </w:rPr>
        <w:t xml:space="preserve"> </w:t>
      </w:r>
    </w:p>
    <w:p w14:paraId="7C6B59FC" w14:textId="77777777" w:rsidR="00FB1FDD" w:rsidRPr="009461CC" w:rsidRDefault="00D23267" w:rsidP="004846A6">
      <w:pPr>
        <w:spacing w:before="100" w:beforeAutospacing="1" w:line="240" w:lineRule="auto"/>
        <w:rPr>
          <w:rFonts w:cs="Times New Roman"/>
        </w:rPr>
      </w:pPr>
      <w:r>
        <w:rPr>
          <w:rFonts w:cs="Times New Roman"/>
          <w:szCs w:val="24"/>
          <w:lang w:val="pt-PT"/>
        </w:rPr>
        <w:t>Literatura sobre dispositivos concorrentes: oito estudos sobre dispositivos comparáveis (por exemplo, EN Snare, GooseNeck, CloverSnare) confirmaram perfis de segurança e eficácia semelhantes, reforçando o estado dos laços vasculares como padrão de tratamento.</w:t>
      </w:r>
      <w:r>
        <w:rPr>
          <w:rFonts w:cs="Times New Roman"/>
          <w:lang w:val="pt-PT"/>
        </w:rPr>
        <w:t xml:space="preserve"> </w:t>
      </w:r>
    </w:p>
    <w:p w14:paraId="2910073B" w14:textId="4049ACE7" w:rsidR="004846A6" w:rsidRPr="009461CC" w:rsidRDefault="009B4453" w:rsidP="004846A6">
      <w:pPr>
        <w:spacing w:before="100" w:beforeAutospacing="1" w:line="240" w:lineRule="auto"/>
        <w:rPr>
          <w:rFonts w:eastAsia="Times New Roman" w:cs="Times New Roman"/>
          <w:szCs w:val="24"/>
        </w:rPr>
      </w:pPr>
      <w:r>
        <w:rPr>
          <w:rFonts w:eastAsia="Times New Roman" w:cs="Times New Roman"/>
          <w:szCs w:val="24"/>
          <w:lang w:val="pt-PT"/>
        </w:rPr>
        <w:lastRenderedPageBreak/>
        <w:t>Diretrizes clínicas: as recomendações de sociedades profissionais (por exemplo, SIR, ESC, KDOQI) apoiam o uso de métodos de remoção percutânea, incluindo laços, como tratamento de primeira linha para a remoção de corpos estranhos no sistema cardiovascular.</w:t>
      </w:r>
    </w:p>
    <w:p w14:paraId="661EF380" w14:textId="29BB1CA1" w:rsidR="00516D79" w:rsidRPr="009461CC" w:rsidRDefault="00516D79" w:rsidP="004846A6">
      <w:pPr>
        <w:spacing w:before="100" w:beforeAutospacing="1" w:line="240" w:lineRule="auto"/>
        <w:rPr>
          <w:rFonts w:eastAsia="Times New Roman" w:cs="Times New Roman"/>
          <w:szCs w:val="24"/>
        </w:rPr>
      </w:pPr>
      <w:r>
        <w:rPr>
          <w:rFonts w:eastAsia="Times New Roman" w:cs="Times New Roman"/>
          <w:szCs w:val="24"/>
          <w:lang w:val="pt-PT"/>
        </w:rPr>
        <w:t>Literatura sobre o dispositivo: treze publicações (incluindo relatos de casos e estudos retrospetivos) sobre o Atrieve demonstraram 100% de sucesso técnico e 94,5% de sucesso clínico, com eventos adversos mínimos. Algumas métricas de desempenho ficaram ligeiramente abaixo dos padrões de referência da SOA, mas permaneceram dentro dos limites clínicos aceitáveis.</w:t>
      </w:r>
    </w:p>
    <w:p w14:paraId="66F22352" w14:textId="28F3CCF3" w:rsidR="004846A6" w:rsidRPr="009461CC" w:rsidRDefault="004846A6" w:rsidP="004846A6">
      <w:pPr>
        <w:spacing w:before="100" w:beforeAutospacing="1" w:line="240" w:lineRule="auto"/>
        <w:rPr>
          <w:rFonts w:eastAsia="Times New Roman" w:cs="Times New Roman"/>
          <w:szCs w:val="24"/>
        </w:rPr>
      </w:pPr>
      <w:r>
        <w:rPr>
          <w:rFonts w:eastAsia="Times New Roman" w:cs="Times New Roman"/>
          <w:szCs w:val="24"/>
          <w:lang w:val="pt-PT"/>
        </w:rPr>
        <w:t>Além disso, o relatório integra dados de Vigilância Pós-Comercialização (PMS) recolhidos através de planos de vigilância estruturados para o produto Atrieve. Isso inclui o acompanhamento de reclamações e eventos adversos ao longo de cinco anos, bem como as ações corretivas. Apesar do elevado volume de vendas globais, os dados de PMS não revelaram tendências emergentes de segurança nem riscos imprevistos, reforçando os perfis de segurança dos dispositivos em condições reais de uso.</w:t>
      </w:r>
    </w:p>
    <w:p w14:paraId="6527D03E" w14:textId="73944EC6" w:rsidR="004846A6" w:rsidRPr="009461CC" w:rsidRDefault="004846A6" w:rsidP="004846A6">
      <w:pPr>
        <w:spacing w:before="100" w:beforeAutospacing="1" w:line="240" w:lineRule="auto"/>
        <w:rPr>
          <w:rFonts w:eastAsia="Times New Roman" w:cs="Times New Roman"/>
          <w:szCs w:val="24"/>
        </w:rPr>
      </w:pPr>
      <w:r>
        <w:rPr>
          <w:rFonts w:eastAsia="Times New Roman" w:cs="Times New Roman"/>
          <w:szCs w:val="24"/>
          <w:lang w:val="pt-PT"/>
        </w:rPr>
        <w:t>Por fim, os dados não clínicos, incluindo testes em bancada e avaliações de biocompatibilidade, demonstram que os dispositivos cumprem todos os padrões de projeto e regulamentares. Embora não tenham sido realizados estudos clínicos com esses dispositivos, isso foi justificado por dados abrangentes da literatura, de fontes pós-comercialização e do uso de dispositivos anteriores. Em geral, essas diversas fontes de dados, em conjunto, comprovam a segurança e a eficácia dos dispositivos, em conformidade com os requisitos do Regulamento de Dispositivos Médicos da UE (EU MDR).</w:t>
      </w:r>
    </w:p>
    <w:p w14:paraId="0F01E5AD" w14:textId="2BD461FF" w:rsidR="008745ED" w:rsidRPr="009461CC" w:rsidRDefault="008745ED" w:rsidP="00042B91">
      <w:pPr>
        <w:pStyle w:val="Heading1"/>
        <w:rPr>
          <w:rFonts w:cs="Times New Roman"/>
        </w:rPr>
      </w:pPr>
      <w:bookmarkStart w:id="75" w:name="_Toc222741656"/>
      <w:r>
        <w:rPr>
          <w:rFonts w:cs="Times New Roman"/>
          <w:bCs/>
          <w:lang w:val="pt-PT"/>
        </w:rPr>
        <w:t>Um resumo geral do desempenho clínico e segurança</w:t>
      </w:r>
      <w:bookmarkEnd w:id="75"/>
      <w:r>
        <w:rPr>
          <w:rFonts w:cs="Times New Roman"/>
          <w:bCs/>
          <w:lang w:val="pt-PT"/>
        </w:rPr>
        <w:t xml:space="preserve"> </w:t>
      </w:r>
    </w:p>
    <w:p w14:paraId="7C1B956B" w14:textId="77777777" w:rsidR="009977D7" w:rsidRPr="009461CC" w:rsidRDefault="009977D7" w:rsidP="00D52DF8">
      <w:pPr>
        <w:spacing w:after="0" w:afterAutospacing="0" w:line="240" w:lineRule="auto"/>
        <w:rPr>
          <w:rFonts w:eastAsia="Times New Roman" w:cs="Times New Roman"/>
          <w:iCs/>
          <w:szCs w:val="24"/>
        </w:rPr>
      </w:pPr>
    </w:p>
    <w:p w14:paraId="068544DB" w14:textId="3687A670" w:rsidR="00D52DF8" w:rsidRPr="009461CC" w:rsidRDefault="00D52DF8" w:rsidP="00D52DF8">
      <w:pPr>
        <w:spacing w:after="0" w:afterAutospacing="0" w:line="240" w:lineRule="auto"/>
        <w:rPr>
          <w:rFonts w:eastAsia="Times New Roman" w:cs="Times New Roman"/>
          <w:iCs/>
          <w:szCs w:val="24"/>
        </w:rPr>
      </w:pPr>
      <w:r>
        <w:rPr>
          <w:rFonts w:eastAsia="Times New Roman" w:cs="Times New Roman"/>
          <w:szCs w:val="24"/>
          <w:lang w:val="pt-PT"/>
        </w:rPr>
        <w:t>Com base nos documentos X9585730-0321-EU Rev A e CER-029 Rev B para o Kit de Laço Vascular Atrieve™, o desempenho clínico geral e o perfil de segurança do dispositivo são favoráveis e consistentes com as expectativas para o uso pretendido.</w:t>
      </w:r>
    </w:p>
    <w:p w14:paraId="3508FD3D" w14:textId="77777777" w:rsidR="002E59B4" w:rsidRPr="009461CC" w:rsidRDefault="002E59B4" w:rsidP="00D52DF8">
      <w:pPr>
        <w:spacing w:after="0" w:afterAutospacing="0" w:line="240" w:lineRule="auto"/>
        <w:rPr>
          <w:rFonts w:eastAsia="Times New Roman" w:cs="Times New Roman"/>
          <w:iCs/>
          <w:szCs w:val="24"/>
        </w:rPr>
      </w:pPr>
    </w:p>
    <w:p w14:paraId="0A303358" w14:textId="24357A0A" w:rsidR="00C361CA" w:rsidRPr="009461CC" w:rsidRDefault="005C642C" w:rsidP="00C97841">
      <w:pPr>
        <w:spacing w:after="0" w:afterAutospacing="0" w:line="240" w:lineRule="auto"/>
        <w:rPr>
          <w:rFonts w:cs="Times New Roman"/>
        </w:rPr>
      </w:pPr>
      <w:r>
        <w:rPr>
          <w:rFonts w:cs="Times New Roman"/>
          <w:lang w:val="pt-PT"/>
        </w:rPr>
        <w:t xml:space="preserve">O dispositivo foi concebido para a </w:t>
      </w:r>
      <w:r>
        <w:rPr>
          <w:rStyle w:val="Strong"/>
          <w:rFonts w:cs="Times New Roman"/>
          <w:lang w:val="pt-PT"/>
        </w:rPr>
        <w:t>remoção e manipulação percutânea de corpos estranhos</w:t>
      </w:r>
      <w:r>
        <w:rPr>
          <w:rFonts w:cs="Times New Roman"/>
          <w:lang w:val="pt-PT"/>
        </w:rPr>
        <w:t xml:space="preserve"> no sistema cardiovascular ou víscera oca. Os principais benefícios clínicos incluem a remoção minimamente invasiva, a redução do risco para o paciente e menores taxas de complicações em comparação com as alternativas cirúrgicas.</w:t>
      </w:r>
    </w:p>
    <w:p w14:paraId="0DE0B963" w14:textId="77777777" w:rsidR="005C642C" w:rsidRPr="009461CC" w:rsidRDefault="005C642C" w:rsidP="00C97841">
      <w:pPr>
        <w:spacing w:after="0" w:afterAutospacing="0" w:line="240" w:lineRule="auto"/>
        <w:rPr>
          <w:rFonts w:eastAsia="Times New Roman" w:cs="Times New Roman"/>
          <w:iCs/>
          <w:szCs w:val="24"/>
        </w:rPr>
      </w:pPr>
    </w:p>
    <w:p w14:paraId="2DA4A118" w14:textId="58FE2B84" w:rsidR="00C97841" w:rsidRPr="009461CC" w:rsidRDefault="00B26297" w:rsidP="00C97841">
      <w:pPr>
        <w:spacing w:after="0" w:afterAutospacing="0" w:line="240" w:lineRule="auto"/>
        <w:rPr>
          <w:rFonts w:eastAsia="Times New Roman" w:cs="Times New Roman"/>
          <w:iCs/>
          <w:szCs w:val="24"/>
        </w:rPr>
      </w:pPr>
      <w:r>
        <w:rPr>
          <w:rFonts w:eastAsia="Times New Roman" w:cs="Times New Roman"/>
          <w:szCs w:val="24"/>
          <w:lang w:val="pt-PT"/>
        </w:rPr>
        <w:t>A avaliação clínica define as seguintes medidas de resultado:</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7384"/>
      </w:tblGrid>
      <w:tr w:rsidR="00942C1E" w:rsidRPr="009461CC" w14:paraId="0839D18E" w14:textId="77777777" w:rsidTr="00607046">
        <w:trPr>
          <w:tblHeader/>
          <w:tblCellSpacing w:w="15" w:type="dxa"/>
          <w:jc w:val="center"/>
        </w:trPr>
        <w:tc>
          <w:tcPr>
            <w:tcW w:w="4971" w:type="pct"/>
            <w:gridSpan w:val="2"/>
            <w:shd w:val="clear" w:color="auto" w:fill="F5F5F5"/>
            <w:tcMar>
              <w:top w:w="120" w:type="dxa"/>
              <w:left w:w="180" w:type="dxa"/>
              <w:bottom w:w="105" w:type="dxa"/>
              <w:right w:w="120" w:type="dxa"/>
            </w:tcMar>
          </w:tcPr>
          <w:p w14:paraId="35368930"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pt-PT"/>
              </w:rPr>
              <w:t>Medidas de Desempenho</w:t>
            </w:r>
          </w:p>
        </w:tc>
      </w:tr>
      <w:tr w:rsidR="00607046" w:rsidRPr="009461CC" w14:paraId="609C186F" w14:textId="77777777" w:rsidTr="00607046">
        <w:trPr>
          <w:tblHeader/>
          <w:tblCellSpacing w:w="15" w:type="dxa"/>
          <w:jc w:val="center"/>
        </w:trPr>
        <w:tc>
          <w:tcPr>
            <w:tcW w:w="1443" w:type="pct"/>
            <w:shd w:val="clear" w:color="auto" w:fill="F5F5F5"/>
            <w:tcMar>
              <w:top w:w="120" w:type="dxa"/>
              <w:left w:w="180" w:type="dxa"/>
              <w:bottom w:w="105" w:type="dxa"/>
              <w:right w:w="120" w:type="dxa"/>
            </w:tcMar>
            <w:hideMark/>
          </w:tcPr>
          <w:p w14:paraId="2D28E345"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pt-PT"/>
              </w:rPr>
              <w:t>Medidas</w:t>
            </w:r>
          </w:p>
        </w:tc>
        <w:tc>
          <w:tcPr>
            <w:tcW w:w="3514" w:type="pct"/>
            <w:shd w:val="clear" w:color="auto" w:fill="F5F5F5"/>
            <w:tcMar>
              <w:top w:w="120" w:type="dxa"/>
              <w:left w:w="180" w:type="dxa"/>
              <w:bottom w:w="105" w:type="dxa"/>
              <w:right w:w="120" w:type="dxa"/>
            </w:tcMar>
            <w:hideMark/>
          </w:tcPr>
          <w:p w14:paraId="14A387C4"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pt-PT"/>
              </w:rPr>
              <w:t>Definição</w:t>
            </w:r>
          </w:p>
        </w:tc>
      </w:tr>
      <w:tr w:rsidR="00942C1E" w:rsidRPr="009461CC" w14:paraId="67F5D1CE" w14:textId="77777777" w:rsidTr="00607046">
        <w:trPr>
          <w:tblCellSpacing w:w="15" w:type="dxa"/>
          <w:jc w:val="center"/>
        </w:trPr>
        <w:tc>
          <w:tcPr>
            <w:tcW w:w="1443" w:type="pct"/>
            <w:tcMar>
              <w:top w:w="120" w:type="dxa"/>
              <w:left w:w="180" w:type="dxa"/>
              <w:bottom w:w="105" w:type="dxa"/>
              <w:right w:w="120" w:type="dxa"/>
            </w:tcMar>
            <w:hideMark/>
          </w:tcPr>
          <w:p w14:paraId="5F6236EF" w14:textId="77777777" w:rsidR="00942C1E" w:rsidRPr="009461CC" w:rsidRDefault="00942C1E" w:rsidP="004241EF">
            <w:pPr>
              <w:spacing w:after="0" w:line="240" w:lineRule="auto"/>
              <w:jc w:val="center"/>
              <w:rPr>
                <w:rFonts w:eastAsia="Times New Roman" w:cs="Times New Roman"/>
              </w:rPr>
            </w:pPr>
            <w:r>
              <w:rPr>
                <w:rFonts w:eastAsia="Times New Roman" w:cs="Times New Roman"/>
                <w:b/>
                <w:bCs/>
                <w:lang w:val="pt-PT"/>
              </w:rPr>
              <w:t>Sucesso técnico</w:t>
            </w:r>
          </w:p>
        </w:tc>
        <w:tc>
          <w:tcPr>
            <w:tcW w:w="3514" w:type="pct"/>
            <w:tcMar>
              <w:top w:w="120" w:type="dxa"/>
              <w:left w:w="180" w:type="dxa"/>
              <w:bottom w:w="105" w:type="dxa"/>
              <w:right w:w="120" w:type="dxa"/>
            </w:tcMar>
            <w:hideMark/>
          </w:tcPr>
          <w:p w14:paraId="55E25C25" w14:textId="77777777" w:rsidR="00942C1E" w:rsidRPr="009461CC" w:rsidRDefault="00942C1E" w:rsidP="004241EF">
            <w:pPr>
              <w:spacing w:after="0" w:line="240" w:lineRule="auto"/>
              <w:jc w:val="center"/>
              <w:rPr>
                <w:rFonts w:eastAsia="Times New Roman" w:cs="Times New Roman"/>
              </w:rPr>
            </w:pPr>
            <w:r>
              <w:rPr>
                <w:rFonts w:eastAsia="Times New Roman" w:cs="Times New Roman"/>
                <w:lang w:val="pt-PT"/>
              </w:rPr>
              <w:t>Recuperação/manipulação bem-sucedida de corpos estranhos</w:t>
            </w:r>
          </w:p>
        </w:tc>
      </w:tr>
      <w:tr w:rsidR="00942C1E" w:rsidRPr="009461CC" w14:paraId="5EE8C36D" w14:textId="77777777" w:rsidTr="00607046">
        <w:trPr>
          <w:tblCellSpacing w:w="15" w:type="dxa"/>
          <w:jc w:val="center"/>
        </w:trPr>
        <w:tc>
          <w:tcPr>
            <w:tcW w:w="1443" w:type="pct"/>
            <w:tcMar>
              <w:top w:w="120" w:type="dxa"/>
              <w:left w:w="180" w:type="dxa"/>
              <w:bottom w:w="90" w:type="dxa"/>
              <w:right w:w="120" w:type="dxa"/>
            </w:tcMar>
            <w:hideMark/>
          </w:tcPr>
          <w:p w14:paraId="5C7EA7EC" w14:textId="77777777" w:rsidR="00942C1E" w:rsidRPr="009461CC" w:rsidRDefault="00942C1E" w:rsidP="004241EF">
            <w:pPr>
              <w:spacing w:after="0" w:line="240" w:lineRule="auto"/>
              <w:jc w:val="center"/>
              <w:rPr>
                <w:rFonts w:eastAsia="Times New Roman" w:cs="Times New Roman"/>
              </w:rPr>
            </w:pPr>
            <w:r>
              <w:rPr>
                <w:rFonts w:eastAsia="Times New Roman" w:cs="Times New Roman"/>
                <w:b/>
                <w:bCs/>
                <w:lang w:val="pt-PT"/>
              </w:rPr>
              <w:t>Sucesso clínico</w:t>
            </w:r>
          </w:p>
        </w:tc>
        <w:tc>
          <w:tcPr>
            <w:tcW w:w="3514" w:type="pct"/>
            <w:tcMar>
              <w:top w:w="120" w:type="dxa"/>
              <w:left w:w="180" w:type="dxa"/>
              <w:bottom w:w="90" w:type="dxa"/>
              <w:right w:w="120" w:type="dxa"/>
            </w:tcMar>
            <w:hideMark/>
          </w:tcPr>
          <w:p w14:paraId="01FCEBA5" w14:textId="77777777" w:rsidR="00942C1E" w:rsidRPr="009461CC" w:rsidRDefault="00942C1E" w:rsidP="004241EF">
            <w:pPr>
              <w:spacing w:after="0" w:line="240" w:lineRule="auto"/>
              <w:jc w:val="center"/>
              <w:rPr>
                <w:rFonts w:eastAsia="Times New Roman" w:cs="Times New Roman"/>
              </w:rPr>
            </w:pPr>
            <w:r>
              <w:rPr>
                <w:rFonts w:eastAsia="Times New Roman" w:cs="Times New Roman"/>
                <w:lang w:val="pt-PT"/>
              </w:rPr>
              <w:t>Recuperação/manipulação bem-sucedida sem complicações procedimentais</w:t>
            </w:r>
          </w:p>
        </w:tc>
      </w:tr>
    </w:tbl>
    <w:p w14:paraId="6CABCDF2" w14:textId="77777777" w:rsidR="004F7F77" w:rsidRPr="009461CC" w:rsidRDefault="004F7F77" w:rsidP="00C97841">
      <w:pPr>
        <w:spacing w:after="0" w:afterAutospacing="0" w:line="240" w:lineRule="auto"/>
        <w:rPr>
          <w:rFonts w:eastAsia="Times New Roman" w:cs="Times New Roman"/>
          <w:iCs/>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8"/>
        <w:gridCol w:w="7192"/>
      </w:tblGrid>
      <w:tr w:rsidR="00607046" w:rsidRPr="009461CC" w14:paraId="62F22A34" w14:textId="77777777" w:rsidTr="004241EF">
        <w:trPr>
          <w:tblHeader/>
          <w:tblCellSpacing w:w="15" w:type="dxa"/>
          <w:jc w:val="center"/>
        </w:trPr>
        <w:tc>
          <w:tcPr>
            <w:tcW w:w="0" w:type="auto"/>
            <w:gridSpan w:val="2"/>
            <w:shd w:val="clear" w:color="auto" w:fill="F5F5F5"/>
            <w:tcMar>
              <w:top w:w="120" w:type="dxa"/>
              <w:left w:w="180" w:type="dxa"/>
              <w:bottom w:w="105" w:type="dxa"/>
              <w:right w:w="120" w:type="dxa"/>
            </w:tcMar>
          </w:tcPr>
          <w:p w14:paraId="142B79F3" w14:textId="77777777" w:rsidR="00607046" w:rsidRPr="009461CC" w:rsidRDefault="00607046" w:rsidP="00607046">
            <w:pPr>
              <w:spacing w:after="0" w:line="240" w:lineRule="auto"/>
              <w:jc w:val="center"/>
              <w:rPr>
                <w:rFonts w:eastAsia="Times New Roman" w:cs="Times New Roman"/>
                <w:b/>
                <w:bCs/>
              </w:rPr>
            </w:pPr>
            <w:r>
              <w:rPr>
                <w:rFonts w:eastAsia="Times New Roman" w:cs="Times New Roman"/>
                <w:b/>
                <w:bCs/>
                <w:lang w:val="pt-PT"/>
              </w:rPr>
              <w:lastRenderedPageBreak/>
              <w:t>Medidas de segurança</w:t>
            </w:r>
          </w:p>
        </w:tc>
      </w:tr>
      <w:tr w:rsidR="00607046" w:rsidRPr="009461CC" w14:paraId="6CEF70FC" w14:textId="77777777" w:rsidTr="004241EF">
        <w:trPr>
          <w:tblHeader/>
          <w:tblCellSpacing w:w="15" w:type="dxa"/>
          <w:jc w:val="center"/>
        </w:trPr>
        <w:tc>
          <w:tcPr>
            <w:tcW w:w="0" w:type="auto"/>
            <w:shd w:val="clear" w:color="auto" w:fill="F5F5F5"/>
            <w:tcMar>
              <w:top w:w="120" w:type="dxa"/>
              <w:left w:w="180" w:type="dxa"/>
              <w:bottom w:w="105" w:type="dxa"/>
              <w:right w:w="120" w:type="dxa"/>
            </w:tcMar>
            <w:hideMark/>
          </w:tcPr>
          <w:p w14:paraId="7F49FF4D" w14:textId="77777777" w:rsidR="00607046" w:rsidRPr="009461CC" w:rsidRDefault="00607046" w:rsidP="004241EF">
            <w:pPr>
              <w:spacing w:after="0" w:line="240" w:lineRule="auto"/>
              <w:jc w:val="center"/>
              <w:rPr>
                <w:rFonts w:eastAsia="Times New Roman" w:cs="Times New Roman"/>
                <w:b/>
                <w:bCs/>
              </w:rPr>
            </w:pPr>
            <w:r>
              <w:rPr>
                <w:rFonts w:eastAsia="Times New Roman" w:cs="Times New Roman"/>
                <w:b/>
                <w:bCs/>
                <w:lang w:val="pt-PT"/>
              </w:rPr>
              <w:t>Medidas</w:t>
            </w:r>
          </w:p>
        </w:tc>
        <w:tc>
          <w:tcPr>
            <w:tcW w:w="0" w:type="auto"/>
            <w:shd w:val="clear" w:color="auto" w:fill="F5F5F5"/>
            <w:tcMar>
              <w:top w:w="120" w:type="dxa"/>
              <w:left w:w="180" w:type="dxa"/>
              <w:bottom w:w="105" w:type="dxa"/>
              <w:right w:w="120" w:type="dxa"/>
            </w:tcMar>
            <w:hideMark/>
          </w:tcPr>
          <w:p w14:paraId="54D43B30" w14:textId="77777777" w:rsidR="00607046" w:rsidRPr="009461CC" w:rsidRDefault="00607046" w:rsidP="004241EF">
            <w:pPr>
              <w:spacing w:after="0" w:line="240" w:lineRule="auto"/>
              <w:jc w:val="center"/>
              <w:rPr>
                <w:rFonts w:eastAsia="Times New Roman" w:cs="Times New Roman"/>
                <w:b/>
                <w:bCs/>
              </w:rPr>
            </w:pPr>
            <w:r>
              <w:rPr>
                <w:rFonts w:eastAsia="Times New Roman" w:cs="Times New Roman"/>
                <w:b/>
                <w:bCs/>
                <w:lang w:val="pt-PT"/>
              </w:rPr>
              <w:t>Definição</w:t>
            </w:r>
          </w:p>
        </w:tc>
      </w:tr>
      <w:tr w:rsidR="00607046" w:rsidRPr="009461CC" w14:paraId="11F5FD97" w14:textId="77777777" w:rsidTr="004241EF">
        <w:trPr>
          <w:tblCellSpacing w:w="15" w:type="dxa"/>
          <w:jc w:val="center"/>
        </w:trPr>
        <w:tc>
          <w:tcPr>
            <w:tcW w:w="0" w:type="auto"/>
            <w:tcMar>
              <w:top w:w="120" w:type="dxa"/>
              <w:left w:w="180" w:type="dxa"/>
              <w:bottom w:w="105" w:type="dxa"/>
              <w:right w:w="120" w:type="dxa"/>
            </w:tcMar>
            <w:hideMark/>
          </w:tcPr>
          <w:p w14:paraId="38CE5781" w14:textId="77777777" w:rsidR="00607046" w:rsidRPr="009461CC" w:rsidRDefault="00607046" w:rsidP="004241EF">
            <w:pPr>
              <w:spacing w:after="0" w:line="240" w:lineRule="auto"/>
              <w:jc w:val="center"/>
              <w:rPr>
                <w:rFonts w:eastAsia="Times New Roman" w:cs="Times New Roman"/>
              </w:rPr>
            </w:pPr>
            <w:r>
              <w:rPr>
                <w:rFonts w:eastAsia="Times New Roman" w:cs="Times New Roman"/>
                <w:b/>
                <w:bCs/>
                <w:lang w:val="pt-PT"/>
              </w:rPr>
              <w:t>Complicações procedimentais</w:t>
            </w:r>
          </w:p>
        </w:tc>
        <w:tc>
          <w:tcPr>
            <w:tcW w:w="0" w:type="auto"/>
            <w:tcMar>
              <w:top w:w="120" w:type="dxa"/>
              <w:left w:w="180" w:type="dxa"/>
              <w:bottom w:w="105" w:type="dxa"/>
              <w:right w:w="120" w:type="dxa"/>
            </w:tcMar>
            <w:hideMark/>
          </w:tcPr>
          <w:p w14:paraId="5EFFAF53" w14:textId="77777777" w:rsidR="00607046" w:rsidRPr="009461CC" w:rsidRDefault="00607046" w:rsidP="004241EF">
            <w:pPr>
              <w:spacing w:after="0" w:line="240" w:lineRule="auto"/>
              <w:jc w:val="center"/>
              <w:rPr>
                <w:rFonts w:eastAsia="Times New Roman" w:cs="Times New Roman"/>
              </w:rPr>
            </w:pPr>
            <w:r>
              <w:rPr>
                <w:rFonts w:eastAsia="Times New Roman" w:cs="Times New Roman"/>
                <w:lang w:val="pt-PT"/>
              </w:rPr>
              <w:t>Inclui sangramento, perfuração, embolia, infeção, reação alérgica, dor</w:t>
            </w:r>
          </w:p>
        </w:tc>
      </w:tr>
      <w:tr w:rsidR="00607046" w:rsidRPr="009461CC" w14:paraId="6CA744C3" w14:textId="77777777" w:rsidTr="004241EF">
        <w:trPr>
          <w:tblCellSpacing w:w="15" w:type="dxa"/>
          <w:jc w:val="center"/>
        </w:trPr>
        <w:tc>
          <w:tcPr>
            <w:tcW w:w="0" w:type="auto"/>
            <w:tcMar>
              <w:top w:w="120" w:type="dxa"/>
              <w:left w:w="180" w:type="dxa"/>
              <w:bottom w:w="90" w:type="dxa"/>
              <w:right w:w="120" w:type="dxa"/>
            </w:tcMar>
            <w:hideMark/>
          </w:tcPr>
          <w:p w14:paraId="250E35B1" w14:textId="77777777" w:rsidR="00607046" w:rsidRPr="009461CC" w:rsidRDefault="00607046" w:rsidP="004241EF">
            <w:pPr>
              <w:spacing w:after="0" w:line="240" w:lineRule="auto"/>
              <w:jc w:val="center"/>
              <w:rPr>
                <w:rFonts w:eastAsia="Times New Roman" w:cs="Times New Roman"/>
              </w:rPr>
            </w:pPr>
            <w:r>
              <w:rPr>
                <w:rFonts w:eastAsia="Times New Roman" w:cs="Times New Roman"/>
                <w:b/>
                <w:bCs/>
                <w:lang w:val="pt-PT"/>
              </w:rPr>
              <w:t>Taxa global de complicações</w:t>
            </w:r>
          </w:p>
        </w:tc>
        <w:tc>
          <w:tcPr>
            <w:tcW w:w="0" w:type="auto"/>
            <w:tcMar>
              <w:top w:w="120" w:type="dxa"/>
              <w:left w:w="180" w:type="dxa"/>
              <w:bottom w:w="90" w:type="dxa"/>
              <w:right w:w="120" w:type="dxa"/>
            </w:tcMar>
            <w:hideMark/>
          </w:tcPr>
          <w:p w14:paraId="2D2E84BE" w14:textId="77777777" w:rsidR="00607046" w:rsidRPr="009461CC" w:rsidRDefault="00607046" w:rsidP="004241EF">
            <w:pPr>
              <w:spacing w:after="0" w:line="240" w:lineRule="auto"/>
              <w:jc w:val="center"/>
              <w:rPr>
                <w:rFonts w:eastAsia="Times New Roman" w:cs="Times New Roman"/>
              </w:rPr>
            </w:pPr>
            <w:r>
              <w:rPr>
                <w:rFonts w:eastAsia="Times New Roman" w:cs="Times New Roman"/>
                <w:lang w:val="pt-PT"/>
              </w:rPr>
              <w:t>Taxa combinada de todos os eventos adversos durante ou após o procedimento</w:t>
            </w:r>
          </w:p>
        </w:tc>
      </w:tr>
    </w:tbl>
    <w:p w14:paraId="4A64B2C8" w14:textId="77777777" w:rsidR="00607046" w:rsidRPr="009461CC" w:rsidRDefault="00607046" w:rsidP="00C97841">
      <w:pPr>
        <w:spacing w:after="0" w:afterAutospacing="0" w:line="240" w:lineRule="auto"/>
        <w:rPr>
          <w:rFonts w:eastAsia="Times New Roman" w:cs="Times New Roman"/>
          <w:iCs/>
          <w:szCs w:val="24"/>
        </w:rPr>
      </w:pPr>
    </w:p>
    <w:p w14:paraId="10E95C55" w14:textId="35E4246E" w:rsidR="00050F24" w:rsidRPr="009461CC" w:rsidRDefault="00050F24" w:rsidP="00050F24">
      <w:pPr>
        <w:spacing w:after="0" w:afterAutospacing="0" w:line="240" w:lineRule="auto"/>
        <w:rPr>
          <w:rFonts w:eastAsia="Times New Roman" w:cs="Times New Roman"/>
          <w:iCs/>
          <w:szCs w:val="24"/>
        </w:rPr>
      </w:pPr>
      <w:r>
        <w:rPr>
          <w:rFonts w:eastAsia="Times New Roman" w:cs="Times New Roman"/>
          <w:szCs w:val="24"/>
          <w:lang w:val="pt-PT"/>
        </w:rPr>
        <w:t>Resumo das taxas de sucesso das medidas de resultado do Laço Vascular Atrieve:</w:t>
      </w:r>
    </w:p>
    <w:p w14:paraId="5B675D80" w14:textId="77777777" w:rsidR="00EE18FA" w:rsidRPr="009461CC" w:rsidRDefault="00EE18FA" w:rsidP="00050F24">
      <w:pPr>
        <w:spacing w:after="0" w:afterAutospacing="0" w:line="240" w:lineRule="auto"/>
        <w:rPr>
          <w:rFonts w:eastAsia="Times New Roman" w:cs="Times New Roman"/>
          <w:iCs/>
          <w:szCs w:val="24"/>
        </w:rPr>
      </w:pPr>
    </w:p>
    <w:p w14:paraId="6387EAAA" w14:textId="6A98A9F8"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pt-PT"/>
        </w:rPr>
        <w:t>O sucesso técnico foi excelente, atingindo 100%.</w:t>
      </w:r>
    </w:p>
    <w:p w14:paraId="70426807" w14:textId="6A68FCB6"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pt-PT"/>
        </w:rPr>
        <w:t>A taxa de sucesso clínico foi de 94,5%, ligeiramente abaixo do limite de 97,4%.</w:t>
      </w:r>
    </w:p>
    <w:p w14:paraId="3E9DC071" w14:textId="055EE80D"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pt-PT"/>
        </w:rPr>
        <w:t>A taxa geral de complicações, perfuração/danos nos tecidos e o sucesso clínico não cumpriram os critérios de aceitação.</w:t>
      </w:r>
    </w:p>
    <w:p w14:paraId="44EC781B" w14:textId="7DA02325" w:rsidR="00050F24" w:rsidRPr="009461CC" w:rsidRDefault="00050F24" w:rsidP="00050F24">
      <w:pPr>
        <w:pStyle w:val="ListParagraph"/>
        <w:numPr>
          <w:ilvl w:val="0"/>
          <w:numId w:val="27"/>
        </w:numPr>
        <w:spacing w:after="0" w:afterAutospacing="0" w:line="240" w:lineRule="auto"/>
        <w:rPr>
          <w:rFonts w:eastAsia="Times New Roman" w:cs="Times New Roman"/>
          <w:iCs/>
          <w:szCs w:val="24"/>
        </w:rPr>
      </w:pPr>
      <w:r>
        <w:rPr>
          <w:rFonts w:eastAsia="Times New Roman" w:cs="Times New Roman"/>
          <w:szCs w:val="24"/>
          <w:lang w:val="pt-PT"/>
        </w:rPr>
        <w:t>As taxas de embolia, dor e mortalidade foram de 0% e cumpriram os critérios.</w:t>
      </w:r>
    </w:p>
    <w:p w14:paraId="05E37DDA" w14:textId="77777777" w:rsidR="00EE18FA" w:rsidRPr="009461CC" w:rsidRDefault="00EE18FA" w:rsidP="00EE18FA">
      <w:pPr>
        <w:pStyle w:val="ListParagraph"/>
        <w:spacing w:after="0" w:afterAutospacing="0" w:line="240" w:lineRule="auto"/>
        <w:rPr>
          <w:rFonts w:eastAsia="Times New Roman" w:cs="Times New Roman"/>
          <w:iCs/>
          <w:szCs w:val="24"/>
        </w:rPr>
      </w:pPr>
    </w:p>
    <w:p w14:paraId="3F2FC7C2" w14:textId="2808A8DE" w:rsidR="00050F24" w:rsidRPr="009461CC" w:rsidRDefault="00050F24" w:rsidP="00EE18FA">
      <w:pPr>
        <w:spacing w:after="0" w:afterAutospacing="0" w:line="240" w:lineRule="auto"/>
        <w:rPr>
          <w:rFonts w:eastAsia="Times New Roman" w:cs="Times New Roman"/>
          <w:iCs/>
          <w:szCs w:val="24"/>
        </w:rPr>
      </w:pPr>
      <w:r>
        <w:rPr>
          <w:rFonts w:eastAsia="Times New Roman" w:cs="Times New Roman"/>
          <w:szCs w:val="24"/>
          <w:lang w:val="pt-PT"/>
        </w:rPr>
        <w:t>Apesar de alguns parâmetros de segurança terem ultrapassado os limites estabelecidos, a relação benefício-risco permaneceu favorável devido ao alto sucesso técnico e à baixa gravidade das complicações.</w:t>
      </w:r>
    </w:p>
    <w:p w14:paraId="2F8EAFF0" w14:textId="77777777" w:rsidR="00AA7F1D" w:rsidRPr="009461CC" w:rsidRDefault="00AA7F1D" w:rsidP="00D47200">
      <w:pPr>
        <w:spacing w:after="0" w:afterAutospacing="0" w:line="240" w:lineRule="auto"/>
        <w:rPr>
          <w:rFonts w:eastAsia="Times New Roman" w:cs="Times New Roman"/>
          <w:iCs/>
          <w:szCs w:val="24"/>
        </w:rPr>
      </w:pPr>
    </w:p>
    <w:p w14:paraId="7A0B3597" w14:textId="24A6D6E4" w:rsidR="00D47200" w:rsidRPr="009461CC" w:rsidRDefault="00AA7F1D" w:rsidP="00D47200">
      <w:pPr>
        <w:spacing w:after="0" w:afterAutospacing="0" w:line="240" w:lineRule="auto"/>
        <w:rPr>
          <w:rFonts w:eastAsia="Times New Roman" w:cs="Times New Roman"/>
          <w:iCs/>
          <w:szCs w:val="24"/>
        </w:rPr>
      </w:pPr>
      <w:r>
        <w:rPr>
          <w:rFonts w:eastAsia="Times New Roman" w:cs="Times New Roman"/>
          <w:szCs w:val="24"/>
          <w:lang w:val="pt-PT"/>
        </w:rPr>
        <w:t>Alegações clínicas nas instruções de uso (IFU) e materiais de marketing</w:t>
      </w:r>
    </w:p>
    <w:p w14:paraId="7DADA029" w14:textId="6C6ECAD3" w:rsidR="001F48BA" w:rsidRPr="009461CC" w:rsidRDefault="00C01A53" w:rsidP="00D52DF8">
      <w:pPr>
        <w:spacing w:after="0" w:afterAutospacing="0" w:line="240" w:lineRule="auto"/>
        <w:rPr>
          <w:rFonts w:cs="Times New Roman"/>
          <w:iCs/>
          <w:szCs w:val="24"/>
        </w:rPr>
      </w:pPr>
      <w:r>
        <w:rPr>
          <w:rFonts w:cs="Times New Roman"/>
          <w:szCs w:val="24"/>
          <w:lang w:val="pt-PT"/>
        </w:rPr>
        <w:t>As seguintes afirmações são apoiadas pela avaliação clínica:</w:t>
      </w:r>
    </w:p>
    <w:p w14:paraId="19E8DAE4" w14:textId="77777777" w:rsidR="00EE18FA" w:rsidRPr="009461CC" w:rsidRDefault="00EE18FA" w:rsidP="00D52DF8">
      <w:pPr>
        <w:spacing w:after="0" w:afterAutospacing="0" w:line="240" w:lineRule="auto"/>
        <w:rPr>
          <w:rFonts w:cs="Times New Roman"/>
          <w:iCs/>
          <w:szCs w:val="24"/>
        </w:rPr>
      </w:pPr>
    </w:p>
    <w:p w14:paraId="7925D059" w14:textId="1A5A89DA"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pt-PT"/>
        </w:rPr>
        <w:t>Remoção/manipulação percutânea de corpos estranhos – Apoiado por 100% de sucesso técnico na literatura.</w:t>
      </w:r>
    </w:p>
    <w:p w14:paraId="3AB6E45D" w14:textId="783809AA"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pt-PT"/>
        </w:rPr>
        <w:t>Menores taxas de complicações do que a intervenção cirúrgica – Apoiado por literatura comparativa e análises do estado da arte.</w:t>
      </w:r>
    </w:p>
    <w:p w14:paraId="15638B58" w14:textId="335CFE86" w:rsidR="003859AF"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pt-PT"/>
        </w:rPr>
        <w:t>Utilização em procedimentos adjuvantes (ex.: remoção da bainha de fibrina, reposicionamento de cateter) – Apoiado por relatos de casos clínicos e diretrizes de procedimentos.</w:t>
      </w:r>
    </w:p>
    <w:p w14:paraId="351D383E" w14:textId="7EB46C62" w:rsidR="00C01A53" w:rsidRPr="009461CC" w:rsidRDefault="003859AF" w:rsidP="003859AF">
      <w:pPr>
        <w:pStyle w:val="ListParagraph"/>
        <w:numPr>
          <w:ilvl w:val="0"/>
          <w:numId w:val="28"/>
        </w:numPr>
        <w:spacing w:after="0" w:afterAutospacing="0" w:line="240" w:lineRule="auto"/>
        <w:rPr>
          <w:rFonts w:cs="Times New Roman"/>
          <w:iCs/>
          <w:szCs w:val="24"/>
        </w:rPr>
      </w:pPr>
      <w:r>
        <w:rPr>
          <w:rFonts w:cs="Times New Roman"/>
          <w:szCs w:val="24"/>
          <w:lang w:val="pt-PT"/>
        </w:rPr>
        <w:t>Seguro para uso em populações adultas – Apoiado por dados de vigilância pós-comercialização e dados da literatura.</w:t>
      </w:r>
    </w:p>
    <w:p w14:paraId="68D32F33" w14:textId="77777777" w:rsidR="005D424F" w:rsidRPr="009461CC" w:rsidRDefault="005D424F" w:rsidP="005D424F">
      <w:pPr>
        <w:spacing w:after="0" w:afterAutospacing="0" w:line="240" w:lineRule="auto"/>
        <w:rPr>
          <w:rFonts w:cs="Times New Roman"/>
          <w:iCs/>
          <w:szCs w:val="24"/>
        </w:rPr>
      </w:pPr>
    </w:p>
    <w:p w14:paraId="76063689" w14:textId="3006D09D" w:rsidR="005D424F" w:rsidRPr="009461CC" w:rsidRDefault="005D424F" w:rsidP="005D424F">
      <w:pPr>
        <w:spacing w:after="0" w:afterAutospacing="0" w:line="240" w:lineRule="auto"/>
        <w:rPr>
          <w:rFonts w:cs="Times New Roman"/>
          <w:iCs/>
          <w:szCs w:val="24"/>
        </w:rPr>
      </w:pPr>
      <w:r>
        <w:rPr>
          <w:rFonts w:cs="Times New Roman"/>
          <w:szCs w:val="24"/>
          <w:lang w:val="pt-PT"/>
        </w:rPr>
        <w:t>Os Laços Vasculares Atrieve demonstram um perfil benefício-risco favorável, com forte desempenho clínico e segurança comprovados pela literatura, testes e dados pós-comercialização. Estão em conformidade com as normas regulamentares e são adequados para uso clínico contínuo.</w:t>
      </w:r>
    </w:p>
    <w:p w14:paraId="653883C0" w14:textId="77777777" w:rsidR="003859AF" w:rsidRPr="009461CC" w:rsidRDefault="003859AF" w:rsidP="003859AF">
      <w:pPr>
        <w:spacing w:after="0" w:afterAutospacing="0" w:line="240" w:lineRule="auto"/>
        <w:rPr>
          <w:rFonts w:cs="Times New Roman"/>
          <w:iCs/>
          <w:szCs w:val="24"/>
        </w:rPr>
      </w:pPr>
    </w:p>
    <w:p w14:paraId="6DCFA27A" w14:textId="12CF0A2D" w:rsidR="00C91927" w:rsidRPr="009461CC" w:rsidRDefault="008745ED" w:rsidP="00C91927">
      <w:pPr>
        <w:pStyle w:val="Heading1"/>
        <w:rPr>
          <w:rFonts w:cs="Times New Roman"/>
          <w:color w:val="auto"/>
        </w:rPr>
      </w:pPr>
      <w:bookmarkStart w:id="76" w:name="_Toc222741657"/>
      <w:r>
        <w:rPr>
          <w:rFonts w:cs="Times New Roman"/>
          <w:bCs/>
          <w:color w:val="auto"/>
          <w:lang w:val="pt-PT"/>
        </w:rPr>
        <w:t>Acompanhamento clínico pós-comercialização em curso ou planeado</w:t>
      </w:r>
      <w:bookmarkEnd w:id="76"/>
    </w:p>
    <w:p w14:paraId="494CEDC3" w14:textId="10523200" w:rsidR="0094476E" w:rsidRPr="009461CC" w:rsidRDefault="003B4C77" w:rsidP="00C91927">
      <w:pPr>
        <w:spacing w:line="240" w:lineRule="auto"/>
        <w:rPr>
          <w:rFonts w:cs="Times New Roman"/>
          <w:highlight w:val="yellow"/>
        </w:rPr>
      </w:pPr>
      <w:r>
        <w:rPr>
          <w:rFonts w:cs="Times New Roman"/>
          <w:lang w:val="pt-PT"/>
        </w:rPr>
        <w:t>O acompanhamento clínico pós-comercialização do Laço Vascular Atrieve é realizado de acordo com o PMCFP-029 Rev C e segue os requisitos do Anexo XIV, Parte B do MDR. As atividades de acompanhamento clínico pós-comercialização visam confirmar proativamente a segurança e o desempenho do dispositivo na prática clínica de rotina, identificar quaisquer riscos emergentes e verificar se o perfil benefício-risco permanece aceitável.</w:t>
      </w:r>
    </w:p>
    <w:p w14:paraId="58642C16" w14:textId="276C8BA1" w:rsidR="00E541DE" w:rsidRPr="009461CC" w:rsidRDefault="00E541DE" w:rsidP="00E541DE">
      <w:pPr>
        <w:pStyle w:val="NormalWeb"/>
      </w:pPr>
      <w:r>
        <w:rPr>
          <w:rStyle w:val="Strong"/>
          <w:lang w:val="pt-PT"/>
        </w:rPr>
        <w:lastRenderedPageBreak/>
        <w:t>Atividades em andamento do PMCF</w:t>
      </w:r>
      <w:r>
        <w:rPr>
          <w:lang w:val="pt-PT"/>
        </w:rPr>
        <w:br/>
        <w:t>as seguintes atividades contínuas estão planeadas para serem realizadas ao longo do ciclo de vida do dispositivo:</w:t>
      </w:r>
    </w:p>
    <w:p w14:paraId="15FC3A69" w14:textId="31C9D895" w:rsidR="00E541DE" w:rsidRPr="009461CC" w:rsidRDefault="00DE3CC0" w:rsidP="00E541DE">
      <w:pPr>
        <w:pStyle w:val="NormalWeb"/>
        <w:numPr>
          <w:ilvl w:val="0"/>
          <w:numId w:val="29"/>
        </w:numPr>
      </w:pPr>
      <w:r>
        <w:rPr>
          <w:rStyle w:val="Strong"/>
          <w:b w:val="0"/>
          <w:bCs w:val="0"/>
          <w:lang w:val="pt-PT"/>
        </w:rPr>
        <w:t>Revisão sistemática anual da literatura:</w:t>
      </w:r>
      <w:r>
        <w:rPr>
          <w:lang w:val="pt-PT"/>
        </w:rPr>
        <w:t xml:space="preserve"> é realizada uma revisão estruturada das evidências clínicas publicadas relacionadas com laços vasculares e dispositivos comparáveis para identificar novas informações sobre segurança, desempenho, técnicas clínicas ou riscos emergentes.</w:t>
      </w:r>
    </w:p>
    <w:p w14:paraId="08598FA3" w14:textId="6BDEE605" w:rsidR="00E541DE" w:rsidRPr="009461CC" w:rsidRDefault="00DE3CC0" w:rsidP="00E541DE">
      <w:pPr>
        <w:pStyle w:val="NormalWeb"/>
        <w:numPr>
          <w:ilvl w:val="0"/>
          <w:numId w:val="29"/>
        </w:numPr>
      </w:pPr>
      <w:r>
        <w:rPr>
          <w:rStyle w:val="Strong"/>
          <w:b w:val="0"/>
          <w:bCs w:val="0"/>
          <w:lang w:val="pt-PT"/>
        </w:rPr>
        <w:t>Revisão anual do estado da arte (SOA):</w:t>
      </w:r>
      <w:r>
        <w:rPr>
          <w:lang w:val="pt-PT"/>
        </w:rPr>
        <w:t xml:space="preserve"> é realizada uma avaliação das diretrizes de prática clínica, dos padrões internacionais e das tecnologias concorrentes para garantir o alinhamento contínuo com a prática clínica e técnica atual.</w:t>
      </w:r>
    </w:p>
    <w:p w14:paraId="6EE80A3F" w14:textId="77777777" w:rsidR="00E541DE" w:rsidRPr="009461CC" w:rsidRDefault="00E541DE" w:rsidP="00E541DE">
      <w:pPr>
        <w:pStyle w:val="NormalWeb"/>
        <w:numPr>
          <w:ilvl w:val="0"/>
          <w:numId w:val="29"/>
        </w:numPr>
      </w:pPr>
      <w:r>
        <w:rPr>
          <w:rStyle w:val="Strong"/>
          <w:b w:val="0"/>
          <w:bCs w:val="0"/>
          <w:lang w:val="pt-PT"/>
        </w:rPr>
        <w:t>Análise contínua dos dados de reclamações e eventos adversos:</w:t>
      </w:r>
      <w:r>
        <w:rPr>
          <w:lang w:val="pt-PT"/>
        </w:rPr>
        <w:t xml:space="preserve"> embora esta seja uma atividade de PMS e não de PMCF, as principais conclusões são avaliadas dentro do processo de PMCF para determinar se é necessário acompanhamento clínico adicional.</w:t>
      </w:r>
    </w:p>
    <w:p w14:paraId="39597E9A" w14:textId="77777777" w:rsidR="009E1EBB" w:rsidRPr="009461CC" w:rsidRDefault="009E1EBB" w:rsidP="009E1EBB">
      <w:pPr>
        <w:pStyle w:val="NormalWeb"/>
      </w:pPr>
      <w:r>
        <w:rPr>
          <w:rStyle w:val="Strong"/>
          <w:lang w:val="pt-PT"/>
        </w:rPr>
        <w:t>Atividades planeadas de PMCF</w:t>
      </w:r>
      <w:r>
        <w:rPr>
          <w:lang w:val="pt-PT"/>
        </w:rPr>
        <w:br/>
        <w:t>Para recolher evidências práticas e direcionadas sobre o Kit de Laço Vascular Atrieve™, a seguinte atividade está planeada:</w:t>
      </w:r>
    </w:p>
    <w:p w14:paraId="395AA027" w14:textId="77777777" w:rsidR="009E1EBB" w:rsidRPr="009461CC" w:rsidRDefault="009E1EBB" w:rsidP="009E1EBB">
      <w:pPr>
        <w:pStyle w:val="NormalWeb"/>
        <w:numPr>
          <w:ilvl w:val="0"/>
          <w:numId w:val="32"/>
        </w:numPr>
      </w:pPr>
      <w:r>
        <w:rPr>
          <w:rStyle w:val="Strong"/>
          <w:lang w:val="pt-PT"/>
        </w:rPr>
        <w:t>Questionário aos médicos do PMCF:</w:t>
      </w:r>
      <w:r>
        <w:rPr>
          <w:lang w:val="pt-PT"/>
        </w:rPr>
        <w:br/>
        <w:t>será realizado um inquérito estruturado aos utilizadores clínicos para reunir informações sobre a sua experiência com o dispositivo, avaliar o seu desempenho na prática clínica de rotina e identificar quaisquer complicações ou eventos inesperados observados. Os resultados do inquérito serão analisados e incorporados no Relatório de Avaliação do PMCF. Os resultados irão orientar as decisões relativas à necessidade de atividades adicionais do PMCF ou atualizações do Relatório de Avaliação Clínica (CER) e do Relatório de Gestão de Riscos (RMR).</w:t>
      </w:r>
    </w:p>
    <w:p w14:paraId="1DED8B40" w14:textId="44E4C95F" w:rsidR="00DE0007" w:rsidRPr="009461CC" w:rsidRDefault="00DE0007" w:rsidP="00DE0007">
      <w:pPr>
        <w:pStyle w:val="NormalWeb"/>
      </w:pPr>
      <w:r>
        <w:rPr>
          <w:rStyle w:val="Strong"/>
          <w:lang w:val="pt-PT"/>
        </w:rPr>
        <w:t>Justificação para a Abordagem PMCF</w:t>
      </w:r>
      <w:r>
        <w:rPr>
          <w:lang w:val="pt-PT"/>
        </w:rPr>
        <w:br/>
        <w:t>Com base na avaliação clínica atual, nas evidências da literatura e na experiência pós-comercialização, não foram identificados riscos novos ou emergentes que exijam uma investigação clínica específica para o dispositivo. As atividades de PMCF existentes, as revisões anuais da literatura e da SOA, apoiadas pelo feedback direcionado dos médicos, são consideradas suficientes para confirmar a segurança e o desempenho contínuos deste dispositivo legado de Classe III bem estabelecido, o Kit de Laço Vascular Atrieve™.</w:t>
      </w:r>
    </w:p>
    <w:p w14:paraId="3DA3C9CA" w14:textId="77777777" w:rsidR="005B4422" w:rsidRPr="009461CC" w:rsidRDefault="005B4422" w:rsidP="005B4422">
      <w:pPr>
        <w:pStyle w:val="NormalWeb"/>
        <w:spacing w:before="0" w:beforeAutospacing="0" w:after="0" w:afterAutospacing="0"/>
      </w:pPr>
      <w:r>
        <w:rPr>
          <w:rStyle w:val="Strong"/>
          <w:lang w:val="pt-PT"/>
        </w:rPr>
        <w:t>Relatório PMCF</w:t>
      </w:r>
    </w:p>
    <w:p w14:paraId="5C389055" w14:textId="14E4D114" w:rsidR="0094476E" w:rsidRDefault="00B04139" w:rsidP="007002E4">
      <w:pPr>
        <w:pStyle w:val="NormalWeb"/>
        <w:spacing w:before="0" w:beforeAutospacing="0" w:after="0" w:afterAutospacing="0"/>
      </w:pPr>
      <w:r>
        <w:rPr>
          <w:lang w:val="pt-PT"/>
        </w:rPr>
        <w:t>Um relatório PMCF é gerado em intervalos definidos e sempre que novas informações que possam afetar o perfil de risco-benefício se tornem disponíveis. Todos os resultados do PMCF alimentam o Relatório de Avaliação Clínica (CER), o Relatório de Gestão de Riscos (RMR) e outros processos pós-comercialização, conforme necessário.</w:t>
      </w:r>
    </w:p>
    <w:p w14:paraId="09D946B7" w14:textId="77777777" w:rsidR="007002E4" w:rsidRPr="007002E4" w:rsidRDefault="007002E4" w:rsidP="007002E4">
      <w:pPr>
        <w:pStyle w:val="NormalWeb"/>
        <w:spacing w:before="0" w:beforeAutospacing="0" w:after="0" w:afterAutospacing="0"/>
      </w:pPr>
    </w:p>
    <w:p w14:paraId="748C3FE5" w14:textId="1D19292C" w:rsidR="00760400" w:rsidRPr="009461CC" w:rsidRDefault="00760400" w:rsidP="00F67A0E">
      <w:pPr>
        <w:pStyle w:val="Heading1"/>
        <w:numPr>
          <w:ilvl w:val="0"/>
          <w:numId w:val="2"/>
        </w:numPr>
        <w:rPr>
          <w:rFonts w:cs="Times New Roman"/>
        </w:rPr>
      </w:pPr>
      <w:bookmarkStart w:id="77" w:name="_Toc222741658"/>
      <w:r>
        <w:rPr>
          <w:rFonts w:cs="Times New Roman"/>
          <w:bCs/>
          <w:lang w:val="pt-PT"/>
        </w:rPr>
        <w:t>Possíveis alternativas diagnósticas ou terapêuticas</w:t>
      </w:r>
      <w:bookmarkEnd w:id="77"/>
      <w:r>
        <w:rPr>
          <w:rFonts w:cs="Times New Roman"/>
          <w:bCs/>
          <w:lang w:val="pt-PT"/>
        </w:rPr>
        <w:t xml:space="preserve"> </w:t>
      </w:r>
    </w:p>
    <w:p w14:paraId="60C316BA" w14:textId="4177FF86" w:rsidR="00042B91" w:rsidRPr="009461CC" w:rsidRDefault="008373C6" w:rsidP="00AB04FB">
      <w:pPr>
        <w:rPr>
          <w:rFonts w:cs="Times New Roman"/>
        </w:rPr>
      </w:pPr>
      <w:r>
        <w:rPr>
          <w:rFonts w:cs="Times New Roman"/>
          <w:lang w:val="pt-PT"/>
        </w:rPr>
        <w:t xml:space="preserve">De acordo com o documento CER-029 Rev B, são identificadas três alternativas principais para a remoção de corpos estranhos no sistema cardiovascular. Para pacientes cirúrgicos assintomáticos ou de alto risco, recomenda-se o tratamento conservador, com base em monitorização rigorosa e exames de imagiologia quando a intervenção puder apresentar maiores riscos. As técnicas minimamente invasivas são a abordagem </w:t>
      </w:r>
      <w:r>
        <w:rPr>
          <w:rFonts w:cs="Times New Roman"/>
          <w:lang w:val="pt-PT"/>
        </w:rPr>
        <w:lastRenderedPageBreak/>
        <w:t>preferida, sendo os laços de recuperação, particularmente os laços Gooseneck, amplamente utilizadas tanto para remoções padrão como para complexas. Os fórceps proporcionam uma aderência precisa e são adequados para casos difíceis, como dispositivos fraturados ou encravados. A remoção cirúrgica, como toracotomia ou esternotomia, é uma opção de último recurso devido à sua natureza invasiva e ao maior risco para o paciente. De modo geral, a remoção endovascular continua a ser o tratamento padrão, sendo o procedimento adaptado à condição do paciente e às características do corpo estranho.</w:t>
      </w:r>
    </w:p>
    <w:p w14:paraId="2CDE6FBF" w14:textId="77777777" w:rsidR="00042B91" w:rsidRPr="009461CC" w:rsidRDefault="00042B91" w:rsidP="00F67A0E">
      <w:pPr>
        <w:pStyle w:val="Heading1"/>
        <w:numPr>
          <w:ilvl w:val="0"/>
          <w:numId w:val="2"/>
        </w:numPr>
        <w:rPr>
          <w:rFonts w:cs="Times New Roman"/>
        </w:rPr>
      </w:pPr>
      <w:bookmarkStart w:id="78" w:name="_Toc222741659"/>
      <w:r>
        <w:rPr>
          <w:rFonts w:cs="Times New Roman"/>
          <w:bCs/>
          <w:lang w:val="pt-PT"/>
        </w:rPr>
        <w:t>Perfil sugerido e formação para utilizadores</w:t>
      </w:r>
      <w:bookmarkEnd w:id="78"/>
    </w:p>
    <w:p w14:paraId="35173865" w14:textId="0C72FD3E" w:rsidR="00042B91" w:rsidRPr="009461CC" w:rsidRDefault="00A5239F" w:rsidP="00042B91">
      <w:pPr>
        <w:spacing w:after="0" w:afterAutospacing="0" w:line="240" w:lineRule="auto"/>
        <w:rPr>
          <w:rFonts w:eastAsia="Calibri" w:cs="Times New Roman"/>
          <w:szCs w:val="24"/>
        </w:rPr>
      </w:pPr>
      <w:r>
        <w:rPr>
          <w:rFonts w:eastAsia="Calibri" w:cs="Times New Roman"/>
          <w:szCs w:val="24"/>
          <w:lang w:val="pt-PT"/>
        </w:rPr>
        <w:t>O produto deve ser utilizado apenas por profissionais da saúde qualificados que já tenham conhecimento da técnica.</w:t>
      </w:r>
    </w:p>
    <w:p w14:paraId="21A7D581" w14:textId="77777777" w:rsidR="00A5239F" w:rsidRPr="009461CC" w:rsidRDefault="00A5239F" w:rsidP="00042B91">
      <w:pPr>
        <w:spacing w:after="0" w:afterAutospacing="0" w:line="240" w:lineRule="auto"/>
        <w:rPr>
          <w:rFonts w:cs="Times New Roman"/>
          <w:i/>
          <w:color w:val="FF0000"/>
          <w:highlight w:val="yellow"/>
        </w:rPr>
      </w:pPr>
    </w:p>
    <w:p w14:paraId="7848B753" w14:textId="692785D6" w:rsidR="0037316E" w:rsidRPr="009461CC" w:rsidRDefault="00760400" w:rsidP="00F67A0E">
      <w:pPr>
        <w:pStyle w:val="Heading1"/>
        <w:numPr>
          <w:ilvl w:val="0"/>
          <w:numId w:val="2"/>
        </w:numPr>
        <w:rPr>
          <w:rFonts w:cs="Times New Roman"/>
        </w:rPr>
      </w:pPr>
      <w:bookmarkStart w:id="79" w:name="_Toc222741660"/>
      <w:r>
        <w:rPr>
          <w:rFonts w:cs="Times New Roman"/>
          <w:bCs/>
          <w:lang w:val="pt-PT"/>
        </w:rPr>
        <w:t>Normas harmonizadas/Especificações comuns</w:t>
      </w:r>
      <w:bookmarkEnd w:id="79"/>
    </w:p>
    <w:tbl>
      <w:tblPr>
        <w:tblStyle w:val="TableGrid"/>
        <w:tblW w:w="4959" w:type="pct"/>
        <w:tblLook w:val="04A0" w:firstRow="1" w:lastRow="0" w:firstColumn="1" w:lastColumn="0" w:noHBand="0" w:noVBand="1"/>
      </w:tblPr>
      <w:tblGrid>
        <w:gridCol w:w="2336"/>
        <w:gridCol w:w="8008"/>
      </w:tblGrid>
      <w:tr w:rsidR="0094168A" w:rsidRPr="009461CC" w14:paraId="04F3E487" w14:textId="77777777" w:rsidTr="00293453">
        <w:trPr>
          <w:tblHeader/>
        </w:trPr>
        <w:tc>
          <w:tcPr>
            <w:tcW w:w="1129" w:type="pct"/>
          </w:tcPr>
          <w:p w14:paraId="5EEB168D" w14:textId="77777777" w:rsidR="0094168A" w:rsidRPr="009461CC" w:rsidRDefault="0094168A" w:rsidP="00293453">
            <w:pPr>
              <w:spacing w:after="0" w:afterAutospacing="0"/>
              <w:jc w:val="center"/>
              <w:rPr>
                <w:rFonts w:cs="Times New Roman"/>
                <w:b/>
                <w:bCs/>
                <w:sz w:val="22"/>
              </w:rPr>
            </w:pPr>
            <w:r>
              <w:rPr>
                <w:rFonts w:cs="Times New Roman"/>
                <w:b/>
                <w:bCs/>
                <w:sz w:val="22"/>
                <w:lang w:val="pt-PT"/>
              </w:rPr>
              <w:t>Data/versão de conformidade com o Argon</w:t>
            </w:r>
          </w:p>
        </w:tc>
        <w:tc>
          <w:tcPr>
            <w:tcW w:w="3871" w:type="pct"/>
          </w:tcPr>
          <w:p w14:paraId="7BCD1036" w14:textId="77777777" w:rsidR="0094168A" w:rsidRPr="009461CC" w:rsidRDefault="0094168A" w:rsidP="00293453">
            <w:pPr>
              <w:spacing w:after="0" w:afterAutospacing="0"/>
              <w:jc w:val="center"/>
              <w:rPr>
                <w:rFonts w:cs="Times New Roman"/>
                <w:b/>
                <w:bCs/>
                <w:sz w:val="22"/>
              </w:rPr>
            </w:pPr>
            <w:r>
              <w:rPr>
                <w:rFonts w:cs="Times New Roman"/>
                <w:b/>
                <w:bCs/>
                <w:sz w:val="22"/>
                <w:lang w:val="pt-PT"/>
              </w:rPr>
              <w:t>Título da norma</w:t>
            </w:r>
          </w:p>
        </w:tc>
      </w:tr>
      <w:tr w:rsidR="0094168A" w:rsidRPr="009461CC" w14:paraId="67124770" w14:textId="77777777" w:rsidTr="00293453">
        <w:tc>
          <w:tcPr>
            <w:tcW w:w="5000" w:type="pct"/>
            <w:gridSpan w:val="2"/>
            <w:shd w:val="clear" w:color="auto" w:fill="E7E6E6" w:themeFill="background2"/>
          </w:tcPr>
          <w:p w14:paraId="1B92BABB" w14:textId="77777777" w:rsidR="0094168A" w:rsidRPr="009461CC" w:rsidRDefault="0094168A" w:rsidP="00293453">
            <w:pPr>
              <w:spacing w:after="0" w:afterAutospacing="0"/>
              <w:jc w:val="center"/>
              <w:rPr>
                <w:rFonts w:cs="Times New Roman"/>
                <w:b/>
                <w:bCs/>
                <w:sz w:val="22"/>
              </w:rPr>
            </w:pPr>
            <w:r>
              <w:rPr>
                <w:rFonts w:cs="Times New Roman"/>
                <w:b/>
                <w:bCs/>
                <w:sz w:val="22"/>
                <w:lang w:val="pt-PT"/>
              </w:rPr>
              <w:t>Rotulagem</w:t>
            </w:r>
          </w:p>
        </w:tc>
      </w:tr>
      <w:tr w:rsidR="0094168A" w:rsidRPr="009461CC" w14:paraId="25DF072C" w14:textId="77777777" w:rsidTr="00293453">
        <w:tc>
          <w:tcPr>
            <w:tcW w:w="1129" w:type="pct"/>
          </w:tcPr>
          <w:p w14:paraId="434B73AC" w14:textId="77777777" w:rsidR="0094168A" w:rsidRPr="009461CC" w:rsidRDefault="0094168A" w:rsidP="00293453">
            <w:pPr>
              <w:spacing w:after="0" w:afterAutospacing="0"/>
              <w:rPr>
                <w:rFonts w:cs="Times New Roman"/>
                <w:sz w:val="22"/>
              </w:rPr>
            </w:pPr>
            <w:r>
              <w:rPr>
                <w:rFonts w:eastAsia="Times New Roman" w:cs="Times New Roman"/>
                <w:sz w:val="22"/>
                <w:lang w:val="pt-PT"/>
              </w:rPr>
              <w:t>EN ISO 15223-1:2021</w:t>
            </w:r>
          </w:p>
        </w:tc>
        <w:tc>
          <w:tcPr>
            <w:tcW w:w="3871" w:type="pct"/>
          </w:tcPr>
          <w:p w14:paraId="40A15B1C" w14:textId="77777777" w:rsidR="0094168A" w:rsidRPr="009461CC" w:rsidRDefault="0094168A" w:rsidP="00293453">
            <w:pPr>
              <w:spacing w:after="0" w:afterAutospacing="0"/>
              <w:rPr>
                <w:rFonts w:cs="Times New Roman"/>
                <w:sz w:val="22"/>
              </w:rPr>
            </w:pPr>
            <w:r>
              <w:rPr>
                <w:rFonts w:cs="Times New Roman"/>
                <w:sz w:val="22"/>
                <w:lang w:val="pt-PT"/>
              </w:rPr>
              <w:t xml:space="preserve">Dispositivos médicos - Símbolos a serem utilizados com dispositivos médicos. </w:t>
            </w:r>
          </w:p>
          <w:p w14:paraId="093121E8" w14:textId="77777777" w:rsidR="0094168A" w:rsidRPr="009461CC" w:rsidRDefault="0094168A" w:rsidP="00293453">
            <w:pPr>
              <w:spacing w:after="0" w:afterAutospacing="0"/>
              <w:rPr>
                <w:rFonts w:cs="Times New Roman"/>
                <w:sz w:val="22"/>
              </w:rPr>
            </w:pPr>
            <w:r>
              <w:rPr>
                <w:rFonts w:cs="Times New Roman"/>
                <w:sz w:val="22"/>
                <w:lang w:val="pt-PT"/>
              </w:rPr>
              <w:t xml:space="preserve">Rótulos, rotulagem e informações a serem fornecidas - Parte 1: Requisitos gerais. </w:t>
            </w:r>
          </w:p>
          <w:p w14:paraId="3CEE87DD" w14:textId="77777777" w:rsidR="0094168A" w:rsidRPr="009461CC" w:rsidRDefault="0094168A" w:rsidP="00293453">
            <w:pPr>
              <w:spacing w:after="0" w:afterAutospacing="0"/>
              <w:rPr>
                <w:rFonts w:cs="Times New Roman"/>
                <w:sz w:val="22"/>
              </w:rPr>
            </w:pPr>
          </w:p>
        </w:tc>
      </w:tr>
      <w:tr w:rsidR="0094168A" w:rsidRPr="009461CC" w14:paraId="13723641" w14:textId="77777777" w:rsidTr="00293453">
        <w:tc>
          <w:tcPr>
            <w:tcW w:w="1129" w:type="pct"/>
          </w:tcPr>
          <w:p w14:paraId="7822ED4F" w14:textId="77777777" w:rsidR="0094168A" w:rsidRPr="009461CC" w:rsidRDefault="0094168A" w:rsidP="00293453">
            <w:pPr>
              <w:spacing w:after="0" w:afterAutospacing="0"/>
              <w:rPr>
                <w:rFonts w:cs="Times New Roman"/>
                <w:sz w:val="22"/>
              </w:rPr>
            </w:pPr>
            <w:r>
              <w:rPr>
                <w:rFonts w:cs="Times New Roman"/>
                <w:sz w:val="22"/>
                <w:lang w:val="pt-PT"/>
              </w:rPr>
              <w:t>EN ISO 20417:2021</w:t>
            </w:r>
          </w:p>
        </w:tc>
        <w:tc>
          <w:tcPr>
            <w:tcW w:w="3871" w:type="pct"/>
          </w:tcPr>
          <w:p w14:paraId="6EF6F718" w14:textId="77777777" w:rsidR="0094168A" w:rsidRPr="009461CC" w:rsidRDefault="0094168A" w:rsidP="00293453">
            <w:pPr>
              <w:spacing w:after="0" w:afterAutospacing="0"/>
              <w:rPr>
                <w:rFonts w:cs="Times New Roman"/>
                <w:sz w:val="22"/>
              </w:rPr>
            </w:pPr>
            <w:r>
              <w:rPr>
                <w:rFonts w:cs="Times New Roman"/>
                <w:sz w:val="22"/>
                <w:lang w:val="pt-PT"/>
              </w:rPr>
              <w:t>Terminologia, símbolos e informações fornecidas com dispositivos médicos: informações fornecidas pelo fabricante com dispositivos médicos</w:t>
            </w:r>
          </w:p>
        </w:tc>
      </w:tr>
      <w:tr w:rsidR="0094168A" w:rsidRPr="009461CC" w14:paraId="26B8C057" w14:textId="77777777" w:rsidTr="00293453">
        <w:tc>
          <w:tcPr>
            <w:tcW w:w="5000" w:type="pct"/>
            <w:gridSpan w:val="2"/>
            <w:shd w:val="clear" w:color="auto" w:fill="E7E6E6" w:themeFill="background2"/>
          </w:tcPr>
          <w:p w14:paraId="1F9809B2" w14:textId="77777777" w:rsidR="0094168A" w:rsidRPr="009461CC" w:rsidRDefault="0094168A" w:rsidP="00293453">
            <w:pPr>
              <w:spacing w:after="0" w:afterAutospacing="0"/>
              <w:jc w:val="center"/>
              <w:rPr>
                <w:rFonts w:cs="Times New Roman"/>
                <w:b/>
                <w:bCs/>
                <w:sz w:val="22"/>
              </w:rPr>
            </w:pPr>
            <w:r>
              <w:rPr>
                <w:rFonts w:cs="Times New Roman"/>
                <w:b/>
                <w:bCs/>
                <w:sz w:val="22"/>
                <w:lang w:val="pt-PT"/>
              </w:rPr>
              <w:t>Normas Gerais – Esterilização</w:t>
            </w:r>
          </w:p>
        </w:tc>
      </w:tr>
      <w:tr w:rsidR="0094168A" w:rsidRPr="009461CC" w14:paraId="7C28E0D3" w14:textId="77777777" w:rsidTr="00293453">
        <w:tc>
          <w:tcPr>
            <w:tcW w:w="1129" w:type="pct"/>
          </w:tcPr>
          <w:p w14:paraId="0416000A" w14:textId="77777777" w:rsidR="0094168A" w:rsidRPr="009461CC" w:rsidRDefault="0094168A" w:rsidP="00293453">
            <w:pPr>
              <w:spacing w:after="0" w:afterAutospacing="0"/>
              <w:rPr>
                <w:rFonts w:cs="Times New Roman"/>
                <w:sz w:val="22"/>
              </w:rPr>
            </w:pPr>
            <w:r>
              <w:rPr>
                <w:rFonts w:cs="Times New Roman"/>
                <w:sz w:val="22"/>
                <w:lang w:val="pt-PT"/>
              </w:rPr>
              <w:t>ISO 10555-1:2013</w:t>
            </w:r>
          </w:p>
        </w:tc>
        <w:tc>
          <w:tcPr>
            <w:tcW w:w="3871" w:type="pct"/>
          </w:tcPr>
          <w:p w14:paraId="5B0C265F" w14:textId="77777777" w:rsidR="0094168A" w:rsidRPr="009461CC" w:rsidRDefault="0094168A" w:rsidP="00293453">
            <w:pPr>
              <w:spacing w:after="0" w:afterAutospacing="0"/>
              <w:rPr>
                <w:rFonts w:cs="Times New Roman"/>
                <w:sz w:val="22"/>
              </w:rPr>
            </w:pPr>
            <w:r>
              <w:rPr>
                <w:rFonts w:cs="Times New Roman"/>
                <w:sz w:val="22"/>
                <w:lang w:val="pt-PT"/>
              </w:rPr>
              <w:t>Cateteres intravasculares – Cateteres esterilizados e de uso único – Parte 1: requisitos gerais</w:t>
            </w:r>
          </w:p>
        </w:tc>
      </w:tr>
      <w:tr w:rsidR="0094168A" w:rsidRPr="009461CC" w14:paraId="088E27B4" w14:textId="77777777" w:rsidTr="00293453">
        <w:tc>
          <w:tcPr>
            <w:tcW w:w="1129" w:type="pct"/>
          </w:tcPr>
          <w:p w14:paraId="47460872" w14:textId="77777777" w:rsidR="0094168A" w:rsidRPr="009461CC" w:rsidRDefault="0094168A" w:rsidP="00293453">
            <w:pPr>
              <w:spacing w:after="0" w:afterAutospacing="0"/>
              <w:rPr>
                <w:rFonts w:cs="Times New Roman"/>
                <w:sz w:val="22"/>
              </w:rPr>
            </w:pPr>
            <w:r>
              <w:rPr>
                <w:rFonts w:cs="Times New Roman"/>
                <w:sz w:val="22"/>
                <w:lang w:val="pt-PT"/>
              </w:rPr>
              <w:t>EN 556-1:2024</w:t>
            </w:r>
          </w:p>
        </w:tc>
        <w:tc>
          <w:tcPr>
            <w:tcW w:w="3871" w:type="pct"/>
          </w:tcPr>
          <w:p w14:paraId="64BED8C0" w14:textId="77777777" w:rsidR="0094168A" w:rsidRPr="009461CC" w:rsidRDefault="0094168A" w:rsidP="00293453">
            <w:pPr>
              <w:spacing w:after="0" w:afterAutospacing="0"/>
              <w:rPr>
                <w:rFonts w:cs="Times New Roman"/>
                <w:sz w:val="22"/>
              </w:rPr>
            </w:pPr>
            <w:r>
              <w:rPr>
                <w:rFonts w:cs="Times New Roman"/>
                <w:sz w:val="22"/>
                <w:lang w:val="pt-PT"/>
              </w:rPr>
              <w:t>Esterilização de dispositivos médicos. Requisitos para que os dispositivos médicos sejam designados ESTÉRIL. Requisitos para dispositivos médicos esterilizados terminalmente</w:t>
            </w:r>
          </w:p>
        </w:tc>
      </w:tr>
      <w:tr w:rsidR="0094168A" w:rsidRPr="009461CC" w14:paraId="4DEE0525" w14:textId="77777777" w:rsidTr="00293453">
        <w:tc>
          <w:tcPr>
            <w:tcW w:w="1129" w:type="pct"/>
          </w:tcPr>
          <w:p w14:paraId="5095D1B9" w14:textId="77777777" w:rsidR="0094168A" w:rsidRPr="009461CC" w:rsidRDefault="0094168A" w:rsidP="00293453">
            <w:pPr>
              <w:spacing w:after="0" w:afterAutospacing="0"/>
              <w:rPr>
                <w:rFonts w:cs="Times New Roman"/>
                <w:sz w:val="22"/>
              </w:rPr>
            </w:pPr>
            <w:r>
              <w:rPr>
                <w:rFonts w:cs="Times New Roman"/>
                <w:sz w:val="22"/>
                <w:lang w:val="pt-PT"/>
              </w:rPr>
              <w:t>EN ISO 11135:2019</w:t>
            </w:r>
          </w:p>
        </w:tc>
        <w:tc>
          <w:tcPr>
            <w:tcW w:w="3871" w:type="pct"/>
          </w:tcPr>
          <w:p w14:paraId="1E9B7BED" w14:textId="77777777" w:rsidR="0094168A" w:rsidRPr="009461CC" w:rsidRDefault="0094168A" w:rsidP="00293453">
            <w:pPr>
              <w:spacing w:after="0" w:afterAutospacing="0"/>
              <w:rPr>
                <w:rFonts w:cs="Times New Roman"/>
                <w:sz w:val="22"/>
              </w:rPr>
            </w:pPr>
            <w:r>
              <w:rPr>
                <w:rFonts w:cs="Times New Roman"/>
                <w:sz w:val="22"/>
                <w:lang w:val="pt-PT"/>
              </w:rPr>
              <w:t>Esterilização de produtos de cuidados de saúde - Óxido de etileno - Parte 1: Requisitos para o desenvolvimento, validação e controlo de rotina de um processo de esterilização para dispositivos médicos</w:t>
            </w:r>
          </w:p>
        </w:tc>
      </w:tr>
      <w:tr w:rsidR="0094168A" w:rsidRPr="009461CC" w14:paraId="6B89F042" w14:textId="77777777" w:rsidTr="00293453">
        <w:tc>
          <w:tcPr>
            <w:tcW w:w="1129" w:type="pct"/>
          </w:tcPr>
          <w:p w14:paraId="3F48324F" w14:textId="77777777" w:rsidR="0094168A" w:rsidRPr="009461CC" w:rsidRDefault="0094168A" w:rsidP="00293453">
            <w:pPr>
              <w:spacing w:after="0" w:afterAutospacing="0"/>
              <w:rPr>
                <w:rFonts w:cs="Times New Roman"/>
                <w:sz w:val="22"/>
              </w:rPr>
            </w:pPr>
            <w:r>
              <w:rPr>
                <w:rFonts w:cs="Times New Roman"/>
                <w:sz w:val="22"/>
                <w:lang w:val="pt-PT"/>
              </w:rPr>
              <w:t>AAMI TIR28:2016</w:t>
            </w:r>
          </w:p>
          <w:p w14:paraId="4FBEE0AF" w14:textId="77777777" w:rsidR="0094168A" w:rsidRPr="009461CC" w:rsidRDefault="0094168A" w:rsidP="00293453">
            <w:pPr>
              <w:spacing w:after="0" w:afterAutospacing="0"/>
              <w:jc w:val="center"/>
              <w:rPr>
                <w:rFonts w:cs="Times New Roman"/>
                <w:sz w:val="22"/>
              </w:rPr>
            </w:pPr>
          </w:p>
        </w:tc>
        <w:tc>
          <w:tcPr>
            <w:tcW w:w="3871" w:type="pct"/>
          </w:tcPr>
          <w:p w14:paraId="68BE6733" w14:textId="77777777" w:rsidR="0094168A" w:rsidRPr="009461CC" w:rsidRDefault="0094168A" w:rsidP="00293453">
            <w:pPr>
              <w:spacing w:after="0" w:afterAutospacing="0"/>
              <w:rPr>
                <w:rFonts w:cs="Times New Roman"/>
                <w:sz w:val="22"/>
              </w:rPr>
            </w:pPr>
            <w:r>
              <w:rPr>
                <w:rFonts w:cs="Times New Roman"/>
                <w:sz w:val="22"/>
                <w:lang w:val="pt-PT"/>
              </w:rPr>
              <w:t>Adoção de produtos e equivalência de processos para esterilização por óxido de etileno</w:t>
            </w:r>
          </w:p>
        </w:tc>
      </w:tr>
      <w:tr w:rsidR="0094168A" w:rsidRPr="009461CC" w14:paraId="1E1CCCD6" w14:textId="77777777" w:rsidTr="00293453">
        <w:tc>
          <w:tcPr>
            <w:tcW w:w="1129" w:type="pct"/>
          </w:tcPr>
          <w:p w14:paraId="25D300ED" w14:textId="77777777" w:rsidR="0094168A" w:rsidRPr="009461CC" w:rsidRDefault="0094168A" w:rsidP="00293453">
            <w:pPr>
              <w:spacing w:after="0" w:afterAutospacing="0"/>
              <w:jc w:val="center"/>
              <w:rPr>
                <w:rFonts w:cs="Times New Roman"/>
                <w:sz w:val="22"/>
              </w:rPr>
            </w:pPr>
            <w:r>
              <w:rPr>
                <w:rFonts w:cs="Times New Roman"/>
                <w:sz w:val="22"/>
                <w:lang w:val="pt-PT"/>
              </w:rPr>
              <w:t>EN ISO 14644-1:2015</w:t>
            </w:r>
          </w:p>
        </w:tc>
        <w:tc>
          <w:tcPr>
            <w:tcW w:w="3871" w:type="pct"/>
          </w:tcPr>
          <w:p w14:paraId="2AD73BC5" w14:textId="77777777" w:rsidR="0094168A" w:rsidRPr="009461CC" w:rsidRDefault="0094168A" w:rsidP="00293453">
            <w:pPr>
              <w:spacing w:after="0" w:afterAutospacing="0"/>
              <w:rPr>
                <w:rFonts w:cs="Times New Roman"/>
                <w:sz w:val="22"/>
              </w:rPr>
            </w:pPr>
            <w:r>
              <w:rPr>
                <w:rFonts w:cs="Times New Roman"/>
                <w:sz w:val="22"/>
                <w:lang w:val="pt-PT"/>
              </w:rPr>
              <w:t>Classificação da limpeza do ar, salas limpas e ambientes controlados associados Parte 1: Classificação da limpeza do ar</w:t>
            </w:r>
          </w:p>
        </w:tc>
      </w:tr>
      <w:tr w:rsidR="0094168A" w:rsidRPr="009461CC" w14:paraId="27E7EE41" w14:textId="77777777" w:rsidTr="00293453">
        <w:trPr>
          <w:trHeight w:val="1097"/>
        </w:trPr>
        <w:tc>
          <w:tcPr>
            <w:tcW w:w="1129" w:type="pct"/>
          </w:tcPr>
          <w:p w14:paraId="51EAE02B" w14:textId="77777777" w:rsidR="0094168A" w:rsidRPr="009461CC" w:rsidRDefault="0094168A" w:rsidP="00293453">
            <w:pPr>
              <w:spacing w:after="0" w:afterAutospacing="0"/>
              <w:jc w:val="center"/>
              <w:rPr>
                <w:rFonts w:cs="Times New Roman"/>
                <w:sz w:val="22"/>
              </w:rPr>
            </w:pPr>
            <w:r>
              <w:rPr>
                <w:rFonts w:cs="Times New Roman"/>
                <w:sz w:val="22"/>
                <w:lang w:val="pt-PT"/>
              </w:rPr>
              <w:t>EN ISO 14644-2:2015</w:t>
            </w:r>
          </w:p>
        </w:tc>
        <w:tc>
          <w:tcPr>
            <w:tcW w:w="3871" w:type="pct"/>
          </w:tcPr>
          <w:p w14:paraId="3AA6B4D4" w14:textId="77777777" w:rsidR="0094168A" w:rsidRPr="009461CC" w:rsidRDefault="0094168A" w:rsidP="00293453">
            <w:pPr>
              <w:spacing w:after="0" w:afterAutospacing="0"/>
              <w:rPr>
                <w:rFonts w:cs="Times New Roman"/>
                <w:sz w:val="22"/>
              </w:rPr>
            </w:pPr>
            <w:r>
              <w:rPr>
                <w:rFonts w:cs="Times New Roman"/>
                <w:sz w:val="22"/>
                <w:lang w:val="pt-PT"/>
              </w:rPr>
              <w:t xml:space="preserve">Salas limpas e ambientes controlados associados - Parte 2: Monitorização para comprovar o desempenho da sala limpa em </w:t>
            </w:r>
          </w:p>
          <w:p w14:paraId="2873EF60" w14:textId="77777777" w:rsidR="0094168A" w:rsidRPr="009461CC" w:rsidRDefault="0094168A" w:rsidP="00293453">
            <w:pPr>
              <w:spacing w:after="0" w:afterAutospacing="0"/>
              <w:rPr>
                <w:rFonts w:cs="Times New Roman"/>
                <w:sz w:val="22"/>
              </w:rPr>
            </w:pPr>
            <w:r>
              <w:rPr>
                <w:rFonts w:cs="Times New Roman"/>
                <w:sz w:val="22"/>
                <w:lang w:val="pt-PT"/>
              </w:rPr>
              <w:t xml:space="preserve">relação à limpeza do ar por concentração de </w:t>
            </w:r>
          </w:p>
          <w:p w14:paraId="02B2FEDC" w14:textId="77777777" w:rsidR="0094168A" w:rsidRPr="009461CC" w:rsidRDefault="0094168A" w:rsidP="00293453">
            <w:pPr>
              <w:spacing w:after="0" w:afterAutospacing="0"/>
              <w:rPr>
                <w:rFonts w:cs="Times New Roman"/>
                <w:sz w:val="22"/>
              </w:rPr>
            </w:pPr>
            <w:r>
              <w:rPr>
                <w:rFonts w:cs="Times New Roman"/>
                <w:sz w:val="22"/>
                <w:lang w:val="pt-PT"/>
              </w:rPr>
              <w:t>partículas</w:t>
            </w:r>
          </w:p>
        </w:tc>
      </w:tr>
      <w:tr w:rsidR="0094168A" w:rsidRPr="009461CC" w14:paraId="0A4BF260"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07ABED2A" w14:textId="77777777" w:rsidR="0094168A" w:rsidRPr="009461CC" w:rsidRDefault="0094168A" w:rsidP="00293453">
            <w:pPr>
              <w:spacing w:after="0" w:afterAutospacing="0"/>
              <w:jc w:val="center"/>
              <w:rPr>
                <w:rFonts w:cs="Times New Roman"/>
                <w:sz w:val="22"/>
              </w:rPr>
            </w:pPr>
            <w:r>
              <w:rPr>
                <w:rFonts w:eastAsia="Times New Roman" w:cs="Times New Roman"/>
                <w:sz w:val="22"/>
                <w:lang w:val="pt-PT"/>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69B61B8D" w14:textId="77777777" w:rsidR="0094168A" w:rsidRPr="009461CC" w:rsidRDefault="0094168A" w:rsidP="00293453">
            <w:pPr>
              <w:spacing w:after="0" w:afterAutospacing="0"/>
              <w:rPr>
                <w:rFonts w:cs="Times New Roman"/>
                <w:sz w:val="22"/>
              </w:rPr>
            </w:pPr>
            <w:r>
              <w:rPr>
                <w:rFonts w:eastAsia="Times New Roman" w:cs="Times New Roman"/>
                <w:sz w:val="22"/>
                <w:lang w:val="pt-PT"/>
              </w:rPr>
              <w:t>Esterilização de dispositivos médicos – Métodos microbiológicos – Parte 1: Determinação de uma população de microrganismos nos produtos</w:t>
            </w:r>
          </w:p>
        </w:tc>
      </w:tr>
      <w:tr w:rsidR="0094168A" w:rsidRPr="009461CC" w14:paraId="79153AFF"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1E9E13E9" w14:textId="77777777" w:rsidR="0094168A" w:rsidRPr="009461CC" w:rsidRDefault="0094168A" w:rsidP="00293453">
            <w:pPr>
              <w:spacing w:after="0" w:afterAutospacing="0"/>
              <w:jc w:val="center"/>
              <w:rPr>
                <w:rFonts w:cs="Times New Roman"/>
                <w:sz w:val="22"/>
              </w:rPr>
            </w:pPr>
            <w:r>
              <w:rPr>
                <w:rFonts w:eastAsia="Times New Roman" w:cs="Times New Roman"/>
                <w:sz w:val="22"/>
                <w:lang w:val="pt-PT"/>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316E8C9D" w14:textId="77777777" w:rsidR="0094168A" w:rsidRPr="009461CC" w:rsidRDefault="0094168A" w:rsidP="00293453">
            <w:pPr>
              <w:spacing w:after="0" w:afterAutospacing="0"/>
              <w:rPr>
                <w:rFonts w:cs="Times New Roman"/>
                <w:sz w:val="22"/>
              </w:rPr>
            </w:pPr>
            <w:r>
              <w:rPr>
                <w:rFonts w:eastAsia="Times New Roman" w:cs="Times New Roman"/>
                <w:sz w:val="22"/>
                <w:lang w:val="pt-PT"/>
              </w:rPr>
              <w:t>Avaliação biológica de dispositivos médicos. Resíduos de esterilização com óxido de etileno</w:t>
            </w:r>
          </w:p>
        </w:tc>
      </w:tr>
      <w:tr w:rsidR="0094168A" w:rsidRPr="009461CC" w14:paraId="255576C7" w14:textId="77777777" w:rsidTr="00293453">
        <w:tc>
          <w:tcPr>
            <w:tcW w:w="1129" w:type="pct"/>
          </w:tcPr>
          <w:p w14:paraId="3E855248" w14:textId="77777777" w:rsidR="0094168A" w:rsidRPr="009461CC" w:rsidRDefault="0094168A" w:rsidP="00293453">
            <w:pPr>
              <w:spacing w:after="0" w:afterAutospacing="0"/>
              <w:rPr>
                <w:rFonts w:cs="Times New Roman"/>
                <w:sz w:val="22"/>
              </w:rPr>
            </w:pPr>
            <w:r>
              <w:rPr>
                <w:rFonts w:cs="Times New Roman"/>
                <w:sz w:val="22"/>
                <w:lang w:val="pt-PT"/>
              </w:rPr>
              <w:t>NSI/AAMI ST72:2019</w:t>
            </w:r>
          </w:p>
        </w:tc>
        <w:tc>
          <w:tcPr>
            <w:tcW w:w="3871" w:type="pct"/>
          </w:tcPr>
          <w:p w14:paraId="1BB2618F" w14:textId="77777777" w:rsidR="0094168A" w:rsidRPr="009461CC" w:rsidRDefault="0094168A" w:rsidP="00293453">
            <w:pPr>
              <w:spacing w:after="0" w:afterAutospacing="0"/>
              <w:rPr>
                <w:rFonts w:cs="Times New Roman"/>
                <w:sz w:val="22"/>
              </w:rPr>
            </w:pPr>
            <w:r>
              <w:rPr>
                <w:rFonts w:cs="Times New Roman"/>
                <w:sz w:val="22"/>
                <w:lang w:val="pt-PT"/>
              </w:rPr>
              <w:t>Teste de Endotoxinas Bacterianas</w:t>
            </w:r>
          </w:p>
        </w:tc>
      </w:tr>
      <w:tr w:rsidR="0094168A" w:rsidRPr="009461CC" w14:paraId="404997EC" w14:textId="77777777" w:rsidTr="00293453">
        <w:tc>
          <w:tcPr>
            <w:tcW w:w="5000" w:type="pct"/>
            <w:gridSpan w:val="2"/>
            <w:shd w:val="clear" w:color="auto" w:fill="E7E6E6" w:themeFill="background2"/>
          </w:tcPr>
          <w:p w14:paraId="5ABA833D" w14:textId="77777777" w:rsidR="0094168A" w:rsidRPr="009461CC" w:rsidRDefault="0094168A" w:rsidP="00293453">
            <w:pPr>
              <w:spacing w:after="0" w:afterAutospacing="0"/>
              <w:jc w:val="center"/>
              <w:rPr>
                <w:rFonts w:cs="Times New Roman"/>
                <w:b/>
                <w:bCs/>
                <w:sz w:val="22"/>
              </w:rPr>
            </w:pPr>
            <w:r>
              <w:rPr>
                <w:rFonts w:cs="Times New Roman"/>
                <w:b/>
                <w:bCs/>
                <w:sz w:val="22"/>
                <w:lang w:val="pt-PT"/>
              </w:rPr>
              <w:t>Normas Gerais – Sistemas de Qualidade</w:t>
            </w:r>
          </w:p>
        </w:tc>
      </w:tr>
      <w:tr w:rsidR="0094168A" w:rsidRPr="009461CC" w14:paraId="63A55C82"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62560DA0" w14:textId="77777777" w:rsidR="0094168A" w:rsidRPr="009461CC" w:rsidRDefault="0094168A" w:rsidP="00293453">
            <w:pPr>
              <w:spacing w:after="0" w:afterAutospacing="0"/>
              <w:rPr>
                <w:rFonts w:cs="Times New Roman"/>
                <w:sz w:val="22"/>
              </w:rPr>
            </w:pPr>
            <w:r>
              <w:rPr>
                <w:rFonts w:eastAsia="Times New Roman" w:cs="Times New Roman"/>
                <w:sz w:val="22"/>
                <w:lang w:val="pt-PT"/>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1A55AB9D" w14:textId="77777777" w:rsidR="0094168A" w:rsidRPr="009461CC" w:rsidRDefault="0094168A" w:rsidP="00293453">
            <w:pPr>
              <w:spacing w:after="0" w:afterAutospacing="0"/>
              <w:rPr>
                <w:rFonts w:cs="Times New Roman"/>
                <w:sz w:val="22"/>
              </w:rPr>
            </w:pPr>
            <w:r>
              <w:rPr>
                <w:rFonts w:eastAsia="Times New Roman" w:cs="Times New Roman"/>
                <w:sz w:val="22"/>
                <w:lang w:val="pt-PT"/>
              </w:rPr>
              <w:t>Dispositivos médicos. Sistemas de gestão da qualidade. Requisitos para fins regulamentares</w:t>
            </w:r>
          </w:p>
        </w:tc>
      </w:tr>
      <w:tr w:rsidR="0094168A" w:rsidRPr="009461CC" w14:paraId="387B175B" w14:textId="77777777" w:rsidTr="00293453">
        <w:tc>
          <w:tcPr>
            <w:tcW w:w="5000" w:type="pct"/>
            <w:gridSpan w:val="2"/>
            <w:shd w:val="clear" w:color="auto" w:fill="E7E6E6" w:themeFill="background2"/>
          </w:tcPr>
          <w:p w14:paraId="59DAC316" w14:textId="77777777" w:rsidR="0094168A" w:rsidRPr="009461CC" w:rsidRDefault="0094168A" w:rsidP="00293453">
            <w:pPr>
              <w:spacing w:after="0" w:afterAutospacing="0"/>
              <w:jc w:val="center"/>
              <w:rPr>
                <w:rFonts w:cs="Times New Roman"/>
                <w:b/>
                <w:bCs/>
                <w:sz w:val="22"/>
              </w:rPr>
            </w:pPr>
            <w:r>
              <w:rPr>
                <w:rFonts w:cs="Times New Roman"/>
                <w:b/>
                <w:bCs/>
                <w:sz w:val="22"/>
                <w:lang w:val="pt-PT"/>
              </w:rPr>
              <w:lastRenderedPageBreak/>
              <w:t>Gestão de Risco</w:t>
            </w:r>
          </w:p>
        </w:tc>
      </w:tr>
      <w:tr w:rsidR="0094168A" w:rsidRPr="009461CC" w14:paraId="75307B89" w14:textId="77777777" w:rsidTr="00293453">
        <w:tc>
          <w:tcPr>
            <w:tcW w:w="1129" w:type="pct"/>
          </w:tcPr>
          <w:p w14:paraId="653BDB44" w14:textId="77777777" w:rsidR="0094168A" w:rsidRPr="009461CC" w:rsidRDefault="0094168A" w:rsidP="00293453">
            <w:pPr>
              <w:spacing w:after="0" w:afterAutospacing="0"/>
              <w:rPr>
                <w:rFonts w:cs="Times New Roman"/>
                <w:sz w:val="22"/>
              </w:rPr>
            </w:pPr>
            <w:r>
              <w:rPr>
                <w:rFonts w:cs="Times New Roman"/>
                <w:sz w:val="22"/>
                <w:lang w:val="pt-PT"/>
              </w:rPr>
              <w:t>EN ISO 14971:2019</w:t>
            </w:r>
          </w:p>
        </w:tc>
        <w:tc>
          <w:tcPr>
            <w:tcW w:w="3871" w:type="pct"/>
          </w:tcPr>
          <w:p w14:paraId="4457BE68" w14:textId="77777777" w:rsidR="0094168A" w:rsidRPr="009461CC" w:rsidRDefault="0094168A" w:rsidP="00293453">
            <w:pPr>
              <w:spacing w:after="0" w:afterAutospacing="0"/>
              <w:rPr>
                <w:rFonts w:cs="Times New Roman"/>
                <w:sz w:val="22"/>
              </w:rPr>
            </w:pPr>
            <w:r>
              <w:rPr>
                <w:rFonts w:cs="Times New Roman"/>
                <w:sz w:val="22"/>
                <w:lang w:val="pt-PT"/>
              </w:rPr>
              <w:t>Dispositivos médicos - Aplicação de gestão de risco a dispositivos médicos</w:t>
            </w:r>
          </w:p>
        </w:tc>
      </w:tr>
      <w:tr w:rsidR="0094168A" w:rsidRPr="009461CC" w14:paraId="0412F728" w14:textId="77777777" w:rsidTr="00293453">
        <w:tc>
          <w:tcPr>
            <w:tcW w:w="5000" w:type="pct"/>
            <w:gridSpan w:val="2"/>
            <w:shd w:val="clear" w:color="auto" w:fill="E7E6E6" w:themeFill="background2"/>
          </w:tcPr>
          <w:p w14:paraId="60003C37" w14:textId="77777777" w:rsidR="0094168A" w:rsidRPr="009461CC" w:rsidRDefault="0094168A" w:rsidP="00293453">
            <w:pPr>
              <w:spacing w:after="0" w:afterAutospacing="0"/>
              <w:jc w:val="center"/>
              <w:rPr>
                <w:rFonts w:cs="Times New Roman"/>
                <w:sz w:val="22"/>
              </w:rPr>
            </w:pPr>
            <w:r>
              <w:rPr>
                <w:rFonts w:eastAsia="Arial" w:cs="Times New Roman"/>
                <w:b/>
                <w:bCs/>
                <w:sz w:val="22"/>
                <w:lang w:val="pt-PT"/>
              </w:rPr>
              <w:t>Segurança Biológica</w:t>
            </w:r>
          </w:p>
        </w:tc>
      </w:tr>
      <w:tr w:rsidR="0094168A" w:rsidRPr="009461CC" w14:paraId="4EC2D85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6A05F98" w14:textId="77777777" w:rsidR="0094168A" w:rsidRPr="009461CC" w:rsidRDefault="0094168A" w:rsidP="00293453">
            <w:pPr>
              <w:spacing w:after="0" w:afterAutospacing="0"/>
              <w:rPr>
                <w:rFonts w:cs="Times New Roman"/>
                <w:bCs/>
                <w:sz w:val="22"/>
              </w:rPr>
            </w:pPr>
            <w:r>
              <w:rPr>
                <w:rFonts w:eastAsia="Arial" w:cs="Times New Roman"/>
                <w:sz w:val="22"/>
                <w:lang w:val="pt-PT"/>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1802E8D" w14:textId="77777777" w:rsidR="0094168A" w:rsidRPr="009461CC" w:rsidRDefault="0094168A" w:rsidP="00293453">
            <w:pPr>
              <w:spacing w:after="14" w:afterAutospacing="0"/>
              <w:rPr>
                <w:rFonts w:cs="Times New Roman"/>
                <w:sz w:val="22"/>
              </w:rPr>
            </w:pPr>
            <w:r>
              <w:rPr>
                <w:rFonts w:eastAsia="Arial" w:cs="Times New Roman"/>
                <w:sz w:val="22"/>
                <w:lang w:val="pt-PT"/>
              </w:rPr>
              <w:t xml:space="preserve">Avaliação biológica de dispositivos médicos – Parte 1: </w:t>
            </w:r>
          </w:p>
          <w:p w14:paraId="1D869305" w14:textId="77777777" w:rsidR="0094168A" w:rsidRPr="009461CC" w:rsidRDefault="0094168A" w:rsidP="00293453">
            <w:pPr>
              <w:tabs>
                <w:tab w:val="left" w:pos="1320"/>
              </w:tabs>
              <w:spacing w:after="0" w:afterAutospacing="0"/>
              <w:rPr>
                <w:rFonts w:cs="Times New Roman"/>
                <w:sz w:val="22"/>
              </w:rPr>
            </w:pPr>
            <w:r>
              <w:rPr>
                <w:rFonts w:eastAsia="Arial" w:cs="Times New Roman"/>
                <w:sz w:val="22"/>
                <w:lang w:val="pt-PT"/>
              </w:rPr>
              <w:t xml:space="preserve">Avaliação e teste  </w:t>
            </w:r>
          </w:p>
        </w:tc>
      </w:tr>
      <w:tr w:rsidR="0094168A" w:rsidRPr="009461CC" w14:paraId="3496F1C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3F28448" w14:textId="77777777" w:rsidR="0094168A" w:rsidRPr="009461CC" w:rsidRDefault="0094168A" w:rsidP="00293453">
            <w:pPr>
              <w:spacing w:after="0" w:afterAutospacing="0"/>
              <w:rPr>
                <w:rFonts w:cs="Times New Roman"/>
                <w:bCs/>
                <w:sz w:val="22"/>
              </w:rPr>
            </w:pPr>
            <w:r>
              <w:rPr>
                <w:rFonts w:eastAsia="Arial" w:cs="Times New Roman"/>
                <w:sz w:val="22"/>
                <w:lang w:val="pt-PT"/>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29C98F9B" w14:textId="77777777" w:rsidR="0094168A" w:rsidRPr="009461CC" w:rsidRDefault="0094168A" w:rsidP="00293453">
            <w:pPr>
              <w:spacing w:after="0" w:afterAutospacing="0"/>
              <w:rPr>
                <w:rFonts w:cs="Times New Roman"/>
                <w:sz w:val="22"/>
              </w:rPr>
            </w:pPr>
            <w:r>
              <w:rPr>
                <w:rFonts w:eastAsia="Arial" w:cs="Times New Roman"/>
                <w:sz w:val="22"/>
                <w:lang w:val="pt-PT"/>
              </w:rPr>
              <w:t xml:space="preserve">Avaliação biológica de dispositivos médicos – Parte 3: Testes de genotoxicidade, carcinogenicidade e toxicidade reprodutiva </w:t>
            </w:r>
          </w:p>
        </w:tc>
      </w:tr>
      <w:tr w:rsidR="0094168A" w:rsidRPr="009461CC" w14:paraId="5B12C58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DC6D356" w14:textId="77777777" w:rsidR="0094168A" w:rsidRPr="009461CC" w:rsidRDefault="0094168A" w:rsidP="00293453">
            <w:pPr>
              <w:spacing w:after="0" w:afterAutospacing="0"/>
              <w:rPr>
                <w:rFonts w:cs="Times New Roman"/>
                <w:bCs/>
                <w:sz w:val="22"/>
              </w:rPr>
            </w:pPr>
            <w:r>
              <w:rPr>
                <w:rFonts w:eastAsia="Arial" w:cs="Times New Roman"/>
                <w:sz w:val="22"/>
                <w:lang w:val="pt-PT"/>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6FA654DE" w14:textId="77777777" w:rsidR="0094168A" w:rsidRPr="009461CC" w:rsidRDefault="0094168A" w:rsidP="00293453">
            <w:pPr>
              <w:spacing w:after="0" w:afterAutospacing="0"/>
              <w:rPr>
                <w:rFonts w:cs="Times New Roman"/>
                <w:sz w:val="22"/>
              </w:rPr>
            </w:pPr>
            <w:r>
              <w:rPr>
                <w:rFonts w:eastAsia="Arial" w:cs="Times New Roman"/>
                <w:sz w:val="22"/>
                <w:lang w:val="pt-PT"/>
              </w:rPr>
              <w:t xml:space="preserve">Avaliação biológica de dispositivos médicos – Parte 4: Seleção de testes para interações com o sangue </w:t>
            </w:r>
          </w:p>
        </w:tc>
      </w:tr>
      <w:tr w:rsidR="0094168A" w:rsidRPr="009461CC" w14:paraId="6B4C18F9"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A31AAA1" w14:textId="77777777" w:rsidR="0094168A" w:rsidRPr="009461CC" w:rsidRDefault="0094168A" w:rsidP="00293453">
            <w:pPr>
              <w:spacing w:after="0" w:afterAutospacing="0"/>
              <w:rPr>
                <w:rFonts w:cs="Times New Roman"/>
                <w:bCs/>
                <w:sz w:val="22"/>
              </w:rPr>
            </w:pPr>
            <w:r>
              <w:rPr>
                <w:rFonts w:eastAsia="Arial" w:cs="Times New Roman"/>
                <w:sz w:val="22"/>
                <w:lang w:val="pt-PT"/>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5E6BDEB8" w14:textId="77777777" w:rsidR="0094168A" w:rsidRPr="009461CC" w:rsidRDefault="0094168A" w:rsidP="00293453">
            <w:pPr>
              <w:spacing w:after="0" w:afterAutospacing="0"/>
              <w:rPr>
                <w:rFonts w:cs="Times New Roman"/>
                <w:sz w:val="22"/>
              </w:rPr>
            </w:pPr>
            <w:r>
              <w:rPr>
                <w:rFonts w:eastAsia="Arial" w:cs="Times New Roman"/>
                <w:sz w:val="22"/>
                <w:lang w:val="pt-PT"/>
              </w:rPr>
              <w:t xml:space="preserve">Avaliação biológica de dispositivos médicos – Parte 5: Testes de citotoxicidade in vitro </w:t>
            </w:r>
          </w:p>
        </w:tc>
      </w:tr>
      <w:tr w:rsidR="0094168A" w:rsidRPr="009461CC" w14:paraId="0C8F61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1670A62" w14:textId="77777777" w:rsidR="0094168A" w:rsidRPr="009461CC" w:rsidRDefault="0094168A" w:rsidP="00293453">
            <w:pPr>
              <w:spacing w:after="0" w:afterAutospacing="0"/>
              <w:rPr>
                <w:rFonts w:cs="Times New Roman"/>
                <w:bCs/>
                <w:sz w:val="22"/>
              </w:rPr>
            </w:pPr>
            <w:r>
              <w:rPr>
                <w:rFonts w:eastAsia="Arial" w:cs="Times New Roman"/>
                <w:sz w:val="22"/>
                <w:lang w:val="pt-PT"/>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49062A3E" w14:textId="77777777" w:rsidR="0094168A" w:rsidRPr="009461CC" w:rsidRDefault="0094168A" w:rsidP="00293453">
            <w:pPr>
              <w:spacing w:after="0" w:afterAutospacing="0"/>
              <w:rPr>
                <w:rFonts w:cs="Times New Roman"/>
                <w:sz w:val="22"/>
              </w:rPr>
            </w:pPr>
            <w:r>
              <w:rPr>
                <w:rFonts w:eastAsia="Arial" w:cs="Times New Roman"/>
                <w:sz w:val="22"/>
                <w:lang w:val="pt-PT"/>
              </w:rPr>
              <w:t xml:space="preserve">Avaliação biológica de dispositivos médicos – Parte 10: Testes de irritação e sensibilização da pele </w:t>
            </w:r>
          </w:p>
        </w:tc>
      </w:tr>
      <w:tr w:rsidR="0094168A" w:rsidRPr="009461CC" w14:paraId="0E6AC70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3A77758" w14:textId="77777777" w:rsidR="0094168A" w:rsidRPr="009461CC" w:rsidRDefault="0094168A" w:rsidP="00293453">
            <w:pPr>
              <w:spacing w:after="0" w:afterAutospacing="0"/>
              <w:rPr>
                <w:rFonts w:cs="Times New Roman"/>
                <w:bCs/>
                <w:sz w:val="22"/>
              </w:rPr>
            </w:pPr>
            <w:r>
              <w:rPr>
                <w:rFonts w:eastAsia="Arial" w:cs="Times New Roman"/>
                <w:sz w:val="22"/>
                <w:lang w:val="pt-PT"/>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A9A598F" w14:textId="77777777" w:rsidR="0094168A" w:rsidRPr="009461CC" w:rsidRDefault="0094168A" w:rsidP="00293453">
            <w:pPr>
              <w:spacing w:after="0" w:afterAutospacing="0"/>
              <w:rPr>
                <w:rFonts w:cs="Times New Roman"/>
                <w:sz w:val="22"/>
              </w:rPr>
            </w:pPr>
            <w:r>
              <w:rPr>
                <w:rFonts w:eastAsia="Arial" w:cs="Times New Roman"/>
                <w:sz w:val="22"/>
                <w:lang w:val="pt-PT"/>
              </w:rPr>
              <w:t xml:space="preserve">Avaliação biológica de dispositivos médicos – Parte 11: Testes de toxicidade sistémica </w:t>
            </w:r>
          </w:p>
        </w:tc>
      </w:tr>
      <w:tr w:rsidR="0094168A" w:rsidRPr="009461CC" w14:paraId="4DA537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162FA31" w14:textId="77777777" w:rsidR="0094168A" w:rsidRPr="009461CC" w:rsidRDefault="0094168A" w:rsidP="00293453">
            <w:pPr>
              <w:spacing w:after="0" w:afterAutospacing="0"/>
              <w:rPr>
                <w:rFonts w:cs="Times New Roman"/>
                <w:bCs/>
                <w:sz w:val="22"/>
              </w:rPr>
            </w:pPr>
            <w:r>
              <w:rPr>
                <w:rFonts w:eastAsia="Arial" w:cs="Times New Roman"/>
                <w:sz w:val="22"/>
                <w:lang w:val="pt-PT"/>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3D24F3AE" w14:textId="77777777" w:rsidR="0094168A" w:rsidRPr="009461CC" w:rsidRDefault="0094168A" w:rsidP="00293453">
            <w:pPr>
              <w:spacing w:after="0" w:afterAutospacing="0"/>
              <w:rPr>
                <w:rFonts w:cs="Times New Roman"/>
                <w:sz w:val="22"/>
              </w:rPr>
            </w:pPr>
            <w:r>
              <w:rPr>
                <w:rFonts w:eastAsia="Arial" w:cs="Times New Roman"/>
                <w:sz w:val="22"/>
                <w:lang w:val="pt-PT"/>
              </w:rPr>
              <w:t xml:space="preserve">Avaliação biológica de dispositivos médicos – Parte 12: Preparação de amostras e materiais de referência </w:t>
            </w:r>
          </w:p>
        </w:tc>
      </w:tr>
      <w:tr w:rsidR="00586415" w:rsidRPr="009461CC" w14:paraId="5BDB3E6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02AE4CB5" w14:textId="75B11B14" w:rsidR="00586415" w:rsidRPr="009461CC" w:rsidRDefault="00522664" w:rsidP="00586415">
            <w:pPr>
              <w:spacing w:after="0" w:afterAutospacing="0"/>
              <w:rPr>
                <w:rFonts w:eastAsia="Arial" w:cs="Times New Roman"/>
                <w:bCs/>
                <w:sz w:val="22"/>
              </w:rPr>
            </w:pPr>
            <w:r>
              <w:rPr>
                <w:rFonts w:eastAsia="Arial" w:cs="Times New Roman"/>
                <w:sz w:val="22"/>
                <w:lang w:val="pt-PT"/>
              </w:rPr>
              <w:t>EN ISO 10993-17:2023</w:t>
            </w:r>
          </w:p>
        </w:tc>
        <w:tc>
          <w:tcPr>
            <w:tcW w:w="3871" w:type="pct"/>
            <w:tcBorders>
              <w:top w:val="single" w:sz="4" w:space="0" w:color="000000"/>
              <w:left w:val="single" w:sz="4" w:space="0" w:color="000000"/>
              <w:bottom w:val="single" w:sz="4" w:space="0" w:color="000000"/>
              <w:right w:val="single" w:sz="4" w:space="0" w:color="000000"/>
            </w:tcBorders>
          </w:tcPr>
          <w:p w14:paraId="73C15B5F" w14:textId="1691BD78" w:rsidR="00586415" w:rsidRPr="009461CC" w:rsidRDefault="00586415" w:rsidP="00586415">
            <w:pPr>
              <w:spacing w:after="0" w:afterAutospacing="0"/>
              <w:rPr>
                <w:rFonts w:eastAsia="Arial" w:cs="Times New Roman"/>
                <w:sz w:val="22"/>
              </w:rPr>
            </w:pPr>
            <w:r>
              <w:rPr>
                <w:rFonts w:eastAsia="Arial" w:cs="Times New Roman"/>
                <w:sz w:val="22"/>
                <w:lang w:val="pt-PT"/>
              </w:rPr>
              <w:t>Avaliação do risco toxicológico dos componentes de dispositivos médicos</w:t>
            </w:r>
          </w:p>
        </w:tc>
      </w:tr>
      <w:tr w:rsidR="00586415" w:rsidRPr="009461CC" w14:paraId="14855AA5" w14:textId="77777777" w:rsidTr="00293453">
        <w:tc>
          <w:tcPr>
            <w:tcW w:w="5000" w:type="pct"/>
            <w:gridSpan w:val="2"/>
            <w:shd w:val="clear" w:color="auto" w:fill="E7E6E6" w:themeFill="background2"/>
          </w:tcPr>
          <w:p w14:paraId="781D3BA0" w14:textId="77777777" w:rsidR="00586415" w:rsidRPr="009461CC" w:rsidRDefault="00586415" w:rsidP="00586415">
            <w:pPr>
              <w:spacing w:after="0" w:afterAutospacing="0"/>
              <w:jc w:val="center"/>
              <w:rPr>
                <w:rFonts w:cs="Times New Roman"/>
                <w:sz w:val="22"/>
              </w:rPr>
            </w:pPr>
            <w:r>
              <w:rPr>
                <w:rFonts w:eastAsia="Arial" w:cs="Times New Roman"/>
                <w:b/>
                <w:bCs/>
                <w:sz w:val="22"/>
                <w:lang w:val="pt-PT"/>
              </w:rPr>
              <w:t>Avaliação clínica</w:t>
            </w:r>
          </w:p>
        </w:tc>
      </w:tr>
      <w:tr w:rsidR="00586415" w:rsidRPr="009461CC" w14:paraId="1F26EC64" w14:textId="77777777" w:rsidTr="00293453">
        <w:tc>
          <w:tcPr>
            <w:tcW w:w="1129" w:type="pct"/>
          </w:tcPr>
          <w:p w14:paraId="5AF3269C" w14:textId="77777777" w:rsidR="00586415" w:rsidRPr="009461CC" w:rsidRDefault="00586415" w:rsidP="00586415">
            <w:pPr>
              <w:spacing w:after="0" w:afterAutospacing="0"/>
              <w:rPr>
                <w:rFonts w:cs="Times New Roman"/>
                <w:bCs/>
                <w:sz w:val="22"/>
              </w:rPr>
            </w:pPr>
            <w:r>
              <w:rPr>
                <w:rFonts w:eastAsia="Arial" w:cs="Times New Roman"/>
                <w:sz w:val="22"/>
                <w:lang w:val="pt-PT"/>
              </w:rPr>
              <w:t>MEDDEV 2.7/1 Rev4</w:t>
            </w:r>
          </w:p>
        </w:tc>
        <w:tc>
          <w:tcPr>
            <w:tcW w:w="3871" w:type="pct"/>
          </w:tcPr>
          <w:p w14:paraId="3D1D1121" w14:textId="77777777" w:rsidR="00586415" w:rsidRPr="009461CC" w:rsidRDefault="00586415" w:rsidP="00586415">
            <w:pPr>
              <w:spacing w:after="0" w:afterAutospacing="0"/>
              <w:rPr>
                <w:rFonts w:cs="Times New Roman"/>
                <w:sz w:val="22"/>
              </w:rPr>
            </w:pPr>
            <w:r>
              <w:rPr>
                <w:rFonts w:cs="Times New Roman"/>
                <w:sz w:val="22"/>
                <w:lang w:val="pt-PT"/>
              </w:rPr>
              <w:t>Avaliação clínica: Guia para fabricantes e organismos notificados</w:t>
            </w:r>
          </w:p>
        </w:tc>
      </w:tr>
      <w:tr w:rsidR="00586415" w:rsidRPr="009461CC" w14:paraId="59A5C57A" w14:textId="77777777" w:rsidTr="00293453">
        <w:tc>
          <w:tcPr>
            <w:tcW w:w="5000" w:type="pct"/>
            <w:gridSpan w:val="2"/>
            <w:shd w:val="clear" w:color="auto" w:fill="E7E6E6" w:themeFill="background2"/>
          </w:tcPr>
          <w:p w14:paraId="33478428" w14:textId="77777777" w:rsidR="00586415" w:rsidRPr="009461CC" w:rsidRDefault="00586415" w:rsidP="00586415">
            <w:pPr>
              <w:spacing w:after="0" w:afterAutospacing="0"/>
              <w:jc w:val="center"/>
              <w:rPr>
                <w:rFonts w:cs="Times New Roman"/>
                <w:sz w:val="22"/>
              </w:rPr>
            </w:pPr>
            <w:r>
              <w:rPr>
                <w:rFonts w:eastAsia="Arial" w:cs="Times New Roman"/>
                <w:b/>
                <w:bCs/>
                <w:sz w:val="22"/>
                <w:lang w:val="pt-PT"/>
              </w:rPr>
              <w:t>Controlo de conceção</w:t>
            </w:r>
          </w:p>
        </w:tc>
      </w:tr>
      <w:tr w:rsidR="00586415" w:rsidRPr="009461CC" w14:paraId="54F49ECD" w14:textId="77777777" w:rsidTr="00293453">
        <w:tc>
          <w:tcPr>
            <w:tcW w:w="1129" w:type="pct"/>
          </w:tcPr>
          <w:p w14:paraId="4795B615" w14:textId="77777777" w:rsidR="00586415" w:rsidRPr="009461CC" w:rsidRDefault="00586415" w:rsidP="00586415">
            <w:pPr>
              <w:spacing w:after="0" w:afterAutospacing="0"/>
              <w:rPr>
                <w:rFonts w:cs="Times New Roman"/>
                <w:sz w:val="22"/>
              </w:rPr>
            </w:pPr>
            <w:r>
              <w:rPr>
                <w:rFonts w:cs="Times New Roman"/>
                <w:sz w:val="22"/>
                <w:lang w:val="pt-PT"/>
              </w:rPr>
              <w:t>EN ISO 14971</w:t>
            </w:r>
          </w:p>
        </w:tc>
        <w:tc>
          <w:tcPr>
            <w:tcW w:w="3871" w:type="pct"/>
          </w:tcPr>
          <w:p w14:paraId="55771886" w14:textId="77777777" w:rsidR="00586415" w:rsidRPr="009461CC" w:rsidRDefault="00586415" w:rsidP="00586415">
            <w:pPr>
              <w:spacing w:after="0" w:afterAutospacing="0"/>
              <w:rPr>
                <w:rFonts w:cs="Times New Roman"/>
                <w:sz w:val="22"/>
              </w:rPr>
            </w:pPr>
            <w:r>
              <w:rPr>
                <w:rFonts w:cs="Times New Roman"/>
                <w:sz w:val="22"/>
                <w:lang w:val="pt-PT"/>
              </w:rPr>
              <w:t>Dispositivos médicos – Aplicação de gestão de risco a dispositivos médicos</w:t>
            </w:r>
          </w:p>
        </w:tc>
      </w:tr>
      <w:tr w:rsidR="00586415" w:rsidRPr="009461CC" w14:paraId="48F71F50" w14:textId="77777777" w:rsidTr="00293453">
        <w:tc>
          <w:tcPr>
            <w:tcW w:w="1129" w:type="pct"/>
          </w:tcPr>
          <w:p w14:paraId="477CFB4F" w14:textId="77777777" w:rsidR="00586415" w:rsidRPr="009461CC" w:rsidRDefault="00586415" w:rsidP="00586415">
            <w:pPr>
              <w:spacing w:after="0" w:afterAutospacing="0"/>
              <w:jc w:val="center"/>
              <w:rPr>
                <w:rFonts w:cs="Times New Roman"/>
                <w:sz w:val="22"/>
              </w:rPr>
            </w:pPr>
          </w:p>
        </w:tc>
        <w:tc>
          <w:tcPr>
            <w:tcW w:w="3871" w:type="pct"/>
          </w:tcPr>
          <w:p w14:paraId="20C1E190" w14:textId="77777777" w:rsidR="00586415" w:rsidRPr="009461CC" w:rsidRDefault="00586415" w:rsidP="00586415">
            <w:pPr>
              <w:spacing w:after="0" w:afterAutospacing="0"/>
              <w:rPr>
                <w:rFonts w:cs="Times New Roman"/>
                <w:sz w:val="22"/>
              </w:rPr>
            </w:pPr>
          </w:p>
        </w:tc>
      </w:tr>
      <w:tr w:rsidR="00586415" w:rsidRPr="009461CC" w14:paraId="0064DEC6" w14:textId="77777777" w:rsidTr="00293453">
        <w:tc>
          <w:tcPr>
            <w:tcW w:w="5000" w:type="pct"/>
            <w:gridSpan w:val="2"/>
            <w:shd w:val="clear" w:color="auto" w:fill="E7E6E6" w:themeFill="background2"/>
          </w:tcPr>
          <w:p w14:paraId="4B791D46" w14:textId="77777777" w:rsidR="00586415" w:rsidRPr="009461CC" w:rsidRDefault="00586415" w:rsidP="00586415">
            <w:pPr>
              <w:spacing w:after="0" w:afterAutospacing="0"/>
              <w:jc w:val="center"/>
              <w:rPr>
                <w:rFonts w:cs="Times New Roman"/>
                <w:b/>
                <w:bCs/>
                <w:sz w:val="22"/>
              </w:rPr>
            </w:pPr>
            <w:r>
              <w:rPr>
                <w:rFonts w:cs="Times New Roman"/>
                <w:b/>
                <w:bCs/>
                <w:sz w:val="22"/>
                <w:lang w:val="pt-PT"/>
              </w:rPr>
              <w:t>Usabilidade</w:t>
            </w:r>
          </w:p>
        </w:tc>
      </w:tr>
      <w:tr w:rsidR="00586415" w:rsidRPr="009461CC" w14:paraId="29A23DD2" w14:textId="77777777" w:rsidTr="00293453">
        <w:tc>
          <w:tcPr>
            <w:tcW w:w="1129" w:type="pct"/>
          </w:tcPr>
          <w:p w14:paraId="38C30B53" w14:textId="77777777" w:rsidR="00586415" w:rsidRPr="009461CC" w:rsidRDefault="00586415" w:rsidP="00586415">
            <w:pPr>
              <w:spacing w:after="0" w:afterAutospacing="0"/>
              <w:rPr>
                <w:rFonts w:cs="Times New Roman"/>
                <w:sz w:val="22"/>
              </w:rPr>
            </w:pPr>
            <w:r>
              <w:rPr>
                <w:rFonts w:cs="Times New Roman"/>
                <w:sz w:val="22"/>
                <w:lang w:val="pt-PT"/>
              </w:rPr>
              <w:t>IEC 62366-1:2015 e</w:t>
            </w:r>
          </w:p>
          <w:p w14:paraId="2D964E3D" w14:textId="77777777" w:rsidR="00586415" w:rsidRPr="009461CC" w:rsidRDefault="00586415" w:rsidP="00586415">
            <w:pPr>
              <w:spacing w:after="0" w:afterAutospacing="0"/>
              <w:rPr>
                <w:rFonts w:cs="Times New Roman"/>
                <w:sz w:val="22"/>
              </w:rPr>
            </w:pPr>
            <w:r>
              <w:rPr>
                <w:rFonts w:cs="Times New Roman"/>
                <w:sz w:val="22"/>
                <w:lang w:val="pt-PT"/>
              </w:rPr>
              <w:t>IEC 62366-1:2015/ COR1:2016</w:t>
            </w:r>
          </w:p>
        </w:tc>
        <w:tc>
          <w:tcPr>
            <w:tcW w:w="3871" w:type="pct"/>
          </w:tcPr>
          <w:p w14:paraId="7A444F47" w14:textId="77777777" w:rsidR="00586415" w:rsidRPr="009461CC" w:rsidRDefault="00586415" w:rsidP="00586415">
            <w:pPr>
              <w:spacing w:after="0" w:afterAutospacing="0"/>
              <w:rPr>
                <w:rFonts w:cs="Times New Roman"/>
                <w:sz w:val="22"/>
              </w:rPr>
            </w:pPr>
            <w:r>
              <w:rPr>
                <w:rFonts w:cs="Times New Roman"/>
                <w:sz w:val="22"/>
                <w:lang w:val="pt-PT"/>
              </w:rPr>
              <w:t>Dispositivos médicos – Aplicação da engenharia de usabilidade em dispositivos médicos</w:t>
            </w:r>
          </w:p>
        </w:tc>
      </w:tr>
      <w:tr w:rsidR="00586415" w:rsidRPr="009461CC" w14:paraId="075E02B3" w14:textId="77777777" w:rsidTr="00293453">
        <w:tc>
          <w:tcPr>
            <w:tcW w:w="5000" w:type="pct"/>
            <w:gridSpan w:val="2"/>
            <w:shd w:val="clear" w:color="auto" w:fill="E7E6E6" w:themeFill="background2"/>
          </w:tcPr>
          <w:p w14:paraId="502A71D6" w14:textId="77777777" w:rsidR="00586415" w:rsidRPr="009461CC" w:rsidRDefault="00586415" w:rsidP="00586415">
            <w:pPr>
              <w:spacing w:after="0" w:afterAutospacing="0"/>
              <w:jc w:val="center"/>
              <w:rPr>
                <w:rFonts w:cs="Times New Roman"/>
                <w:b/>
                <w:bCs/>
                <w:sz w:val="22"/>
              </w:rPr>
            </w:pPr>
            <w:r>
              <w:rPr>
                <w:rFonts w:cs="Times New Roman"/>
                <w:b/>
                <w:bCs/>
                <w:sz w:val="22"/>
                <w:lang w:val="pt-PT"/>
              </w:rPr>
              <w:t>Embalagem</w:t>
            </w:r>
          </w:p>
        </w:tc>
      </w:tr>
      <w:tr w:rsidR="00586415" w:rsidRPr="009461CC" w14:paraId="0144C9E3"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C9A4C58" w14:textId="77777777" w:rsidR="00586415" w:rsidRPr="009461CC" w:rsidRDefault="00586415" w:rsidP="00586415">
            <w:pPr>
              <w:spacing w:after="0" w:afterAutospacing="0"/>
              <w:rPr>
                <w:rFonts w:cs="Times New Roman"/>
                <w:bCs/>
                <w:sz w:val="22"/>
              </w:rPr>
            </w:pPr>
            <w:r>
              <w:rPr>
                <w:rFonts w:eastAsia="Arial" w:cs="Times New Roman"/>
                <w:sz w:val="22"/>
                <w:lang w:val="pt-PT"/>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066F921B" w14:textId="77777777" w:rsidR="00586415" w:rsidRPr="009461CC" w:rsidRDefault="00586415" w:rsidP="00586415">
            <w:pPr>
              <w:spacing w:after="0" w:afterAutospacing="0"/>
              <w:rPr>
                <w:rFonts w:cs="Times New Roman"/>
                <w:sz w:val="22"/>
              </w:rPr>
            </w:pPr>
            <w:r>
              <w:rPr>
                <w:rFonts w:eastAsia="Arial" w:cs="Times New Roman"/>
                <w:sz w:val="22"/>
                <w:lang w:val="pt-PT"/>
              </w:rPr>
              <w:t xml:space="preserve">Embalagem para dispositivos médicos esterilizados terminalmente. Parte 1: Requisitos para materiais, sistemas de barreira estéreis e sistemas de embalagem </w:t>
            </w:r>
          </w:p>
        </w:tc>
      </w:tr>
      <w:tr w:rsidR="00586415" w:rsidRPr="009461CC" w14:paraId="32D78976"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4701C628" w14:textId="77777777" w:rsidR="00586415" w:rsidRPr="009461CC" w:rsidRDefault="00586415" w:rsidP="00586415">
            <w:pPr>
              <w:spacing w:after="16" w:afterAutospacing="0"/>
              <w:ind w:left="1"/>
              <w:rPr>
                <w:rFonts w:cs="Times New Roman"/>
                <w:bCs/>
                <w:sz w:val="22"/>
              </w:rPr>
            </w:pPr>
            <w:r>
              <w:rPr>
                <w:rFonts w:eastAsia="Arial" w:cs="Times New Roman"/>
                <w:sz w:val="22"/>
                <w:lang w:val="pt-PT"/>
              </w:rPr>
              <w:t>EN ISO 11607-2:2020</w:t>
            </w:r>
          </w:p>
          <w:p w14:paraId="2A1BCB5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0753BF1E" w14:textId="77777777" w:rsidR="00586415" w:rsidRPr="009461CC" w:rsidRDefault="00586415" w:rsidP="00586415">
            <w:pPr>
              <w:spacing w:after="0" w:afterAutospacing="0"/>
              <w:rPr>
                <w:rFonts w:cs="Times New Roman"/>
                <w:sz w:val="22"/>
              </w:rPr>
            </w:pPr>
            <w:r>
              <w:rPr>
                <w:rFonts w:eastAsia="Arial" w:cs="Times New Roman"/>
                <w:sz w:val="22"/>
                <w:lang w:val="pt-PT"/>
              </w:rPr>
              <w:t xml:space="preserve">Embalagem para dispositivos médicos esterilizados terminalmente. Parte 2: Requisitos para a validação dos processos de formação, selagem e montagem </w:t>
            </w:r>
          </w:p>
        </w:tc>
      </w:tr>
      <w:tr w:rsidR="00586415" w:rsidRPr="009461CC" w14:paraId="1D891E6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1C14A1D" w14:textId="77777777" w:rsidR="00586415" w:rsidRPr="009461CC" w:rsidRDefault="00586415" w:rsidP="00586415">
            <w:pPr>
              <w:spacing w:after="14" w:afterAutospacing="0"/>
              <w:ind w:left="1"/>
              <w:rPr>
                <w:rFonts w:cs="Times New Roman"/>
                <w:bCs/>
                <w:sz w:val="22"/>
              </w:rPr>
            </w:pPr>
            <w:r>
              <w:rPr>
                <w:rFonts w:eastAsia="Arial" w:cs="Times New Roman"/>
                <w:sz w:val="22"/>
                <w:lang w:val="pt-PT"/>
              </w:rPr>
              <w:t>EN ISO 2233:2001</w:t>
            </w:r>
          </w:p>
          <w:p w14:paraId="3F44F0A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D0563C" w14:textId="77777777" w:rsidR="00586415" w:rsidRPr="009461CC" w:rsidRDefault="00586415" w:rsidP="00586415">
            <w:pPr>
              <w:spacing w:after="0" w:afterAutospacing="0"/>
              <w:rPr>
                <w:rFonts w:cs="Times New Roman"/>
                <w:sz w:val="22"/>
              </w:rPr>
            </w:pPr>
            <w:r>
              <w:rPr>
                <w:rFonts w:eastAsia="Arial" w:cs="Times New Roman"/>
                <w:sz w:val="22"/>
                <w:lang w:val="pt-PT"/>
              </w:rPr>
              <w:t xml:space="preserve">Embalagem – Embalagens de transporte completas e cheias e cargas unitárias – Condicionamento para teste </w:t>
            </w:r>
          </w:p>
        </w:tc>
      </w:tr>
      <w:tr w:rsidR="00586415" w:rsidRPr="009461CC" w14:paraId="7DFBA78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06030C2" w14:textId="77777777" w:rsidR="00586415" w:rsidRPr="009461CC" w:rsidRDefault="00586415" w:rsidP="00586415">
            <w:pPr>
              <w:spacing w:after="0" w:afterAutospacing="0"/>
              <w:rPr>
                <w:rFonts w:cs="Times New Roman"/>
                <w:bCs/>
                <w:sz w:val="22"/>
              </w:rPr>
            </w:pPr>
            <w:hyperlink r:id="rId14">
              <w:r>
                <w:rPr>
                  <w:rFonts w:eastAsia="Arial" w:cs="Times New Roman"/>
                  <w:sz w:val="22"/>
                  <w:lang w:val="pt-PT"/>
                </w:rPr>
                <w:t xml:space="preserve">ASTM D4169 </w:t>
              </w:r>
            </w:hyperlink>
            <w:r>
              <w:rPr>
                <w:rFonts w:eastAsia="Arial" w:cs="Times New Roman"/>
                <w:sz w:val="22"/>
                <w:lang w:val="pt-PT"/>
              </w:rPr>
              <w:t>:2022</w:t>
            </w:r>
            <w:hyperlink r:id="rId15">
              <w:r>
                <w:rPr>
                  <w:rFonts w:eastAsia="Arial" w:cs="Times New Roman"/>
                  <w:sz w:val="22"/>
                  <w:lang w:val="pt-P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53B460F" w14:textId="77777777" w:rsidR="00586415" w:rsidRPr="009461CC" w:rsidRDefault="00586415" w:rsidP="00586415">
            <w:pPr>
              <w:spacing w:after="0" w:afterAutospacing="0"/>
              <w:rPr>
                <w:rFonts w:cs="Times New Roman"/>
                <w:sz w:val="22"/>
              </w:rPr>
            </w:pPr>
            <w:r>
              <w:rPr>
                <w:rFonts w:eastAsia="Arial" w:cs="Times New Roman"/>
                <w:sz w:val="22"/>
                <w:lang w:val="pt-PT"/>
              </w:rPr>
              <w:t xml:space="preserve">Prática padrão para testes de desempenho de contentores e sistemas de transporte - </w:t>
            </w:r>
          </w:p>
        </w:tc>
      </w:tr>
      <w:tr w:rsidR="00586415" w:rsidRPr="009461CC" w14:paraId="1A9015D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A55FC05" w14:textId="77777777" w:rsidR="00586415" w:rsidRPr="009461CC" w:rsidRDefault="00586415" w:rsidP="00586415">
            <w:pPr>
              <w:spacing w:after="0" w:afterAutospacing="0"/>
              <w:rPr>
                <w:rFonts w:cs="Times New Roman"/>
                <w:bCs/>
                <w:sz w:val="22"/>
              </w:rPr>
            </w:pPr>
            <w:hyperlink r:id="rId16">
              <w:r>
                <w:rPr>
                  <w:rFonts w:eastAsia="Arial" w:cs="Times New Roman"/>
                  <w:sz w:val="22"/>
                  <w:lang w:val="pt-PT"/>
                </w:rPr>
                <w:t xml:space="preserve">ASTM F2096 </w:t>
              </w:r>
            </w:hyperlink>
            <w:hyperlink r:id="rId17">
              <w:r>
                <w:rPr>
                  <w:rFonts w:eastAsia="Arial" w:cs="Times New Roman"/>
                  <w:sz w:val="22"/>
                  <w:lang w:val="pt-PT"/>
                </w:rPr>
                <w:t xml:space="preserve">– </w:t>
              </w:r>
            </w:hyperlink>
            <w:r>
              <w:rPr>
                <w:rFonts w:eastAsia="Arial" w:cs="Times New Roman"/>
                <w:sz w:val="22"/>
                <w:lang w:val="pt-PT"/>
              </w:rPr>
              <w:t>20</w:t>
            </w:r>
            <w:hyperlink r:id="rId18">
              <w:r>
                <w:rPr>
                  <w:rFonts w:eastAsia="Arial" w:cs="Times New Roman"/>
                  <w:sz w:val="22"/>
                  <w:lang w:val="pt-PT"/>
                </w:rPr>
                <w:t xml:space="preserve">11 (R2019) </w:t>
              </w:r>
            </w:hyperlink>
            <w:hyperlink r:id="rId19">
              <w:r>
                <w:rPr>
                  <w:rFonts w:eastAsia="Arial" w:cs="Times New Roman"/>
                  <w:sz w:val="22"/>
                  <w:lang w:val="pt-P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0FB224E9" w14:textId="77777777" w:rsidR="00586415" w:rsidRPr="009461CC" w:rsidRDefault="00586415" w:rsidP="00586415">
            <w:pPr>
              <w:spacing w:after="14" w:afterAutospacing="0"/>
              <w:rPr>
                <w:rFonts w:cs="Times New Roman"/>
                <w:sz w:val="22"/>
              </w:rPr>
            </w:pPr>
            <w:r>
              <w:rPr>
                <w:rFonts w:eastAsia="Arial" w:cs="Times New Roman"/>
                <w:sz w:val="22"/>
                <w:lang w:val="pt-PT"/>
              </w:rPr>
              <w:t xml:space="preserve">Método de teste padrão para deteção de fugas grosseiras em </w:t>
            </w:r>
          </w:p>
          <w:p w14:paraId="403EB0FF" w14:textId="77777777" w:rsidR="00586415" w:rsidRPr="009461CC" w:rsidRDefault="00586415" w:rsidP="00586415">
            <w:pPr>
              <w:spacing w:after="16" w:afterAutospacing="0"/>
              <w:rPr>
                <w:rFonts w:cs="Times New Roman"/>
                <w:sz w:val="22"/>
              </w:rPr>
            </w:pPr>
            <w:r>
              <w:rPr>
                <w:rFonts w:eastAsia="Arial" w:cs="Times New Roman"/>
                <w:sz w:val="22"/>
                <w:lang w:val="pt-PT"/>
              </w:rPr>
              <w:t xml:space="preserve">embalagens médicas por pressurização interna (Teste de Bolhas) </w:t>
            </w:r>
          </w:p>
          <w:p w14:paraId="401902E0" w14:textId="77777777" w:rsidR="00586415" w:rsidRPr="009461CC" w:rsidRDefault="00586415" w:rsidP="00586415">
            <w:pPr>
              <w:spacing w:after="0" w:afterAutospacing="0"/>
              <w:rPr>
                <w:rFonts w:cs="Times New Roman"/>
                <w:sz w:val="22"/>
              </w:rPr>
            </w:pPr>
            <w:r>
              <w:rPr>
                <w:rFonts w:eastAsia="Arial" w:cs="Times New Roman"/>
                <w:sz w:val="22"/>
                <w:lang w:val="pt-PT"/>
              </w:rPr>
              <w:t xml:space="preserve">- ASTM F 2096-11 (2019) </w:t>
            </w:r>
          </w:p>
        </w:tc>
      </w:tr>
      <w:tr w:rsidR="00586415" w:rsidRPr="009461CC" w14:paraId="6A8F5AF4"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4A33B2B" w14:textId="77777777" w:rsidR="00586415" w:rsidRPr="009461CC" w:rsidRDefault="00586415" w:rsidP="00586415">
            <w:pPr>
              <w:spacing w:after="0" w:afterAutospacing="0"/>
              <w:rPr>
                <w:rFonts w:cs="Times New Roman"/>
                <w:bCs/>
                <w:sz w:val="22"/>
              </w:rPr>
            </w:pPr>
            <w:hyperlink r:id="rId20">
              <w:r>
                <w:rPr>
                  <w:rFonts w:eastAsia="Arial" w:cs="Times New Roman"/>
                  <w:sz w:val="22"/>
                  <w:lang w:val="pt-PT"/>
                </w:rPr>
                <w:t xml:space="preserve">ASTM F1929 </w:t>
              </w:r>
            </w:hyperlink>
            <w:hyperlink r:id="rId21">
              <w:r>
                <w:rPr>
                  <w:rFonts w:eastAsia="Arial" w:cs="Times New Roman"/>
                  <w:sz w:val="22"/>
                  <w:lang w:val="pt-PT"/>
                </w:rPr>
                <w:t xml:space="preserve">- </w:t>
              </w:r>
            </w:hyperlink>
            <w:hyperlink r:id="rId22">
              <w:r>
                <w:rPr>
                  <w:rFonts w:eastAsia="Arial" w:cs="Times New Roman"/>
                  <w:sz w:val="22"/>
                  <w:lang w:val="pt-PT"/>
                </w:rPr>
                <w:t xml:space="preserve">15 </w:t>
              </w:r>
            </w:hyperlink>
            <w:hyperlink r:id="rId23">
              <w:r>
                <w:rPr>
                  <w:rFonts w:eastAsia="Arial" w:cs="Times New Roman"/>
                  <w:sz w:val="22"/>
                  <w:lang w:val="pt-P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5219479" w14:textId="77777777" w:rsidR="00586415" w:rsidRPr="009461CC" w:rsidRDefault="00586415" w:rsidP="00586415">
            <w:pPr>
              <w:spacing w:after="14" w:afterAutospacing="0"/>
              <w:rPr>
                <w:rFonts w:cs="Times New Roman"/>
                <w:sz w:val="22"/>
              </w:rPr>
            </w:pPr>
            <w:r>
              <w:rPr>
                <w:rFonts w:eastAsia="Arial" w:cs="Times New Roman"/>
                <w:sz w:val="22"/>
                <w:lang w:val="pt-PT"/>
              </w:rPr>
              <w:t xml:space="preserve">Método de teste padrão para deteção de fugas de vedantes em poros </w:t>
            </w:r>
          </w:p>
          <w:p w14:paraId="1449B41C" w14:textId="77777777" w:rsidR="00586415" w:rsidRPr="009461CC" w:rsidRDefault="00586415" w:rsidP="00586415">
            <w:pPr>
              <w:spacing w:after="0" w:afterAutospacing="0"/>
              <w:rPr>
                <w:rFonts w:cs="Times New Roman"/>
                <w:sz w:val="22"/>
              </w:rPr>
            </w:pPr>
            <w:r>
              <w:rPr>
                <w:rFonts w:eastAsia="Arial" w:cs="Times New Roman"/>
                <w:sz w:val="22"/>
                <w:lang w:val="pt-PT"/>
              </w:rPr>
              <w:t xml:space="preserve">Embalagem médica por penetração de corante - ASTM F 1929 </w:t>
            </w:r>
          </w:p>
        </w:tc>
      </w:tr>
      <w:tr w:rsidR="00586415" w:rsidRPr="009461CC" w14:paraId="5231BAAE"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8A1391B" w14:textId="77777777" w:rsidR="00586415" w:rsidRPr="009461CC" w:rsidRDefault="00586415" w:rsidP="00586415">
            <w:pPr>
              <w:spacing w:after="0" w:afterAutospacing="0"/>
              <w:rPr>
                <w:rFonts w:cs="Times New Roman"/>
                <w:bCs/>
                <w:sz w:val="22"/>
              </w:rPr>
            </w:pPr>
            <w:hyperlink r:id="rId24">
              <w:r>
                <w:rPr>
                  <w:rFonts w:eastAsia="Arial" w:cs="Times New Roman"/>
                  <w:sz w:val="22"/>
                  <w:lang w:val="pt-PT"/>
                </w:rPr>
                <w:t xml:space="preserve">ASTM F88 / F88M </w:t>
              </w:r>
            </w:hyperlink>
            <w:hyperlink r:id="rId25">
              <w:r>
                <w:rPr>
                  <w:rFonts w:eastAsia="Arial" w:cs="Times New Roman"/>
                  <w:sz w:val="22"/>
                  <w:lang w:val="pt-PT"/>
                </w:rPr>
                <w:t xml:space="preserve">- </w:t>
              </w:r>
            </w:hyperlink>
            <w:r>
              <w:rPr>
                <w:rFonts w:eastAsia="Arial" w:cs="Times New Roman"/>
                <w:sz w:val="22"/>
                <w:lang w:val="pt-PT"/>
              </w:rPr>
              <w:t>2021</w:t>
            </w:r>
            <w:hyperlink r:id="rId26">
              <w:r>
                <w:rPr>
                  <w:rFonts w:eastAsia="Arial" w:cs="Times New Roman"/>
                  <w:sz w:val="22"/>
                  <w:lang w:val="pt-PT"/>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C187AF3" w14:textId="77777777" w:rsidR="00586415" w:rsidRPr="009461CC" w:rsidRDefault="00586415" w:rsidP="00586415">
            <w:pPr>
              <w:spacing w:after="0" w:afterAutospacing="0"/>
              <w:rPr>
                <w:rFonts w:cs="Times New Roman"/>
                <w:sz w:val="22"/>
              </w:rPr>
            </w:pPr>
            <w:r>
              <w:rPr>
                <w:rFonts w:eastAsia="Arial" w:cs="Times New Roman"/>
                <w:sz w:val="22"/>
                <w:lang w:val="pt-PT"/>
              </w:rPr>
              <w:t xml:space="preserve">Método de teste padrão para a resistência de vedação de materiais de barreira flexíveis - ASTM F88 </w:t>
            </w:r>
          </w:p>
        </w:tc>
      </w:tr>
      <w:tr w:rsidR="00586415" w:rsidRPr="009461CC" w14:paraId="08E5E70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58D38F88" w14:textId="77777777" w:rsidR="00586415" w:rsidRPr="009461CC" w:rsidRDefault="00586415" w:rsidP="00586415">
            <w:pPr>
              <w:spacing w:after="0" w:afterAutospacing="0"/>
              <w:rPr>
                <w:rFonts w:cs="Times New Roman"/>
                <w:bCs/>
                <w:sz w:val="22"/>
              </w:rPr>
            </w:pPr>
            <w:hyperlink r:id="rId27">
              <w:r>
                <w:rPr>
                  <w:rFonts w:eastAsia="Arial" w:cs="Times New Roman"/>
                  <w:sz w:val="22"/>
                  <w:lang w:val="pt-PT"/>
                </w:rPr>
                <w:t xml:space="preserve">ASTM F1980 </w:t>
              </w:r>
            </w:hyperlink>
            <w:hyperlink r:id="rId28">
              <w:r>
                <w:rPr>
                  <w:rFonts w:eastAsia="Arial" w:cs="Times New Roman"/>
                  <w:sz w:val="22"/>
                  <w:lang w:val="pt-PT"/>
                </w:rPr>
                <w:t xml:space="preserve">- </w:t>
              </w:r>
            </w:hyperlink>
            <w:r>
              <w:rPr>
                <w:rFonts w:eastAsia="Arial" w:cs="Times New Roman"/>
                <w:sz w:val="22"/>
                <w:lang w:val="pt-PT"/>
              </w:rPr>
              <w:t>2021</w:t>
            </w:r>
            <w:hyperlink r:id="rId29">
              <w:r>
                <w:rPr>
                  <w:rFonts w:eastAsia="Arial" w:cs="Times New Roman"/>
                  <w:sz w:val="22"/>
                  <w:lang w:val="pt-PT"/>
                </w:rPr>
                <w:t xml:space="preserve"> </w:t>
              </w:r>
            </w:hyperlink>
            <w:hyperlink r:id="rId30">
              <w:r>
                <w:rPr>
                  <w:rFonts w:eastAsia="Arial" w:cs="Times New Roman"/>
                  <w:sz w:val="22"/>
                  <w:lang w:val="pt-PT"/>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47364AF1" w14:textId="77777777" w:rsidR="00586415" w:rsidRPr="009461CC" w:rsidRDefault="00586415" w:rsidP="00586415">
            <w:pPr>
              <w:spacing w:after="0" w:afterAutospacing="0"/>
              <w:rPr>
                <w:rFonts w:cs="Times New Roman"/>
                <w:sz w:val="22"/>
              </w:rPr>
            </w:pPr>
            <w:r>
              <w:rPr>
                <w:rFonts w:eastAsia="Arial" w:cs="Times New Roman"/>
                <w:sz w:val="22"/>
                <w:lang w:val="pt-PT"/>
              </w:rPr>
              <w:t xml:space="preserve">Guia padrão para envelhecimento acelerado de sistemas de barreira estéreis para dispositivos médicos - ASTM F1980 </w:t>
            </w:r>
          </w:p>
        </w:tc>
      </w:tr>
      <w:tr w:rsidR="00586415" w:rsidRPr="009461CC" w14:paraId="0F76587E" w14:textId="77777777" w:rsidTr="00293453">
        <w:tc>
          <w:tcPr>
            <w:tcW w:w="5000" w:type="pct"/>
            <w:gridSpan w:val="2"/>
            <w:shd w:val="clear" w:color="auto" w:fill="E7E6E6" w:themeFill="background2"/>
          </w:tcPr>
          <w:p w14:paraId="76DCCB76" w14:textId="77777777" w:rsidR="00586415" w:rsidRPr="009461CC" w:rsidRDefault="00586415" w:rsidP="00586415">
            <w:pPr>
              <w:spacing w:after="0" w:afterAutospacing="0"/>
              <w:jc w:val="center"/>
              <w:rPr>
                <w:rFonts w:cs="Times New Roman"/>
                <w:b/>
                <w:bCs/>
                <w:sz w:val="22"/>
              </w:rPr>
            </w:pPr>
            <w:r>
              <w:rPr>
                <w:rFonts w:cs="Times New Roman"/>
                <w:b/>
                <w:bCs/>
                <w:sz w:val="22"/>
                <w:lang w:val="pt-PT"/>
              </w:rPr>
              <w:t>Acompanhamento clínico pós-comercialização</w:t>
            </w:r>
          </w:p>
        </w:tc>
      </w:tr>
      <w:tr w:rsidR="00586415" w:rsidRPr="009461CC" w14:paraId="72BDA171" w14:textId="77777777" w:rsidTr="00293453">
        <w:tc>
          <w:tcPr>
            <w:tcW w:w="1129" w:type="pct"/>
          </w:tcPr>
          <w:p w14:paraId="4A2D9F88" w14:textId="77777777" w:rsidR="00586415" w:rsidRPr="009461CC" w:rsidRDefault="00586415" w:rsidP="00586415">
            <w:pPr>
              <w:spacing w:after="0" w:afterAutospacing="0"/>
              <w:jc w:val="center"/>
              <w:rPr>
                <w:rFonts w:cs="Times New Roman"/>
                <w:sz w:val="22"/>
              </w:rPr>
            </w:pPr>
            <w:r>
              <w:rPr>
                <w:rFonts w:cs="Times New Roman"/>
                <w:sz w:val="22"/>
                <w:lang w:val="pt-PT"/>
              </w:rPr>
              <w:t>MEDDEV 2.12/2 Rev2</w:t>
            </w:r>
          </w:p>
        </w:tc>
        <w:tc>
          <w:tcPr>
            <w:tcW w:w="3871" w:type="pct"/>
          </w:tcPr>
          <w:p w14:paraId="534E025E" w14:textId="77777777" w:rsidR="00586415" w:rsidRPr="009461CC" w:rsidRDefault="00586415" w:rsidP="00586415">
            <w:pPr>
              <w:spacing w:after="0" w:afterAutospacing="0"/>
              <w:rPr>
                <w:rFonts w:cs="Times New Roman"/>
                <w:sz w:val="22"/>
              </w:rPr>
            </w:pPr>
            <w:r>
              <w:rPr>
                <w:rFonts w:cs="Times New Roman"/>
                <w:sz w:val="22"/>
                <w:lang w:val="pt-PT"/>
              </w:rPr>
              <w:t>Estudos de acompanhamento clínico pós-comercialização</w:t>
            </w:r>
          </w:p>
        </w:tc>
      </w:tr>
      <w:tr w:rsidR="00586415" w:rsidRPr="009461CC" w14:paraId="1CA6A5FC" w14:textId="77777777" w:rsidTr="00293453">
        <w:tc>
          <w:tcPr>
            <w:tcW w:w="5000" w:type="pct"/>
            <w:gridSpan w:val="2"/>
            <w:shd w:val="clear" w:color="auto" w:fill="E7E6E6" w:themeFill="background2"/>
          </w:tcPr>
          <w:p w14:paraId="6FE76F53" w14:textId="77777777" w:rsidR="00586415" w:rsidRPr="009461CC" w:rsidRDefault="00586415" w:rsidP="00586415">
            <w:pPr>
              <w:spacing w:after="0" w:afterAutospacing="0"/>
              <w:jc w:val="center"/>
              <w:rPr>
                <w:rFonts w:cs="Times New Roman"/>
                <w:b/>
                <w:bCs/>
                <w:sz w:val="22"/>
              </w:rPr>
            </w:pPr>
            <w:r>
              <w:rPr>
                <w:rFonts w:cs="Times New Roman"/>
                <w:b/>
                <w:bCs/>
                <w:sz w:val="22"/>
                <w:lang w:val="pt-PT"/>
              </w:rPr>
              <w:lastRenderedPageBreak/>
              <w:t>Vigilância</w:t>
            </w:r>
          </w:p>
        </w:tc>
      </w:tr>
      <w:tr w:rsidR="00586415" w:rsidRPr="009461CC" w14:paraId="577ABEC8" w14:textId="77777777" w:rsidTr="00293453">
        <w:tc>
          <w:tcPr>
            <w:tcW w:w="1129" w:type="pct"/>
          </w:tcPr>
          <w:p w14:paraId="403A7E80" w14:textId="77777777" w:rsidR="00586415" w:rsidRPr="009461CC" w:rsidRDefault="00586415" w:rsidP="00586415">
            <w:pPr>
              <w:spacing w:after="0" w:afterAutospacing="0"/>
              <w:jc w:val="center"/>
              <w:rPr>
                <w:rFonts w:cs="Times New Roman"/>
                <w:sz w:val="22"/>
              </w:rPr>
            </w:pPr>
            <w:r>
              <w:rPr>
                <w:rFonts w:cs="Times New Roman"/>
                <w:sz w:val="22"/>
                <w:lang w:val="pt-PT"/>
              </w:rPr>
              <w:t>MEDDEV 2.12/1 Rev8</w:t>
            </w:r>
          </w:p>
        </w:tc>
        <w:tc>
          <w:tcPr>
            <w:tcW w:w="3871" w:type="pct"/>
          </w:tcPr>
          <w:p w14:paraId="1F13D90E" w14:textId="77777777" w:rsidR="00586415" w:rsidRPr="009461CC" w:rsidRDefault="00586415" w:rsidP="00586415">
            <w:pPr>
              <w:spacing w:after="0" w:afterAutospacing="0"/>
              <w:rPr>
                <w:rFonts w:cs="Times New Roman"/>
                <w:sz w:val="22"/>
              </w:rPr>
            </w:pPr>
            <w:r>
              <w:rPr>
                <w:rFonts w:cs="Times New Roman"/>
                <w:sz w:val="22"/>
                <w:lang w:val="pt-PT"/>
              </w:rPr>
              <w:t>Diretrizes sobre um sistema de vigilância dos dispositivos médicos</w:t>
            </w:r>
          </w:p>
        </w:tc>
      </w:tr>
    </w:tbl>
    <w:p w14:paraId="06B25AF7" w14:textId="77777777" w:rsidR="00582286" w:rsidRPr="009461CC" w:rsidRDefault="00582286" w:rsidP="000A23CB">
      <w:pPr>
        <w:spacing w:after="0" w:afterAutospacing="0" w:line="240" w:lineRule="auto"/>
        <w:rPr>
          <w:rFonts w:cs="Times New Roman"/>
        </w:rPr>
      </w:pPr>
    </w:p>
    <w:p w14:paraId="6F757B16" w14:textId="77777777" w:rsidR="00601F87" w:rsidRPr="009461CC" w:rsidRDefault="00601F87" w:rsidP="000A23CB">
      <w:pPr>
        <w:spacing w:after="0" w:afterAutospacing="0" w:line="240" w:lineRule="auto"/>
        <w:rPr>
          <w:rFonts w:cs="Times New Roman"/>
        </w:rPr>
      </w:pPr>
    </w:p>
    <w:p w14:paraId="438059D7" w14:textId="77777777" w:rsidR="00601F87" w:rsidRPr="009461CC" w:rsidRDefault="00601F87" w:rsidP="00F67A0E">
      <w:pPr>
        <w:pStyle w:val="Heading1"/>
        <w:numPr>
          <w:ilvl w:val="0"/>
          <w:numId w:val="2"/>
        </w:numPr>
        <w:rPr>
          <w:rFonts w:cs="Times New Roman"/>
        </w:rPr>
      </w:pPr>
      <w:bookmarkStart w:id="80" w:name="_Toc181362715"/>
      <w:bookmarkStart w:id="81" w:name="_Toc222741661"/>
      <w:r>
        <w:rPr>
          <w:rFonts w:cs="Times New Roman"/>
          <w:bCs/>
          <w:lang w:val="pt-PT"/>
        </w:rPr>
        <w:t>Histórico de revisões</w:t>
      </w:r>
      <w:bookmarkEnd w:id="80"/>
      <w:bookmarkEnd w:id="81"/>
    </w:p>
    <w:tbl>
      <w:tblPr>
        <w:tblStyle w:val="TableGrid"/>
        <w:tblW w:w="5000" w:type="pct"/>
        <w:tblLook w:val="04A0" w:firstRow="1" w:lastRow="0" w:firstColumn="1" w:lastColumn="0" w:noHBand="0" w:noVBand="1"/>
      </w:tblPr>
      <w:tblGrid>
        <w:gridCol w:w="1199"/>
        <w:gridCol w:w="1506"/>
        <w:gridCol w:w="4819"/>
        <w:gridCol w:w="2906"/>
      </w:tblGrid>
      <w:tr w:rsidR="00601F87" w:rsidRPr="009461CC" w14:paraId="5B6BFC55" w14:textId="77777777" w:rsidTr="00293453">
        <w:tc>
          <w:tcPr>
            <w:tcW w:w="575" w:type="pct"/>
          </w:tcPr>
          <w:p w14:paraId="2E035377" w14:textId="77777777" w:rsidR="00601F87" w:rsidRPr="009461CC" w:rsidRDefault="00601F87" w:rsidP="00293453">
            <w:pPr>
              <w:spacing w:after="0" w:afterAutospacing="0"/>
              <w:rPr>
                <w:rFonts w:cs="Times New Roman"/>
                <w:b/>
                <w:sz w:val="22"/>
              </w:rPr>
            </w:pPr>
            <w:r>
              <w:rPr>
                <w:rFonts w:cs="Times New Roman"/>
                <w:b/>
                <w:bCs/>
                <w:sz w:val="22"/>
                <w:lang w:val="pt-PT"/>
              </w:rPr>
              <w:t>Revisão</w:t>
            </w:r>
          </w:p>
        </w:tc>
        <w:tc>
          <w:tcPr>
            <w:tcW w:w="722" w:type="pct"/>
          </w:tcPr>
          <w:p w14:paraId="50A5C536" w14:textId="77777777" w:rsidR="00601F87" w:rsidRPr="009461CC" w:rsidRDefault="00601F87" w:rsidP="00293453">
            <w:pPr>
              <w:spacing w:after="0" w:afterAutospacing="0"/>
              <w:rPr>
                <w:rFonts w:cs="Times New Roman"/>
                <w:b/>
                <w:sz w:val="22"/>
              </w:rPr>
            </w:pPr>
            <w:r>
              <w:rPr>
                <w:rFonts w:cs="Times New Roman"/>
                <w:b/>
                <w:bCs/>
                <w:sz w:val="22"/>
                <w:lang w:val="pt-PT"/>
              </w:rPr>
              <w:t>Data de emissão</w:t>
            </w:r>
          </w:p>
        </w:tc>
        <w:tc>
          <w:tcPr>
            <w:tcW w:w="2310" w:type="pct"/>
          </w:tcPr>
          <w:p w14:paraId="028B7F50" w14:textId="77777777" w:rsidR="00601F87" w:rsidRPr="009461CC" w:rsidRDefault="00601F87" w:rsidP="00293453">
            <w:pPr>
              <w:spacing w:after="0" w:afterAutospacing="0"/>
              <w:rPr>
                <w:rFonts w:cs="Times New Roman"/>
                <w:b/>
                <w:sz w:val="22"/>
              </w:rPr>
            </w:pPr>
            <w:r>
              <w:rPr>
                <w:rFonts w:cs="Times New Roman"/>
                <w:b/>
                <w:bCs/>
                <w:sz w:val="22"/>
                <w:lang w:val="pt-PT"/>
              </w:rPr>
              <w:t>Alterar descrição</w:t>
            </w:r>
          </w:p>
        </w:tc>
        <w:tc>
          <w:tcPr>
            <w:tcW w:w="1393" w:type="pct"/>
          </w:tcPr>
          <w:p w14:paraId="3C9FD99C" w14:textId="77777777" w:rsidR="00601F87" w:rsidRPr="009461CC" w:rsidRDefault="00601F87" w:rsidP="00293453">
            <w:pPr>
              <w:spacing w:after="0" w:afterAutospacing="0"/>
              <w:rPr>
                <w:rFonts w:cs="Times New Roman"/>
                <w:b/>
                <w:sz w:val="22"/>
              </w:rPr>
            </w:pPr>
            <w:r>
              <w:rPr>
                <w:rFonts w:cs="Times New Roman"/>
                <w:b/>
                <w:bCs/>
                <w:sz w:val="22"/>
                <w:lang w:val="pt-PT"/>
              </w:rPr>
              <w:t>Revisão validada pelo Organismo Notificado?</w:t>
            </w:r>
          </w:p>
        </w:tc>
      </w:tr>
      <w:tr w:rsidR="00601F87" w:rsidRPr="009461CC" w14:paraId="16EC10C7" w14:textId="77777777" w:rsidTr="00293453">
        <w:tc>
          <w:tcPr>
            <w:tcW w:w="575" w:type="pct"/>
          </w:tcPr>
          <w:p w14:paraId="58BC1E5F" w14:textId="77777777" w:rsidR="00601F87" w:rsidRPr="009461CC" w:rsidRDefault="00601F87" w:rsidP="00293453">
            <w:pPr>
              <w:spacing w:after="0" w:afterAutospacing="0"/>
              <w:rPr>
                <w:rFonts w:cs="Times New Roman"/>
                <w:sz w:val="22"/>
              </w:rPr>
            </w:pPr>
            <w:r>
              <w:rPr>
                <w:rFonts w:cs="Times New Roman"/>
                <w:sz w:val="22"/>
                <w:lang w:val="pt-PT"/>
              </w:rPr>
              <w:t>A</w:t>
            </w:r>
          </w:p>
        </w:tc>
        <w:tc>
          <w:tcPr>
            <w:tcW w:w="722" w:type="pct"/>
          </w:tcPr>
          <w:p w14:paraId="6A81A9AF" w14:textId="71A1E241" w:rsidR="00601F87" w:rsidRPr="009461CC" w:rsidRDefault="002069F1" w:rsidP="00293453">
            <w:pPr>
              <w:spacing w:after="0" w:afterAutospacing="0"/>
              <w:rPr>
                <w:rFonts w:cs="Times New Roman"/>
                <w:iCs/>
                <w:sz w:val="22"/>
              </w:rPr>
            </w:pPr>
            <w:r>
              <w:rPr>
                <w:rFonts w:cs="Times New Roman"/>
                <w:sz w:val="22"/>
                <w:lang w:val="pt-PT"/>
              </w:rPr>
              <w:t>22 de maio de 2022</w:t>
            </w:r>
          </w:p>
        </w:tc>
        <w:tc>
          <w:tcPr>
            <w:tcW w:w="2310" w:type="pct"/>
          </w:tcPr>
          <w:p w14:paraId="0B577D70" w14:textId="77777777" w:rsidR="00601F87" w:rsidRPr="009461CC" w:rsidRDefault="00601F87" w:rsidP="00293453">
            <w:pPr>
              <w:spacing w:after="0" w:afterAutospacing="0"/>
              <w:rPr>
                <w:rFonts w:cs="Times New Roman"/>
                <w:sz w:val="22"/>
              </w:rPr>
            </w:pPr>
            <w:r>
              <w:rPr>
                <w:rFonts w:cs="Times New Roman"/>
                <w:sz w:val="22"/>
                <w:lang w:val="pt-PT"/>
              </w:rPr>
              <w:t>Versão interna inicial – Não validada pelo BSI</w:t>
            </w:r>
          </w:p>
        </w:tc>
        <w:tc>
          <w:tcPr>
            <w:tcW w:w="1393" w:type="pct"/>
          </w:tcPr>
          <w:p w14:paraId="3673E384" w14:textId="77777777" w:rsidR="00601F87" w:rsidRPr="009461CC" w:rsidRDefault="00000000" w:rsidP="00293453">
            <w:pPr>
              <w:spacing w:after="0" w:afterAutospacing="0"/>
              <w:rPr>
                <w:rFonts w:cs="Times New Roman"/>
                <w:sz w:val="22"/>
              </w:rPr>
            </w:pPr>
            <w:sdt>
              <w:sdtPr>
                <w:rPr>
                  <w:rFonts w:ascii="Segoe UI Symbol" w:eastAsia="MS Gothic" w:hAnsi="Segoe UI Symbol" w:cs="Times New Roman"/>
                  <w:sz w:val="22"/>
                </w:rPr>
                <w:id w:val="-216212727"/>
                <w14:checkbox>
                  <w14:checked w14:val="1"/>
                  <w14:checkedState w14:val="2612" w14:font="MS Gothic"/>
                  <w14:uncheckedState w14:val="2610" w14:font="MS Gothic"/>
                </w14:checkbox>
              </w:sdtPr>
              <w:sdtContent>
                <w:r>
                  <w:rPr>
                    <w:rFonts w:ascii="Segoe UI Symbol" w:eastAsia="MS Gothic" w:hAnsi="Segoe UI Symbol" w:cs="Segoe UI Symbol"/>
                    <w:sz w:val="22"/>
                    <w:lang w:val="pt-PT"/>
                  </w:rPr>
                  <w:t>☒</w:t>
                </w:r>
              </w:sdtContent>
            </w:sdt>
            <w:r>
              <w:rPr>
                <w:rFonts w:eastAsia="MS Gothic"/>
                <w:sz w:val="22"/>
                <w:lang w:val="pt-PT"/>
              </w:rPr>
              <w:t xml:space="preserve"> Somente para uso interno</w:t>
            </w:r>
          </w:p>
        </w:tc>
      </w:tr>
      <w:tr w:rsidR="00601F87" w:rsidRPr="009461CC" w14:paraId="253ED939" w14:textId="77777777" w:rsidTr="00293453">
        <w:tc>
          <w:tcPr>
            <w:tcW w:w="575" w:type="pct"/>
          </w:tcPr>
          <w:p w14:paraId="794C6341" w14:textId="77777777" w:rsidR="00601F87" w:rsidRPr="009461CC" w:rsidRDefault="00601F87" w:rsidP="00293453">
            <w:pPr>
              <w:spacing w:after="0" w:afterAutospacing="0"/>
              <w:rPr>
                <w:rFonts w:cs="Times New Roman"/>
                <w:sz w:val="22"/>
              </w:rPr>
            </w:pPr>
            <w:r>
              <w:rPr>
                <w:rFonts w:cs="Times New Roman"/>
                <w:sz w:val="22"/>
                <w:lang w:val="pt-PT"/>
              </w:rPr>
              <w:t xml:space="preserve">B </w:t>
            </w:r>
          </w:p>
        </w:tc>
        <w:tc>
          <w:tcPr>
            <w:tcW w:w="722" w:type="pct"/>
          </w:tcPr>
          <w:p w14:paraId="4E93CA05" w14:textId="47A5412E" w:rsidR="00601F87" w:rsidRPr="009461CC" w:rsidRDefault="00624761" w:rsidP="00293453">
            <w:pPr>
              <w:spacing w:after="0" w:afterAutospacing="0"/>
              <w:rPr>
                <w:rFonts w:cs="Times New Roman"/>
                <w:iCs/>
                <w:sz w:val="22"/>
              </w:rPr>
            </w:pPr>
            <w:r>
              <w:rPr>
                <w:rFonts w:cs="Times New Roman"/>
                <w:sz w:val="22"/>
                <w:lang w:val="pt-PT"/>
              </w:rPr>
              <w:t xml:space="preserve">15 de dezembro de 2025 </w:t>
            </w:r>
          </w:p>
          <w:p w14:paraId="76ECF0BB" w14:textId="21F4F941" w:rsidR="00601F87" w:rsidRPr="009461CC" w:rsidRDefault="00601F87" w:rsidP="00293453">
            <w:pPr>
              <w:spacing w:after="0" w:afterAutospacing="0"/>
              <w:rPr>
                <w:rFonts w:cs="Times New Roman"/>
                <w:iCs/>
                <w:sz w:val="22"/>
              </w:rPr>
            </w:pPr>
          </w:p>
        </w:tc>
        <w:tc>
          <w:tcPr>
            <w:tcW w:w="2310" w:type="pct"/>
          </w:tcPr>
          <w:p w14:paraId="7ADC2C3E" w14:textId="77777777" w:rsidR="00601F87" w:rsidRPr="009461CC" w:rsidRDefault="00601F87" w:rsidP="00293453">
            <w:pPr>
              <w:spacing w:after="0" w:afterAutospacing="0"/>
              <w:rPr>
                <w:rFonts w:cs="Times New Roman"/>
                <w:sz w:val="22"/>
              </w:rPr>
            </w:pPr>
            <w:r>
              <w:rPr>
                <w:rFonts w:cs="Times New Roman"/>
                <w:sz w:val="22"/>
                <w:lang w:val="pt-PT"/>
              </w:rPr>
              <w:t>Envio inicial ao BSI, para revisão</w:t>
            </w:r>
          </w:p>
          <w:p w14:paraId="17842BBC" w14:textId="53FA9776" w:rsidR="00601F87" w:rsidRPr="009461CC" w:rsidRDefault="00601F87" w:rsidP="00293453">
            <w:pPr>
              <w:spacing w:after="0" w:afterAutospacing="0"/>
              <w:rPr>
                <w:rFonts w:cs="Times New Roman"/>
                <w:sz w:val="22"/>
              </w:rPr>
            </w:pPr>
            <w:r>
              <w:rPr>
                <w:rFonts w:cs="Times New Roman"/>
                <w:sz w:val="22"/>
                <w:lang w:val="pt-PT"/>
              </w:rPr>
              <w:t xml:space="preserve"> </w:t>
            </w:r>
          </w:p>
        </w:tc>
        <w:tc>
          <w:tcPr>
            <w:tcW w:w="1393" w:type="pct"/>
          </w:tcPr>
          <w:p w14:paraId="0FC9FC92" w14:textId="465431A0" w:rsidR="006D6EA3" w:rsidRPr="009461CC" w:rsidRDefault="00000000" w:rsidP="006D6EA3">
            <w:pPr>
              <w:spacing w:after="0" w:afterAutospacing="0"/>
              <w:rPr>
                <w:rFonts w:cs="Times New Roman"/>
                <w:sz w:val="22"/>
              </w:rPr>
            </w:pPr>
            <w:sdt>
              <w:sdtPr>
                <w:rPr>
                  <w:rFonts w:ascii="Segoe UI Symbol" w:eastAsia="MS Gothic" w:hAnsi="Segoe UI Symbol" w:cs="Times New Roman"/>
                  <w:sz w:val="22"/>
                </w:rPr>
                <w:id w:val="1250311691"/>
                <w14:checkbox>
                  <w14:checked w14:val="1"/>
                  <w14:checkedState w14:val="2612" w14:font="MS Gothic"/>
                  <w14:uncheckedState w14:val="2610" w14:font="MS Gothic"/>
                </w14:checkbox>
              </w:sdtPr>
              <w:sdtContent>
                <w:r>
                  <w:rPr>
                    <w:rFonts w:ascii="Segoe UI Symbol" w:eastAsia="MS Gothic" w:hAnsi="Segoe UI Symbol" w:cs="Segoe UI Symbol"/>
                    <w:sz w:val="22"/>
                    <w:lang w:val="pt-PT"/>
                  </w:rPr>
                  <w:t>☒</w:t>
                </w:r>
              </w:sdtContent>
            </w:sdt>
            <w:r>
              <w:rPr>
                <w:rFonts w:eastAsia="MS Gothic"/>
                <w:sz w:val="22"/>
                <w:lang w:val="pt-PT"/>
              </w:rPr>
              <w:t xml:space="preserve"> Sim </w:t>
            </w:r>
          </w:p>
          <w:p w14:paraId="52EB2E13" w14:textId="77777777" w:rsidR="006D6EA3" w:rsidRPr="009461CC" w:rsidRDefault="006D6EA3" w:rsidP="006D6EA3">
            <w:pPr>
              <w:spacing w:after="0" w:afterAutospacing="0"/>
              <w:rPr>
                <w:rFonts w:cs="Times New Roman"/>
                <w:sz w:val="22"/>
              </w:rPr>
            </w:pPr>
            <w:r>
              <w:rPr>
                <w:rFonts w:cs="Times New Roman"/>
                <w:sz w:val="22"/>
                <w:lang w:val="pt-PT"/>
              </w:rPr>
              <w:t xml:space="preserve">Idioma de validação: </w:t>
            </w:r>
          </w:p>
          <w:p w14:paraId="293F45BE" w14:textId="789551FE" w:rsidR="00CA46B0" w:rsidRPr="009461CC" w:rsidRDefault="006D6EA3" w:rsidP="006D6EA3">
            <w:pPr>
              <w:spacing w:after="0" w:afterAutospacing="0"/>
              <w:rPr>
                <w:rFonts w:cs="Times New Roman"/>
                <w:sz w:val="22"/>
              </w:rPr>
            </w:pPr>
            <w:r>
              <w:rPr>
                <w:rFonts w:cs="Times New Roman"/>
                <w:sz w:val="22"/>
                <w:lang w:val="pt-PT"/>
              </w:rPr>
              <w:t>Português</w:t>
            </w:r>
          </w:p>
          <w:p w14:paraId="2C6B2388" w14:textId="23538238" w:rsidR="00601F87" w:rsidRPr="009461CC" w:rsidRDefault="006D6EA3" w:rsidP="006D6EA3">
            <w:pPr>
              <w:spacing w:after="0" w:afterAutospacing="0"/>
              <w:rPr>
                <w:rFonts w:cs="Times New Roman"/>
                <w:sz w:val="22"/>
                <w:highlight w:val="yellow"/>
              </w:rPr>
            </w:pPr>
            <w:r>
              <w:rPr>
                <w:rFonts w:ascii="Segoe UI Symbol" w:hAnsi="Segoe UI Symbol"/>
                <w:sz w:val="22"/>
                <w:lang w:val="pt-PT"/>
              </w:rPr>
              <w:t>☐</w:t>
            </w:r>
            <w:r>
              <w:rPr>
                <w:sz w:val="22"/>
                <w:lang w:val="pt-PT"/>
              </w:rPr>
              <w:t xml:space="preserve"> Não (aplicável apenas para dispositivos de classe IIa ou IIb para os quais o SSCP ainda não foi validado pelo organismo notificado)</w:t>
            </w:r>
          </w:p>
        </w:tc>
      </w:tr>
    </w:tbl>
    <w:p w14:paraId="05B94FC3" w14:textId="73ABFCCD" w:rsidR="00601F87" w:rsidRPr="009461CC" w:rsidRDefault="00601F87" w:rsidP="00601F87">
      <w:pPr>
        <w:tabs>
          <w:tab w:val="left" w:pos="3633"/>
        </w:tabs>
        <w:rPr>
          <w:rFonts w:cs="Times New Roman"/>
        </w:rPr>
      </w:pPr>
    </w:p>
    <w:sectPr w:rsidR="00601F87" w:rsidRPr="009461CC" w:rsidSect="008018FA">
      <w:headerReference w:type="even" r:id="rId31"/>
      <w:headerReference w:type="default" r:id="rId32"/>
      <w:footerReference w:type="even" r:id="rId33"/>
      <w:footerReference w:type="default" r:id="rId34"/>
      <w:headerReference w:type="first" r:id="rId35"/>
      <w:footerReference w:type="first" r:id="rId36"/>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5843F" w14:textId="77777777" w:rsidR="000B21BD" w:rsidRDefault="000B21BD" w:rsidP="009855C3">
      <w:r>
        <w:separator/>
      </w:r>
    </w:p>
  </w:endnote>
  <w:endnote w:type="continuationSeparator" w:id="0">
    <w:p w14:paraId="7810B7D0" w14:textId="77777777" w:rsidR="000B21BD" w:rsidRDefault="000B21BD" w:rsidP="0098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G Times 12pt">
    <w:altName w:val="Cambria"/>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80000287" w:usb1="188F1C12" w:usb2="00000016" w:usb3="00000000" w:csb0="00040009"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2497" w14:textId="77777777" w:rsidR="00CD6EF2" w:rsidRDefault="00CD6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6BB303DF" w:rsidR="00BE3D15" w:rsidRPr="00A43FDF" w:rsidRDefault="003036AD" w:rsidP="009855C3">
    <w:pPr>
      <w:pStyle w:val="Footer"/>
      <w:rPr>
        <w:szCs w:val="24"/>
        <w:lang w:val="it-IT"/>
      </w:rPr>
    </w:pPr>
    <w:r>
      <w:rPr>
        <w:b/>
        <w:bCs/>
        <w:sz w:val="18"/>
        <w:szCs w:val="18"/>
        <w:lang w:val="pt-PT"/>
      </w:rPr>
      <w:t>CAQ-QA-025-F1 Rev G: Resumo de Segurança e Desempenho Clínico (SSCP)</w:t>
    </w:r>
    <w:r>
      <w:rPr>
        <w:lang w:val="pt-PT"/>
      </w:rPr>
      <w:t xml:space="preserve"> </w:t>
    </w:r>
    <w:r>
      <w:rPr>
        <w:lang w:val="pt-PT"/>
      </w:rPr>
      <w:tab/>
      <w:t xml:space="preserve">Página </w:t>
    </w:r>
    <w:r>
      <w:rPr>
        <w:lang w:val="pt-PT"/>
      </w:rPr>
      <w:fldChar w:fldCharType="begin"/>
    </w:r>
    <w:r>
      <w:rPr>
        <w:lang w:val="pt-PT"/>
      </w:rPr>
      <w:instrText xml:space="preserve"> PAGE  \* Arabic </w:instrText>
    </w:r>
    <w:r>
      <w:rPr>
        <w:lang w:val="pt-PT"/>
      </w:rPr>
      <w:fldChar w:fldCharType="separate"/>
    </w:r>
    <w:r>
      <w:rPr>
        <w:lang w:val="pt-PT"/>
      </w:rPr>
      <w:t>0</w:t>
    </w:r>
    <w:r>
      <w:rPr>
        <w:lang w:val="pt-PT"/>
      </w:rPr>
      <w:fldChar w:fldCharType="end"/>
    </w:r>
    <w:r>
      <w:rPr>
        <w:lang w:val="pt-PT"/>
      </w:rPr>
      <w:t xml:space="preserve"> de </w:t>
    </w:r>
    <w:r>
      <w:fldChar w:fldCharType="begin"/>
    </w:r>
    <w:r w:rsidRPr="00A43FDF">
      <w:rPr>
        <w:lang w:val="it-IT"/>
      </w:rPr>
      <w:instrText xml:space="preserve"> NUMPAGES  </w:instrText>
    </w:r>
    <w:r>
      <w:fldChar w:fldCharType="separate"/>
    </w:r>
    <w:r>
      <w:rPr>
        <w:lang w:val="pt-PT"/>
      </w:rPr>
      <w:t>12</w:t>
    </w:r>
    <w:r>
      <w:rPr>
        <w:lang w:val="pt-PT"/>
      </w:rPr>
      <w:fldChar w:fldCharType="end"/>
    </w:r>
    <w:r>
      <w:rPr>
        <w:lang w:val="pt-PT"/>
      </w:rPr>
      <w:t xml:space="preserve">  </w:t>
    </w:r>
    <w:r>
      <w:rPr>
        <w:lang w:val="pt-PT"/>
      </w:rPr>
      <w:tab/>
    </w:r>
    <w:r>
      <w:rPr>
        <w:lang w:val="pt-PT"/>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C275" w14:textId="77777777" w:rsidR="00CD6EF2" w:rsidRDefault="00CD6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951AC" w14:textId="77777777" w:rsidR="000B21BD" w:rsidRDefault="000B21BD" w:rsidP="009855C3">
      <w:r>
        <w:separator/>
      </w:r>
    </w:p>
  </w:footnote>
  <w:footnote w:type="continuationSeparator" w:id="0">
    <w:p w14:paraId="28EC6DB9" w14:textId="77777777" w:rsidR="000B21BD" w:rsidRDefault="000B21BD" w:rsidP="0098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5D29" w14:textId="77777777" w:rsidR="00CD6EF2" w:rsidRDefault="00CD6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14:paraId="7E46E4C7" w14:textId="77777777" w:rsidTr="00B62140">
      <w:tc>
        <w:tcPr>
          <w:tcW w:w="3080" w:type="dxa"/>
        </w:tcPr>
        <w:p w14:paraId="184F2588" w14:textId="6EABB2E0" w:rsidR="00B62140" w:rsidRDefault="00B62140" w:rsidP="00B62140">
          <w:pPr>
            <w:pStyle w:val="Header"/>
            <w:jc w:val="left"/>
          </w:pPr>
          <w:r>
            <w:rPr>
              <w:noProof/>
              <w:lang w:val="pt-PT"/>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A43FDF" w:rsidRDefault="005450DC" w:rsidP="005450DC">
          <w:pPr>
            <w:spacing w:after="0" w:afterAutospacing="0"/>
            <w:rPr>
              <w:rFonts w:ascii="Arial" w:hAnsi="Arial" w:cs="Arial"/>
              <w:b/>
              <w:bCs/>
              <w:sz w:val="28"/>
              <w:szCs w:val="28"/>
              <w:lang w:val="it-IT"/>
            </w:rPr>
          </w:pPr>
          <w:r>
            <w:rPr>
              <w:rFonts w:ascii="Arial" w:hAnsi="Arial" w:cs="Arial"/>
              <w:b/>
              <w:bCs/>
              <w:sz w:val="28"/>
              <w:szCs w:val="28"/>
              <w:lang w:val="pt-PT"/>
            </w:rPr>
            <w:t>Resumo de Segurança e Desempenho Clínico (SSCP)</w:t>
          </w:r>
        </w:p>
        <w:p w14:paraId="3BB3B2B1" w14:textId="0B7A306D" w:rsidR="009F5769" w:rsidRPr="005450DC" w:rsidRDefault="009F5769" w:rsidP="009F5769">
          <w:pPr>
            <w:spacing w:after="0" w:afterAutospacing="0"/>
            <w:rPr>
              <w:rFonts w:ascii="Arial" w:hAnsi="Arial" w:cs="Arial"/>
              <w:sz w:val="18"/>
              <w:szCs w:val="18"/>
            </w:rPr>
          </w:pPr>
          <w:r>
            <w:rPr>
              <w:rFonts w:ascii="Arial" w:hAnsi="Arial" w:cs="Arial"/>
              <w:b/>
              <w:bCs/>
              <w:sz w:val="18"/>
              <w:szCs w:val="18"/>
              <w:lang w:val="pt-PT"/>
            </w:rPr>
            <w:t xml:space="preserve">SSCP-0006: </w:t>
          </w:r>
          <w:bookmarkStart w:id="82" w:name="_Hlk196721157"/>
          <w:r>
            <w:rPr>
              <w:rFonts w:ascii="Arial" w:hAnsi="Arial" w:cs="Arial"/>
              <w:sz w:val="18"/>
              <w:szCs w:val="18"/>
              <w:lang w:val="pt-PT"/>
            </w:rPr>
            <w:t>Kit de Laço Vascular Atrieve™</w:t>
          </w:r>
          <w:bookmarkEnd w:id="82"/>
        </w:p>
        <w:p w14:paraId="32066318" w14:textId="5996CDC6" w:rsidR="005450DC" w:rsidRPr="005450DC" w:rsidRDefault="005450DC" w:rsidP="005450DC">
          <w:pPr>
            <w:spacing w:after="0" w:afterAutospacing="0"/>
            <w:rPr>
              <w:rFonts w:ascii="Arial" w:hAnsi="Arial" w:cs="Arial"/>
              <w:sz w:val="18"/>
              <w:szCs w:val="18"/>
            </w:rPr>
          </w:pPr>
          <w:r>
            <w:rPr>
              <w:rFonts w:ascii="Arial" w:hAnsi="Arial" w:cs="Arial"/>
              <w:sz w:val="18"/>
              <w:szCs w:val="18"/>
              <w:lang w:val="pt-PT"/>
            </w:rPr>
            <w:t>Revisão: B</w:t>
          </w:r>
        </w:p>
        <w:p w14:paraId="2F5F8390" w14:textId="0ABFBBD1" w:rsidR="005450DC" w:rsidRPr="00B62140" w:rsidRDefault="005450DC" w:rsidP="005450DC">
          <w:pPr>
            <w:pStyle w:val="Header"/>
            <w:jc w:val="left"/>
            <w:rPr>
              <w:rFonts w:ascii="Arial" w:hAnsi="Arial" w:cs="Arial"/>
              <w:sz w:val="18"/>
            </w:rPr>
          </w:pPr>
          <w:r>
            <w:rPr>
              <w:rFonts w:ascii="Calibri" w:eastAsiaTheme="minorHAnsi" w:hAnsi="Calibri" w:cs="Calibri"/>
              <w:sz w:val="18"/>
              <w:szCs w:val="18"/>
              <w:lang w:val="pt-PT"/>
            </w:rPr>
            <w:t>Localização da Argon: Todas as Instalações</w:t>
          </w:r>
        </w:p>
      </w:tc>
    </w:tr>
  </w:tbl>
  <w:p w14:paraId="0BD58B4F" w14:textId="7DA38D57" w:rsidR="00B62140" w:rsidRDefault="00B62140" w:rsidP="00B62140">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74AA" w14:textId="77777777" w:rsidR="00CD6EF2" w:rsidRDefault="00CD6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77569"/>
    <w:multiLevelType w:val="hybridMultilevel"/>
    <w:tmpl w:val="15B4E1B2"/>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642F"/>
    <w:multiLevelType w:val="multilevel"/>
    <w:tmpl w:val="475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D7021"/>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37B14"/>
    <w:multiLevelType w:val="hybridMultilevel"/>
    <w:tmpl w:val="DD1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A27"/>
    <w:multiLevelType w:val="hybridMultilevel"/>
    <w:tmpl w:val="CA6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54A05"/>
    <w:multiLevelType w:val="hybridMultilevel"/>
    <w:tmpl w:val="FEAEE55C"/>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2C16D5"/>
    <w:multiLevelType w:val="multilevel"/>
    <w:tmpl w:val="3DB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544DA"/>
    <w:multiLevelType w:val="hybridMultilevel"/>
    <w:tmpl w:val="4126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5329F"/>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95574"/>
    <w:multiLevelType w:val="hybridMultilevel"/>
    <w:tmpl w:val="1DF48DB6"/>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15951"/>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F32A0"/>
    <w:multiLevelType w:val="hybridMultilevel"/>
    <w:tmpl w:val="DD72E7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ADC3F5B"/>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C1CC7"/>
    <w:multiLevelType w:val="multilevel"/>
    <w:tmpl w:val="19D2CB68"/>
    <w:lvl w:ilvl="0">
      <w:start w:val="1"/>
      <w:numFmt w:val="decimal"/>
      <w:lvlText w:val="%1."/>
      <w:lvlJc w:val="left"/>
      <w:pPr>
        <w:ind w:left="360" w:hanging="360"/>
      </w:pPr>
      <w:rPr>
        <w:b/>
        <w:bCs w:val="0"/>
      </w:rPr>
    </w:lvl>
    <w:lvl w:ilvl="1">
      <w:start w:val="1"/>
      <w:numFmt w:val="decimal"/>
      <w:pStyle w:val="Heading1"/>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33BF6"/>
    <w:multiLevelType w:val="hybridMultilevel"/>
    <w:tmpl w:val="5A40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4B7D64"/>
    <w:multiLevelType w:val="multilevel"/>
    <w:tmpl w:val="7B2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A37D2"/>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CF27DD"/>
    <w:multiLevelType w:val="multilevel"/>
    <w:tmpl w:val="1CA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F5615"/>
    <w:multiLevelType w:val="hybridMultilevel"/>
    <w:tmpl w:val="39B8B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8342CC"/>
    <w:multiLevelType w:val="hybridMultilevel"/>
    <w:tmpl w:val="D394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2B39D6"/>
    <w:multiLevelType w:val="hybridMultilevel"/>
    <w:tmpl w:val="7264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62866B7F"/>
    <w:multiLevelType w:val="hybridMultilevel"/>
    <w:tmpl w:val="0D6C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C0CD0"/>
    <w:multiLevelType w:val="hybridMultilevel"/>
    <w:tmpl w:val="57DCF68C"/>
    <w:lvl w:ilvl="0" w:tplc="FFFFFFFF">
      <w:start w:val="1"/>
      <w:numFmt w:val="bullet"/>
      <w:lvlText w:val=""/>
      <w:lvlJc w:val="left"/>
      <w:pPr>
        <w:ind w:left="720" w:hanging="360"/>
      </w:pPr>
      <w:rPr>
        <w:rFonts w:ascii="Symbol" w:hAnsi="Symbol" w:hint="default"/>
      </w:rPr>
    </w:lvl>
    <w:lvl w:ilvl="1" w:tplc="EA7AE87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EC224B"/>
    <w:multiLevelType w:val="multilevel"/>
    <w:tmpl w:val="8E1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C4F74"/>
    <w:multiLevelType w:val="hybridMultilevel"/>
    <w:tmpl w:val="C85A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66B5D"/>
    <w:multiLevelType w:val="multilevel"/>
    <w:tmpl w:val="1C2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14B8E"/>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F0477"/>
    <w:multiLevelType w:val="hybridMultilevel"/>
    <w:tmpl w:val="E6F8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87167"/>
    <w:multiLevelType w:val="hybridMultilevel"/>
    <w:tmpl w:val="980EE75C"/>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86F75"/>
    <w:multiLevelType w:val="multilevel"/>
    <w:tmpl w:val="30B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176312">
    <w:abstractNumId w:val="22"/>
  </w:num>
  <w:num w:numId="2" w16cid:durableId="1360936298">
    <w:abstractNumId w:val="14"/>
  </w:num>
  <w:num w:numId="3" w16cid:durableId="300112310">
    <w:abstractNumId w:val="19"/>
  </w:num>
  <w:num w:numId="4" w16cid:durableId="1853834821">
    <w:abstractNumId w:val="6"/>
  </w:num>
  <w:num w:numId="5" w16cid:durableId="1034691173">
    <w:abstractNumId w:val="12"/>
  </w:num>
  <w:num w:numId="6" w16cid:durableId="1593513253">
    <w:abstractNumId w:val="21"/>
  </w:num>
  <w:num w:numId="7" w16cid:durableId="346831415">
    <w:abstractNumId w:val="23"/>
  </w:num>
  <w:num w:numId="8" w16cid:durableId="1853715173">
    <w:abstractNumId w:val="0"/>
  </w:num>
  <w:num w:numId="9" w16cid:durableId="1855343271">
    <w:abstractNumId w:val="15"/>
  </w:num>
  <w:num w:numId="10" w16cid:durableId="916865255">
    <w:abstractNumId w:val="24"/>
  </w:num>
  <w:num w:numId="11" w16cid:durableId="364184473">
    <w:abstractNumId w:val="25"/>
  </w:num>
  <w:num w:numId="12" w16cid:durableId="2108647119">
    <w:abstractNumId w:val="16"/>
  </w:num>
  <w:num w:numId="13" w16cid:durableId="1982877844">
    <w:abstractNumId w:val="3"/>
  </w:num>
  <w:num w:numId="14" w16cid:durableId="1684937638">
    <w:abstractNumId w:val="9"/>
  </w:num>
  <w:num w:numId="15" w16cid:durableId="586424511">
    <w:abstractNumId w:val="17"/>
  </w:num>
  <w:num w:numId="16" w16cid:durableId="1213268901">
    <w:abstractNumId w:val="28"/>
  </w:num>
  <w:num w:numId="17" w16cid:durableId="171838373">
    <w:abstractNumId w:val="13"/>
  </w:num>
  <w:num w:numId="18" w16cid:durableId="799612473">
    <w:abstractNumId w:val="11"/>
  </w:num>
  <w:num w:numId="19" w16cid:durableId="475414826">
    <w:abstractNumId w:val="31"/>
  </w:num>
  <w:num w:numId="20" w16cid:durableId="320740550">
    <w:abstractNumId w:val="27"/>
  </w:num>
  <w:num w:numId="21" w16cid:durableId="166943843">
    <w:abstractNumId w:val="4"/>
  </w:num>
  <w:num w:numId="22" w16cid:durableId="1888569262">
    <w:abstractNumId w:val="8"/>
  </w:num>
  <w:num w:numId="23" w16cid:durableId="1644770191">
    <w:abstractNumId w:val="20"/>
  </w:num>
  <w:num w:numId="24" w16cid:durableId="1439636620">
    <w:abstractNumId w:val="26"/>
  </w:num>
  <w:num w:numId="25" w16cid:durableId="882600577">
    <w:abstractNumId w:val="5"/>
  </w:num>
  <w:num w:numId="26" w16cid:durableId="1718622400">
    <w:abstractNumId w:val="10"/>
  </w:num>
  <w:num w:numId="27" w16cid:durableId="1475558162">
    <w:abstractNumId w:val="30"/>
  </w:num>
  <w:num w:numId="28" w16cid:durableId="1475566087">
    <w:abstractNumId w:val="1"/>
  </w:num>
  <w:num w:numId="29" w16cid:durableId="1286497301">
    <w:abstractNumId w:val="7"/>
  </w:num>
  <w:num w:numId="30" w16cid:durableId="3093058">
    <w:abstractNumId w:val="18"/>
  </w:num>
  <w:num w:numId="31" w16cid:durableId="972251898">
    <w:abstractNumId w:val="29"/>
  </w:num>
  <w:num w:numId="32" w16cid:durableId="70591431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6459"/>
    <w:rsid w:val="00011045"/>
    <w:rsid w:val="00012E12"/>
    <w:rsid w:val="000167B6"/>
    <w:rsid w:val="00017BF4"/>
    <w:rsid w:val="00021D6F"/>
    <w:rsid w:val="00021E83"/>
    <w:rsid w:val="0002755B"/>
    <w:rsid w:val="00034879"/>
    <w:rsid w:val="000379B4"/>
    <w:rsid w:val="00042B91"/>
    <w:rsid w:val="00047250"/>
    <w:rsid w:val="00050F24"/>
    <w:rsid w:val="0005411A"/>
    <w:rsid w:val="00057D5B"/>
    <w:rsid w:val="000628F7"/>
    <w:rsid w:val="00063367"/>
    <w:rsid w:val="00076AE4"/>
    <w:rsid w:val="00076F70"/>
    <w:rsid w:val="000774DD"/>
    <w:rsid w:val="000857E5"/>
    <w:rsid w:val="000920E7"/>
    <w:rsid w:val="000975C6"/>
    <w:rsid w:val="000A1236"/>
    <w:rsid w:val="000A23CB"/>
    <w:rsid w:val="000A25FA"/>
    <w:rsid w:val="000A5EBD"/>
    <w:rsid w:val="000A6E93"/>
    <w:rsid w:val="000B21BD"/>
    <w:rsid w:val="000B3E80"/>
    <w:rsid w:val="000B6CF0"/>
    <w:rsid w:val="000C41AC"/>
    <w:rsid w:val="000C5F93"/>
    <w:rsid w:val="000C633A"/>
    <w:rsid w:val="000C7AF6"/>
    <w:rsid w:val="000D2F57"/>
    <w:rsid w:val="000D5406"/>
    <w:rsid w:val="000D7B59"/>
    <w:rsid w:val="000E39A6"/>
    <w:rsid w:val="000F0AC2"/>
    <w:rsid w:val="000F0DCC"/>
    <w:rsid w:val="000F4DF1"/>
    <w:rsid w:val="001035F0"/>
    <w:rsid w:val="00103AF7"/>
    <w:rsid w:val="00113A33"/>
    <w:rsid w:val="001209D7"/>
    <w:rsid w:val="00120DD8"/>
    <w:rsid w:val="00122999"/>
    <w:rsid w:val="00125511"/>
    <w:rsid w:val="00125D9F"/>
    <w:rsid w:val="00142B70"/>
    <w:rsid w:val="00142D15"/>
    <w:rsid w:val="001440E1"/>
    <w:rsid w:val="001475A8"/>
    <w:rsid w:val="00151F01"/>
    <w:rsid w:val="001533A4"/>
    <w:rsid w:val="00154AAA"/>
    <w:rsid w:val="00155220"/>
    <w:rsid w:val="0015690A"/>
    <w:rsid w:val="00156CF3"/>
    <w:rsid w:val="00162917"/>
    <w:rsid w:val="00162923"/>
    <w:rsid w:val="00165A00"/>
    <w:rsid w:val="001861C6"/>
    <w:rsid w:val="00187CF5"/>
    <w:rsid w:val="001919D6"/>
    <w:rsid w:val="00191ED2"/>
    <w:rsid w:val="001A3916"/>
    <w:rsid w:val="001A7EA5"/>
    <w:rsid w:val="001B4005"/>
    <w:rsid w:val="001B6D13"/>
    <w:rsid w:val="001C43C6"/>
    <w:rsid w:val="001D1887"/>
    <w:rsid w:val="001E5AFF"/>
    <w:rsid w:val="001E6921"/>
    <w:rsid w:val="001E7A0E"/>
    <w:rsid w:val="001F4798"/>
    <w:rsid w:val="001F48BA"/>
    <w:rsid w:val="001F5B3B"/>
    <w:rsid w:val="00201156"/>
    <w:rsid w:val="002069F1"/>
    <w:rsid w:val="00207A7C"/>
    <w:rsid w:val="00210ACA"/>
    <w:rsid w:val="00210E41"/>
    <w:rsid w:val="00214E2F"/>
    <w:rsid w:val="0021589A"/>
    <w:rsid w:val="0022033C"/>
    <w:rsid w:val="00221CEF"/>
    <w:rsid w:val="00226C45"/>
    <w:rsid w:val="002277B9"/>
    <w:rsid w:val="00230011"/>
    <w:rsid w:val="002351E5"/>
    <w:rsid w:val="00235AAE"/>
    <w:rsid w:val="00237870"/>
    <w:rsid w:val="00242075"/>
    <w:rsid w:val="00243417"/>
    <w:rsid w:val="002538C9"/>
    <w:rsid w:val="00257EE2"/>
    <w:rsid w:val="002669BD"/>
    <w:rsid w:val="00272B97"/>
    <w:rsid w:val="00272DEA"/>
    <w:rsid w:val="00273413"/>
    <w:rsid w:val="00275A67"/>
    <w:rsid w:val="00277426"/>
    <w:rsid w:val="00280A53"/>
    <w:rsid w:val="00290AFE"/>
    <w:rsid w:val="002914F4"/>
    <w:rsid w:val="00291A3E"/>
    <w:rsid w:val="00297A62"/>
    <w:rsid w:val="002A1AF1"/>
    <w:rsid w:val="002A24E8"/>
    <w:rsid w:val="002A75DC"/>
    <w:rsid w:val="002B2F38"/>
    <w:rsid w:val="002D4833"/>
    <w:rsid w:val="002D4C43"/>
    <w:rsid w:val="002D6103"/>
    <w:rsid w:val="002D6725"/>
    <w:rsid w:val="002E59B4"/>
    <w:rsid w:val="002F199B"/>
    <w:rsid w:val="002F2571"/>
    <w:rsid w:val="002F344E"/>
    <w:rsid w:val="002F37BF"/>
    <w:rsid w:val="002F39DB"/>
    <w:rsid w:val="00300E25"/>
    <w:rsid w:val="00300FC0"/>
    <w:rsid w:val="003036AD"/>
    <w:rsid w:val="003074B3"/>
    <w:rsid w:val="00314ACD"/>
    <w:rsid w:val="0032368A"/>
    <w:rsid w:val="003326A4"/>
    <w:rsid w:val="00335020"/>
    <w:rsid w:val="00335181"/>
    <w:rsid w:val="0033663C"/>
    <w:rsid w:val="0034308B"/>
    <w:rsid w:val="003513E0"/>
    <w:rsid w:val="00354365"/>
    <w:rsid w:val="003663A1"/>
    <w:rsid w:val="0037316E"/>
    <w:rsid w:val="00375370"/>
    <w:rsid w:val="0037599D"/>
    <w:rsid w:val="00375CFE"/>
    <w:rsid w:val="00376A92"/>
    <w:rsid w:val="00380316"/>
    <w:rsid w:val="00383678"/>
    <w:rsid w:val="00384B21"/>
    <w:rsid w:val="003859AF"/>
    <w:rsid w:val="003859DA"/>
    <w:rsid w:val="00386F47"/>
    <w:rsid w:val="003912E5"/>
    <w:rsid w:val="00394151"/>
    <w:rsid w:val="003951DC"/>
    <w:rsid w:val="00395788"/>
    <w:rsid w:val="00395FDB"/>
    <w:rsid w:val="003966BD"/>
    <w:rsid w:val="00397AE0"/>
    <w:rsid w:val="003A26B9"/>
    <w:rsid w:val="003A3A2E"/>
    <w:rsid w:val="003A3DB1"/>
    <w:rsid w:val="003B4C77"/>
    <w:rsid w:val="003B5B28"/>
    <w:rsid w:val="003B70D7"/>
    <w:rsid w:val="003D4104"/>
    <w:rsid w:val="003D63DA"/>
    <w:rsid w:val="003E5476"/>
    <w:rsid w:val="003F2EB4"/>
    <w:rsid w:val="003F3F3C"/>
    <w:rsid w:val="003F5F86"/>
    <w:rsid w:val="004065D7"/>
    <w:rsid w:val="004235A7"/>
    <w:rsid w:val="004263BF"/>
    <w:rsid w:val="0043056A"/>
    <w:rsid w:val="004329F3"/>
    <w:rsid w:val="00433305"/>
    <w:rsid w:val="00441215"/>
    <w:rsid w:val="0044138A"/>
    <w:rsid w:val="00442087"/>
    <w:rsid w:val="004430BE"/>
    <w:rsid w:val="00444AB2"/>
    <w:rsid w:val="00446152"/>
    <w:rsid w:val="004466ED"/>
    <w:rsid w:val="00453251"/>
    <w:rsid w:val="00453B44"/>
    <w:rsid w:val="00454296"/>
    <w:rsid w:val="004553D9"/>
    <w:rsid w:val="00465F4B"/>
    <w:rsid w:val="00466071"/>
    <w:rsid w:val="00466981"/>
    <w:rsid w:val="004673EB"/>
    <w:rsid w:val="004714F7"/>
    <w:rsid w:val="00472F06"/>
    <w:rsid w:val="00474E2A"/>
    <w:rsid w:val="00475E00"/>
    <w:rsid w:val="0047648B"/>
    <w:rsid w:val="00476A48"/>
    <w:rsid w:val="00481A9E"/>
    <w:rsid w:val="0048338B"/>
    <w:rsid w:val="00483CA4"/>
    <w:rsid w:val="004846A6"/>
    <w:rsid w:val="00490703"/>
    <w:rsid w:val="0049079D"/>
    <w:rsid w:val="00490B97"/>
    <w:rsid w:val="0049275B"/>
    <w:rsid w:val="00493B5B"/>
    <w:rsid w:val="00495F6C"/>
    <w:rsid w:val="004A0035"/>
    <w:rsid w:val="004A2596"/>
    <w:rsid w:val="004A4063"/>
    <w:rsid w:val="004A4D87"/>
    <w:rsid w:val="004B30A3"/>
    <w:rsid w:val="004B4929"/>
    <w:rsid w:val="004C0D7F"/>
    <w:rsid w:val="004C12F0"/>
    <w:rsid w:val="004C73EF"/>
    <w:rsid w:val="004D77A4"/>
    <w:rsid w:val="004D7A94"/>
    <w:rsid w:val="004E24F8"/>
    <w:rsid w:val="004E28F8"/>
    <w:rsid w:val="004E397F"/>
    <w:rsid w:val="004E3C57"/>
    <w:rsid w:val="004E6C1C"/>
    <w:rsid w:val="004F01A5"/>
    <w:rsid w:val="004F26D9"/>
    <w:rsid w:val="004F2CB7"/>
    <w:rsid w:val="004F3CA9"/>
    <w:rsid w:val="004F5057"/>
    <w:rsid w:val="004F7F77"/>
    <w:rsid w:val="005010E4"/>
    <w:rsid w:val="005063EA"/>
    <w:rsid w:val="005072B8"/>
    <w:rsid w:val="005104CC"/>
    <w:rsid w:val="0051131D"/>
    <w:rsid w:val="00511B41"/>
    <w:rsid w:val="0051305A"/>
    <w:rsid w:val="00516D79"/>
    <w:rsid w:val="00522664"/>
    <w:rsid w:val="00524D41"/>
    <w:rsid w:val="00525377"/>
    <w:rsid w:val="005257E7"/>
    <w:rsid w:val="0052695A"/>
    <w:rsid w:val="00533C0A"/>
    <w:rsid w:val="00536EDE"/>
    <w:rsid w:val="00540616"/>
    <w:rsid w:val="005439FC"/>
    <w:rsid w:val="005450DC"/>
    <w:rsid w:val="00547018"/>
    <w:rsid w:val="00547353"/>
    <w:rsid w:val="00550F97"/>
    <w:rsid w:val="0055697A"/>
    <w:rsid w:val="00560A40"/>
    <w:rsid w:val="00563107"/>
    <w:rsid w:val="005647F4"/>
    <w:rsid w:val="00567FF4"/>
    <w:rsid w:val="00570454"/>
    <w:rsid w:val="00575EE3"/>
    <w:rsid w:val="00577A16"/>
    <w:rsid w:val="00580274"/>
    <w:rsid w:val="0058041F"/>
    <w:rsid w:val="005808F2"/>
    <w:rsid w:val="00582286"/>
    <w:rsid w:val="005842F3"/>
    <w:rsid w:val="00586415"/>
    <w:rsid w:val="00595963"/>
    <w:rsid w:val="005A1E4B"/>
    <w:rsid w:val="005A23F3"/>
    <w:rsid w:val="005A310B"/>
    <w:rsid w:val="005A3D4F"/>
    <w:rsid w:val="005A48D7"/>
    <w:rsid w:val="005A5584"/>
    <w:rsid w:val="005A6AE9"/>
    <w:rsid w:val="005B3E76"/>
    <w:rsid w:val="005B4422"/>
    <w:rsid w:val="005C642C"/>
    <w:rsid w:val="005C6A90"/>
    <w:rsid w:val="005D00E4"/>
    <w:rsid w:val="005D04DF"/>
    <w:rsid w:val="005D3210"/>
    <w:rsid w:val="005D41AF"/>
    <w:rsid w:val="005D424F"/>
    <w:rsid w:val="005D4A52"/>
    <w:rsid w:val="005D7627"/>
    <w:rsid w:val="005D7D43"/>
    <w:rsid w:val="005E76F6"/>
    <w:rsid w:val="005F1F10"/>
    <w:rsid w:val="00601F73"/>
    <w:rsid w:val="00601F87"/>
    <w:rsid w:val="00602115"/>
    <w:rsid w:val="006027B7"/>
    <w:rsid w:val="00607046"/>
    <w:rsid w:val="00612216"/>
    <w:rsid w:val="00612BE6"/>
    <w:rsid w:val="00614E9F"/>
    <w:rsid w:val="00616ADF"/>
    <w:rsid w:val="00620D8F"/>
    <w:rsid w:val="00622C5B"/>
    <w:rsid w:val="00623CC6"/>
    <w:rsid w:val="00624761"/>
    <w:rsid w:val="006266F5"/>
    <w:rsid w:val="00634E28"/>
    <w:rsid w:val="00647A09"/>
    <w:rsid w:val="0065086A"/>
    <w:rsid w:val="006517A0"/>
    <w:rsid w:val="006524A2"/>
    <w:rsid w:val="00674185"/>
    <w:rsid w:val="00683D4A"/>
    <w:rsid w:val="00686D39"/>
    <w:rsid w:val="00692CDD"/>
    <w:rsid w:val="0069398D"/>
    <w:rsid w:val="006962F2"/>
    <w:rsid w:val="00696541"/>
    <w:rsid w:val="006A4B34"/>
    <w:rsid w:val="006A5C21"/>
    <w:rsid w:val="006B14EA"/>
    <w:rsid w:val="006B2504"/>
    <w:rsid w:val="006B3C71"/>
    <w:rsid w:val="006C1385"/>
    <w:rsid w:val="006C2B68"/>
    <w:rsid w:val="006C66D0"/>
    <w:rsid w:val="006D00F2"/>
    <w:rsid w:val="006D0CBE"/>
    <w:rsid w:val="006D29A6"/>
    <w:rsid w:val="006D6EA3"/>
    <w:rsid w:val="006D7D1C"/>
    <w:rsid w:val="006E0847"/>
    <w:rsid w:val="006E4BCB"/>
    <w:rsid w:val="006E55CB"/>
    <w:rsid w:val="006F0810"/>
    <w:rsid w:val="006F0D7E"/>
    <w:rsid w:val="006F12B6"/>
    <w:rsid w:val="006F1D9B"/>
    <w:rsid w:val="006F2D64"/>
    <w:rsid w:val="006F76E2"/>
    <w:rsid w:val="006F7FE6"/>
    <w:rsid w:val="007002E4"/>
    <w:rsid w:val="00706757"/>
    <w:rsid w:val="007076C9"/>
    <w:rsid w:val="00710948"/>
    <w:rsid w:val="00710EE4"/>
    <w:rsid w:val="00713233"/>
    <w:rsid w:val="0071436C"/>
    <w:rsid w:val="00716E6B"/>
    <w:rsid w:val="00717248"/>
    <w:rsid w:val="00720869"/>
    <w:rsid w:val="00725BB8"/>
    <w:rsid w:val="007263BF"/>
    <w:rsid w:val="0073263C"/>
    <w:rsid w:val="007349B0"/>
    <w:rsid w:val="007354A2"/>
    <w:rsid w:val="00736211"/>
    <w:rsid w:val="0073680D"/>
    <w:rsid w:val="00737E50"/>
    <w:rsid w:val="00740900"/>
    <w:rsid w:val="0074262E"/>
    <w:rsid w:val="00744702"/>
    <w:rsid w:val="0075662C"/>
    <w:rsid w:val="00757131"/>
    <w:rsid w:val="00760400"/>
    <w:rsid w:val="00761873"/>
    <w:rsid w:val="007618AC"/>
    <w:rsid w:val="00762212"/>
    <w:rsid w:val="00763272"/>
    <w:rsid w:val="007646E7"/>
    <w:rsid w:val="00765B21"/>
    <w:rsid w:val="00770C94"/>
    <w:rsid w:val="00771CF6"/>
    <w:rsid w:val="0077387D"/>
    <w:rsid w:val="00773B3B"/>
    <w:rsid w:val="00775E6F"/>
    <w:rsid w:val="00780A59"/>
    <w:rsid w:val="007811AA"/>
    <w:rsid w:val="007867EE"/>
    <w:rsid w:val="00790BF0"/>
    <w:rsid w:val="00790C23"/>
    <w:rsid w:val="007A1221"/>
    <w:rsid w:val="007A2AD5"/>
    <w:rsid w:val="007A47F1"/>
    <w:rsid w:val="007A5226"/>
    <w:rsid w:val="007B0F04"/>
    <w:rsid w:val="007B2D5F"/>
    <w:rsid w:val="007B72EE"/>
    <w:rsid w:val="007C7E15"/>
    <w:rsid w:val="007D5088"/>
    <w:rsid w:val="007D708F"/>
    <w:rsid w:val="007F42BD"/>
    <w:rsid w:val="008002AB"/>
    <w:rsid w:val="008018FA"/>
    <w:rsid w:val="0080432B"/>
    <w:rsid w:val="00804949"/>
    <w:rsid w:val="00805DD8"/>
    <w:rsid w:val="008103FA"/>
    <w:rsid w:val="008170F8"/>
    <w:rsid w:val="0083288A"/>
    <w:rsid w:val="00832C94"/>
    <w:rsid w:val="00832EBC"/>
    <w:rsid w:val="008373C6"/>
    <w:rsid w:val="0084795E"/>
    <w:rsid w:val="00864E1E"/>
    <w:rsid w:val="00873051"/>
    <w:rsid w:val="008735FE"/>
    <w:rsid w:val="0087371C"/>
    <w:rsid w:val="008745ED"/>
    <w:rsid w:val="00874EDF"/>
    <w:rsid w:val="00882C64"/>
    <w:rsid w:val="0088793A"/>
    <w:rsid w:val="00887E5D"/>
    <w:rsid w:val="00894B7F"/>
    <w:rsid w:val="008A15B7"/>
    <w:rsid w:val="008A210D"/>
    <w:rsid w:val="008B0C3D"/>
    <w:rsid w:val="008B13A5"/>
    <w:rsid w:val="008B1BA9"/>
    <w:rsid w:val="008B3CB9"/>
    <w:rsid w:val="008B667F"/>
    <w:rsid w:val="008C2DA2"/>
    <w:rsid w:val="008C5C2C"/>
    <w:rsid w:val="008C7623"/>
    <w:rsid w:val="008C78ED"/>
    <w:rsid w:val="008D7F1C"/>
    <w:rsid w:val="008F6E85"/>
    <w:rsid w:val="00900933"/>
    <w:rsid w:val="0090367B"/>
    <w:rsid w:val="00905F56"/>
    <w:rsid w:val="00914027"/>
    <w:rsid w:val="009140CD"/>
    <w:rsid w:val="009214EC"/>
    <w:rsid w:val="009224DD"/>
    <w:rsid w:val="00922F95"/>
    <w:rsid w:val="00923982"/>
    <w:rsid w:val="00923DA5"/>
    <w:rsid w:val="00924CA5"/>
    <w:rsid w:val="00930F2F"/>
    <w:rsid w:val="009337D8"/>
    <w:rsid w:val="00934A5D"/>
    <w:rsid w:val="00941292"/>
    <w:rsid w:val="0094168A"/>
    <w:rsid w:val="00941D63"/>
    <w:rsid w:val="00942C1E"/>
    <w:rsid w:val="0094476E"/>
    <w:rsid w:val="009456AE"/>
    <w:rsid w:val="009461CC"/>
    <w:rsid w:val="00953A7F"/>
    <w:rsid w:val="009645C9"/>
    <w:rsid w:val="00966ED8"/>
    <w:rsid w:val="009709B4"/>
    <w:rsid w:val="00970F10"/>
    <w:rsid w:val="00971960"/>
    <w:rsid w:val="00972802"/>
    <w:rsid w:val="00976460"/>
    <w:rsid w:val="00976960"/>
    <w:rsid w:val="00981AFC"/>
    <w:rsid w:val="00982459"/>
    <w:rsid w:val="00982823"/>
    <w:rsid w:val="00982903"/>
    <w:rsid w:val="009855C3"/>
    <w:rsid w:val="00987307"/>
    <w:rsid w:val="00994DB9"/>
    <w:rsid w:val="009964D2"/>
    <w:rsid w:val="009977D7"/>
    <w:rsid w:val="009A1AED"/>
    <w:rsid w:val="009A1FF8"/>
    <w:rsid w:val="009A5F24"/>
    <w:rsid w:val="009B4453"/>
    <w:rsid w:val="009B569A"/>
    <w:rsid w:val="009B7C1D"/>
    <w:rsid w:val="009C4FD5"/>
    <w:rsid w:val="009D19D6"/>
    <w:rsid w:val="009D3291"/>
    <w:rsid w:val="009D54C6"/>
    <w:rsid w:val="009D6FE2"/>
    <w:rsid w:val="009D7E33"/>
    <w:rsid w:val="009E10C6"/>
    <w:rsid w:val="009E1EBB"/>
    <w:rsid w:val="009E4BE1"/>
    <w:rsid w:val="009F1498"/>
    <w:rsid w:val="009F1998"/>
    <w:rsid w:val="009F1BD0"/>
    <w:rsid w:val="009F282F"/>
    <w:rsid w:val="009F2A57"/>
    <w:rsid w:val="009F319A"/>
    <w:rsid w:val="009F4223"/>
    <w:rsid w:val="009F51B0"/>
    <w:rsid w:val="009F5769"/>
    <w:rsid w:val="009F78EE"/>
    <w:rsid w:val="00A00853"/>
    <w:rsid w:val="00A0129F"/>
    <w:rsid w:val="00A02A54"/>
    <w:rsid w:val="00A030DC"/>
    <w:rsid w:val="00A03A91"/>
    <w:rsid w:val="00A05360"/>
    <w:rsid w:val="00A06EA0"/>
    <w:rsid w:val="00A12C5D"/>
    <w:rsid w:val="00A2055A"/>
    <w:rsid w:val="00A24C7B"/>
    <w:rsid w:val="00A25FCE"/>
    <w:rsid w:val="00A30F54"/>
    <w:rsid w:val="00A36237"/>
    <w:rsid w:val="00A3639B"/>
    <w:rsid w:val="00A43FDF"/>
    <w:rsid w:val="00A44D21"/>
    <w:rsid w:val="00A4616A"/>
    <w:rsid w:val="00A5239F"/>
    <w:rsid w:val="00A538EF"/>
    <w:rsid w:val="00A56D87"/>
    <w:rsid w:val="00A570BF"/>
    <w:rsid w:val="00A57182"/>
    <w:rsid w:val="00A603C9"/>
    <w:rsid w:val="00A62721"/>
    <w:rsid w:val="00A62AA4"/>
    <w:rsid w:val="00A80721"/>
    <w:rsid w:val="00A8284F"/>
    <w:rsid w:val="00A8483B"/>
    <w:rsid w:val="00A8663C"/>
    <w:rsid w:val="00A86CBA"/>
    <w:rsid w:val="00A90A1C"/>
    <w:rsid w:val="00A95910"/>
    <w:rsid w:val="00AA2E04"/>
    <w:rsid w:val="00AA3502"/>
    <w:rsid w:val="00AA3694"/>
    <w:rsid w:val="00AA7F1D"/>
    <w:rsid w:val="00AB04FB"/>
    <w:rsid w:val="00AC1EE8"/>
    <w:rsid w:val="00AC53BA"/>
    <w:rsid w:val="00AC7864"/>
    <w:rsid w:val="00AD0542"/>
    <w:rsid w:val="00AD355F"/>
    <w:rsid w:val="00AD3C62"/>
    <w:rsid w:val="00AD4A16"/>
    <w:rsid w:val="00AE212B"/>
    <w:rsid w:val="00AE2B73"/>
    <w:rsid w:val="00AE5A46"/>
    <w:rsid w:val="00AF2584"/>
    <w:rsid w:val="00B0012D"/>
    <w:rsid w:val="00B01620"/>
    <w:rsid w:val="00B0256A"/>
    <w:rsid w:val="00B04139"/>
    <w:rsid w:val="00B06F88"/>
    <w:rsid w:val="00B07777"/>
    <w:rsid w:val="00B1087D"/>
    <w:rsid w:val="00B11A66"/>
    <w:rsid w:val="00B15E55"/>
    <w:rsid w:val="00B16AB3"/>
    <w:rsid w:val="00B17CC3"/>
    <w:rsid w:val="00B26297"/>
    <w:rsid w:val="00B343C2"/>
    <w:rsid w:val="00B37A72"/>
    <w:rsid w:val="00B407B6"/>
    <w:rsid w:val="00B459A4"/>
    <w:rsid w:val="00B62140"/>
    <w:rsid w:val="00B66253"/>
    <w:rsid w:val="00B67432"/>
    <w:rsid w:val="00B7112F"/>
    <w:rsid w:val="00B714A8"/>
    <w:rsid w:val="00B7247B"/>
    <w:rsid w:val="00B73BEA"/>
    <w:rsid w:val="00B763A0"/>
    <w:rsid w:val="00B82FB3"/>
    <w:rsid w:val="00B8570A"/>
    <w:rsid w:val="00B8696D"/>
    <w:rsid w:val="00B9692A"/>
    <w:rsid w:val="00BA7D3E"/>
    <w:rsid w:val="00BB36B1"/>
    <w:rsid w:val="00BB79B1"/>
    <w:rsid w:val="00BC0CE0"/>
    <w:rsid w:val="00BC3DD7"/>
    <w:rsid w:val="00BD1913"/>
    <w:rsid w:val="00BD7F46"/>
    <w:rsid w:val="00BE0727"/>
    <w:rsid w:val="00BE09C5"/>
    <w:rsid w:val="00BE3D15"/>
    <w:rsid w:val="00BE7E3B"/>
    <w:rsid w:val="00BF53FD"/>
    <w:rsid w:val="00BF7DE6"/>
    <w:rsid w:val="00C00243"/>
    <w:rsid w:val="00C01A53"/>
    <w:rsid w:val="00C0200E"/>
    <w:rsid w:val="00C02BC0"/>
    <w:rsid w:val="00C134BC"/>
    <w:rsid w:val="00C13612"/>
    <w:rsid w:val="00C1549E"/>
    <w:rsid w:val="00C16423"/>
    <w:rsid w:val="00C16D85"/>
    <w:rsid w:val="00C3050A"/>
    <w:rsid w:val="00C361CA"/>
    <w:rsid w:val="00C3745E"/>
    <w:rsid w:val="00C46C3A"/>
    <w:rsid w:val="00C47B0F"/>
    <w:rsid w:val="00C56109"/>
    <w:rsid w:val="00C6261A"/>
    <w:rsid w:val="00C64987"/>
    <w:rsid w:val="00C64AB4"/>
    <w:rsid w:val="00C673A6"/>
    <w:rsid w:val="00C706D6"/>
    <w:rsid w:val="00C70884"/>
    <w:rsid w:val="00C76698"/>
    <w:rsid w:val="00C824D9"/>
    <w:rsid w:val="00C82528"/>
    <w:rsid w:val="00C83032"/>
    <w:rsid w:val="00C91927"/>
    <w:rsid w:val="00C94CB5"/>
    <w:rsid w:val="00C97841"/>
    <w:rsid w:val="00CA2472"/>
    <w:rsid w:val="00CA46B0"/>
    <w:rsid w:val="00CA7832"/>
    <w:rsid w:val="00CB0F1E"/>
    <w:rsid w:val="00CB7CB0"/>
    <w:rsid w:val="00CC0372"/>
    <w:rsid w:val="00CD129C"/>
    <w:rsid w:val="00CD6594"/>
    <w:rsid w:val="00CD6EF2"/>
    <w:rsid w:val="00CD76E0"/>
    <w:rsid w:val="00CE3EA4"/>
    <w:rsid w:val="00CE6144"/>
    <w:rsid w:val="00CE7154"/>
    <w:rsid w:val="00CF0AF4"/>
    <w:rsid w:val="00CF6BEB"/>
    <w:rsid w:val="00CF7C5F"/>
    <w:rsid w:val="00D0560B"/>
    <w:rsid w:val="00D104AC"/>
    <w:rsid w:val="00D14601"/>
    <w:rsid w:val="00D15BBE"/>
    <w:rsid w:val="00D16500"/>
    <w:rsid w:val="00D20FA4"/>
    <w:rsid w:val="00D23267"/>
    <w:rsid w:val="00D23846"/>
    <w:rsid w:val="00D24167"/>
    <w:rsid w:val="00D26121"/>
    <w:rsid w:val="00D26B0D"/>
    <w:rsid w:val="00D35E63"/>
    <w:rsid w:val="00D42481"/>
    <w:rsid w:val="00D4289F"/>
    <w:rsid w:val="00D47200"/>
    <w:rsid w:val="00D479C6"/>
    <w:rsid w:val="00D52DF8"/>
    <w:rsid w:val="00D558E5"/>
    <w:rsid w:val="00D56C82"/>
    <w:rsid w:val="00D600D7"/>
    <w:rsid w:val="00D62E8E"/>
    <w:rsid w:val="00D63EAA"/>
    <w:rsid w:val="00D64EA5"/>
    <w:rsid w:val="00D75384"/>
    <w:rsid w:val="00D75D87"/>
    <w:rsid w:val="00D760D8"/>
    <w:rsid w:val="00D82C89"/>
    <w:rsid w:val="00D91CDB"/>
    <w:rsid w:val="00D94089"/>
    <w:rsid w:val="00D96F6A"/>
    <w:rsid w:val="00D979CC"/>
    <w:rsid w:val="00DA4404"/>
    <w:rsid w:val="00DA5FD1"/>
    <w:rsid w:val="00DA6381"/>
    <w:rsid w:val="00DB020C"/>
    <w:rsid w:val="00DB582A"/>
    <w:rsid w:val="00DB74A8"/>
    <w:rsid w:val="00DD13F4"/>
    <w:rsid w:val="00DD54B4"/>
    <w:rsid w:val="00DE0007"/>
    <w:rsid w:val="00DE2118"/>
    <w:rsid w:val="00DE3CC0"/>
    <w:rsid w:val="00DE6313"/>
    <w:rsid w:val="00DE6327"/>
    <w:rsid w:val="00DE7FD7"/>
    <w:rsid w:val="00DF0617"/>
    <w:rsid w:val="00DF62DC"/>
    <w:rsid w:val="00E03D31"/>
    <w:rsid w:val="00E11D92"/>
    <w:rsid w:val="00E1442F"/>
    <w:rsid w:val="00E14C97"/>
    <w:rsid w:val="00E213E0"/>
    <w:rsid w:val="00E23984"/>
    <w:rsid w:val="00E269CF"/>
    <w:rsid w:val="00E3060B"/>
    <w:rsid w:val="00E3332E"/>
    <w:rsid w:val="00E352B4"/>
    <w:rsid w:val="00E407A5"/>
    <w:rsid w:val="00E409AE"/>
    <w:rsid w:val="00E41C44"/>
    <w:rsid w:val="00E46137"/>
    <w:rsid w:val="00E529DC"/>
    <w:rsid w:val="00E535E2"/>
    <w:rsid w:val="00E541DE"/>
    <w:rsid w:val="00E7114E"/>
    <w:rsid w:val="00E714ED"/>
    <w:rsid w:val="00E818B5"/>
    <w:rsid w:val="00E87974"/>
    <w:rsid w:val="00E91403"/>
    <w:rsid w:val="00E950A1"/>
    <w:rsid w:val="00E9587C"/>
    <w:rsid w:val="00EA0589"/>
    <w:rsid w:val="00EA2539"/>
    <w:rsid w:val="00EA2A12"/>
    <w:rsid w:val="00EA34B1"/>
    <w:rsid w:val="00EA386A"/>
    <w:rsid w:val="00EA3F04"/>
    <w:rsid w:val="00EB3CE1"/>
    <w:rsid w:val="00EB4EEE"/>
    <w:rsid w:val="00EB5323"/>
    <w:rsid w:val="00EB55F4"/>
    <w:rsid w:val="00EC009B"/>
    <w:rsid w:val="00EC0A5C"/>
    <w:rsid w:val="00EC0F3C"/>
    <w:rsid w:val="00ED2006"/>
    <w:rsid w:val="00ED2C52"/>
    <w:rsid w:val="00ED57DD"/>
    <w:rsid w:val="00ED6077"/>
    <w:rsid w:val="00ED60E5"/>
    <w:rsid w:val="00EE18FA"/>
    <w:rsid w:val="00EE3541"/>
    <w:rsid w:val="00EF2775"/>
    <w:rsid w:val="00F0588E"/>
    <w:rsid w:val="00F07DD1"/>
    <w:rsid w:val="00F12464"/>
    <w:rsid w:val="00F12AB9"/>
    <w:rsid w:val="00F1562A"/>
    <w:rsid w:val="00F1569C"/>
    <w:rsid w:val="00F20DD6"/>
    <w:rsid w:val="00F24AE3"/>
    <w:rsid w:val="00F32C32"/>
    <w:rsid w:val="00F332F1"/>
    <w:rsid w:val="00F343C3"/>
    <w:rsid w:val="00F347FB"/>
    <w:rsid w:val="00F3731D"/>
    <w:rsid w:val="00F37F87"/>
    <w:rsid w:val="00F44E82"/>
    <w:rsid w:val="00F501B1"/>
    <w:rsid w:val="00F56303"/>
    <w:rsid w:val="00F604C9"/>
    <w:rsid w:val="00F63689"/>
    <w:rsid w:val="00F66077"/>
    <w:rsid w:val="00F66E1F"/>
    <w:rsid w:val="00F67A0E"/>
    <w:rsid w:val="00F67D06"/>
    <w:rsid w:val="00F7558C"/>
    <w:rsid w:val="00F761EC"/>
    <w:rsid w:val="00F86E3F"/>
    <w:rsid w:val="00F9112F"/>
    <w:rsid w:val="00FA1D26"/>
    <w:rsid w:val="00FB05F7"/>
    <w:rsid w:val="00FB0A38"/>
    <w:rsid w:val="00FB14AD"/>
    <w:rsid w:val="00FB1FDD"/>
    <w:rsid w:val="00FB59FD"/>
    <w:rsid w:val="00FC52C8"/>
    <w:rsid w:val="00FC5667"/>
    <w:rsid w:val="00FC6DBB"/>
    <w:rsid w:val="00FD0ECB"/>
    <w:rsid w:val="00FE191E"/>
    <w:rsid w:val="00FE3112"/>
    <w:rsid w:val="00FE4230"/>
    <w:rsid w:val="00FE5B73"/>
    <w:rsid w:val="00FE6595"/>
    <w:rsid w:val="00FE78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C3"/>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ind w:left="792"/>
      <w:outlineLvl w:val="0"/>
    </w:pPr>
    <w:rPr>
      <w:b/>
      <w:color w:val="000000" w:themeColor="text1"/>
    </w:rPr>
  </w:style>
  <w:style w:type="paragraph" w:styleId="Heading2">
    <w:name w:val="heading 2"/>
    <w:basedOn w:val="Heading1"/>
    <w:next w:val="Normal"/>
    <w:link w:val="Heading2Char"/>
    <w:uiPriority w:val="9"/>
    <w:unhideWhenUsed/>
    <w:qFormat/>
    <w:rsid w:val="009855C3"/>
    <w:pPr>
      <w:numPr>
        <w:numId w:val="1"/>
      </w:numPr>
      <w:outlineLvl w:val="1"/>
    </w:pPr>
  </w:style>
  <w:style w:type="paragraph" w:styleId="Heading3">
    <w:name w:val="heading 3"/>
    <w:basedOn w:val="Normal"/>
    <w:next w:val="Normal"/>
    <w:link w:val="Heading3Char"/>
    <w:uiPriority w:val="9"/>
    <w:semiHidden/>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3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uiPriority w:val="9"/>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paragraph" w:customStyle="1" w:styleId="TableHeading-Font10">
    <w:name w:val="Table Heading-Font 10"/>
    <w:next w:val="Normal"/>
    <w:link w:val="TableHeading-Font10Char"/>
    <w:qFormat/>
    <w:rsid w:val="00AC1EE8"/>
    <w:pPr>
      <w:keepNext/>
      <w:keepLines/>
      <w:tabs>
        <w:tab w:val="left" w:pos="1440"/>
      </w:tabs>
      <w:spacing w:before="80" w:after="80" w:line="200" w:lineRule="exact"/>
      <w:jc w:val="center"/>
    </w:pPr>
    <w:rPr>
      <w:rFonts w:ascii="Arial" w:hAnsi="Arial" w:cs="Arial"/>
      <w:b/>
      <w:bCs/>
      <w:kern w:val="32"/>
      <w:sz w:val="20"/>
      <w:szCs w:val="20"/>
    </w:rPr>
  </w:style>
  <w:style w:type="character" w:customStyle="1" w:styleId="TableHeading-Font10Char">
    <w:name w:val="Table Heading-Font 10 Char"/>
    <w:link w:val="TableHeading-Font10"/>
    <w:rsid w:val="00AC1EE8"/>
    <w:rPr>
      <w:rFonts w:ascii="Arial" w:hAnsi="Arial" w:cs="Arial"/>
      <w:b/>
      <w:bCs/>
      <w:kern w:val="32"/>
      <w:sz w:val="20"/>
      <w:szCs w:val="20"/>
    </w:rPr>
  </w:style>
  <w:style w:type="paragraph" w:customStyle="1" w:styleId="TableTextLeft">
    <w:name w:val="Table Text Left"/>
    <w:basedOn w:val="Normal"/>
    <w:link w:val="TableTextLeftChar"/>
    <w:qFormat/>
    <w:rsid w:val="00AC1EE8"/>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AC1EE8"/>
    <w:rPr>
      <w:rFonts w:ascii="Arial" w:eastAsia="Arial Unicode MS" w:hAnsi="Arial" w:cs="Arial"/>
      <w:iCs/>
      <w:sz w:val="20"/>
      <w:szCs w:val="20"/>
      <w:lang w:eastAsia="en-GB"/>
    </w:rPr>
  </w:style>
  <w:style w:type="paragraph" w:styleId="BodyText">
    <w:name w:val="Body Text"/>
    <w:basedOn w:val="Normal"/>
    <w:link w:val="BodyTextChar"/>
    <w:uiPriority w:val="99"/>
    <w:unhideWhenUsed/>
    <w:rsid w:val="00D75D87"/>
    <w:pPr>
      <w:spacing w:after="120"/>
    </w:pPr>
  </w:style>
  <w:style w:type="character" w:customStyle="1" w:styleId="BodyTextChar">
    <w:name w:val="Body Text Char"/>
    <w:basedOn w:val="DefaultParagraphFont"/>
    <w:link w:val="BodyText"/>
    <w:uiPriority w:val="99"/>
    <w:rsid w:val="00D75D87"/>
    <w:rPr>
      <w:rFonts w:ascii="Times New Roman" w:hAnsi="Times New Roman"/>
      <w:sz w:val="24"/>
      <w:lang w:eastAsia="en-GB"/>
    </w:rPr>
  </w:style>
  <w:style w:type="character" w:styleId="CommentReference">
    <w:name w:val="annotation reference"/>
    <w:basedOn w:val="DefaultParagraphFont"/>
    <w:uiPriority w:val="99"/>
    <w:semiHidden/>
    <w:unhideWhenUsed/>
    <w:rsid w:val="009F4223"/>
    <w:rPr>
      <w:sz w:val="16"/>
      <w:szCs w:val="16"/>
    </w:rPr>
  </w:style>
  <w:style w:type="paragraph" w:styleId="CommentText">
    <w:name w:val="annotation text"/>
    <w:basedOn w:val="Normal"/>
    <w:link w:val="CommentTextChar"/>
    <w:uiPriority w:val="99"/>
    <w:unhideWhenUsed/>
    <w:rsid w:val="009F4223"/>
    <w:pPr>
      <w:widowControl w:val="0"/>
      <w:autoSpaceDE w:val="0"/>
      <w:autoSpaceDN w:val="0"/>
      <w:spacing w:after="0" w:afterAutospacing="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9F4223"/>
    <w:rPr>
      <w:rFonts w:ascii="Arial" w:eastAsia="Arial" w:hAnsi="Arial" w:cs="Arial"/>
      <w:sz w:val="20"/>
      <w:szCs w:val="20"/>
    </w:rPr>
  </w:style>
  <w:style w:type="table" w:customStyle="1" w:styleId="TableGrid1">
    <w:name w:val="Table Grid1"/>
    <w:basedOn w:val="TableNormal"/>
    <w:next w:val="TableGrid"/>
    <w:uiPriority w:val="59"/>
    <w:rsid w:val="00493B5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10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B6D13"/>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T1BodyTextI1">
    <w:name w:val="BT1: Body Text I1"/>
    <w:basedOn w:val="BodyText"/>
    <w:link w:val="BT1BodyTextI1Char"/>
    <w:qFormat/>
    <w:rsid w:val="00476A48"/>
    <w:pPr>
      <w:spacing w:before="240" w:after="0" w:afterAutospacing="0" w:line="240" w:lineRule="auto"/>
      <w:jc w:val="both"/>
    </w:pPr>
    <w:rPr>
      <w:rFonts w:ascii="Arial" w:eastAsia="Calibri" w:hAnsi="Arial" w:cs="Arial"/>
      <w:iCs/>
      <w:sz w:val="22"/>
      <w:lang w:eastAsia="en-US"/>
    </w:rPr>
  </w:style>
  <w:style w:type="character" w:customStyle="1" w:styleId="BT1BodyTextI1Char">
    <w:name w:val="BT1: Body Text I1 Char"/>
    <w:basedOn w:val="DefaultParagraphFont"/>
    <w:link w:val="BT1BodyTextI1"/>
    <w:locked/>
    <w:rsid w:val="00476A48"/>
    <w:rPr>
      <w:rFonts w:ascii="Arial" w:eastAsia="Calibri" w:hAnsi="Arial" w:cs="Arial"/>
      <w:iC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A2539"/>
    <w:rPr>
      <w:rFonts w:ascii="Times New Roman" w:hAnsi="Times New Roman"/>
      <w:sz w:val="24"/>
      <w:lang w:eastAsia="en-GB"/>
    </w:rPr>
  </w:style>
  <w:style w:type="paragraph" w:styleId="Caption">
    <w:name w:val="caption"/>
    <w:aliases w:val="Footnote,Times Roman 10 bold,Char2,Char Char Char Char,Top Caption,1 Tbl Titles,Table Caption,Figure Caption,cerCAPTION,Pg1Title,Char Char Char + Arial,Left,Before:  6 pt,Caption Char1 Char,Fig Tittle,Caption Table, Char Char Char Char,Caption_m"/>
    <w:next w:val="Normal"/>
    <w:link w:val="CaptionChar"/>
    <w:qFormat/>
    <w:rsid w:val="00ED6077"/>
    <w:pPr>
      <w:keepNext/>
      <w:spacing w:before="240" w:after="240" w:line="240" w:lineRule="auto"/>
      <w:ind w:left="1411" w:hanging="1411"/>
    </w:pPr>
    <w:rPr>
      <w:rFonts w:ascii="Arial" w:eastAsia="Times New Roman" w:hAnsi="Arial" w:cs="Arial"/>
      <w:b/>
      <w:bCs/>
      <w:lang w:val="en-AU"/>
    </w:rPr>
  </w:style>
  <w:style w:type="character" w:customStyle="1" w:styleId="CaptionChar">
    <w:name w:val="Caption Char"/>
    <w:aliases w:val="Footnote Char,Times Roman 10 bold Char,Char2 Char,Char Char Char Char Char,Top Caption Char,1 Tbl Titles Char,Table Caption Char,Figure Caption Char,cerCAPTION Char,Pg1Title Char,Char Char Char + Arial Char,Left Char,Before:  6 pt Char"/>
    <w:link w:val="Caption"/>
    <w:qFormat/>
    <w:rsid w:val="00ED6077"/>
    <w:rPr>
      <w:rFonts w:ascii="Arial" w:eastAsia="Times New Roman" w:hAnsi="Arial" w:cs="Arial"/>
      <w:b/>
      <w:bCs/>
      <w:lang w:val="en-AU"/>
    </w:rPr>
  </w:style>
  <w:style w:type="paragraph" w:customStyle="1" w:styleId="Tablefootnotetext">
    <w:name w:val="Table footnote text"/>
    <w:basedOn w:val="Normal"/>
    <w:qFormat/>
    <w:locked/>
    <w:rsid w:val="00ED6077"/>
    <w:pPr>
      <w:spacing w:before="40" w:after="0" w:afterAutospacing="0" w:line="240" w:lineRule="auto"/>
      <w:jc w:val="both"/>
    </w:pPr>
    <w:rPr>
      <w:rFonts w:ascii="Arial" w:eastAsia="Times New Roman" w:hAnsi="Arial" w:cs="Times New Roman"/>
      <w:sz w:val="18"/>
      <w:szCs w:val="16"/>
      <w:lang w:eastAsia="en-US"/>
    </w:rPr>
  </w:style>
  <w:style w:type="paragraph" w:styleId="NormalWeb">
    <w:name w:val="Normal (Web)"/>
    <w:basedOn w:val="Normal"/>
    <w:uiPriority w:val="99"/>
    <w:unhideWhenUsed/>
    <w:rsid w:val="00E11D92"/>
    <w:pPr>
      <w:spacing w:before="100" w:beforeAutospacing="1" w:line="240" w:lineRule="auto"/>
    </w:pPr>
    <w:rPr>
      <w:rFonts w:eastAsia="Times New Roman" w:cs="Times New Roman"/>
      <w:szCs w:val="24"/>
      <w:lang w:eastAsia="en-US"/>
    </w:rPr>
  </w:style>
  <w:style w:type="character" w:styleId="Strong">
    <w:name w:val="Strong"/>
    <w:basedOn w:val="DefaultParagraphFont"/>
    <w:uiPriority w:val="22"/>
    <w:qFormat/>
    <w:rsid w:val="00E11D92"/>
    <w:rPr>
      <w:b/>
      <w:bCs/>
    </w:rPr>
  </w:style>
  <w:style w:type="paragraph" w:customStyle="1" w:styleId="pf0">
    <w:name w:val="pf0"/>
    <w:basedOn w:val="Normal"/>
    <w:rsid w:val="003B70D7"/>
    <w:pPr>
      <w:spacing w:before="100" w:beforeAutospacing="1" w:line="240" w:lineRule="auto"/>
    </w:pPr>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665">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91021">
      <w:bodyDiv w:val="1"/>
      <w:marLeft w:val="0"/>
      <w:marRight w:val="0"/>
      <w:marTop w:val="0"/>
      <w:marBottom w:val="0"/>
      <w:divBdr>
        <w:top w:val="none" w:sz="0" w:space="0" w:color="auto"/>
        <w:left w:val="none" w:sz="0" w:space="0" w:color="auto"/>
        <w:bottom w:val="none" w:sz="0" w:space="0" w:color="auto"/>
        <w:right w:val="none" w:sz="0" w:space="0" w:color="auto"/>
      </w:divBdr>
    </w:div>
    <w:div w:id="357781500">
      <w:bodyDiv w:val="1"/>
      <w:marLeft w:val="0"/>
      <w:marRight w:val="0"/>
      <w:marTop w:val="0"/>
      <w:marBottom w:val="0"/>
      <w:divBdr>
        <w:top w:val="none" w:sz="0" w:space="0" w:color="auto"/>
        <w:left w:val="none" w:sz="0" w:space="0" w:color="auto"/>
        <w:bottom w:val="none" w:sz="0" w:space="0" w:color="auto"/>
        <w:right w:val="none" w:sz="0" w:space="0" w:color="auto"/>
      </w:divBdr>
    </w:div>
    <w:div w:id="410398333">
      <w:bodyDiv w:val="1"/>
      <w:marLeft w:val="0"/>
      <w:marRight w:val="0"/>
      <w:marTop w:val="0"/>
      <w:marBottom w:val="0"/>
      <w:divBdr>
        <w:top w:val="none" w:sz="0" w:space="0" w:color="auto"/>
        <w:left w:val="none" w:sz="0" w:space="0" w:color="auto"/>
        <w:bottom w:val="none" w:sz="0" w:space="0" w:color="auto"/>
        <w:right w:val="none" w:sz="0" w:space="0" w:color="auto"/>
      </w:divBdr>
    </w:div>
    <w:div w:id="516499836">
      <w:bodyDiv w:val="1"/>
      <w:marLeft w:val="0"/>
      <w:marRight w:val="0"/>
      <w:marTop w:val="0"/>
      <w:marBottom w:val="0"/>
      <w:divBdr>
        <w:top w:val="none" w:sz="0" w:space="0" w:color="auto"/>
        <w:left w:val="none" w:sz="0" w:space="0" w:color="auto"/>
        <w:bottom w:val="none" w:sz="0" w:space="0" w:color="auto"/>
        <w:right w:val="none" w:sz="0" w:space="0" w:color="auto"/>
      </w:divBdr>
    </w:div>
    <w:div w:id="703794608">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760569569">
      <w:bodyDiv w:val="1"/>
      <w:marLeft w:val="0"/>
      <w:marRight w:val="0"/>
      <w:marTop w:val="0"/>
      <w:marBottom w:val="0"/>
      <w:divBdr>
        <w:top w:val="none" w:sz="0" w:space="0" w:color="auto"/>
        <w:left w:val="none" w:sz="0" w:space="0" w:color="auto"/>
        <w:bottom w:val="none" w:sz="0" w:space="0" w:color="auto"/>
        <w:right w:val="none" w:sz="0" w:space="0" w:color="auto"/>
      </w:divBdr>
    </w:div>
    <w:div w:id="1062099580">
      <w:bodyDiv w:val="1"/>
      <w:marLeft w:val="0"/>
      <w:marRight w:val="0"/>
      <w:marTop w:val="0"/>
      <w:marBottom w:val="0"/>
      <w:divBdr>
        <w:top w:val="none" w:sz="0" w:space="0" w:color="auto"/>
        <w:left w:val="none" w:sz="0" w:space="0" w:color="auto"/>
        <w:bottom w:val="none" w:sz="0" w:space="0" w:color="auto"/>
        <w:right w:val="none" w:sz="0" w:space="0" w:color="auto"/>
      </w:divBdr>
    </w:div>
    <w:div w:id="1089739924">
      <w:bodyDiv w:val="1"/>
      <w:marLeft w:val="0"/>
      <w:marRight w:val="0"/>
      <w:marTop w:val="0"/>
      <w:marBottom w:val="0"/>
      <w:divBdr>
        <w:top w:val="none" w:sz="0" w:space="0" w:color="auto"/>
        <w:left w:val="none" w:sz="0" w:space="0" w:color="auto"/>
        <w:bottom w:val="none" w:sz="0" w:space="0" w:color="auto"/>
        <w:right w:val="none" w:sz="0" w:space="0" w:color="auto"/>
      </w:divBdr>
    </w:div>
    <w:div w:id="1100954022">
      <w:bodyDiv w:val="1"/>
      <w:marLeft w:val="0"/>
      <w:marRight w:val="0"/>
      <w:marTop w:val="0"/>
      <w:marBottom w:val="0"/>
      <w:divBdr>
        <w:top w:val="none" w:sz="0" w:space="0" w:color="auto"/>
        <w:left w:val="none" w:sz="0" w:space="0" w:color="auto"/>
        <w:bottom w:val="none" w:sz="0" w:space="0" w:color="auto"/>
        <w:right w:val="none" w:sz="0" w:space="0" w:color="auto"/>
      </w:divBdr>
    </w:div>
    <w:div w:id="1205286823">
      <w:bodyDiv w:val="1"/>
      <w:marLeft w:val="0"/>
      <w:marRight w:val="0"/>
      <w:marTop w:val="0"/>
      <w:marBottom w:val="0"/>
      <w:divBdr>
        <w:top w:val="none" w:sz="0" w:space="0" w:color="auto"/>
        <w:left w:val="none" w:sz="0" w:space="0" w:color="auto"/>
        <w:bottom w:val="none" w:sz="0" w:space="0" w:color="auto"/>
        <w:right w:val="none" w:sz="0" w:space="0" w:color="auto"/>
      </w:divBdr>
    </w:div>
    <w:div w:id="1216744114">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88150971">
      <w:bodyDiv w:val="1"/>
      <w:marLeft w:val="0"/>
      <w:marRight w:val="0"/>
      <w:marTop w:val="0"/>
      <w:marBottom w:val="0"/>
      <w:divBdr>
        <w:top w:val="none" w:sz="0" w:space="0" w:color="auto"/>
        <w:left w:val="none" w:sz="0" w:space="0" w:color="auto"/>
        <w:bottom w:val="none" w:sz="0" w:space="0" w:color="auto"/>
        <w:right w:val="none" w:sz="0" w:space="0" w:color="auto"/>
      </w:divBdr>
    </w:div>
    <w:div w:id="1632133531">
      <w:bodyDiv w:val="1"/>
      <w:marLeft w:val="0"/>
      <w:marRight w:val="0"/>
      <w:marTop w:val="0"/>
      <w:marBottom w:val="0"/>
      <w:divBdr>
        <w:top w:val="none" w:sz="0" w:space="0" w:color="auto"/>
        <w:left w:val="none" w:sz="0" w:space="0" w:color="auto"/>
        <w:bottom w:val="none" w:sz="0" w:space="0" w:color="auto"/>
        <w:right w:val="none" w:sz="0" w:space="0" w:color="auto"/>
      </w:divBdr>
    </w:div>
    <w:div w:id="1669013527">
      <w:bodyDiv w:val="1"/>
      <w:marLeft w:val="0"/>
      <w:marRight w:val="0"/>
      <w:marTop w:val="0"/>
      <w:marBottom w:val="0"/>
      <w:divBdr>
        <w:top w:val="none" w:sz="0" w:space="0" w:color="auto"/>
        <w:left w:val="none" w:sz="0" w:space="0" w:color="auto"/>
        <w:bottom w:val="none" w:sz="0" w:space="0" w:color="auto"/>
        <w:right w:val="none" w:sz="0" w:space="0" w:color="auto"/>
      </w:divBdr>
    </w:div>
    <w:div w:id="1721393490">
      <w:bodyDiv w:val="1"/>
      <w:marLeft w:val="0"/>
      <w:marRight w:val="0"/>
      <w:marTop w:val="0"/>
      <w:marBottom w:val="0"/>
      <w:divBdr>
        <w:top w:val="none" w:sz="0" w:space="0" w:color="auto"/>
        <w:left w:val="none" w:sz="0" w:space="0" w:color="auto"/>
        <w:bottom w:val="none" w:sz="0" w:space="0" w:color="auto"/>
        <w:right w:val="none" w:sz="0" w:space="0" w:color="auto"/>
      </w:divBdr>
    </w:div>
    <w:div w:id="17688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21" Type="http://schemas.openxmlformats.org/officeDocument/2006/relationships/hyperlink" Target="https://www.astm.org/Standards/F1929.htm"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5168FB229E64BB02D823972441852" ma:contentTypeVersion="8" ma:contentTypeDescription="Create a new document." ma:contentTypeScope="" ma:versionID="930cde1784db80892a686ca36e180a82">
  <xsd:schema xmlns:xsd="http://www.w3.org/2001/XMLSchema" xmlns:xs="http://www.w3.org/2001/XMLSchema" xmlns:p="http://schemas.microsoft.com/office/2006/metadata/properties" xmlns:ns1="http://schemas.microsoft.com/sharepoint/v3" xmlns:ns2="98998320-5229-49fa-b545-1146fcc196c3" xmlns:ns3="7df48557-8e40-41cc-b42f-0234d1441c26" xmlns:ns4="533d7803-0b09-441b-8841-a7d5d61164fa" targetNamespace="http://schemas.microsoft.com/office/2006/metadata/properties" ma:root="true" ma:fieldsID="a2decff7a4d88684e1e04d71338e4e58" ns1:_="" ns2:_="" ns3:_="" ns4:_="">
    <xsd:import namespace="http://schemas.microsoft.com/sharepoint/v3"/>
    <xsd:import namespace="98998320-5229-49fa-b545-1146fcc196c3"/>
    <xsd:import namespace="7df48557-8e40-41cc-b42f-0234d1441c26"/>
    <xsd:import namespace="533d7803-0b09-441b-8841-a7d5d61164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98320-5229-49fa-b545-1146fcc196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f48557-8e40-41cc-b42f-0234d1441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d7803-0b09-441b-8841-a7d5d61164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8998320-5229-49fa-b545-1146fcc196c3">X6KQWXAJUN6C-1856867172-302</_dlc_DocId>
    <_dlc_DocIdUrl xmlns="98998320-5229-49fa-b545-1146fcc196c3">
      <Url>https://argonmedical.sharepoint.com/Quality/PME/_layouts/15/DocIdRedir.aspx?ID=X6KQWXAJUN6C-1856867172-302</Url>
      <Description>X6KQWXAJUN6C-1856867172-302</Description>
    </_dlc_DocIdUrl>
    <SharedWithUsers xmlns="533d7803-0b09-441b-8841-a7d5d61164fa">
      <UserInfo>
        <DisplayName>Nneoma Oparah</DisplayName>
        <AccountId>317</AccountId>
        <AccountType/>
      </UserInfo>
      <UserInfo>
        <DisplayName>Gedaa Hassan</DisplayName>
        <AccountId>752</AccountId>
        <AccountType/>
      </UserInfo>
      <UserInfo>
        <DisplayName>Nadira Lotus</DisplayName>
        <AccountId>672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31F52C6-68E5-4D12-B750-4728A895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998320-5229-49fa-b545-1146fcc196c3"/>
    <ds:schemaRef ds:uri="7df48557-8e40-41cc-b42f-0234d1441c26"/>
    <ds:schemaRef ds:uri="533d7803-0b09-441b-8841-a7d5d611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36AD9-7C49-4C9F-8758-EEFFA6AB49F4}">
  <ds:schemaRefs>
    <ds:schemaRef ds:uri="http://schemas.microsoft.com/sharepoint/events"/>
  </ds:schemaRefs>
</ds:datastoreItem>
</file>

<file path=customXml/itemProps3.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4.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98998320-5229-49fa-b545-1146fcc196c3"/>
    <ds:schemaRef ds:uri="533d7803-0b09-441b-8841-a7d5d61164f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4715</Words>
  <Characters>26880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Nikola Zivic</cp:lastModifiedBy>
  <cp:revision>3</cp:revision>
  <cp:lastPrinted>2026-02-23T12:20:00Z</cp:lastPrinted>
  <dcterms:created xsi:type="dcterms:W3CDTF">2026-02-23T12:20:00Z</dcterms:created>
  <dcterms:modified xsi:type="dcterms:W3CDTF">2026-02-23T12:20:00Z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0x010100A845168FB229E64BB02D823972441852</vt:lpwstr>
  </property>
  <property fmtid="{D5CDD505-2E9C-101B-9397-08002B2CF9AE}" pid="3" name="_dlc_DocIdItemGuid">
    <vt:lpwstr>449f7a72-25d5-43c5-bfd7-104e0d46ffec</vt:lpwstr>
  </property>
</Properties>
</file>