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B8D4" w14:textId="7140A925" w:rsidR="0005411A" w:rsidRPr="009461CC" w:rsidRDefault="0005411A" w:rsidP="00042B91">
      <w:pPr>
        <w:pStyle w:val="BodyText3"/>
        <w:spacing w:after="0" w:afterAutospacing="0"/>
        <w:rPr>
          <w:sz w:val="24"/>
        </w:rPr>
      </w:pPr>
    </w:p>
    <w:p w14:paraId="2D72A510" w14:textId="58A5ED92" w:rsidR="0005411A" w:rsidRPr="009461CC" w:rsidRDefault="00E91403" w:rsidP="00042B91">
      <w:pPr>
        <w:pStyle w:val="BodyText3"/>
        <w:spacing w:after="0" w:afterAutospacing="0"/>
      </w:pPr>
      <w:r>
        <w:rPr>
          <w:bCs/>
          <w:noProof/>
          <w:lang w:val="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0C8B7" wp14:editId="737EF1E6">
                <wp:simplePos x="0" y="0"/>
                <wp:positionH relativeFrom="column">
                  <wp:posOffset>-191262</wp:posOffset>
                </wp:positionH>
                <wp:positionV relativeFrom="paragraph">
                  <wp:posOffset>68961</wp:posOffset>
                </wp:positionV>
                <wp:extent cx="6448425" cy="1285494"/>
                <wp:effectExtent l="25400" t="25400" r="41275" b="355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285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1F47" w14:textId="77777777" w:rsidR="0005411A" w:rsidRPr="00E91403" w:rsidRDefault="006F0810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sk"/>
                              </w:rPr>
                              <w:t>SÚHRN PARAMETROV BEZPEČNOSTI A KLINICKÉHO VÝKONU (SSCP)</w:t>
                            </w:r>
                          </w:p>
                          <w:p w14:paraId="0E1996B2" w14:textId="77777777" w:rsidR="005D4A52" w:rsidRDefault="005D4A52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sk"/>
                              </w:rPr>
                              <w:t>SSCP-0006</w:t>
                            </w:r>
                          </w:p>
                          <w:p w14:paraId="06B6F153" w14:textId="72F11D73" w:rsidR="005D4A52" w:rsidRDefault="00F1569C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sk"/>
                              </w:rPr>
                              <w:t>Atrieve™ Vascular Snare Kit</w:t>
                            </w:r>
                          </w:p>
                          <w:p w14:paraId="3354BBA5" w14:textId="08AF297F" w:rsidR="005D4A52" w:rsidRPr="005B469C" w:rsidRDefault="005D4A52" w:rsidP="006D00F2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sk"/>
                              </w:rPr>
                              <w:t>DHF-82248</w:t>
                            </w:r>
                          </w:p>
                          <w:p w14:paraId="3CF39942" w14:textId="77777777" w:rsidR="0005411A" w:rsidRPr="00267292" w:rsidRDefault="0005411A" w:rsidP="009855C3"/>
                          <w:p w14:paraId="684B57C2" w14:textId="77777777" w:rsidR="0005411A" w:rsidRPr="00267292" w:rsidRDefault="0005411A" w:rsidP="009855C3">
                            <w:r>
                              <w:rPr>
                                <w:lang w:val="sk"/>
                              </w:rPr>
                              <w:t>[DÁTUM]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0C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05pt;margin-top:5.45pt;width:507.7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" strokeweight="4.5pt">
                <v:stroke linestyle="thinThick"/>
                <v:textbox>
                  <w:txbxContent>
                    <w:p w14:paraId="488C1F47" w14:textId="77777777" w:rsidR="0005411A" w:rsidRPr="00E91403" w:rsidRDefault="006F0810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sk"/>
                        </w:rPr>
                        <w:t>SÚHRN PARAMETROV BEZPEČNOSTI A KLINICKÉHO VÝKONU (SSCP)</w:t>
                      </w:r>
                    </w:p>
                    <w:p w14:paraId="0E1996B2" w14:textId="77777777" w:rsidR="005D4A52" w:rsidRDefault="005D4A52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sk"/>
                        </w:rPr>
                        <w:t>SSCP-0006</w:t>
                      </w:r>
                    </w:p>
                    <w:p w14:paraId="06B6F153" w14:textId="72F11D73" w:rsidR="005D4A52" w:rsidRDefault="00F1569C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sk"/>
                        </w:rPr>
                        <w:t>Atrieve™ Vascular Snare Kit</w:t>
                      </w:r>
                    </w:p>
                    <w:p w14:paraId="3354BBA5" w14:textId="08AF297F" w:rsidR="005D4A52" w:rsidRPr="005B469C" w:rsidRDefault="005D4A52" w:rsidP="006D00F2">
                      <w:pPr>
                        <w:spacing w:after="0" w:afterAutospacing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sk"/>
                        </w:rPr>
                        <w:t>DHF-82248</w:t>
                      </w:r>
                    </w:p>
                    <w:p w14:paraId="3CF39942" w14:textId="77777777" w:rsidR="0005411A" w:rsidRPr="00267292" w:rsidRDefault="0005411A" w:rsidP="009855C3"/>
                    <w:p w14:paraId="684B57C2" w14:textId="77777777" w:rsidR="0005411A" w:rsidRPr="00267292" w:rsidRDefault="0005411A" w:rsidP="009855C3">
                      <w:r>
                        <w:rPr>
                          <w:lang w:val="sk"/>
                        </w:rPr>
                        <w:t>[DÁTUM]</w:t>
                      </w:r>
                    </w:p>
                  </w:txbxContent>
                </v:textbox>
              </v:shape>
            </w:pict>
          </mc:Fallback>
        </mc:AlternateContent>
      </w:r>
    </w:p>
    <w:p w14:paraId="22332CC2" w14:textId="77777777" w:rsidR="0005411A" w:rsidRPr="009461CC" w:rsidRDefault="0005411A" w:rsidP="00042B91">
      <w:pPr>
        <w:pStyle w:val="BodyText3"/>
        <w:spacing w:after="0" w:afterAutospacing="0"/>
      </w:pPr>
    </w:p>
    <w:p w14:paraId="2048CF11" w14:textId="77777777" w:rsidR="0005411A" w:rsidRPr="009461CC" w:rsidRDefault="0005411A" w:rsidP="00042B91">
      <w:pPr>
        <w:pStyle w:val="BodyText3"/>
        <w:spacing w:after="0" w:afterAutospacing="0"/>
      </w:pPr>
    </w:p>
    <w:p w14:paraId="243C88AF" w14:textId="77777777" w:rsidR="0005411A" w:rsidRPr="009461CC" w:rsidRDefault="0005411A" w:rsidP="00042B91">
      <w:pPr>
        <w:pStyle w:val="BodyText3"/>
        <w:spacing w:after="0" w:afterAutospacing="0"/>
      </w:pPr>
    </w:p>
    <w:p w14:paraId="41545C51" w14:textId="2690A02B" w:rsidR="0005411A" w:rsidRPr="009461CC" w:rsidRDefault="0005411A" w:rsidP="00042B91">
      <w:pPr>
        <w:spacing w:after="0" w:afterAutospacing="0" w:line="240" w:lineRule="auto"/>
        <w:rPr>
          <w:rFonts w:cs="Times New Roman"/>
        </w:rPr>
      </w:pPr>
    </w:p>
    <w:p w14:paraId="155D5FB3" w14:textId="51695512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50F16F2D" w14:textId="5942F0CE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81CF868" w14:textId="0A72AB5D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525C55B" w14:textId="09737261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2CF7AE6F" w14:textId="1272C31A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sk"/>
        </w:rPr>
        <w:t>Zverejnenia v Eudamede</w:t>
      </w:r>
    </w:p>
    <w:p w14:paraId="57B38593" w14:textId="77777777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6"/>
        <w:gridCol w:w="1305"/>
        <w:gridCol w:w="7508"/>
      </w:tblGrid>
      <w:tr w:rsidR="00E91403" w:rsidRPr="009461CC" w14:paraId="481127A2" w14:textId="77777777" w:rsidTr="00E91403"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64CC73A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ROLA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A83C01C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ODD.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B6DA2F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MENO / POZÍCIA</w:t>
            </w:r>
          </w:p>
        </w:tc>
      </w:tr>
      <w:tr w:rsidR="006E0847" w:rsidRPr="009461CC" w14:paraId="45F6CF0D" w14:textId="77777777" w:rsidTr="008E1D43">
        <w:trPr>
          <w:trHeight w:val="582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14:paraId="552A4625" w14:textId="77777777" w:rsidR="006E0847" w:rsidRPr="009461CC" w:rsidRDefault="006E0847" w:rsidP="006E08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Príprava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51D1E08B" w14:textId="5374772E" w:rsidR="006E0847" w:rsidRPr="009461CC" w:rsidRDefault="006E0847" w:rsidP="006E08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Regulačné záležitosti</w:t>
            </w:r>
          </w:p>
        </w:tc>
        <w:tc>
          <w:tcPr>
            <w:tcW w:w="7519" w:type="dxa"/>
            <w:tcBorders>
              <w:top w:val="double" w:sz="4" w:space="0" w:color="auto"/>
            </w:tcBorders>
          </w:tcPr>
          <w:p w14:paraId="360D10DB" w14:textId="77777777" w:rsidR="006E0847" w:rsidRPr="009461CC" w:rsidRDefault="006E0847" w:rsidP="006E084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Nadira Lotus</w:t>
            </w:r>
          </w:p>
          <w:p w14:paraId="7BA00BEF" w14:textId="2E4C5FAD" w:rsidR="006E0847" w:rsidRPr="009461CC" w:rsidRDefault="006E0847" w:rsidP="006E08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Manažérka, dohľad po uvedení na trh</w:t>
            </w:r>
          </w:p>
        </w:tc>
      </w:tr>
    </w:tbl>
    <w:p w14:paraId="45EA3393" w14:textId="77777777" w:rsidR="00E91403" w:rsidRPr="009461CC" w:rsidRDefault="00E91403" w:rsidP="00E91403">
      <w:pPr>
        <w:jc w:val="center"/>
        <w:rPr>
          <w:rFonts w:cs="Times New Roman"/>
          <w:b/>
        </w:rPr>
      </w:pPr>
    </w:p>
    <w:p w14:paraId="3ADE6C89" w14:textId="0496458B" w:rsidR="00E91403" w:rsidRPr="00EA261A" w:rsidRDefault="00E91403" w:rsidP="00E91403">
      <w:pPr>
        <w:tabs>
          <w:tab w:val="center" w:pos="5220"/>
          <w:tab w:val="right" w:pos="10440"/>
        </w:tabs>
        <w:rPr>
          <w:rFonts w:cs="Times New Roman"/>
          <w:b/>
          <w:lang w:val="sk"/>
        </w:rPr>
      </w:pPr>
      <w:r>
        <w:rPr>
          <w:rFonts w:cs="Times New Roman"/>
          <w:lang w:val="sk"/>
        </w:rPr>
        <w:tab/>
      </w:r>
      <w:r>
        <w:rPr>
          <w:rFonts w:cs="Times New Roman"/>
          <w:b/>
          <w:bCs/>
          <w:lang w:val="sk"/>
        </w:rPr>
        <w:t>Schvaľovacia podpisová matica</w:t>
      </w:r>
      <w:r>
        <w:rPr>
          <w:rFonts w:cs="Times New Roman"/>
          <w:lang w:val="sk"/>
        </w:rPr>
        <w:tab/>
      </w:r>
    </w:p>
    <w:p w14:paraId="01F684E3" w14:textId="77777777" w:rsidR="00E91403" w:rsidRPr="00EA261A" w:rsidRDefault="00E91403" w:rsidP="00E91403">
      <w:pPr>
        <w:spacing w:after="60"/>
        <w:ind w:right="274"/>
        <w:rPr>
          <w:rFonts w:cs="Times New Roman"/>
          <w:sz w:val="20"/>
          <w:szCs w:val="20"/>
          <w:lang w:val="sk"/>
        </w:rPr>
      </w:pPr>
      <w:r>
        <w:rPr>
          <w:rFonts w:cs="Times New Roman"/>
          <w:sz w:val="20"/>
          <w:szCs w:val="20"/>
          <w:lang w:val="sk"/>
        </w:rPr>
        <w:t>Tento dokument musí byť skontrolovaný a schválený všetkými jednotlivcami uvedenými nižšie alebo ich oprávnenými zástupcami.</w:t>
      </w: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10"/>
        <w:gridCol w:w="1303"/>
        <w:gridCol w:w="7336"/>
      </w:tblGrid>
      <w:tr w:rsidR="00E91403" w:rsidRPr="009461CC" w14:paraId="0DB197AA" w14:textId="77777777" w:rsidTr="00E91403">
        <w:trPr>
          <w:trHeight w:val="279"/>
        </w:trPr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954A60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ROLA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F71F870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ODD.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0254E3BE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MENO / POZÍCIA</w:t>
            </w:r>
          </w:p>
        </w:tc>
      </w:tr>
      <w:tr w:rsidR="00386F47" w:rsidRPr="009461CC" w14:paraId="658FB919" w14:textId="77777777" w:rsidTr="00E91403">
        <w:trPr>
          <w:trHeight w:val="606"/>
        </w:trPr>
        <w:tc>
          <w:tcPr>
            <w:tcW w:w="1125" w:type="dxa"/>
            <w:vAlign w:val="center"/>
          </w:tcPr>
          <w:p w14:paraId="41D60951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Schválenie</w:t>
            </w:r>
          </w:p>
        </w:tc>
        <w:tc>
          <w:tcPr>
            <w:tcW w:w="1305" w:type="dxa"/>
            <w:vAlign w:val="center"/>
          </w:tcPr>
          <w:p w14:paraId="4B304E07" w14:textId="2D98EABD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Klinické záležitosti</w:t>
            </w:r>
          </w:p>
        </w:tc>
        <w:tc>
          <w:tcPr>
            <w:tcW w:w="7519" w:type="dxa"/>
            <w:vAlign w:val="center"/>
          </w:tcPr>
          <w:p w14:paraId="613876EC" w14:textId="77777777" w:rsidR="00386F47" w:rsidRPr="009461CC" w:rsidRDefault="00386F47" w:rsidP="00386F4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Danyel Carr</w:t>
            </w:r>
          </w:p>
          <w:p w14:paraId="172E4813" w14:textId="2E4F9175" w:rsidR="00386F47" w:rsidRPr="009461CC" w:rsidRDefault="00E03D31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Vrchný riaditeľ pre klinické záležitosti</w:t>
            </w:r>
          </w:p>
        </w:tc>
      </w:tr>
      <w:tr w:rsidR="00386F47" w:rsidRPr="009461CC" w14:paraId="526E9923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55BCD6C3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Schválenie</w:t>
            </w:r>
          </w:p>
        </w:tc>
        <w:tc>
          <w:tcPr>
            <w:tcW w:w="1305" w:type="dxa"/>
            <w:vAlign w:val="center"/>
          </w:tcPr>
          <w:p w14:paraId="4887D925" w14:textId="1B032CD4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 xml:space="preserve">Kvalita </w:t>
            </w:r>
          </w:p>
        </w:tc>
        <w:tc>
          <w:tcPr>
            <w:tcW w:w="7519" w:type="dxa"/>
            <w:vAlign w:val="center"/>
          </w:tcPr>
          <w:p w14:paraId="3D954801" w14:textId="77777777" w:rsidR="00F07DD1" w:rsidRDefault="00F07DD1" w:rsidP="004065D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 xml:space="preserve">James Stephens </w:t>
            </w:r>
          </w:p>
          <w:p w14:paraId="1EA24645" w14:textId="5BC698A1" w:rsidR="00386F47" w:rsidRPr="009461CC" w:rsidRDefault="00547353" w:rsidP="004065D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Hlavný riaditeľ pre prevádzku kvality</w:t>
            </w:r>
          </w:p>
        </w:tc>
      </w:tr>
      <w:tr w:rsidR="00386F47" w:rsidRPr="009461CC" w14:paraId="01329AB2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77F5A5E8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Schválenie</w:t>
            </w:r>
          </w:p>
        </w:tc>
        <w:tc>
          <w:tcPr>
            <w:tcW w:w="1305" w:type="dxa"/>
            <w:vAlign w:val="center"/>
          </w:tcPr>
          <w:p w14:paraId="25EABF73" w14:textId="63DB84E6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 xml:space="preserve">Regulačné </w:t>
            </w:r>
          </w:p>
        </w:tc>
        <w:tc>
          <w:tcPr>
            <w:tcW w:w="7519" w:type="dxa"/>
            <w:vAlign w:val="center"/>
          </w:tcPr>
          <w:p w14:paraId="7676555E" w14:textId="77777777" w:rsidR="00386F47" w:rsidRPr="009461CC" w:rsidRDefault="00386F47" w:rsidP="00386F47">
            <w:pPr>
              <w:spacing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sk"/>
              </w:rPr>
              <w:t>Scott Bishop</w:t>
            </w:r>
          </w:p>
          <w:p w14:paraId="39BF7685" w14:textId="4DD9DE97" w:rsidR="00386F47" w:rsidRPr="009461CC" w:rsidRDefault="00E950A1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sk"/>
              </w:rPr>
              <w:t>Viceprezident pre globálne RA a QA</w:t>
            </w:r>
          </w:p>
        </w:tc>
      </w:tr>
    </w:tbl>
    <w:p w14:paraId="51DA0A01" w14:textId="5402C604" w:rsidR="00E91403" w:rsidRPr="009461CC" w:rsidRDefault="00E91403" w:rsidP="00E91403">
      <w:pPr>
        <w:jc w:val="center"/>
        <w:rPr>
          <w:rFonts w:cs="Times New Roman"/>
          <w:b/>
        </w:rPr>
      </w:pPr>
      <w:r>
        <w:rPr>
          <w:rFonts w:cs="Times New Roman"/>
          <w:b/>
          <w:bCs/>
          <w:lang w:val="sk"/>
        </w:rPr>
        <w:t>História revízií</w:t>
      </w: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0"/>
        <w:gridCol w:w="1453"/>
        <w:gridCol w:w="896"/>
        <w:gridCol w:w="4440"/>
        <w:gridCol w:w="1788"/>
      </w:tblGrid>
      <w:tr w:rsidR="00E91403" w:rsidRPr="009461CC" w14:paraId="38F29FD4" w14:textId="77777777" w:rsidTr="00EA261A">
        <w:tc>
          <w:tcPr>
            <w:tcW w:w="1214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4BEB81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Revízia</w:t>
            </w:r>
          </w:p>
        </w:tc>
        <w:tc>
          <w:tcPr>
            <w:tcW w:w="1463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3A8D0CD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Dátum</w:t>
            </w:r>
          </w:p>
        </w:tc>
        <w:tc>
          <w:tcPr>
            <w:tcW w:w="81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E5F13C6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Sekcie</w:t>
            </w:r>
          </w:p>
        </w:tc>
        <w:tc>
          <w:tcPr>
            <w:tcW w:w="4496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08681D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Opis revízií</w:t>
            </w:r>
          </w:p>
        </w:tc>
        <w:tc>
          <w:tcPr>
            <w:tcW w:w="179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32F4EE6" w14:textId="77777777" w:rsidR="00E91403" w:rsidRPr="009461CC" w:rsidRDefault="00E91403" w:rsidP="00842611">
            <w:pPr>
              <w:tabs>
                <w:tab w:val="left" w:pos="46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sk"/>
              </w:rPr>
              <w:t>Žiadosť o zmenu č.</w:t>
            </w:r>
          </w:p>
        </w:tc>
      </w:tr>
      <w:tr w:rsidR="00740900" w:rsidRPr="009461CC" w14:paraId="47D66140" w14:textId="77777777" w:rsidTr="00EA261A">
        <w:tc>
          <w:tcPr>
            <w:tcW w:w="1214" w:type="dxa"/>
            <w:tcBorders>
              <w:top w:val="double" w:sz="4" w:space="0" w:color="auto"/>
              <w:bottom w:val="single" w:sz="4" w:space="0" w:color="auto"/>
            </w:tcBorders>
          </w:tcPr>
          <w:p w14:paraId="4EEA4C6D" w14:textId="5A95910B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A</w:t>
            </w:r>
          </w:p>
        </w:tc>
        <w:tc>
          <w:tcPr>
            <w:tcW w:w="1463" w:type="dxa"/>
            <w:tcBorders>
              <w:top w:val="double" w:sz="4" w:space="0" w:color="auto"/>
              <w:bottom w:val="single" w:sz="4" w:space="0" w:color="auto"/>
            </w:tcBorders>
          </w:tcPr>
          <w:p w14:paraId="0D82C539" w14:textId="6206AFE6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22. 05. 2022</w:t>
            </w:r>
          </w:p>
        </w:tc>
        <w:tc>
          <w:tcPr>
            <w:tcW w:w="815" w:type="dxa"/>
            <w:tcBorders>
              <w:top w:val="double" w:sz="4" w:space="0" w:color="auto"/>
              <w:bottom w:val="single" w:sz="4" w:space="0" w:color="auto"/>
            </w:tcBorders>
          </w:tcPr>
          <w:p w14:paraId="6CD4C417" w14:textId="536D40E4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Všetko</w:t>
            </w:r>
          </w:p>
        </w:tc>
        <w:tc>
          <w:tcPr>
            <w:tcW w:w="4496" w:type="dxa"/>
            <w:tcBorders>
              <w:top w:val="double" w:sz="4" w:space="0" w:color="auto"/>
              <w:bottom w:val="single" w:sz="4" w:space="0" w:color="auto"/>
            </w:tcBorders>
          </w:tcPr>
          <w:p w14:paraId="3973A2E3" w14:textId="3D8B33BA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Úvodná správa len na interné použitie</w:t>
            </w:r>
          </w:p>
        </w:tc>
        <w:tc>
          <w:tcPr>
            <w:tcW w:w="1799" w:type="dxa"/>
            <w:tcBorders>
              <w:top w:val="double" w:sz="4" w:space="0" w:color="auto"/>
              <w:bottom w:val="single" w:sz="4" w:space="0" w:color="auto"/>
            </w:tcBorders>
          </w:tcPr>
          <w:p w14:paraId="243CB41C" w14:textId="62833BA2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Neuvádza sa</w:t>
            </w:r>
          </w:p>
        </w:tc>
      </w:tr>
      <w:tr w:rsidR="00923982" w:rsidRPr="009461CC" w14:paraId="495D8A1C" w14:textId="77777777" w:rsidTr="00EA261A">
        <w:tc>
          <w:tcPr>
            <w:tcW w:w="1214" w:type="dxa"/>
            <w:tcBorders>
              <w:top w:val="single" w:sz="4" w:space="0" w:color="auto"/>
              <w:bottom w:val="single" w:sz="12" w:space="0" w:color="auto"/>
            </w:tcBorders>
          </w:tcPr>
          <w:p w14:paraId="065DAE3E" w14:textId="16DC1CE4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B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12" w:space="0" w:color="auto"/>
            </w:tcBorders>
          </w:tcPr>
          <w:p w14:paraId="52F239C5" w14:textId="69AD5128" w:rsidR="00923982" w:rsidRPr="009461CC" w:rsidRDefault="006F76E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15. 12. 2025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12" w:space="0" w:color="auto"/>
            </w:tcBorders>
          </w:tcPr>
          <w:p w14:paraId="319F0BB7" w14:textId="488E18A0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Všetko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12" w:space="0" w:color="auto"/>
            </w:tcBorders>
          </w:tcPr>
          <w:p w14:paraId="3D913A75" w14:textId="09B5D375" w:rsidR="00923982" w:rsidRPr="009461CC" w:rsidRDefault="0080432B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Predloženie MDR EÚ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12" w:space="0" w:color="auto"/>
            </w:tcBorders>
          </w:tcPr>
          <w:p w14:paraId="077C5F38" w14:textId="76003B93" w:rsidR="00923982" w:rsidRPr="009461CC" w:rsidRDefault="008735FE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07919</w:t>
            </w:r>
          </w:p>
        </w:tc>
      </w:tr>
    </w:tbl>
    <w:p w14:paraId="5C951A98" w14:textId="6A651DC3" w:rsidR="0005411A" w:rsidRPr="009461CC" w:rsidRDefault="00E91403" w:rsidP="00E91403">
      <w:pPr>
        <w:jc w:val="center"/>
        <w:rPr>
          <w:rFonts w:cs="Times New Roman"/>
        </w:rPr>
      </w:pPr>
      <w:r>
        <w:rPr>
          <w:rFonts w:cs="Times New Roman"/>
          <w:i/>
          <w:iCs/>
          <w:lang w:val="sk"/>
        </w:rPr>
        <w:t>Poznámka: Schválenia budú zaznamenané pomocou súvisiacej žiadosti o zmenu.</w:t>
      </w:r>
    </w:p>
    <w:p w14:paraId="700C8B5F" w14:textId="34A53550" w:rsidR="006F0810" w:rsidRPr="009461CC" w:rsidRDefault="0005411A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szCs w:val="24"/>
          <w:lang w:val="sk"/>
        </w:rPr>
        <w:br w:type="page"/>
      </w:r>
      <w:r>
        <w:rPr>
          <w:rFonts w:cs="Times New Roman"/>
          <w:lang w:val="sk"/>
        </w:rPr>
        <w:lastRenderedPageBreak/>
        <w:t>Obsah</w:t>
      </w:r>
    </w:p>
    <w:p w14:paraId="55B2EFC6" w14:textId="0D016F3B" w:rsidR="00EA261A" w:rsidRDefault="006F0810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r>
        <w:rPr>
          <w:lang w:val="sk"/>
        </w:rPr>
        <w:fldChar w:fldCharType="begin"/>
      </w:r>
      <w:r>
        <w:instrText xml:space="preserve"> TOC \o "1-3" \h \z \u </w:instrText>
      </w:r>
      <w:r>
        <w:fldChar w:fldCharType="separate"/>
      </w:r>
      <w:hyperlink w:anchor="_Toc222741698" w:history="1">
        <w:r w:rsidR="00EA261A" w:rsidRPr="00127007">
          <w:rPr>
            <w:rStyle w:val="Hyperlink"/>
            <w:noProof/>
          </w:rPr>
          <w:t>1.</w:t>
        </w:r>
        <w:r w:rsidR="00EA261A"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="00EA261A" w:rsidRPr="00127007">
          <w:rPr>
            <w:rStyle w:val="Hyperlink"/>
            <w:bCs/>
            <w:noProof/>
            <w:lang w:val="sk"/>
          </w:rPr>
          <w:t>Rozsah tohto súhrnu parametrov bezpečnosti a klinického výkonu (SSCP):</w:t>
        </w:r>
        <w:r w:rsidR="00EA261A">
          <w:rPr>
            <w:noProof/>
            <w:webHidden/>
          </w:rPr>
          <w:tab/>
        </w:r>
        <w:r w:rsidR="00EA261A">
          <w:rPr>
            <w:noProof/>
            <w:webHidden/>
          </w:rPr>
          <w:fldChar w:fldCharType="begin"/>
        </w:r>
        <w:r w:rsidR="00EA261A">
          <w:rPr>
            <w:noProof/>
            <w:webHidden/>
          </w:rPr>
          <w:instrText xml:space="preserve"> PAGEREF _Toc222741698 \h </w:instrText>
        </w:r>
        <w:r w:rsidR="00EA261A">
          <w:rPr>
            <w:noProof/>
            <w:webHidden/>
          </w:rPr>
        </w:r>
        <w:r w:rsidR="00EA261A"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3</w:t>
        </w:r>
        <w:r w:rsidR="00EA261A">
          <w:rPr>
            <w:noProof/>
            <w:webHidden/>
          </w:rPr>
          <w:fldChar w:fldCharType="end"/>
        </w:r>
      </w:hyperlink>
    </w:p>
    <w:p w14:paraId="4CA56488" w14:textId="047022DC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699" w:history="1">
        <w:r w:rsidRPr="00127007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Obchodný názov pomôcky: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0E9AF0" w14:textId="636E006B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0" w:history="1">
        <w:r w:rsidRPr="00127007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Opis, základný UDI-DI a EÚ klasifikácia pomôcky: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5AA162" w14:textId="0692E627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1" w:history="1">
        <w:r w:rsidRPr="00127007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Rok, v ktorom bol pre pomôcku vydaný prvý certifikát (CE):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EE0F48" w14:textId="6A800B67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2" w:history="1">
        <w:r w:rsidRPr="00127007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Názov, adresa a SRN výrobcu: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CD2D19" w14:textId="04FD0515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3" w:history="1">
        <w:r w:rsidRPr="00127007">
          <w:rPr>
            <w:rStyle w:val="Hyperlink"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Meno oprávneného zástupcu a SRN: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480029" w14:textId="39F5BB6A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4" w:history="1">
        <w:r w:rsidRPr="00127007">
          <w:rPr>
            <w:rStyle w:val="Hyperlink"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Názov a jedinečné identifikačné číslo NO: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3AE3D5" w14:textId="2B8AFA55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5" w:history="1">
        <w:r w:rsidRPr="00127007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Zamýšľané použitie/účel pomôcky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435265" w14:textId="0D4ED037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6" w:history="1">
        <w:r w:rsidRPr="00127007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Zamýšľaný účel/zamýšľané použitie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BCF2BE" w14:textId="5DDA8F3B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7" w:history="1">
        <w:r w:rsidRPr="00127007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Návod na použitie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B914DB" w14:textId="673DE52B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8" w:history="1">
        <w:r w:rsidRPr="00127007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Cieľová populácia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61C105" w14:textId="6EFD1DB8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09" w:history="1">
        <w:r w:rsidRPr="00127007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Kontraindikácie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369DC7" w14:textId="25584362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0" w:history="1">
        <w:r w:rsidRPr="00127007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Opis pomôcky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4FDEA4" w14:textId="00D6BC25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1" w:history="1">
        <w:r w:rsidRPr="00127007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Opis pomôcky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1D2373" w14:textId="1A0B7AD3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2" w:history="1">
        <w:r w:rsidRPr="00127007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Predchádzajúce varianty a ich rozdiely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E5E5DF" w14:textId="02AE1DAB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3" w:history="1">
        <w:r w:rsidRPr="00127007">
          <w:rPr>
            <w:rStyle w:val="Hyperlink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Príslušenstvo, kompatibilné pomôcky a ďalšie produkty používané v kombinácii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B04F7D" w14:textId="73C73100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4" w:history="1">
        <w:r w:rsidRPr="00127007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Riziká a varovania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E64014" w14:textId="611E241F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5" w:history="1">
        <w:r w:rsidRPr="00127007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Zvyškové riziká a nežiaduce vedľajšie účinky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353F04" w14:textId="67AC30CB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6" w:history="1">
        <w:r w:rsidRPr="00127007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Varovania a bezpečnostné upozornenia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BF711F" w14:textId="410AAFFE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7" w:history="1">
        <w:r w:rsidRPr="00127007">
          <w:rPr>
            <w:rStyle w:val="Hyperlink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Ďalšie relevantné aspekty bezpečnosti vrátane prípadného súhrnu akýchkoľvek bezpečnostných nápravných opatrení (FSCA vrátane FSN)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635E9F" w14:textId="11E82771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8" w:history="1">
        <w:r w:rsidRPr="00127007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Súhrn klinického hodnotenia a postmarketingového klinického sledovania (PMCF)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31C19F" w14:textId="693BD79E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19" w:history="1">
        <w:r w:rsidRPr="00127007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Prípadný súhrn klinických údajov súvisiacich s ekvivalentnou pomôckou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DDABA8" w14:textId="1BB6DD57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20" w:history="1">
        <w:r w:rsidRPr="00127007">
          <w:rPr>
            <w:rStyle w:val="Hyperlink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 xml:space="preserve">Prípadný súhrn klinických údajov z vykonaných vyšetrení pomôcky pred </w:t>
        </w:r>
        <w:r>
          <w:rPr>
            <w:rStyle w:val="Hyperlink"/>
            <w:bCs/>
            <w:noProof/>
            <w:lang w:val="sk"/>
          </w:rPr>
          <w:br/>
        </w:r>
        <w:r w:rsidRPr="00127007">
          <w:rPr>
            <w:rStyle w:val="Hyperlink"/>
            <w:bCs/>
            <w:noProof/>
            <w:lang w:val="sk"/>
          </w:rPr>
          <w:t>značením 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0F1D07" w14:textId="6FCEDBC9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21" w:history="1">
        <w:r w:rsidRPr="00127007">
          <w:rPr>
            <w:rStyle w:val="Hyperlink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Prípadný súhrn klinických údajov z iných zdrojov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D97CF2" w14:textId="439B5319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22" w:history="1">
        <w:r w:rsidRPr="00127007">
          <w:rPr>
            <w:rStyle w:val="Hyperlink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Celkový súhrn parametrov bezpečnosti a klinického výkonu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89B1CDE" w14:textId="15F9C749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23" w:history="1">
        <w:r w:rsidRPr="00127007">
          <w:rPr>
            <w:rStyle w:val="Hyperlink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Pokračujúce alebo plánované klinické sledovanie po uvedení na trh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1AF3908" w14:textId="1B534CA6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24" w:history="1">
        <w:r w:rsidRPr="00127007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Možná diagnostika alebo terapeutické alternatívy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A2BAD38" w14:textId="37646C72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25" w:history="1">
        <w:r w:rsidRPr="00127007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Navrhovaný profil a školenie pre používateľov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8A0F17E" w14:textId="1878D728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26" w:history="1">
        <w:r w:rsidRPr="00127007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Harmonizované normy/bežné špecifikácie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15D58CC" w14:textId="0D7DDBCD" w:rsidR="00EA261A" w:rsidRDefault="00EA261A">
      <w:pPr>
        <w:pStyle w:val="TOC1"/>
        <w:rPr>
          <w:rFonts w:asciiTheme="minorHAnsi" w:eastAsiaTheme="minorEastAsia" w:hAnsiTheme="minorHAnsi" w:cstheme="minorBidi"/>
          <w:noProof/>
          <w:kern w:val="2"/>
          <w:lang w:val="en-RS" w:eastAsia="zh-CN"/>
          <w14:ligatures w14:val="standardContextual"/>
        </w:rPr>
      </w:pPr>
      <w:hyperlink w:anchor="_Toc222741727" w:history="1">
        <w:r w:rsidRPr="00127007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lang w:val="en-RS" w:eastAsia="zh-CN"/>
            <w14:ligatures w14:val="standardContextual"/>
          </w:rPr>
          <w:tab/>
        </w:r>
        <w:r w:rsidRPr="00127007">
          <w:rPr>
            <w:rStyle w:val="Hyperlink"/>
            <w:bCs/>
            <w:noProof/>
            <w:lang w:val="sk"/>
          </w:rPr>
          <w:t>História revízií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B6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9D6E5E3" w14:textId="552464C6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</w:rPr>
        <w:fldChar w:fldCharType="end"/>
      </w:r>
    </w:p>
    <w:p w14:paraId="343DF155" w14:textId="77777777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sk"/>
        </w:rPr>
        <w:br w:type="page"/>
      </w:r>
    </w:p>
    <w:p w14:paraId="453DC774" w14:textId="77777777" w:rsidR="00221CEF" w:rsidRPr="00EA261A" w:rsidRDefault="00221CEF" w:rsidP="00042B91">
      <w:pPr>
        <w:pStyle w:val="Heading7"/>
        <w:spacing w:after="0" w:afterAutospacing="0"/>
        <w:rPr>
          <w:lang w:val="it-IT"/>
        </w:rPr>
      </w:pPr>
      <w:r>
        <w:rPr>
          <w:bCs/>
          <w:lang w:val="sk"/>
        </w:rPr>
        <w:lastRenderedPageBreak/>
        <w:t>Súhrn parametrov bezpečnosti a klinického výkonu</w:t>
      </w:r>
    </w:p>
    <w:p w14:paraId="2D567C3A" w14:textId="4D6B7954" w:rsidR="00221CEF" w:rsidRPr="00EA261A" w:rsidRDefault="00221CEF" w:rsidP="00042B91">
      <w:pPr>
        <w:spacing w:after="0" w:afterAutospacing="0" w:line="240" w:lineRule="auto"/>
        <w:rPr>
          <w:rFonts w:cs="Times New Roman"/>
          <w:lang w:val="it-IT"/>
        </w:rPr>
      </w:pPr>
      <w:r>
        <w:rPr>
          <w:rFonts w:cs="Times New Roman"/>
          <w:lang w:val="sk"/>
        </w:rPr>
        <w:t>Cieľom tohto súhrnu parametrov bezpečnosti a klinického výkonu (SSCP) je poskytnúť verejný prístup k aktualizovanému súhrnu hlavných aspektov bezpečnosti a klinického výkonu pomôcky.</w:t>
      </w:r>
    </w:p>
    <w:p w14:paraId="549AF428" w14:textId="35F6904C" w:rsidR="00221CEF" w:rsidRPr="00EA261A" w:rsidRDefault="00221CEF" w:rsidP="00042B91">
      <w:pPr>
        <w:spacing w:after="0" w:afterAutospacing="0" w:line="240" w:lineRule="auto"/>
        <w:rPr>
          <w:rFonts w:cs="Times New Roman"/>
          <w:lang w:val="it-IT"/>
        </w:rPr>
      </w:pPr>
      <w:r>
        <w:rPr>
          <w:rFonts w:cs="Times New Roman"/>
          <w:lang w:val="sk"/>
        </w:rPr>
        <w:t>Cieľom SSCP nie je nahradiť návod na použitie (IFU) ako hlavný dokument na zaistenie bezpečného používania pomôcky, ani nemá poskytovať diagnostické alebo terapeutické návrhy zamýšľaným používateľom alebo pacientom.</w:t>
      </w:r>
    </w:p>
    <w:p w14:paraId="6E1D4297" w14:textId="77777777" w:rsidR="00042B91" w:rsidRPr="00EA261A" w:rsidRDefault="00042B91" w:rsidP="00042B91">
      <w:pPr>
        <w:spacing w:after="0" w:afterAutospacing="0" w:line="240" w:lineRule="auto"/>
        <w:rPr>
          <w:rFonts w:cs="Times New Roman"/>
          <w:lang w:val="it-IT"/>
        </w:rPr>
      </w:pPr>
    </w:p>
    <w:p w14:paraId="57958E5A" w14:textId="739089BF" w:rsidR="00221CEF" w:rsidRPr="00EA261A" w:rsidRDefault="00221CEF" w:rsidP="00042B91">
      <w:pPr>
        <w:spacing w:after="0" w:afterAutospacing="0" w:line="240" w:lineRule="auto"/>
        <w:rPr>
          <w:rFonts w:cs="Times New Roman"/>
          <w:lang w:val="it-IT"/>
        </w:rPr>
      </w:pPr>
      <w:r>
        <w:rPr>
          <w:rFonts w:cs="Times New Roman"/>
          <w:lang w:val="sk"/>
        </w:rPr>
        <w:t>Nasledujúca informácia je určená pre používateľov/zdravotníckych pracovníkov.</w:t>
      </w:r>
    </w:p>
    <w:p w14:paraId="18A77BED" w14:textId="77777777" w:rsidR="00042B91" w:rsidRPr="00EA261A" w:rsidRDefault="00042B91" w:rsidP="00042B91">
      <w:pPr>
        <w:spacing w:after="0" w:afterAutospacing="0" w:line="240" w:lineRule="auto"/>
        <w:rPr>
          <w:rFonts w:cs="Times New Roman"/>
          <w:lang w:val="it-IT"/>
        </w:rPr>
      </w:pPr>
    </w:p>
    <w:p w14:paraId="6E5276B4" w14:textId="2AFD9220" w:rsidR="00042B91" w:rsidRPr="00EA261A" w:rsidRDefault="006F0810" w:rsidP="00F67A0E">
      <w:pPr>
        <w:pStyle w:val="Heading1"/>
        <w:numPr>
          <w:ilvl w:val="0"/>
          <w:numId w:val="2"/>
        </w:numPr>
        <w:rPr>
          <w:rFonts w:cs="Times New Roman"/>
          <w:lang w:val="it-IT"/>
        </w:rPr>
      </w:pPr>
      <w:bookmarkStart w:id="0" w:name="_Toc222741698"/>
      <w:r>
        <w:rPr>
          <w:rFonts w:cs="Times New Roman"/>
          <w:bCs/>
          <w:lang w:val="sk"/>
        </w:rPr>
        <w:t>Rozsah tohto súhrnu parametrov bezpečnosti a klinického výkonu (SSCP):</w:t>
      </w:r>
      <w:bookmarkEnd w:id="0"/>
    </w:p>
    <w:p w14:paraId="5CDBAEA3" w14:textId="77777777" w:rsidR="00042B91" w:rsidRPr="00EA261A" w:rsidRDefault="00042B91" w:rsidP="00042B91">
      <w:pPr>
        <w:spacing w:after="0" w:afterAutospacing="0" w:line="240" w:lineRule="auto"/>
        <w:rPr>
          <w:rFonts w:cs="Times New Roman"/>
          <w:lang w:val="it-IT"/>
        </w:rPr>
      </w:pPr>
    </w:p>
    <w:p w14:paraId="45E5BCB2" w14:textId="6E901CD2" w:rsidR="00AA2E04" w:rsidRPr="009461CC" w:rsidRDefault="00221CEF" w:rsidP="00042B91">
      <w:pPr>
        <w:pStyle w:val="Heading1"/>
        <w:rPr>
          <w:rFonts w:cs="Times New Roman"/>
        </w:rPr>
      </w:pPr>
      <w:bookmarkStart w:id="1" w:name="_Toc222741699"/>
      <w:r>
        <w:rPr>
          <w:rFonts w:cs="Times New Roman"/>
          <w:bCs/>
          <w:lang w:val="sk"/>
        </w:rPr>
        <w:t>Obchodný názov pomôcky:</w:t>
      </w:r>
      <w:bookmarkEnd w:id="1"/>
      <w:r>
        <w:rPr>
          <w:rFonts w:cs="Times New Roman"/>
          <w:bCs/>
          <w:lang w:val="sk"/>
        </w:rPr>
        <w:t xml:space="preserve"> </w:t>
      </w:r>
    </w:p>
    <w:p w14:paraId="29AE9E59" w14:textId="5B8D3A96" w:rsidR="00042B91" w:rsidRPr="009461CC" w:rsidRDefault="00982459" w:rsidP="001E6921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sk"/>
        </w:rPr>
        <w:t>Atrieve Vascular Snare Kit</w:t>
      </w:r>
    </w:p>
    <w:p w14:paraId="6E4554A3" w14:textId="77777777" w:rsidR="00982459" w:rsidRPr="009461CC" w:rsidRDefault="00982459" w:rsidP="00042B91">
      <w:pPr>
        <w:spacing w:after="0" w:afterAutospacing="0" w:line="240" w:lineRule="auto"/>
        <w:rPr>
          <w:rFonts w:cs="Times New Roman"/>
        </w:rPr>
      </w:pPr>
    </w:p>
    <w:p w14:paraId="7E6E8DB0" w14:textId="23280863" w:rsidR="00221CEF" w:rsidRPr="00EA261A" w:rsidRDefault="00221CEF" w:rsidP="00042B91">
      <w:pPr>
        <w:pStyle w:val="Heading1"/>
        <w:rPr>
          <w:rFonts w:cs="Times New Roman"/>
          <w:lang w:val="it-IT"/>
        </w:rPr>
      </w:pPr>
      <w:bookmarkStart w:id="2" w:name="_Toc222741700"/>
      <w:r>
        <w:rPr>
          <w:rFonts w:cs="Times New Roman"/>
          <w:bCs/>
          <w:lang w:val="sk"/>
        </w:rPr>
        <w:t>Opis, základný UDI-DI a EÚ klasifikácia pomôcky: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1603"/>
        <w:gridCol w:w="1350"/>
        <w:gridCol w:w="1266"/>
        <w:gridCol w:w="2416"/>
      </w:tblGrid>
      <w:tr w:rsidR="006266F5" w:rsidRPr="009461CC" w14:paraId="77A15E5D" w14:textId="77777777" w:rsidTr="00536EDE">
        <w:tc>
          <w:tcPr>
            <w:tcW w:w="3795" w:type="dxa"/>
            <w:shd w:val="clear" w:color="auto" w:fill="E7E6E6" w:themeFill="background2"/>
          </w:tcPr>
          <w:p w14:paraId="6089AC65" w14:textId="5ACA6E64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k"/>
              </w:rPr>
              <w:t>Názov a opis pomôcky</w:t>
            </w:r>
          </w:p>
        </w:tc>
        <w:tc>
          <w:tcPr>
            <w:tcW w:w="1603" w:type="dxa"/>
            <w:shd w:val="clear" w:color="auto" w:fill="E7E6E6" w:themeFill="background2"/>
          </w:tcPr>
          <w:p w14:paraId="18959F52" w14:textId="108D25E1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k"/>
              </w:rPr>
              <w:t>Klasifikácia</w:t>
            </w:r>
          </w:p>
        </w:tc>
        <w:tc>
          <w:tcPr>
            <w:tcW w:w="1350" w:type="dxa"/>
            <w:shd w:val="clear" w:color="auto" w:fill="E7E6E6" w:themeFill="background2"/>
          </w:tcPr>
          <w:p w14:paraId="1CA77B88" w14:textId="5CBB4D69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k"/>
              </w:rPr>
              <w:t>Kód GMDN</w:t>
            </w:r>
          </w:p>
        </w:tc>
        <w:tc>
          <w:tcPr>
            <w:tcW w:w="1266" w:type="dxa"/>
            <w:shd w:val="clear" w:color="auto" w:fill="E7E6E6" w:themeFill="background2"/>
          </w:tcPr>
          <w:p w14:paraId="603AC5E7" w14:textId="64E6761C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k"/>
              </w:rPr>
              <w:t>EMDN</w:t>
            </w:r>
          </w:p>
        </w:tc>
        <w:tc>
          <w:tcPr>
            <w:tcW w:w="2416" w:type="dxa"/>
            <w:shd w:val="clear" w:color="auto" w:fill="E7E6E6" w:themeFill="background2"/>
          </w:tcPr>
          <w:p w14:paraId="49C72348" w14:textId="0CB79C70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k"/>
              </w:rPr>
              <w:t>Základné UDI-DI</w:t>
            </w:r>
          </w:p>
        </w:tc>
      </w:tr>
      <w:tr w:rsidR="006266F5" w:rsidRPr="009461CC" w14:paraId="72288A12" w14:textId="77777777" w:rsidTr="006266F5">
        <w:tc>
          <w:tcPr>
            <w:tcW w:w="3795" w:type="dxa"/>
          </w:tcPr>
          <w:p w14:paraId="04AE147E" w14:textId="07005FC5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Súprava Atrieve Vascular Snare™, priemer slučky 6 – 10 mm x 120 cm, katéter 6F x 100 cm</w:t>
            </w:r>
          </w:p>
        </w:tc>
        <w:tc>
          <w:tcPr>
            <w:tcW w:w="1603" w:type="dxa"/>
            <w:vMerge w:val="restart"/>
          </w:tcPr>
          <w:p w14:paraId="016CD4E1" w14:textId="205743A9" w:rsidR="006266F5" w:rsidRPr="009461CC" w:rsidRDefault="00BA7D3E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Trieda III</w:t>
            </w:r>
          </w:p>
        </w:tc>
        <w:tc>
          <w:tcPr>
            <w:tcW w:w="1350" w:type="dxa"/>
            <w:vMerge w:val="restart"/>
          </w:tcPr>
          <w:p w14:paraId="2554DF3F" w14:textId="217E32BA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17927</w:t>
            </w:r>
          </w:p>
        </w:tc>
        <w:tc>
          <w:tcPr>
            <w:tcW w:w="1266" w:type="dxa"/>
            <w:vMerge w:val="restart"/>
          </w:tcPr>
          <w:p w14:paraId="44053393" w14:textId="5F7E5816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C019005</w:t>
            </w:r>
          </w:p>
        </w:tc>
        <w:tc>
          <w:tcPr>
            <w:tcW w:w="2416" w:type="dxa"/>
            <w:vMerge w:val="restart"/>
          </w:tcPr>
          <w:p w14:paraId="16987761" w14:textId="1464A232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088633329000132</w:t>
            </w:r>
          </w:p>
        </w:tc>
      </w:tr>
      <w:tr w:rsidR="006266F5" w:rsidRPr="009461CC" w14:paraId="674985B4" w14:textId="77777777" w:rsidTr="006266F5">
        <w:tc>
          <w:tcPr>
            <w:tcW w:w="3795" w:type="dxa"/>
          </w:tcPr>
          <w:p w14:paraId="1845B978" w14:textId="3466CA48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 xml:space="preserve">Súprava Atrieve Vascular Snare™, priemer slučky 9 – 15 mm x 120 cm, katéter 6F x 100 cm </w:t>
            </w:r>
          </w:p>
        </w:tc>
        <w:tc>
          <w:tcPr>
            <w:tcW w:w="1603" w:type="dxa"/>
            <w:vMerge/>
          </w:tcPr>
          <w:p w14:paraId="0F2DCD2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45E8FDD8" w14:textId="4AADF8C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165F2BB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C1D336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B0B0E25" w14:textId="77777777" w:rsidTr="006266F5">
        <w:tc>
          <w:tcPr>
            <w:tcW w:w="3795" w:type="dxa"/>
          </w:tcPr>
          <w:p w14:paraId="0A9B2655" w14:textId="666AEB18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 xml:space="preserve">Súprava Atrieve Vascular Snare™, priemer slučky 12 – 20 mm x 120 cm, katéter 6F x 100 cm </w:t>
            </w:r>
          </w:p>
        </w:tc>
        <w:tc>
          <w:tcPr>
            <w:tcW w:w="1603" w:type="dxa"/>
            <w:vMerge/>
          </w:tcPr>
          <w:p w14:paraId="4F42F09B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7D1A397B" w14:textId="2F1838AC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721C2322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3C7CCE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06B07953" w14:textId="77777777" w:rsidTr="006266F5">
        <w:tc>
          <w:tcPr>
            <w:tcW w:w="3795" w:type="dxa"/>
          </w:tcPr>
          <w:p w14:paraId="122A6EC5" w14:textId="2EC9E7BD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 xml:space="preserve">Súprava Atrieve Vascular Snare™, priemer slučky 18 – 30 mm x 120 cm, katéter 7F x 100 cm </w:t>
            </w:r>
          </w:p>
        </w:tc>
        <w:tc>
          <w:tcPr>
            <w:tcW w:w="1603" w:type="dxa"/>
            <w:vMerge/>
          </w:tcPr>
          <w:p w14:paraId="1913C87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00E8406E" w14:textId="7131A855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68FC6CA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36E1922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0E2EDC2" w14:textId="77777777" w:rsidTr="006266F5">
        <w:tc>
          <w:tcPr>
            <w:tcW w:w="3795" w:type="dxa"/>
          </w:tcPr>
          <w:p w14:paraId="3B2B1D80" w14:textId="12CC0658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Súprava Atrieve Vascular Snare™, priemer slučky 27 – 45 mm x 120 cm, katéter 7F x 100 cm</w:t>
            </w:r>
          </w:p>
        </w:tc>
        <w:tc>
          <w:tcPr>
            <w:tcW w:w="1603" w:type="dxa"/>
            <w:vMerge/>
          </w:tcPr>
          <w:p w14:paraId="5D29838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001781C2" w14:textId="46419622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20D9A32E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855DBE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E3403A6" w14:textId="77777777" w:rsidTr="006266F5">
        <w:tc>
          <w:tcPr>
            <w:tcW w:w="3795" w:type="dxa"/>
          </w:tcPr>
          <w:p w14:paraId="675708BF" w14:textId="381C18CA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 xml:space="preserve">Súprava Atrieve Vascular Snare™, priemer slučky 2 – 4 mm x 175 cm, katéter 3,2F x 150 cm </w:t>
            </w:r>
          </w:p>
        </w:tc>
        <w:tc>
          <w:tcPr>
            <w:tcW w:w="1603" w:type="dxa"/>
            <w:vMerge/>
          </w:tcPr>
          <w:p w14:paraId="4005AAE7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10F77F80" w14:textId="1EEE88E0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01E30B8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7E3CD13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63BEE28" w14:textId="77777777" w:rsidTr="006266F5">
        <w:tc>
          <w:tcPr>
            <w:tcW w:w="3795" w:type="dxa"/>
          </w:tcPr>
          <w:p w14:paraId="2C7CFD34" w14:textId="28EFC76A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Súprava Atrieve Vascular Snare™, priemer slučky 4 – 8 mm x 175 cm, katéter 3,2F x 150 cm</w:t>
            </w:r>
          </w:p>
        </w:tc>
        <w:tc>
          <w:tcPr>
            <w:tcW w:w="1603" w:type="dxa"/>
            <w:vMerge/>
          </w:tcPr>
          <w:p w14:paraId="796C4314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520A7E25" w14:textId="5F41C696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77962B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70FDA7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</w:tbl>
    <w:p w14:paraId="2DAE4D4B" w14:textId="77777777" w:rsidR="00AA2E04" w:rsidRPr="009461CC" w:rsidRDefault="00AA2E04" w:rsidP="00AA3694">
      <w:pPr>
        <w:pStyle w:val="Heading1"/>
        <w:numPr>
          <w:ilvl w:val="0"/>
          <w:numId w:val="0"/>
        </w:numPr>
        <w:rPr>
          <w:rFonts w:cs="Times New Roman"/>
        </w:rPr>
      </w:pPr>
    </w:p>
    <w:p w14:paraId="4B18C73D" w14:textId="72C79B52" w:rsidR="009855C3" w:rsidRPr="009461CC" w:rsidRDefault="009855C3" w:rsidP="00042B91">
      <w:pPr>
        <w:pStyle w:val="Heading1"/>
        <w:rPr>
          <w:rFonts w:cs="Times New Roman"/>
        </w:rPr>
      </w:pPr>
      <w:bookmarkStart w:id="3" w:name="_Toc222741701"/>
      <w:r>
        <w:rPr>
          <w:rFonts w:cs="Times New Roman"/>
          <w:bCs/>
          <w:lang w:val="sk"/>
        </w:rPr>
        <w:t>Rok, v ktorom bol pre pomôcku vydaný prvý certifikát (CE):</w:t>
      </w:r>
      <w:bookmarkEnd w:id="3"/>
      <w:r>
        <w:rPr>
          <w:rFonts w:cs="Times New Roman"/>
          <w:bCs/>
          <w:lang w:val="sk"/>
        </w:rPr>
        <w:t xml:space="preserve"> </w:t>
      </w:r>
    </w:p>
    <w:p w14:paraId="76BA3EF9" w14:textId="540D85A6" w:rsidR="00713233" w:rsidRPr="009461CC" w:rsidRDefault="00780A59" w:rsidP="00E714ED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sk"/>
        </w:rPr>
        <w:t xml:space="preserve">Súprava Atrieve Vascular Snare Kit získala v roku 2010 označenie CE (CE 608298) v rámci smernice MDD. </w:t>
      </w:r>
    </w:p>
    <w:p w14:paraId="6B157940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7DB260B7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79EE515A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234B8791" w14:textId="77777777" w:rsidR="005C6A90" w:rsidRPr="009461CC" w:rsidRDefault="005C6A90" w:rsidP="00E714ED">
      <w:pPr>
        <w:spacing w:after="0" w:afterAutospacing="0" w:line="240" w:lineRule="auto"/>
        <w:ind w:left="792"/>
        <w:rPr>
          <w:rFonts w:cs="Times New Roman"/>
        </w:rPr>
      </w:pPr>
    </w:p>
    <w:p w14:paraId="10A04209" w14:textId="75FC9DEC" w:rsidR="009855C3" w:rsidRPr="00EA261A" w:rsidRDefault="009855C3" w:rsidP="00042B91">
      <w:pPr>
        <w:pStyle w:val="Heading1"/>
        <w:rPr>
          <w:rFonts w:cs="Times New Roman"/>
          <w:lang w:val="it-IT"/>
        </w:rPr>
      </w:pPr>
      <w:r>
        <w:rPr>
          <w:rFonts w:cs="Times New Roman"/>
          <w:bCs/>
          <w:lang w:val="sk"/>
        </w:rPr>
        <w:t xml:space="preserve"> </w:t>
      </w:r>
      <w:bookmarkStart w:id="4" w:name="_Toc222741702"/>
      <w:r>
        <w:rPr>
          <w:rFonts w:cs="Times New Roman"/>
          <w:bCs/>
          <w:lang w:val="sk"/>
        </w:rPr>
        <w:t>Názov, adresa a SRN výrobcu:</w:t>
      </w:r>
      <w:bookmarkEnd w:id="4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493B5B" w:rsidRPr="009461CC" w14:paraId="49C995E4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B8134E" w14:textId="77777777" w:rsidR="00493B5B" w:rsidRPr="009461CC" w:rsidRDefault="00493B5B" w:rsidP="00AA3694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sk"/>
              </w:rPr>
              <w:t>Informácie o výrobcovi</w:t>
            </w:r>
          </w:p>
        </w:tc>
      </w:tr>
      <w:tr w:rsidR="00493B5B" w:rsidRPr="009461CC" w14:paraId="49F686BA" w14:textId="77777777" w:rsidTr="00272DEA">
        <w:trPr>
          <w:trHeight w:val="489"/>
        </w:trPr>
        <w:tc>
          <w:tcPr>
            <w:tcW w:w="2241" w:type="pct"/>
          </w:tcPr>
          <w:p w14:paraId="55881DB9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sk"/>
              </w:rPr>
              <w:t>Sériové číslo výrobcu: US-MF-000002324</w:t>
            </w:r>
          </w:p>
        </w:tc>
        <w:tc>
          <w:tcPr>
            <w:tcW w:w="2759" w:type="pct"/>
          </w:tcPr>
          <w:p w14:paraId="61E93080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  <w:r>
              <w:rPr>
                <w:szCs w:val="24"/>
                <w:lang w:val="sk"/>
              </w:rPr>
              <w:t>Názov výrobcu: Argon Medical Devices, Inc.</w:t>
            </w:r>
          </w:p>
        </w:tc>
      </w:tr>
      <w:tr w:rsidR="00493B5B" w:rsidRPr="009461CC" w14:paraId="03F91594" w14:textId="77777777" w:rsidTr="00272DEA">
        <w:trPr>
          <w:trHeight w:val="525"/>
        </w:trPr>
        <w:tc>
          <w:tcPr>
            <w:tcW w:w="2241" w:type="pct"/>
          </w:tcPr>
          <w:p w14:paraId="119B5A73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Meno a priezvisko kontaktnej osoby: Scott Bishop</w:t>
            </w:r>
          </w:p>
        </w:tc>
        <w:tc>
          <w:tcPr>
            <w:tcW w:w="2759" w:type="pct"/>
          </w:tcPr>
          <w:p w14:paraId="0FE9AF31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E-mail:</w:t>
            </w:r>
            <w:r>
              <w:rPr>
                <w:sz w:val="22"/>
                <w:lang w:val="sk"/>
              </w:rPr>
              <w:t xml:space="preserve"> </w:t>
            </w:r>
            <w:hyperlink r:id="rId11" w:history="1">
              <w:r>
                <w:rPr>
                  <w:color w:val="0563C1"/>
                  <w:szCs w:val="24"/>
                  <w:u w:val="single"/>
                  <w:lang w:val="sk"/>
                </w:rPr>
                <w:t>RegCompliance@argonmedical.com</w:t>
              </w:r>
            </w:hyperlink>
          </w:p>
          <w:p w14:paraId="12F2B43C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</w:p>
        </w:tc>
      </w:tr>
      <w:tr w:rsidR="00493B5B" w:rsidRPr="009461CC" w14:paraId="075079C3" w14:textId="77777777" w:rsidTr="00272DEA">
        <w:trPr>
          <w:trHeight w:val="525"/>
        </w:trPr>
        <w:tc>
          <w:tcPr>
            <w:tcW w:w="2241" w:type="pct"/>
          </w:tcPr>
          <w:p w14:paraId="05BD6F97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Telefónne číslo: 903.675.9321</w:t>
            </w:r>
          </w:p>
        </w:tc>
        <w:tc>
          <w:tcPr>
            <w:tcW w:w="2759" w:type="pct"/>
          </w:tcPr>
          <w:p w14:paraId="260E0D3D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Adresa:</w:t>
            </w:r>
          </w:p>
          <w:p w14:paraId="041EA64B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1445 Flat Creek Rd.</w:t>
            </w:r>
          </w:p>
          <w:p w14:paraId="26DE4983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Athens, Texas 75751</w:t>
            </w:r>
          </w:p>
          <w:p w14:paraId="586DCCA3" w14:textId="38B6FE42" w:rsidR="00493B5B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USA</w:t>
            </w:r>
          </w:p>
        </w:tc>
      </w:tr>
    </w:tbl>
    <w:p w14:paraId="2E5002E8" w14:textId="77777777" w:rsidR="00D20FA4" w:rsidRPr="009461CC" w:rsidRDefault="00D20FA4" w:rsidP="00042B91">
      <w:pPr>
        <w:spacing w:after="0" w:afterAutospacing="0" w:line="240" w:lineRule="auto"/>
        <w:ind w:left="1440"/>
        <w:rPr>
          <w:rFonts w:cs="Times New Roman"/>
        </w:rPr>
      </w:pPr>
    </w:p>
    <w:p w14:paraId="1CFB1B57" w14:textId="4BD4E170" w:rsidR="009855C3" w:rsidRPr="00EA261A" w:rsidRDefault="00887E5D" w:rsidP="00AA3694">
      <w:pPr>
        <w:pStyle w:val="Heading1"/>
        <w:rPr>
          <w:rFonts w:cs="Times New Roman"/>
          <w:lang w:val="it-IT"/>
        </w:rPr>
      </w:pPr>
      <w:bookmarkStart w:id="5" w:name="_Toc222741703"/>
      <w:r>
        <w:rPr>
          <w:rFonts w:cs="Times New Roman"/>
          <w:bCs/>
          <w:lang w:val="sk"/>
        </w:rPr>
        <w:t>Meno oprávneného zástupcu a SRN:</w:t>
      </w:r>
      <w:bookmarkEnd w:id="5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8A210D" w:rsidRPr="009461CC" w14:paraId="5389928F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B4BB7C" w14:textId="77777777" w:rsidR="008A210D" w:rsidRPr="009461CC" w:rsidRDefault="008A210D" w:rsidP="008A210D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sk"/>
              </w:rPr>
              <w:t>Informácie o oprávnenom zástupcovi</w:t>
            </w:r>
          </w:p>
        </w:tc>
      </w:tr>
      <w:tr w:rsidR="008A210D" w:rsidRPr="00EA261A" w14:paraId="486856D5" w14:textId="77777777" w:rsidTr="00272DEA">
        <w:trPr>
          <w:trHeight w:val="489"/>
        </w:trPr>
        <w:tc>
          <w:tcPr>
            <w:tcW w:w="2241" w:type="pct"/>
          </w:tcPr>
          <w:p w14:paraId="5FC8645E" w14:textId="77777777" w:rsidR="008A210D" w:rsidRPr="009461CC" w:rsidRDefault="008A210D" w:rsidP="008A210D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sk"/>
              </w:rPr>
              <w:t>SRN: NL-AR-000000116</w:t>
            </w:r>
          </w:p>
        </w:tc>
        <w:tc>
          <w:tcPr>
            <w:tcW w:w="2759" w:type="pct"/>
          </w:tcPr>
          <w:p w14:paraId="25BF63FC" w14:textId="77777777" w:rsidR="008A210D" w:rsidRPr="00EA261A" w:rsidRDefault="008A210D" w:rsidP="008A210D">
            <w:pPr>
              <w:widowControl w:val="0"/>
              <w:autoSpaceDE w:val="0"/>
              <w:autoSpaceDN w:val="0"/>
              <w:spacing w:before="119" w:after="0" w:afterAutospacing="0"/>
              <w:rPr>
                <w:bCs/>
                <w:szCs w:val="24"/>
                <w:lang w:val="it-IT"/>
              </w:rPr>
            </w:pPr>
            <w:r>
              <w:rPr>
                <w:szCs w:val="24"/>
                <w:lang w:val="sk"/>
              </w:rPr>
              <w:t>Názov organizácie oprávneného zástupcu:</w:t>
            </w:r>
          </w:p>
          <w:p w14:paraId="3A6B7B5C" w14:textId="77777777" w:rsidR="008A210D" w:rsidRPr="00EA261A" w:rsidRDefault="008A210D" w:rsidP="008A210D">
            <w:pPr>
              <w:spacing w:after="0" w:afterAutospacing="0"/>
              <w:rPr>
                <w:szCs w:val="24"/>
                <w:lang w:val="it-IT"/>
              </w:rPr>
            </w:pPr>
            <w:r>
              <w:rPr>
                <w:szCs w:val="24"/>
                <w:lang w:val="sk"/>
              </w:rPr>
              <w:t>Emergo Europe</w:t>
            </w:r>
          </w:p>
        </w:tc>
      </w:tr>
      <w:tr w:rsidR="008A210D" w:rsidRPr="00EA261A" w14:paraId="7AE34B46" w14:textId="77777777" w:rsidTr="00272DEA">
        <w:trPr>
          <w:trHeight w:val="525"/>
        </w:trPr>
        <w:tc>
          <w:tcPr>
            <w:tcW w:w="2241" w:type="pct"/>
          </w:tcPr>
          <w:p w14:paraId="65D7FE1F" w14:textId="77777777" w:rsidR="008A210D" w:rsidRPr="00EA261A" w:rsidRDefault="008A210D" w:rsidP="008A210D">
            <w:pPr>
              <w:spacing w:after="0" w:afterAutospacing="0"/>
              <w:jc w:val="both"/>
              <w:rPr>
                <w:spacing w:val="-2"/>
                <w:szCs w:val="24"/>
                <w:lang w:val="it-IT"/>
              </w:rPr>
            </w:pPr>
            <w:r>
              <w:rPr>
                <w:szCs w:val="24"/>
                <w:lang w:val="sk"/>
              </w:rPr>
              <w:t>Kontaktné informácie: Tím pre vigilanciu</w:t>
            </w:r>
          </w:p>
        </w:tc>
        <w:tc>
          <w:tcPr>
            <w:tcW w:w="2759" w:type="pct"/>
          </w:tcPr>
          <w:p w14:paraId="2A3CD5D0" w14:textId="77777777" w:rsidR="008A210D" w:rsidRPr="00EA261A" w:rsidRDefault="008A210D" w:rsidP="008A210D">
            <w:pPr>
              <w:widowControl w:val="0"/>
              <w:autoSpaceDE w:val="0"/>
              <w:autoSpaceDN w:val="0"/>
              <w:spacing w:before="39" w:after="0" w:afterAutospacing="0"/>
              <w:rPr>
                <w:spacing w:val="-2"/>
                <w:szCs w:val="24"/>
                <w:lang w:val="it-IT"/>
              </w:rPr>
            </w:pPr>
            <w:r>
              <w:rPr>
                <w:szCs w:val="24"/>
                <w:lang w:val="sk"/>
              </w:rPr>
              <w:t xml:space="preserve">E-mail: </w:t>
            </w:r>
            <w:hyperlink r:id="rId12" w:history="1">
              <w:r>
                <w:rPr>
                  <w:color w:val="0563C1"/>
                  <w:szCs w:val="24"/>
                  <w:u w:val="single"/>
                  <w:lang w:val="sk"/>
                </w:rPr>
                <w:t>EmergoVigilance@ul.com</w:t>
              </w:r>
            </w:hyperlink>
          </w:p>
        </w:tc>
      </w:tr>
      <w:tr w:rsidR="008A210D" w:rsidRPr="009461CC" w14:paraId="0CB481FF" w14:textId="77777777" w:rsidTr="00272DEA">
        <w:trPr>
          <w:trHeight w:val="525"/>
        </w:trPr>
        <w:tc>
          <w:tcPr>
            <w:tcW w:w="2241" w:type="pct"/>
          </w:tcPr>
          <w:p w14:paraId="3652CFB2" w14:textId="77777777" w:rsidR="008A210D" w:rsidRPr="009461CC" w:rsidRDefault="008A210D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Telefónne číslo: +31.70.345.8570</w:t>
            </w:r>
          </w:p>
          <w:p w14:paraId="7CCBBDE7" w14:textId="739E5D21" w:rsidR="00A603C9" w:rsidRPr="009461CC" w:rsidRDefault="00A603C9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color w:val="000000"/>
                <w:szCs w:val="24"/>
                <w:lang w:val="sk"/>
              </w:rPr>
              <w:t>Fax: +31 (0)70 346 7299</w:t>
            </w:r>
          </w:p>
        </w:tc>
        <w:tc>
          <w:tcPr>
            <w:tcW w:w="2759" w:type="pct"/>
          </w:tcPr>
          <w:p w14:paraId="2F414254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Adresa</w:t>
            </w:r>
          </w:p>
          <w:p w14:paraId="759A4A48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Číslo a názov ulice:</w:t>
            </w:r>
            <w:r>
              <w:rPr>
                <w:sz w:val="22"/>
                <w:lang w:val="sk"/>
              </w:rPr>
              <w:t xml:space="preserve"> 60 </w:t>
            </w:r>
            <w:r>
              <w:rPr>
                <w:szCs w:val="24"/>
                <w:lang w:val="sk"/>
              </w:rPr>
              <w:t>Westervoortsedijk</w:t>
            </w:r>
          </w:p>
          <w:p w14:paraId="3B20AE15" w14:textId="77777777" w:rsidR="008A210D" w:rsidRPr="00EA261A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it-IT"/>
              </w:rPr>
            </w:pPr>
            <w:r>
              <w:rPr>
                <w:szCs w:val="24"/>
                <w:lang w:val="sk"/>
              </w:rPr>
              <w:t>Mesto: Arnhem</w:t>
            </w:r>
          </w:p>
          <w:p w14:paraId="6FC33444" w14:textId="77777777" w:rsidR="008A210D" w:rsidRPr="00EA261A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it-IT"/>
              </w:rPr>
            </w:pPr>
            <w:r>
              <w:rPr>
                <w:szCs w:val="24"/>
                <w:lang w:val="sk"/>
              </w:rPr>
              <w:t>Poštové smerovacie číslo: 6827 AT</w:t>
            </w:r>
          </w:p>
          <w:p w14:paraId="2EB91056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sk"/>
              </w:rPr>
              <w:t>Krajina: Holandsko</w:t>
            </w:r>
          </w:p>
        </w:tc>
      </w:tr>
    </w:tbl>
    <w:p w14:paraId="1624A296" w14:textId="77777777" w:rsidR="009855C3" w:rsidRPr="009461CC" w:rsidRDefault="009855C3" w:rsidP="00042B91">
      <w:pPr>
        <w:spacing w:after="0" w:afterAutospacing="0" w:line="240" w:lineRule="auto"/>
        <w:ind w:left="1440"/>
        <w:rPr>
          <w:rFonts w:cs="Times New Roman"/>
        </w:rPr>
      </w:pPr>
    </w:p>
    <w:p w14:paraId="6CE36BA3" w14:textId="292AEF0B" w:rsidR="006517A0" w:rsidRPr="00EA261A" w:rsidRDefault="009855C3" w:rsidP="003074B3">
      <w:pPr>
        <w:pStyle w:val="Heading1"/>
        <w:rPr>
          <w:rFonts w:cs="Times New Roman"/>
          <w:lang w:val="it-IT"/>
        </w:rPr>
      </w:pPr>
      <w:bookmarkStart w:id="6" w:name="_Toc222741704"/>
      <w:r>
        <w:rPr>
          <w:rFonts w:cs="Times New Roman"/>
          <w:bCs/>
          <w:lang w:val="sk"/>
        </w:rPr>
        <w:t>Názov a jedinečné identifikačné číslo NO:</w:t>
      </w:r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6613"/>
      </w:tblGrid>
      <w:tr w:rsidR="003074B3" w:rsidRPr="009461CC" w14:paraId="7E457138" w14:textId="77777777" w:rsidTr="00272DEA">
        <w:trPr>
          <w:trHeight w:val="26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932D8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sk"/>
              </w:rPr>
              <w:t>Notifikovaný orgán</w:t>
            </w:r>
          </w:p>
        </w:tc>
      </w:tr>
      <w:tr w:rsidR="00272DEA" w:rsidRPr="009461CC" w14:paraId="0B814508" w14:textId="77777777" w:rsidTr="00272DEA">
        <w:trPr>
          <w:trHeight w:val="350"/>
          <w:jc w:val="center"/>
        </w:trPr>
        <w:tc>
          <w:tcPr>
            <w:tcW w:w="1830" w:type="pct"/>
          </w:tcPr>
          <w:p w14:paraId="49157CDC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Názov:</w:t>
            </w:r>
          </w:p>
        </w:tc>
        <w:tc>
          <w:tcPr>
            <w:tcW w:w="3170" w:type="pct"/>
          </w:tcPr>
          <w:p w14:paraId="5863E627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cs="Times New Roman"/>
                <w:szCs w:val="24"/>
                <w:lang w:val="sk"/>
              </w:rPr>
              <w:t>Skupina Britského inštitútu pre normalizáciu (BSI) Holandsko BV</w:t>
            </w:r>
          </w:p>
        </w:tc>
      </w:tr>
      <w:tr w:rsidR="003074B3" w:rsidRPr="009461CC" w14:paraId="65281175" w14:textId="77777777" w:rsidTr="009709B4">
        <w:trPr>
          <w:trHeight w:val="728"/>
          <w:jc w:val="center"/>
        </w:trPr>
        <w:tc>
          <w:tcPr>
            <w:tcW w:w="1830" w:type="pct"/>
          </w:tcPr>
          <w:p w14:paraId="7941F5B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Adresa:</w:t>
            </w:r>
          </w:p>
        </w:tc>
        <w:tc>
          <w:tcPr>
            <w:tcW w:w="3170" w:type="pct"/>
          </w:tcPr>
          <w:p w14:paraId="727CFF1E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John M. Keynesplein 9</w:t>
            </w:r>
          </w:p>
          <w:p w14:paraId="4054093A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1066 EP Amsterdam</w:t>
            </w:r>
          </w:p>
          <w:p w14:paraId="72F2BC2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 xml:space="preserve"> Holandsko</w:t>
            </w:r>
          </w:p>
        </w:tc>
      </w:tr>
      <w:tr w:rsidR="003074B3" w:rsidRPr="009461CC" w14:paraId="7A858549" w14:textId="77777777" w:rsidTr="00272DEA">
        <w:trPr>
          <w:trHeight w:val="351"/>
          <w:jc w:val="center"/>
        </w:trPr>
        <w:tc>
          <w:tcPr>
            <w:tcW w:w="1830" w:type="pct"/>
          </w:tcPr>
          <w:p w14:paraId="4D329CD4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Webová stránka:</w:t>
            </w:r>
          </w:p>
        </w:tc>
        <w:tc>
          <w:tcPr>
            <w:tcW w:w="3170" w:type="pct"/>
          </w:tcPr>
          <w:p w14:paraId="29B75D5D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hyperlink r:id="rId13" w:history="1">
              <w:r>
                <w:rPr>
                  <w:rFonts w:eastAsia="Times New Roman" w:cs="Times New Roman"/>
                  <w:color w:val="0000FF"/>
                  <w:szCs w:val="24"/>
                  <w:u w:val="single"/>
                  <w:lang w:val="sk"/>
                </w:rPr>
                <w:t>www.bsigroup.com</w:t>
              </w:r>
            </w:hyperlink>
            <w:r>
              <w:rPr>
                <w:rFonts w:eastAsia="Times New Roman" w:cs="Times New Roman"/>
                <w:szCs w:val="24"/>
                <w:lang w:val="sk"/>
              </w:rPr>
              <w:t xml:space="preserve"> </w:t>
            </w:r>
          </w:p>
        </w:tc>
      </w:tr>
      <w:tr w:rsidR="003074B3" w:rsidRPr="009461CC" w14:paraId="242654B6" w14:textId="77777777" w:rsidTr="00272DEA">
        <w:trPr>
          <w:trHeight w:val="355"/>
          <w:jc w:val="center"/>
        </w:trPr>
        <w:tc>
          <w:tcPr>
            <w:tcW w:w="1830" w:type="pct"/>
          </w:tcPr>
          <w:p w14:paraId="6F572CD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Telefón:</w:t>
            </w:r>
          </w:p>
        </w:tc>
        <w:tc>
          <w:tcPr>
            <w:tcW w:w="3170" w:type="pct"/>
          </w:tcPr>
          <w:p w14:paraId="7E5F2BF5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+31 (0)20 346 07 80</w:t>
            </w:r>
          </w:p>
        </w:tc>
      </w:tr>
      <w:tr w:rsidR="003074B3" w:rsidRPr="009461CC" w14:paraId="3445789F" w14:textId="77777777" w:rsidTr="00272DEA">
        <w:trPr>
          <w:trHeight w:val="355"/>
          <w:jc w:val="center"/>
        </w:trPr>
        <w:tc>
          <w:tcPr>
            <w:tcW w:w="1830" w:type="pct"/>
          </w:tcPr>
          <w:p w14:paraId="6D8C8396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Fax:</w:t>
            </w:r>
          </w:p>
        </w:tc>
        <w:tc>
          <w:tcPr>
            <w:tcW w:w="3170" w:type="pct"/>
          </w:tcPr>
          <w:p w14:paraId="42A0F78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+31 (0)20 346 07 81</w:t>
            </w:r>
          </w:p>
        </w:tc>
      </w:tr>
      <w:tr w:rsidR="003074B3" w:rsidRPr="009461CC" w14:paraId="108563A6" w14:textId="77777777" w:rsidTr="00272DEA">
        <w:trPr>
          <w:trHeight w:val="323"/>
          <w:jc w:val="center"/>
        </w:trPr>
        <w:tc>
          <w:tcPr>
            <w:tcW w:w="1830" w:type="pct"/>
          </w:tcPr>
          <w:p w14:paraId="68313F8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 xml:space="preserve">Číslo notifikovaného orgánu: </w:t>
            </w:r>
            <w:r>
              <w:rPr>
                <w:rFonts w:eastAsia="Times New Roman" w:cs="Times New Roman"/>
                <w:szCs w:val="24"/>
                <w:lang w:val="sk"/>
              </w:rPr>
              <w:tab/>
            </w:r>
          </w:p>
        </w:tc>
        <w:tc>
          <w:tcPr>
            <w:tcW w:w="3170" w:type="pct"/>
          </w:tcPr>
          <w:p w14:paraId="445F211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sk"/>
              </w:rPr>
              <w:t>2797</w:t>
            </w:r>
          </w:p>
        </w:tc>
      </w:tr>
    </w:tbl>
    <w:p w14:paraId="49CBA632" w14:textId="77777777" w:rsidR="005C6A90" w:rsidRPr="009461CC" w:rsidRDefault="005C6A90" w:rsidP="00042B91">
      <w:pPr>
        <w:spacing w:after="0" w:afterAutospacing="0" w:line="240" w:lineRule="auto"/>
        <w:rPr>
          <w:rFonts w:cs="Times New Roman"/>
        </w:rPr>
      </w:pPr>
    </w:p>
    <w:p w14:paraId="708F564C" w14:textId="58CA8111" w:rsidR="00AA2E04" w:rsidRPr="009461CC" w:rsidRDefault="00AA2E0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" w:name="_Toc222741705"/>
      <w:r>
        <w:rPr>
          <w:rFonts w:cs="Times New Roman"/>
          <w:bCs/>
          <w:lang w:val="sk"/>
        </w:rPr>
        <w:t>Zamýšľané použitie/účel pomôcky</w:t>
      </w:r>
      <w:bookmarkEnd w:id="7"/>
      <w:r>
        <w:rPr>
          <w:rFonts w:cs="Times New Roman"/>
          <w:bCs/>
          <w:lang w:val="sk"/>
        </w:rPr>
        <w:t xml:space="preserve"> </w:t>
      </w:r>
    </w:p>
    <w:p w14:paraId="48603D86" w14:textId="3BAB4A94" w:rsidR="00D104AC" w:rsidRPr="009461CC" w:rsidRDefault="00D104AC" w:rsidP="00FB0A38">
      <w:pPr>
        <w:spacing w:after="0" w:afterAutospacing="0"/>
        <w:ind w:left="360"/>
        <w:rPr>
          <w:rFonts w:cs="Times New Roman"/>
        </w:rPr>
      </w:pPr>
      <w:r>
        <w:rPr>
          <w:rFonts w:cs="Times New Roman"/>
          <w:lang w:val="sk"/>
        </w:rPr>
        <w:t>Referencie:</w:t>
      </w:r>
    </w:p>
    <w:p w14:paraId="5CC3EE9B" w14:textId="1A780D49" w:rsidR="00042B91" w:rsidRPr="009461CC" w:rsidRDefault="00FE5B7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sk"/>
        </w:rPr>
        <w:t>Referenčné čísla: X9585730-0321-EU Rev A</w:t>
      </w:r>
    </w:p>
    <w:p w14:paraId="1254EE9F" w14:textId="77777777" w:rsidR="00FE5B73" w:rsidRPr="009461CC" w:rsidRDefault="00FE5B73" w:rsidP="00042B91">
      <w:pPr>
        <w:spacing w:after="0" w:afterAutospacing="0" w:line="240" w:lineRule="auto"/>
        <w:rPr>
          <w:rFonts w:cs="Times New Roman"/>
        </w:rPr>
      </w:pPr>
    </w:p>
    <w:p w14:paraId="39A6DB15" w14:textId="58ED6DAB" w:rsidR="006F0810" w:rsidRPr="009461CC" w:rsidRDefault="00B7112F" w:rsidP="00042B91">
      <w:pPr>
        <w:pStyle w:val="Heading1"/>
        <w:rPr>
          <w:rFonts w:cs="Times New Roman"/>
        </w:rPr>
      </w:pPr>
      <w:r>
        <w:rPr>
          <w:rFonts w:cs="Times New Roman"/>
          <w:bCs/>
          <w:lang w:val="sk"/>
        </w:rPr>
        <w:t xml:space="preserve"> </w:t>
      </w:r>
      <w:bookmarkStart w:id="8" w:name="_Toc222741706"/>
      <w:r>
        <w:rPr>
          <w:rFonts w:cs="Times New Roman"/>
          <w:bCs/>
          <w:lang w:val="sk"/>
        </w:rPr>
        <w:t>Zamýšľaný účel/zamýšľané použitie</w:t>
      </w:r>
      <w:bookmarkEnd w:id="8"/>
    </w:p>
    <w:p w14:paraId="5F55F24F" w14:textId="20556298" w:rsidR="009B569A" w:rsidRPr="009461CC" w:rsidRDefault="00B82FB3" w:rsidP="00B82FB3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sk"/>
        </w:rPr>
        <w:lastRenderedPageBreak/>
        <w:t>Určená na použitie v kardiovaskulárnom systéme alebo viskóznych dutinách na vyhľadávanie a manipuláciu s cudzími predmetmi.</w:t>
      </w:r>
    </w:p>
    <w:p w14:paraId="0540FB4C" w14:textId="6BE36C7A" w:rsidR="006F0810" w:rsidRPr="009461CC" w:rsidRDefault="006F0810" w:rsidP="00042B91">
      <w:pPr>
        <w:pStyle w:val="Heading1"/>
        <w:rPr>
          <w:rFonts w:cs="Times New Roman"/>
        </w:rPr>
      </w:pPr>
      <w:bookmarkStart w:id="9" w:name="_Toc222741707"/>
      <w:r>
        <w:rPr>
          <w:rFonts w:cs="Times New Roman"/>
          <w:bCs/>
          <w:lang w:val="sk"/>
        </w:rPr>
        <w:t>Návod na použitie</w:t>
      </w:r>
      <w:bookmarkEnd w:id="9"/>
    </w:p>
    <w:p w14:paraId="24ADD508" w14:textId="77777777" w:rsidR="00235AAE" w:rsidRPr="00EA261A" w:rsidRDefault="00235AAE" w:rsidP="00235AAE">
      <w:pPr>
        <w:widowControl w:val="0"/>
        <w:rPr>
          <w:rFonts w:cs="Times New Roman"/>
          <w:lang w:val="sk"/>
        </w:rPr>
      </w:pPr>
      <w:r>
        <w:rPr>
          <w:rFonts w:cs="Times New Roman"/>
          <w:lang w:val="sk"/>
        </w:rPr>
        <w:t>Určená na použitie v kardiovaskulárnom systéme alebo viskóznych dutinách na vyhľadávanie a manipuláciu s cudzími predmetmi. Manipulačné postupy zahŕňajú zmenu polohy vnútrožilového katétra, odstraňovanie fibrínového povlaku vnútrožilového katétra a asistenciu pri punkcii centrálneho žilového prístupu.</w:t>
      </w:r>
    </w:p>
    <w:p w14:paraId="498EAE44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0" w:name="_Toc222741708"/>
      <w:r>
        <w:rPr>
          <w:rFonts w:cs="Times New Roman"/>
          <w:bCs/>
          <w:lang w:val="sk"/>
        </w:rPr>
        <w:t>Cieľová populácia</w:t>
      </w:r>
      <w:bookmarkEnd w:id="10"/>
    </w:p>
    <w:p w14:paraId="099A3585" w14:textId="77777777" w:rsidR="003B70D7" w:rsidRPr="009461CC" w:rsidRDefault="003B70D7" w:rsidP="005A1E4B">
      <w:pPr>
        <w:pStyle w:val="pf0"/>
        <w:widowControl w:val="0"/>
        <w:spacing w:before="0" w:beforeAutospacing="0" w:after="0" w:afterAutospacing="0"/>
      </w:pPr>
      <w:r>
        <w:rPr>
          <w:lang w:val="sk"/>
        </w:rPr>
        <w:t>Dospelí pacienti vrátane starších dospelých, akéhokoľvek pohlavia, rasy alebo etnickej príslušnosti.</w:t>
      </w:r>
    </w:p>
    <w:p w14:paraId="3621B4F1" w14:textId="77777777" w:rsidR="003B70D7" w:rsidRPr="009461CC" w:rsidRDefault="003B70D7" w:rsidP="003B70D7">
      <w:pPr>
        <w:pStyle w:val="pf0"/>
        <w:widowControl w:val="0"/>
        <w:spacing w:before="0" w:beforeAutospacing="0" w:after="0" w:afterAutospacing="0"/>
      </w:pPr>
    </w:p>
    <w:p w14:paraId="28F544BD" w14:textId="4F93A450" w:rsidR="006F0810" w:rsidRPr="009461CC" w:rsidRDefault="006F0810" w:rsidP="00042B91">
      <w:pPr>
        <w:pStyle w:val="Heading1"/>
        <w:rPr>
          <w:rFonts w:cs="Times New Roman"/>
        </w:rPr>
      </w:pPr>
      <w:bookmarkStart w:id="11" w:name="_Toc222741709"/>
      <w:r>
        <w:rPr>
          <w:rFonts w:cs="Times New Roman"/>
          <w:bCs/>
          <w:lang w:val="sk"/>
        </w:rPr>
        <w:t>Kontraindikácie</w:t>
      </w:r>
      <w:bookmarkEnd w:id="11"/>
    </w:p>
    <w:p w14:paraId="169E24EB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cs="Times New Roman"/>
          <w:color w:val="000000"/>
          <w:lang w:val="sk"/>
        </w:rPr>
        <w:t>Toto zariadenie nie je určené na odstraňovanie cudzích predmetov zachytených v dôsledku rastu tkaniva.</w:t>
      </w:r>
      <w:r>
        <w:rPr>
          <w:rFonts w:cs="Times New Roman"/>
          <w:color w:val="4472C4" w:themeColor="accent1"/>
          <w:lang w:val="sk"/>
        </w:rPr>
        <w:t>.</w:t>
      </w:r>
    </w:p>
    <w:p w14:paraId="4BFB00B8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sk"/>
        </w:rPr>
        <w:t>Prístroj by sa nemal používať na odstraňovanie fibrínového puzdra v prípade defektov septa s patentným foramen ovale.</w:t>
      </w:r>
    </w:p>
    <w:p w14:paraId="77577945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sk"/>
        </w:rPr>
        <w:t>Táto pomôcka nie je určená na odstránenie implantovaných stimulačných elektród.</w:t>
      </w:r>
    </w:p>
    <w:p w14:paraId="764D1032" w14:textId="77777777" w:rsidR="00761873" w:rsidRPr="009461CC" w:rsidRDefault="00761873" w:rsidP="00761873">
      <w:pPr>
        <w:pStyle w:val="ListParagraph"/>
        <w:spacing w:after="0" w:afterAutospacing="0"/>
        <w:ind w:left="1440"/>
        <w:rPr>
          <w:rFonts w:cs="Times New Roman"/>
        </w:rPr>
      </w:pPr>
    </w:p>
    <w:p w14:paraId="0A9D601E" w14:textId="53FB771D" w:rsidR="00760400" w:rsidRPr="009461CC" w:rsidRDefault="00D20FA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2" w:name="_Toc222741710"/>
      <w:r>
        <w:rPr>
          <w:rFonts w:cs="Times New Roman"/>
          <w:bCs/>
          <w:lang w:val="sk"/>
        </w:rPr>
        <w:t>Opis pomôcky</w:t>
      </w:r>
      <w:bookmarkEnd w:id="12"/>
    </w:p>
    <w:p w14:paraId="7115673A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33649869" w14:textId="52085753" w:rsidR="00D20FA4" w:rsidRPr="009461CC" w:rsidRDefault="00D20FA4" w:rsidP="00042B91">
      <w:pPr>
        <w:pStyle w:val="Heading1"/>
        <w:rPr>
          <w:rFonts w:cs="Times New Roman"/>
        </w:rPr>
      </w:pPr>
      <w:bookmarkStart w:id="13" w:name="_Toc222741711"/>
      <w:r>
        <w:rPr>
          <w:rFonts w:cs="Times New Roman"/>
          <w:bCs/>
          <w:lang w:val="sk"/>
        </w:rPr>
        <w:t>Opis pomôcky</w:t>
      </w:r>
      <w:bookmarkEnd w:id="13"/>
      <w:r>
        <w:rPr>
          <w:rFonts w:cs="Times New Roman"/>
          <w:bCs/>
          <w:lang w:val="sk"/>
        </w:rPr>
        <w:t xml:space="preserve"> </w:t>
      </w:r>
    </w:p>
    <w:p w14:paraId="3DAFEC6E" w14:textId="5053E6C6" w:rsidR="00994DB9" w:rsidRPr="00EA261A" w:rsidRDefault="00994DB9" w:rsidP="00994DB9">
      <w:pPr>
        <w:rPr>
          <w:rFonts w:cs="Times New Roman"/>
          <w:lang w:val="sk"/>
        </w:rPr>
      </w:pPr>
      <w:bookmarkStart w:id="14" w:name="_Hlk169187630"/>
      <w:r>
        <w:rPr>
          <w:rFonts w:cs="Times New Roman"/>
          <w:lang w:val="sk"/>
        </w:rPr>
        <w:t>Súprava Atrieve™ Vascular Snare Kit obsahuje pomôcku Snare s tromi predformovanými slučkami vyrobenými zo superelastického nitinolu a platiny. Slučky sú neprepletené a môžu sa navzájom posúvať. Slučky Snare možno zaviesť do podávacieho katétra bez rizika trvalej deformácie pomôcky. Súprava Atrieve</w:t>
      </w:r>
      <w:r>
        <w:rPr>
          <w:rFonts w:cs="Times New Roman"/>
          <w:vertAlign w:val="superscript"/>
          <w:lang w:val="sk"/>
        </w:rPr>
        <w:t>TM</w:t>
      </w:r>
      <w:r>
        <w:rPr>
          <w:rFonts w:cs="Times New Roman"/>
          <w:lang w:val="sk"/>
        </w:rPr>
        <w:t xml:space="preserve"> Vascular Snare Kit sa skladá zo podávacieho katétra, momentovej rukoväte a zavádzača. Podávací katéter má na distálnom konci rádiopriepustný značkovací pásik. Produkt je dodávaný zabalený v ochrannom držiaku s obručou. Pomôcka je určená na jednorazové použitie a dodáva sa sterilná (etylénoxid) pripravená na použitie.</w:t>
      </w:r>
    </w:p>
    <w:p w14:paraId="210E0750" w14:textId="77777777" w:rsidR="00994DB9" w:rsidRPr="00EA261A" w:rsidRDefault="00994DB9" w:rsidP="00994DB9">
      <w:pPr>
        <w:rPr>
          <w:rFonts w:cs="Times New Roman"/>
          <w:lang w:val="sk"/>
        </w:rPr>
      </w:pPr>
      <w:r>
        <w:rPr>
          <w:rFonts w:cs="Times New Roman"/>
          <w:lang w:val="sk"/>
        </w:rPr>
        <w:t>Súprava Atrieve™ Vascular Snare Kit je dostupná v nasledujúcich veľkostiach: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4"/>
        <w:gridCol w:w="2658"/>
        <w:gridCol w:w="2343"/>
        <w:gridCol w:w="2605"/>
      </w:tblGrid>
      <w:tr w:rsidR="00994DB9" w:rsidRPr="009461CC" w14:paraId="5ADE64F6" w14:textId="77777777" w:rsidTr="0022766F">
        <w:tc>
          <w:tcPr>
            <w:tcW w:w="1354" w:type="pct"/>
          </w:tcPr>
          <w:p w14:paraId="323B494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Rozsah priemerov slučky</w:t>
            </w:r>
          </w:p>
        </w:tc>
        <w:tc>
          <w:tcPr>
            <w:tcW w:w="1274" w:type="pct"/>
          </w:tcPr>
          <w:p w14:paraId="2775F72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Dĺžka slučky</w:t>
            </w:r>
          </w:p>
        </w:tc>
        <w:tc>
          <w:tcPr>
            <w:tcW w:w="1123" w:type="pct"/>
          </w:tcPr>
          <w:p w14:paraId="7396E03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Dodávaná veľkosť</w:t>
            </w:r>
          </w:p>
        </w:tc>
        <w:tc>
          <w:tcPr>
            <w:tcW w:w="1250" w:type="pct"/>
          </w:tcPr>
          <w:p w14:paraId="7E248A6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Dĺžka katétra</w:t>
            </w:r>
          </w:p>
        </w:tc>
      </w:tr>
      <w:tr w:rsidR="00994DB9" w:rsidRPr="009461CC" w14:paraId="41F89C56" w14:textId="77777777" w:rsidTr="0022766F">
        <w:tc>
          <w:tcPr>
            <w:tcW w:w="1354" w:type="pct"/>
          </w:tcPr>
          <w:p w14:paraId="20D41F9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2 – 4 mm</w:t>
            </w:r>
          </w:p>
        </w:tc>
        <w:tc>
          <w:tcPr>
            <w:tcW w:w="1274" w:type="pct"/>
          </w:tcPr>
          <w:p w14:paraId="04CC9EC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175 cm</w:t>
            </w:r>
          </w:p>
        </w:tc>
        <w:tc>
          <w:tcPr>
            <w:tcW w:w="1123" w:type="pct"/>
          </w:tcPr>
          <w:p w14:paraId="38F2FCC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3,2 F</w:t>
            </w:r>
          </w:p>
        </w:tc>
        <w:tc>
          <w:tcPr>
            <w:tcW w:w="1250" w:type="pct"/>
          </w:tcPr>
          <w:p w14:paraId="5CD712C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150 cm</w:t>
            </w:r>
          </w:p>
        </w:tc>
      </w:tr>
      <w:tr w:rsidR="00994DB9" w:rsidRPr="009461CC" w14:paraId="5428D0A0" w14:textId="77777777" w:rsidTr="0022766F">
        <w:tc>
          <w:tcPr>
            <w:tcW w:w="1354" w:type="pct"/>
          </w:tcPr>
          <w:p w14:paraId="7992579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4 – 8 mm</w:t>
            </w:r>
          </w:p>
        </w:tc>
        <w:tc>
          <w:tcPr>
            <w:tcW w:w="1274" w:type="pct"/>
          </w:tcPr>
          <w:p w14:paraId="7E385A6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175 cm</w:t>
            </w:r>
          </w:p>
        </w:tc>
        <w:tc>
          <w:tcPr>
            <w:tcW w:w="1123" w:type="pct"/>
          </w:tcPr>
          <w:p w14:paraId="52F22EE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3,2 F</w:t>
            </w:r>
          </w:p>
        </w:tc>
        <w:tc>
          <w:tcPr>
            <w:tcW w:w="1250" w:type="pct"/>
          </w:tcPr>
          <w:p w14:paraId="2FFE91B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150 cm</w:t>
            </w:r>
          </w:p>
        </w:tc>
      </w:tr>
      <w:tr w:rsidR="00994DB9" w:rsidRPr="009461CC" w14:paraId="1CBE6E3D" w14:textId="77777777" w:rsidTr="0022766F">
        <w:tc>
          <w:tcPr>
            <w:tcW w:w="1354" w:type="pct"/>
          </w:tcPr>
          <w:p w14:paraId="3CD87E5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6 – 10 mm</w:t>
            </w:r>
          </w:p>
        </w:tc>
        <w:tc>
          <w:tcPr>
            <w:tcW w:w="1274" w:type="pct"/>
          </w:tcPr>
          <w:p w14:paraId="58739EE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120 cm</w:t>
            </w:r>
          </w:p>
        </w:tc>
        <w:tc>
          <w:tcPr>
            <w:tcW w:w="1123" w:type="pct"/>
          </w:tcPr>
          <w:p w14:paraId="66A2FE52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6 F</w:t>
            </w:r>
          </w:p>
        </w:tc>
        <w:tc>
          <w:tcPr>
            <w:tcW w:w="1250" w:type="pct"/>
          </w:tcPr>
          <w:p w14:paraId="16036EC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100 cm</w:t>
            </w:r>
          </w:p>
        </w:tc>
      </w:tr>
      <w:tr w:rsidR="00994DB9" w:rsidRPr="009461CC" w14:paraId="7137F3A0" w14:textId="77777777" w:rsidTr="0022766F">
        <w:tc>
          <w:tcPr>
            <w:tcW w:w="1354" w:type="pct"/>
          </w:tcPr>
          <w:p w14:paraId="5097E3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9 – 15 mm</w:t>
            </w:r>
          </w:p>
        </w:tc>
        <w:tc>
          <w:tcPr>
            <w:tcW w:w="1274" w:type="pct"/>
          </w:tcPr>
          <w:p w14:paraId="6E08B1BC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120 cm</w:t>
            </w:r>
          </w:p>
        </w:tc>
        <w:tc>
          <w:tcPr>
            <w:tcW w:w="1123" w:type="pct"/>
          </w:tcPr>
          <w:p w14:paraId="5E975E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6 F</w:t>
            </w:r>
          </w:p>
        </w:tc>
        <w:tc>
          <w:tcPr>
            <w:tcW w:w="1250" w:type="pct"/>
          </w:tcPr>
          <w:p w14:paraId="701503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100 cm</w:t>
            </w:r>
          </w:p>
        </w:tc>
      </w:tr>
      <w:tr w:rsidR="00994DB9" w:rsidRPr="009461CC" w14:paraId="6873E431" w14:textId="77777777" w:rsidTr="0022766F">
        <w:tc>
          <w:tcPr>
            <w:tcW w:w="1354" w:type="pct"/>
          </w:tcPr>
          <w:p w14:paraId="0A8A227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12 – 20 mm</w:t>
            </w:r>
          </w:p>
        </w:tc>
        <w:tc>
          <w:tcPr>
            <w:tcW w:w="1274" w:type="pct"/>
          </w:tcPr>
          <w:p w14:paraId="7058BA8B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120 cm</w:t>
            </w:r>
          </w:p>
        </w:tc>
        <w:tc>
          <w:tcPr>
            <w:tcW w:w="1123" w:type="pct"/>
          </w:tcPr>
          <w:p w14:paraId="16F950B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6 F</w:t>
            </w:r>
          </w:p>
        </w:tc>
        <w:tc>
          <w:tcPr>
            <w:tcW w:w="1250" w:type="pct"/>
          </w:tcPr>
          <w:p w14:paraId="759B78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100 cm</w:t>
            </w:r>
          </w:p>
        </w:tc>
      </w:tr>
      <w:tr w:rsidR="00994DB9" w:rsidRPr="009461CC" w14:paraId="52111BAB" w14:textId="77777777" w:rsidTr="0022766F">
        <w:tc>
          <w:tcPr>
            <w:tcW w:w="1354" w:type="pct"/>
          </w:tcPr>
          <w:p w14:paraId="41061D9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18 – 30 mm</w:t>
            </w:r>
          </w:p>
        </w:tc>
        <w:tc>
          <w:tcPr>
            <w:tcW w:w="1274" w:type="pct"/>
          </w:tcPr>
          <w:p w14:paraId="22AB0CD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120 cm</w:t>
            </w:r>
          </w:p>
        </w:tc>
        <w:tc>
          <w:tcPr>
            <w:tcW w:w="1123" w:type="pct"/>
          </w:tcPr>
          <w:p w14:paraId="17196BA8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7 F</w:t>
            </w:r>
          </w:p>
        </w:tc>
        <w:tc>
          <w:tcPr>
            <w:tcW w:w="1250" w:type="pct"/>
          </w:tcPr>
          <w:p w14:paraId="4543B8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100 cm</w:t>
            </w:r>
          </w:p>
        </w:tc>
      </w:tr>
      <w:tr w:rsidR="00994DB9" w:rsidRPr="009461CC" w14:paraId="3F7A77C7" w14:textId="77777777" w:rsidTr="0022766F">
        <w:tc>
          <w:tcPr>
            <w:tcW w:w="1354" w:type="pct"/>
          </w:tcPr>
          <w:p w14:paraId="755F3FE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27 – 45 mm</w:t>
            </w:r>
          </w:p>
        </w:tc>
        <w:tc>
          <w:tcPr>
            <w:tcW w:w="1274" w:type="pct"/>
          </w:tcPr>
          <w:p w14:paraId="622306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120 cm</w:t>
            </w:r>
          </w:p>
        </w:tc>
        <w:tc>
          <w:tcPr>
            <w:tcW w:w="1123" w:type="pct"/>
          </w:tcPr>
          <w:p w14:paraId="74C46753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7 F</w:t>
            </w:r>
          </w:p>
        </w:tc>
        <w:tc>
          <w:tcPr>
            <w:tcW w:w="1250" w:type="pct"/>
          </w:tcPr>
          <w:p w14:paraId="2DBCCFB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sk"/>
              </w:rPr>
              <w:t>100 cm</w:t>
            </w:r>
          </w:p>
        </w:tc>
      </w:tr>
    </w:tbl>
    <w:p w14:paraId="5D27461E" w14:textId="77777777" w:rsidR="000F4DF1" w:rsidRPr="009461CC" w:rsidRDefault="000F4DF1" w:rsidP="00994DB9">
      <w:pPr>
        <w:rPr>
          <w:rFonts w:cs="Times New Roman"/>
        </w:rPr>
      </w:pPr>
    </w:p>
    <w:p w14:paraId="4C7769AE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5" w:name="_Toc222741712"/>
      <w:bookmarkEnd w:id="14"/>
      <w:r>
        <w:rPr>
          <w:rFonts w:cs="Times New Roman"/>
          <w:bCs/>
          <w:lang w:val="sk"/>
        </w:rPr>
        <w:t>Predchádzajúce varianty a ich rozdiely</w:t>
      </w:r>
      <w:bookmarkEnd w:id="15"/>
    </w:p>
    <w:p w14:paraId="060329F5" w14:textId="3AA8BB73" w:rsidR="00042B91" w:rsidRPr="00EA261A" w:rsidRDefault="009D7E33" w:rsidP="007B0F04">
      <w:pPr>
        <w:ind w:left="792"/>
        <w:rPr>
          <w:rFonts w:cs="Times New Roman"/>
          <w:lang w:val="it-IT"/>
        </w:rPr>
      </w:pPr>
      <w:r>
        <w:rPr>
          <w:rFonts w:cs="Times New Roman"/>
          <w:lang w:val="sk"/>
        </w:rPr>
        <w:lastRenderedPageBreak/>
        <w:t>Táto časť sa neuplatňuje (neuvádza sa).</w:t>
      </w:r>
    </w:p>
    <w:p w14:paraId="26363C05" w14:textId="77777777" w:rsidR="00760400" w:rsidRPr="00EA261A" w:rsidRDefault="00760400" w:rsidP="00042B91">
      <w:pPr>
        <w:pStyle w:val="Heading1"/>
        <w:rPr>
          <w:rFonts w:cs="Times New Roman"/>
          <w:lang w:val="it-IT"/>
        </w:rPr>
      </w:pPr>
      <w:bookmarkStart w:id="16" w:name="_Toc222741713"/>
      <w:r>
        <w:rPr>
          <w:rFonts w:cs="Times New Roman"/>
          <w:bCs/>
          <w:lang w:val="sk"/>
        </w:rPr>
        <w:t>Príslušenstvo, kompatibilné pomôcky a ďalšie produkty používané v kombinácii</w:t>
      </w:r>
      <w:bookmarkEnd w:id="16"/>
    </w:p>
    <w:p w14:paraId="21F32064" w14:textId="1C156DEB" w:rsidR="00C02BC0" w:rsidRPr="00EA261A" w:rsidRDefault="00C02BC0" w:rsidP="007B0F04">
      <w:pPr>
        <w:spacing w:after="0" w:afterAutospacing="0"/>
        <w:ind w:left="792"/>
        <w:rPr>
          <w:rFonts w:cs="Times New Roman"/>
          <w:lang w:val="it-IT"/>
        </w:rPr>
      </w:pPr>
      <w:r>
        <w:rPr>
          <w:rFonts w:cs="Times New Roman"/>
          <w:lang w:val="sk"/>
        </w:rPr>
        <w:t>Príslušenstvo súpravy Atrieve Vascular Snare Kit zahŕňa podávací katéter, zavádzač a momentovú rukoväť (zverák na kolíky).</w:t>
      </w:r>
    </w:p>
    <w:p w14:paraId="17CCC4B6" w14:textId="77777777" w:rsidR="00042B91" w:rsidRPr="00EA261A" w:rsidRDefault="00042B91" w:rsidP="00042B91">
      <w:pPr>
        <w:spacing w:after="0" w:afterAutospacing="0" w:line="240" w:lineRule="auto"/>
        <w:rPr>
          <w:rFonts w:cs="Times New Roman"/>
          <w:i/>
          <w:color w:val="FF0000"/>
          <w:lang w:val="it-IT"/>
        </w:rPr>
      </w:pPr>
    </w:p>
    <w:p w14:paraId="45C0A245" w14:textId="61A622A4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7" w:name="_Toc222741714"/>
      <w:r>
        <w:rPr>
          <w:rFonts w:cs="Times New Roman"/>
          <w:bCs/>
          <w:lang w:val="sk"/>
        </w:rPr>
        <w:t>Riziká a varovania</w:t>
      </w:r>
      <w:bookmarkEnd w:id="17"/>
    </w:p>
    <w:p w14:paraId="3D8BE6E3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04F70349" w14:textId="6FD2DA8D" w:rsidR="008745ED" w:rsidRPr="009461CC" w:rsidRDefault="008745ED" w:rsidP="00042B91">
      <w:pPr>
        <w:pStyle w:val="Heading1"/>
        <w:rPr>
          <w:rFonts w:cs="Times New Roman"/>
        </w:rPr>
      </w:pPr>
      <w:bookmarkStart w:id="18" w:name="_Toc222741715"/>
      <w:r>
        <w:rPr>
          <w:rFonts w:cs="Times New Roman"/>
          <w:bCs/>
          <w:lang w:val="sk"/>
        </w:rPr>
        <w:t>Zvyškové riziká a nežiaduce vedľajšie účinky</w:t>
      </w:r>
      <w:bookmarkEnd w:id="18"/>
    </w:p>
    <w:p w14:paraId="2F64097C" w14:textId="607FF4A5" w:rsidR="00D15BBE" w:rsidRPr="009461CC" w:rsidRDefault="00C64987" w:rsidP="008D7F1C">
      <w:pPr>
        <w:ind w:left="792"/>
        <w:rPr>
          <w:rFonts w:cs="Times New Roman"/>
        </w:rPr>
      </w:pPr>
      <w:r>
        <w:rPr>
          <w:rFonts w:cs="Times New Roman"/>
          <w:lang w:val="sk"/>
        </w:rPr>
        <w:t xml:space="preserve">Podľa RMR-0011 Rev H je uvedený nasledujúci profil rizika a prínosu produktu: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086"/>
        <w:gridCol w:w="2416"/>
        <w:gridCol w:w="3555"/>
      </w:tblGrid>
      <w:tr w:rsidR="00453251" w:rsidRPr="009461CC" w14:paraId="15FC12E9" w14:textId="77777777" w:rsidTr="00453251">
        <w:trPr>
          <w:trHeight w:val="620"/>
        </w:trPr>
        <w:tc>
          <w:tcPr>
            <w:tcW w:w="1138" w:type="pct"/>
            <w:shd w:val="clear" w:color="auto" w:fill="BFBFBF"/>
            <w:vAlign w:val="center"/>
          </w:tcPr>
          <w:p w14:paraId="024816D8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k"/>
              </w:rPr>
              <w:t>Výsledok</w:t>
            </w:r>
            <w:bookmarkStart w:id="19" w:name="_Toc86391902"/>
            <w:bookmarkEnd w:id="19"/>
          </w:p>
        </w:tc>
        <w:tc>
          <w:tcPr>
            <w:tcW w:w="1000" w:type="pct"/>
            <w:shd w:val="clear" w:color="auto" w:fill="BFBFBF"/>
          </w:tcPr>
          <w:p w14:paraId="22A108A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k"/>
              </w:rPr>
              <w:t>SOA</w:t>
            </w:r>
            <w:r>
              <w:rPr>
                <w:rFonts w:ascii="Times New Roman" w:hAnsi="Times New Roman" w:cs="Times New Roman"/>
                <w:lang w:val="sk"/>
              </w:rPr>
              <w:br/>
              <w:t>Celkový dosah</w:t>
            </w:r>
          </w:p>
        </w:tc>
        <w:tc>
          <w:tcPr>
            <w:tcW w:w="1158" w:type="pct"/>
            <w:shd w:val="clear" w:color="auto" w:fill="BFBFBF"/>
            <w:vAlign w:val="center"/>
          </w:tcPr>
          <w:p w14:paraId="16D6B523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k"/>
              </w:rPr>
              <w:t>Konkurenčná pomôcka</w:t>
            </w:r>
          </w:p>
          <w:p w14:paraId="45EFB37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k"/>
              </w:rPr>
              <w:t>Celkový dosah</w:t>
            </w:r>
            <w:bookmarkStart w:id="20" w:name="_Toc86391905"/>
            <w:bookmarkEnd w:id="20"/>
          </w:p>
        </w:tc>
        <w:tc>
          <w:tcPr>
            <w:tcW w:w="1704" w:type="pct"/>
            <w:shd w:val="clear" w:color="auto" w:fill="BFBFBF"/>
            <w:vAlign w:val="center"/>
          </w:tcPr>
          <w:p w14:paraId="17C5AFF5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k"/>
              </w:rPr>
              <w:t>Kritériá prijatia</w:t>
            </w:r>
            <w:bookmarkStart w:id="21" w:name="_Toc86391906"/>
            <w:bookmarkEnd w:id="21"/>
          </w:p>
        </w:tc>
        <w:bookmarkStart w:id="22" w:name="_Toc86391907"/>
        <w:bookmarkEnd w:id="22"/>
      </w:tr>
      <w:tr w:rsidR="00453251" w:rsidRPr="009461CC" w14:paraId="5B41AE2D" w14:textId="77777777" w:rsidTr="00453251">
        <w:tc>
          <w:tcPr>
            <w:tcW w:w="5000" w:type="pct"/>
            <w:gridSpan w:val="4"/>
            <w:shd w:val="clear" w:color="auto" w:fill="D9D9D9"/>
          </w:tcPr>
          <w:p w14:paraId="026E445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Bezpečnosť</w:t>
            </w:r>
          </w:p>
        </w:tc>
      </w:tr>
      <w:tr w:rsidR="00453251" w:rsidRPr="009461CC" w14:paraId="2ECEC40D" w14:textId="77777777" w:rsidTr="00453251">
        <w:tc>
          <w:tcPr>
            <w:tcW w:w="1138" w:type="pct"/>
          </w:tcPr>
          <w:p w14:paraId="01C3E100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Krvácanie</w:t>
            </w:r>
            <w:bookmarkStart w:id="23" w:name="_Toc86391910"/>
            <w:bookmarkEnd w:id="23"/>
          </w:p>
        </w:tc>
        <w:tc>
          <w:tcPr>
            <w:tcW w:w="1000" w:type="pct"/>
            <w:vAlign w:val="center"/>
          </w:tcPr>
          <w:p w14:paraId="529B6FA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0 – 3 %</w:t>
            </w:r>
          </w:p>
        </w:tc>
        <w:tc>
          <w:tcPr>
            <w:tcW w:w="1158" w:type="pct"/>
            <w:vAlign w:val="center"/>
          </w:tcPr>
          <w:p w14:paraId="30172B6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4" w:name="_Toc86391913"/>
            <w:bookmarkStart w:id="25" w:name="_Toc86391911"/>
            <w:bookmarkEnd w:id="24"/>
            <w:bookmarkEnd w:id="25"/>
            <w:r>
              <w:rPr>
                <w:rFonts w:ascii="Times New Roman" w:hAnsi="Times New Roman" w:cs="Times New Roman"/>
                <w:iCs w:val="0"/>
                <w:lang w:val="sk"/>
              </w:rPr>
              <w:t>0 – 0,6 %</w:t>
            </w:r>
          </w:p>
        </w:tc>
        <w:tc>
          <w:tcPr>
            <w:tcW w:w="1704" w:type="pct"/>
            <w:vAlign w:val="center"/>
          </w:tcPr>
          <w:p w14:paraId="03E978D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26" w:name="_Toc86391914"/>
            <w:bookmarkEnd w:id="26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Miera krvácania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menej ako 3 %</w:t>
            </w:r>
          </w:p>
        </w:tc>
        <w:bookmarkStart w:id="27" w:name="_Toc86391915"/>
        <w:bookmarkEnd w:id="27"/>
      </w:tr>
      <w:tr w:rsidR="00453251" w:rsidRPr="00EA261A" w14:paraId="770200CA" w14:textId="77777777" w:rsidTr="00453251">
        <w:tc>
          <w:tcPr>
            <w:tcW w:w="1138" w:type="pct"/>
          </w:tcPr>
          <w:p w14:paraId="4D43F3AC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Perforácia/poškodenie tkaniva</w:t>
            </w:r>
            <w:bookmarkStart w:id="28" w:name="_Toc86391916"/>
            <w:bookmarkEnd w:id="28"/>
          </w:p>
        </w:tc>
        <w:tc>
          <w:tcPr>
            <w:tcW w:w="1000" w:type="pct"/>
            <w:vAlign w:val="center"/>
          </w:tcPr>
          <w:p w14:paraId="42E7FC3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0 – 1,7 %</w:t>
            </w:r>
          </w:p>
        </w:tc>
        <w:tc>
          <w:tcPr>
            <w:tcW w:w="1158" w:type="pct"/>
            <w:vAlign w:val="center"/>
          </w:tcPr>
          <w:p w14:paraId="58C428BE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9" w:name="_Toc86391919"/>
            <w:bookmarkStart w:id="30" w:name="_Toc86391917"/>
            <w:bookmarkEnd w:id="29"/>
            <w:bookmarkEnd w:id="30"/>
            <w:r>
              <w:rPr>
                <w:rFonts w:ascii="Times New Roman" w:hAnsi="Times New Roman" w:cs="Times New Roman"/>
                <w:iCs w:val="0"/>
                <w:lang w:val="sk"/>
              </w:rPr>
              <w:t>0 – 4,0 %</w:t>
            </w:r>
          </w:p>
        </w:tc>
        <w:tc>
          <w:tcPr>
            <w:tcW w:w="1704" w:type="pct"/>
            <w:vAlign w:val="center"/>
          </w:tcPr>
          <w:p w14:paraId="785BDB89" w14:textId="77777777" w:rsidR="00453251" w:rsidRPr="00EA261A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  <w:lang w:val="it-IT"/>
              </w:rPr>
            </w:pPr>
            <w:bookmarkStart w:id="31" w:name="_Toc86391920"/>
            <w:bookmarkEnd w:id="31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Miera perforácie / poškodenia tkaniva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menej ako 4 %</w:t>
            </w:r>
          </w:p>
        </w:tc>
        <w:bookmarkStart w:id="32" w:name="_Toc86391921"/>
        <w:bookmarkEnd w:id="32"/>
      </w:tr>
      <w:tr w:rsidR="00453251" w:rsidRPr="009461CC" w14:paraId="3D17E0CA" w14:textId="77777777" w:rsidTr="00453251">
        <w:tc>
          <w:tcPr>
            <w:tcW w:w="1138" w:type="pct"/>
          </w:tcPr>
          <w:p w14:paraId="22E5467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Vzduchová embólia</w:t>
            </w:r>
            <w:bookmarkStart w:id="33" w:name="_Toc86391922"/>
            <w:bookmarkEnd w:id="33"/>
          </w:p>
        </w:tc>
        <w:tc>
          <w:tcPr>
            <w:tcW w:w="1000" w:type="pct"/>
            <w:vAlign w:val="center"/>
          </w:tcPr>
          <w:p w14:paraId="50CDDBB0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0 – 2,1 %</w:t>
            </w:r>
          </w:p>
        </w:tc>
        <w:tc>
          <w:tcPr>
            <w:tcW w:w="1158" w:type="pct"/>
            <w:vAlign w:val="center"/>
          </w:tcPr>
          <w:p w14:paraId="0471C43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4" w:name="_Toc86391925"/>
            <w:bookmarkStart w:id="35" w:name="_Toc86391923"/>
            <w:bookmarkEnd w:id="34"/>
            <w:bookmarkEnd w:id="35"/>
            <w:r>
              <w:rPr>
                <w:rFonts w:ascii="Times New Roman" w:hAnsi="Times New Roman" w:cs="Times New Roman"/>
                <w:iCs w:val="0"/>
                <w:lang w:val="sk"/>
              </w:rPr>
              <w:t>0 – 0,6 %</w:t>
            </w:r>
          </w:p>
        </w:tc>
        <w:tc>
          <w:tcPr>
            <w:tcW w:w="1704" w:type="pct"/>
            <w:vAlign w:val="center"/>
          </w:tcPr>
          <w:p w14:paraId="1B80F3DB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36" w:name="_Toc86391926"/>
            <w:bookmarkEnd w:id="36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Embólia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menej ako 2,1 %</w:t>
            </w:r>
          </w:p>
        </w:tc>
        <w:bookmarkStart w:id="37" w:name="_Toc86391927"/>
        <w:bookmarkEnd w:id="37"/>
      </w:tr>
      <w:tr w:rsidR="00453251" w:rsidRPr="009461CC" w14:paraId="33FEDA6C" w14:textId="77777777" w:rsidTr="00453251">
        <w:tc>
          <w:tcPr>
            <w:tcW w:w="1138" w:type="pct"/>
          </w:tcPr>
          <w:p w14:paraId="5817831E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Infekcia</w:t>
            </w:r>
            <w:bookmarkStart w:id="38" w:name="_Toc86391928"/>
            <w:bookmarkEnd w:id="38"/>
          </w:p>
        </w:tc>
        <w:tc>
          <w:tcPr>
            <w:tcW w:w="1000" w:type="pct"/>
            <w:vAlign w:val="center"/>
          </w:tcPr>
          <w:p w14:paraId="190DF8A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0 %</w:t>
            </w:r>
          </w:p>
        </w:tc>
        <w:tc>
          <w:tcPr>
            <w:tcW w:w="1158" w:type="pct"/>
            <w:vAlign w:val="center"/>
          </w:tcPr>
          <w:p w14:paraId="480907F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9" w:name="_Toc86391931"/>
            <w:bookmarkStart w:id="40" w:name="_Toc86391929"/>
            <w:bookmarkEnd w:id="39"/>
            <w:bookmarkEnd w:id="40"/>
            <w:r>
              <w:rPr>
                <w:rFonts w:ascii="Times New Roman" w:hAnsi="Times New Roman" w:cs="Times New Roman"/>
                <w:iCs w:val="0"/>
                <w:lang w:val="sk"/>
              </w:rPr>
              <w:t>0 %</w:t>
            </w:r>
          </w:p>
        </w:tc>
        <w:tc>
          <w:tcPr>
            <w:tcW w:w="1704" w:type="pct"/>
            <w:vAlign w:val="center"/>
          </w:tcPr>
          <w:p w14:paraId="1D828A4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1" w:name="_Toc86391932"/>
            <w:bookmarkEnd w:id="41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Infekcia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menej ako 0 %</w:t>
            </w:r>
          </w:p>
        </w:tc>
        <w:bookmarkStart w:id="42" w:name="_Toc86391933"/>
        <w:bookmarkEnd w:id="42"/>
      </w:tr>
      <w:tr w:rsidR="00453251" w:rsidRPr="009461CC" w14:paraId="00F9D43C" w14:textId="77777777" w:rsidTr="00453251">
        <w:tc>
          <w:tcPr>
            <w:tcW w:w="1138" w:type="pct"/>
          </w:tcPr>
          <w:p w14:paraId="530E2FE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Alergická reakcia</w:t>
            </w:r>
            <w:bookmarkStart w:id="43" w:name="_Toc86391934"/>
            <w:bookmarkEnd w:id="43"/>
          </w:p>
        </w:tc>
        <w:tc>
          <w:tcPr>
            <w:tcW w:w="1000" w:type="pct"/>
            <w:vAlign w:val="center"/>
          </w:tcPr>
          <w:p w14:paraId="6250CCD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0 %</w:t>
            </w:r>
          </w:p>
        </w:tc>
        <w:tc>
          <w:tcPr>
            <w:tcW w:w="1158" w:type="pct"/>
            <w:vAlign w:val="center"/>
          </w:tcPr>
          <w:p w14:paraId="50CF5415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4" w:name="_Toc86391937"/>
            <w:bookmarkStart w:id="45" w:name="_Toc86391935"/>
            <w:bookmarkEnd w:id="44"/>
            <w:bookmarkEnd w:id="45"/>
            <w:r>
              <w:rPr>
                <w:rFonts w:ascii="Times New Roman" w:hAnsi="Times New Roman" w:cs="Times New Roman"/>
                <w:iCs w:val="0"/>
                <w:lang w:val="sk"/>
              </w:rPr>
              <w:t>0 %</w:t>
            </w:r>
          </w:p>
        </w:tc>
        <w:tc>
          <w:tcPr>
            <w:tcW w:w="1704" w:type="pct"/>
            <w:vAlign w:val="center"/>
          </w:tcPr>
          <w:p w14:paraId="3CD98CC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6" w:name="_Toc86391938"/>
            <w:bookmarkEnd w:id="46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Alergická reakcia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menej ako 0 %</w:t>
            </w:r>
          </w:p>
        </w:tc>
        <w:bookmarkStart w:id="47" w:name="_Toc86391939"/>
        <w:bookmarkEnd w:id="47"/>
      </w:tr>
      <w:tr w:rsidR="00453251" w:rsidRPr="009461CC" w14:paraId="027FF060" w14:textId="77777777" w:rsidTr="00453251">
        <w:trPr>
          <w:trHeight w:val="197"/>
        </w:trPr>
        <w:tc>
          <w:tcPr>
            <w:tcW w:w="1138" w:type="pct"/>
          </w:tcPr>
          <w:p w14:paraId="0B4FA88A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Bolesť</w:t>
            </w:r>
            <w:bookmarkStart w:id="48" w:name="_Toc86391940"/>
            <w:bookmarkEnd w:id="48"/>
          </w:p>
        </w:tc>
        <w:tc>
          <w:tcPr>
            <w:tcW w:w="1000" w:type="pct"/>
            <w:vAlign w:val="center"/>
          </w:tcPr>
          <w:p w14:paraId="0A01661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0 %</w:t>
            </w:r>
          </w:p>
        </w:tc>
        <w:tc>
          <w:tcPr>
            <w:tcW w:w="1158" w:type="pct"/>
            <w:vAlign w:val="center"/>
          </w:tcPr>
          <w:p w14:paraId="72B648EC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9" w:name="_Toc86391943"/>
            <w:bookmarkStart w:id="50" w:name="_Toc86391941"/>
            <w:bookmarkEnd w:id="49"/>
            <w:bookmarkEnd w:id="50"/>
            <w:r>
              <w:rPr>
                <w:rFonts w:ascii="Times New Roman" w:hAnsi="Times New Roman" w:cs="Times New Roman"/>
                <w:iCs w:val="0"/>
                <w:lang w:val="sk"/>
              </w:rPr>
              <w:t>0 %</w:t>
            </w:r>
          </w:p>
        </w:tc>
        <w:tc>
          <w:tcPr>
            <w:tcW w:w="1704" w:type="pct"/>
            <w:vAlign w:val="center"/>
          </w:tcPr>
          <w:p w14:paraId="56186FA5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51" w:name="_Toc86391944"/>
            <w:bookmarkEnd w:id="51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Bolesť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menej ako 0 %</w:t>
            </w:r>
          </w:p>
        </w:tc>
        <w:bookmarkStart w:id="52" w:name="_Toc86391945"/>
        <w:bookmarkEnd w:id="52"/>
      </w:tr>
      <w:tr w:rsidR="00453251" w:rsidRPr="009461CC" w14:paraId="28252FD0" w14:textId="77777777" w:rsidTr="00453251">
        <w:tc>
          <w:tcPr>
            <w:tcW w:w="1138" w:type="pct"/>
          </w:tcPr>
          <w:p w14:paraId="013547C7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Celkové komplikácie</w:t>
            </w:r>
            <w:bookmarkStart w:id="53" w:name="_Toc86391946"/>
            <w:bookmarkEnd w:id="53"/>
          </w:p>
        </w:tc>
        <w:tc>
          <w:tcPr>
            <w:tcW w:w="1000" w:type="pct"/>
            <w:vAlign w:val="center"/>
          </w:tcPr>
          <w:p w14:paraId="740F59E9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0 – 5,2 %</w:t>
            </w:r>
          </w:p>
        </w:tc>
        <w:tc>
          <w:tcPr>
            <w:tcW w:w="1158" w:type="pct"/>
            <w:vAlign w:val="center"/>
          </w:tcPr>
          <w:p w14:paraId="0BF92E7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4" w:name="_Toc86391949"/>
            <w:bookmarkStart w:id="55" w:name="_Toc86391947"/>
            <w:bookmarkEnd w:id="54"/>
            <w:bookmarkEnd w:id="55"/>
            <w:r>
              <w:rPr>
                <w:rFonts w:ascii="Times New Roman" w:hAnsi="Times New Roman" w:cs="Times New Roman"/>
                <w:iCs w:val="0"/>
                <w:lang w:val="sk"/>
              </w:rPr>
              <w:t>0 – 4 %</w:t>
            </w:r>
          </w:p>
        </w:tc>
        <w:tc>
          <w:tcPr>
            <w:tcW w:w="1704" w:type="pct"/>
            <w:vAlign w:val="center"/>
          </w:tcPr>
          <w:p w14:paraId="71781E0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56" w:name="_Toc86391950"/>
            <w:bookmarkEnd w:id="56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Celkové komplikácie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menej ako 5,2 %</w:t>
            </w:r>
          </w:p>
        </w:tc>
        <w:bookmarkStart w:id="57" w:name="_Toc86391951"/>
        <w:bookmarkEnd w:id="57"/>
      </w:tr>
      <w:tr w:rsidR="00453251" w:rsidRPr="009461CC" w14:paraId="0BC00479" w14:textId="77777777" w:rsidTr="00453251">
        <w:tc>
          <w:tcPr>
            <w:tcW w:w="5000" w:type="pct"/>
            <w:gridSpan w:val="4"/>
            <w:shd w:val="clear" w:color="auto" w:fill="D9D9D9"/>
            <w:vAlign w:val="center"/>
          </w:tcPr>
          <w:p w14:paraId="35A811C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Výkon</w:t>
            </w:r>
          </w:p>
        </w:tc>
      </w:tr>
      <w:tr w:rsidR="00453251" w:rsidRPr="009461CC" w14:paraId="6F720CB6" w14:textId="77777777" w:rsidTr="00453251">
        <w:tc>
          <w:tcPr>
            <w:tcW w:w="1138" w:type="pct"/>
            <w:vAlign w:val="center"/>
          </w:tcPr>
          <w:p w14:paraId="60785A5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Technický úspech </w:t>
            </w:r>
            <w:bookmarkStart w:id="58" w:name="_Toc86391954"/>
            <w:bookmarkEnd w:id="58"/>
          </w:p>
        </w:tc>
        <w:tc>
          <w:tcPr>
            <w:tcW w:w="1000" w:type="pct"/>
            <w:vAlign w:val="center"/>
          </w:tcPr>
          <w:p w14:paraId="042F9BC6" w14:textId="77777777" w:rsidR="00453251" w:rsidRPr="009461CC" w:rsidDel="002D4462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82,8 – 100 %</w:t>
            </w:r>
          </w:p>
        </w:tc>
        <w:tc>
          <w:tcPr>
            <w:tcW w:w="1158" w:type="pct"/>
            <w:vAlign w:val="center"/>
          </w:tcPr>
          <w:p w14:paraId="3177A35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9" w:name="_Toc86391957"/>
            <w:bookmarkStart w:id="60" w:name="_Toc86391955"/>
            <w:bookmarkEnd w:id="59"/>
            <w:bookmarkEnd w:id="60"/>
            <w:r>
              <w:rPr>
                <w:rFonts w:ascii="Times New Roman" w:hAnsi="Times New Roman" w:cs="Times New Roman"/>
                <w:iCs w:val="0"/>
                <w:lang w:val="sk"/>
              </w:rPr>
              <w:t>82,0 – 100 %</w:t>
            </w:r>
          </w:p>
        </w:tc>
        <w:tc>
          <w:tcPr>
            <w:tcW w:w="1704" w:type="pct"/>
            <w:vAlign w:val="center"/>
          </w:tcPr>
          <w:p w14:paraId="55C13098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1" w:name="_Toc86391958"/>
            <w:bookmarkEnd w:id="61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Technický úspech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vyšší ako 82,0 %</w:t>
            </w:r>
          </w:p>
        </w:tc>
        <w:bookmarkStart w:id="62" w:name="_Toc86391959"/>
        <w:bookmarkEnd w:id="62"/>
      </w:tr>
      <w:tr w:rsidR="00453251" w:rsidRPr="009461CC" w14:paraId="4E839B51" w14:textId="77777777" w:rsidTr="00453251">
        <w:tc>
          <w:tcPr>
            <w:tcW w:w="1138" w:type="pct"/>
            <w:vAlign w:val="center"/>
          </w:tcPr>
          <w:p w14:paraId="055E85A0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Klinický úspech </w:t>
            </w:r>
            <w:bookmarkStart w:id="63" w:name="_Toc86391960"/>
            <w:bookmarkEnd w:id="63"/>
          </w:p>
        </w:tc>
        <w:tc>
          <w:tcPr>
            <w:tcW w:w="1000" w:type="pct"/>
            <w:vAlign w:val="center"/>
          </w:tcPr>
          <w:p w14:paraId="163906FF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sk"/>
              </w:rPr>
              <w:t>95,2 – 100 %</w:t>
            </w:r>
          </w:p>
        </w:tc>
        <w:tc>
          <w:tcPr>
            <w:tcW w:w="1158" w:type="pct"/>
            <w:vAlign w:val="center"/>
          </w:tcPr>
          <w:p w14:paraId="24CE1D22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64" w:name="_Toc86391963"/>
            <w:bookmarkStart w:id="65" w:name="_Toc86391961"/>
            <w:bookmarkEnd w:id="64"/>
            <w:bookmarkEnd w:id="65"/>
            <w:r>
              <w:rPr>
                <w:rFonts w:ascii="Times New Roman" w:hAnsi="Times New Roman" w:cs="Times New Roman"/>
                <w:iCs w:val="0"/>
                <w:lang w:val="sk"/>
              </w:rPr>
              <w:t>92,3 – 100 %</w:t>
            </w:r>
          </w:p>
        </w:tc>
        <w:tc>
          <w:tcPr>
            <w:tcW w:w="1704" w:type="pct"/>
            <w:vAlign w:val="center"/>
          </w:tcPr>
          <w:p w14:paraId="1240798C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6" w:name="_Toc86391964"/>
            <w:bookmarkEnd w:id="66"/>
            <w:r>
              <w:rPr>
                <w:rFonts w:ascii="Times New Roman" w:hAnsi="Times New Roman" w:cs="Times New Roman"/>
                <w:iCs w:val="0"/>
                <w:lang w:val="sk"/>
              </w:rPr>
              <w:t xml:space="preserve">Klinický úspech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sk"/>
              </w:rPr>
              <w:t>vyšší ako 92,3 %</w:t>
            </w:r>
          </w:p>
        </w:tc>
        <w:bookmarkStart w:id="67" w:name="_Toc86391965"/>
        <w:bookmarkEnd w:id="67"/>
      </w:tr>
    </w:tbl>
    <w:p w14:paraId="47F3BE56" w14:textId="14358A29" w:rsidR="00941D63" w:rsidRPr="00EA261A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  <w:lang w:val="sk"/>
        </w:rPr>
      </w:pPr>
      <w:r>
        <w:rPr>
          <w:rFonts w:eastAsia="Times New Roman" w:cs="Times New Roman"/>
          <w:szCs w:val="24"/>
          <w:lang w:val="sk"/>
        </w:rPr>
        <w:t>Súprava Atrieve Vascular Snare Kit vykazuje prijateľný rizikový profil bez akýchkoľvek zvyškových rizík klasifikovaných ako neprijateľné. Potenciálne poškodenia pacientov, ako je krvácanie, embólia, infekcia a poškodenie tkaniva, sú zriedkavé a spadajú do prijateľných hodnôt v tomto odvetví. Bežné poruchové režimy, ako je odpojenie komponentov alebo odpor pomôcky, sú zriedkavé a dobre kontrolované.</w:t>
      </w:r>
    </w:p>
    <w:p w14:paraId="6CD9B2F8" w14:textId="27B9DB44" w:rsidR="00941D63" w:rsidRPr="00466B66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  <w:lang w:val="it-IT"/>
        </w:rPr>
      </w:pPr>
      <w:r>
        <w:rPr>
          <w:rFonts w:eastAsia="Times New Roman" w:cs="Times New Roman"/>
          <w:szCs w:val="24"/>
          <w:lang w:val="sk"/>
        </w:rPr>
        <w:t>Všetky identifikované riziká sú riešené prostredníctvom označovania, upozornení a návodu na použitie. Celkové riziko je porovnateľné s alternatívnymi liečbami a výhody bezpečného, minimálne invazívneho odstraňovania cudzieho telesa pomocou pomôcky prevažujú nad rizikami. Počas monitorovania po uvedení na trh neboli identifikované žiadne nové riziká.</w:t>
      </w:r>
    </w:p>
    <w:p w14:paraId="503092B6" w14:textId="15AAF628" w:rsidR="000F0AC2" w:rsidRPr="009461CC" w:rsidRDefault="008745ED" w:rsidP="001035F0">
      <w:pPr>
        <w:pStyle w:val="Heading1"/>
        <w:rPr>
          <w:rFonts w:cs="Times New Roman"/>
        </w:rPr>
      </w:pPr>
      <w:bookmarkStart w:id="68" w:name="_Toc222741716"/>
      <w:r>
        <w:rPr>
          <w:rFonts w:cs="Times New Roman"/>
          <w:bCs/>
          <w:lang w:val="sk"/>
        </w:rPr>
        <w:t>Varovania a bezpečnostné upozornenia</w:t>
      </w:r>
      <w:bookmarkEnd w:id="68"/>
    </w:p>
    <w:p w14:paraId="3AFFFB2C" w14:textId="56B6C6C3" w:rsidR="00A030DC" w:rsidRPr="009461CC" w:rsidRDefault="00C64987" w:rsidP="006F12B6">
      <w:pPr>
        <w:spacing w:after="0" w:afterAutospacing="0" w:line="240" w:lineRule="auto"/>
        <w:ind w:left="792"/>
        <w:rPr>
          <w:rFonts w:cs="Times New Roman"/>
          <w:iCs/>
        </w:rPr>
      </w:pPr>
      <w:r>
        <w:rPr>
          <w:rFonts w:cs="Times New Roman"/>
          <w:lang w:val="sk"/>
        </w:rPr>
        <w:t>Referenčný návod na použitie (IFU) X9585730-0321-EU Rev A</w:t>
      </w:r>
    </w:p>
    <w:p w14:paraId="581EAB6F" w14:textId="38AC09C7" w:rsidR="0084795E" w:rsidRPr="009461CC" w:rsidRDefault="0084795E" w:rsidP="006F12B6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sk"/>
        </w:rPr>
        <w:t>Varovania:</w:t>
      </w:r>
    </w:p>
    <w:p w14:paraId="6D12BCC6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 xml:space="preserve">Toto zariadenie bolo navrhnuté, testované a vyrobené iba na použitie pre jedného pacienta. Opätovné použitie alebo regenerácia tejto pomôcky môže viesť k jej zlyhaniu a následnému zraneniu pacienta. </w:t>
      </w:r>
      <w:r>
        <w:rPr>
          <w:rFonts w:eastAsia="Times New Roman" w:cs="Times New Roman"/>
          <w:szCs w:val="24"/>
          <w:lang w:val="sk"/>
        </w:rPr>
        <w:lastRenderedPageBreak/>
        <w:t>Regenerácia a/alebo opätovná sterilizácia tejto pomôcky môže predstavovať riziko kontaminácie a infekcie pacienta. Túto pomôcku opätovne nepoužívajte, nespracúvajte ani nesterilizujte.</w:t>
      </w:r>
    </w:p>
    <w:p w14:paraId="02E0F1FE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Pred použitím skontrolujte neporušenosť obalu.</w:t>
      </w:r>
    </w:p>
    <w:p w14:paraId="0AB04CB5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Ak je obal otvorený alebo poškodený, prípadne ak bol prekročený dátum exspirácie, pomôcku nepoužívajte.</w:t>
      </w:r>
    </w:p>
    <w:p w14:paraId="287B6E69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Nepokračujte v používaní, ak sa niektorý z komponentov počas zákroku poškodí.</w:t>
      </w:r>
    </w:p>
    <w:p w14:paraId="22477486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Nitinol je zliatina niklu a titánu. U pacientov, ktorí prejavujú precitlivenosť na nikel, sa môže vyskytnúť možná reakcia.</w:t>
      </w:r>
    </w:p>
    <w:p w14:paraId="2A4E00BA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U pacientov, ktorí prejavujú precitlivenosť na platinu, sa môže vyskytnúť možná reakcia.</w:t>
      </w:r>
    </w:p>
    <w:p w14:paraId="0D7E98B5" w14:textId="77777777" w:rsidR="00C13612" w:rsidRPr="009461CC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Pri používaní tohto zariadenia na odstránenie veľkého fibrínového povlaku treba postupovať opatrne, aby sa minimalizovalo riziko pľúcnej embólie.</w:t>
      </w:r>
    </w:p>
    <w:p w14:paraId="4CB50B44" w14:textId="77777777" w:rsidR="00C13612" w:rsidRPr="009461CC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Počas niektorých postupov môže dôjsť ku krvácaniu cez rozbočovač podávacieho katétra. K podávaciemu katétru možno pripojiť hemostázny ventil (nie je súčasťou balenia) na zníženie krvácania podľa potreby alebo podľa posúdenia lekára.</w:t>
      </w:r>
    </w:p>
    <w:p w14:paraId="7C5DC59D" w14:textId="77777777" w:rsidR="0084795E" w:rsidRPr="009461CC" w:rsidRDefault="0084795E" w:rsidP="00FE6595">
      <w:pPr>
        <w:spacing w:after="0" w:afterAutospacing="0" w:line="240" w:lineRule="auto"/>
        <w:ind w:left="792"/>
        <w:rPr>
          <w:rFonts w:cs="Times New Roman"/>
          <w:iCs/>
        </w:rPr>
      </w:pPr>
    </w:p>
    <w:p w14:paraId="34731DB5" w14:textId="77777777" w:rsidR="0084795E" w:rsidRPr="009461CC" w:rsidRDefault="0084795E" w:rsidP="00FE6595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sk"/>
        </w:rPr>
        <w:t>Bezpečnostné upozornenia:</w:t>
      </w:r>
    </w:p>
    <w:p w14:paraId="043EE8E1" w14:textId="77777777" w:rsidR="00533C0A" w:rsidRPr="009461CC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Ťažné sily pôsobiace na katétre počas sťahovania fibrínového puzdra môžu poškodiť, natiahnuť alebo zlomiť zavedené katétre s priemerom 6 French alebo menším. Pri pokuse o odstránenie fibrínového puzdra z katétrov s priemerom 6 French alebo menším nepoužívajte nadmernú ťahovú silu.</w:t>
      </w:r>
    </w:p>
    <w:p w14:paraId="7C78A400" w14:textId="77777777" w:rsidR="00533C0A" w:rsidRPr="009461CC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Pri manipulácii s katétrom cez zavádzač nepoužívajte nadmernú silu.</w:t>
      </w:r>
    </w:p>
    <w:p w14:paraId="68E7CD6A" w14:textId="77777777" w:rsidR="009E4BE1" w:rsidRPr="009461CC" w:rsidRDefault="009E4BE1" w:rsidP="00DB582A">
      <w:pPr>
        <w:spacing w:after="0" w:afterAutospacing="0" w:line="240" w:lineRule="auto"/>
        <w:rPr>
          <w:rFonts w:cs="Times New Roman"/>
          <w:b/>
          <w:bCs/>
          <w:iCs/>
        </w:rPr>
      </w:pPr>
    </w:p>
    <w:p w14:paraId="1F2A8F23" w14:textId="7550D298" w:rsidR="00481A9E" w:rsidRPr="009461CC" w:rsidRDefault="00481A9E" w:rsidP="00481A9E">
      <w:pPr>
        <w:spacing w:after="120" w:afterAutospacing="0" w:line="240" w:lineRule="auto"/>
        <w:ind w:firstLine="720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  <w:lang w:val="sk"/>
        </w:rPr>
        <w:t xml:space="preserve">Riziká a vedľajšie účinky </w:t>
      </w:r>
    </w:p>
    <w:p w14:paraId="3EC1F3BA" w14:textId="77777777" w:rsidR="00481A9E" w:rsidRPr="009461CC" w:rsidRDefault="00481A9E" w:rsidP="00481A9E">
      <w:pPr>
        <w:spacing w:after="120" w:afterAutospacing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Potenciálne komplikácie zahŕňajú okrem iného:</w:t>
      </w:r>
    </w:p>
    <w:p w14:paraId="31B00162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Embolizácia</w:t>
      </w:r>
    </w:p>
    <w:p w14:paraId="4831EC23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Mŕtvica</w:t>
      </w:r>
    </w:p>
    <w:p w14:paraId="3E3CC4E5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Infarkt myokardu (v závislosti od umiestnenia)</w:t>
      </w:r>
    </w:p>
    <w:p w14:paraId="3C5A584A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Pľúcna embólia</w:t>
      </w:r>
    </w:p>
    <w:p w14:paraId="70F9D337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Perforácia cievy</w:t>
      </w:r>
    </w:p>
    <w:p w14:paraId="3B28D7FF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Zaseknutie pomôcky</w:t>
      </w:r>
    </w:p>
    <w:p w14:paraId="33ABECFB" w14:textId="77777777" w:rsidR="00D558E5" w:rsidRPr="009461CC" w:rsidRDefault="00481A9E" w:rsidP="00D558E5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Krvácanie/hemorágia</w:t>
      </w:r>
    </w:p>
    <w:p w14:paraId="0A9BFD81" w14:textId="77777777" w:rsidR="00D558E5" w:rsidRPr="009461CC" w:rsidRDefault="00D558E5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</w:p>
    <w:p w14:paraId="6EEBEC55" w14:textId="65AF2143" w:rsidR="00A80721" w:rsidRPr="009461CC" w:rsidRDefault="00A80721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Klinické prínosy.</w:t>
      </w:r>
    </w:p>
    <w:p w14:paraId="12CF44E5" w14:textId="357D7E57" w:rsidR="00481A9E" w:rsidRPr="009461CC" w:rsidRDefault="00A80721" w:rsidP="00A80721">
      <w:pPr>
        <w:spacing w:after="120" w:afterAutospacing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Pomôcka Atrieve Vascular Snare predstavuje priamy úžitok pre pacienta tým, že perkutánne odstraňuje a manipuluje s cudzími telesami s nižšími komplikáciami a rizikami v porovnaní s chirurgickým zákrokom.</w:t>
      </w:r>
    </w:p>
    <w:p w14:paraId="5240AF40" w14:textId="3E5A2DE2" w:rsidR="00042B91" w:rsidRPr="009461CC" w:rsidRDefault="00BB36B1" w:rsidP="00A4616A">
      <w:pPr>
        <w:spacing w:after="0" w:afterAutospacing="0" w:line="240" w:lineRule="auto"/>
        <w:rPr>
          <w:rFonts w:cs="Times New Roman"/>
          <w:iCs/>
        </w:rPr>
      </w:pPr>
      <w:r>
        <w:rPr>
          <w:rFonts w:cs="Times New Roman"/>
          <w:lang w:val="sk"/>
        </w:rPr>
        <w:t>Trvanie/životnosť: Krátkodobé, menej ako 60 minút.</w:t>
      </w:r>
    </w:p>
    <w:p w14:paraId="393C5ED9" w14:textId="77777777" w:rsidR="00E14C97" w:rsidRPr="009461CC" w:rsidRDefault="00E14C97" w:rsidP="00042B91">
      <w:pPr>
        <w:spacing w:after="0" w:afterAutospacing="0" w:line="240" w:lineRule="auto"/>
        <w:rPr>
          <w:rFonts w:cs="Times New Roman"/>
          <w:i/>
          <w:color w:val="FF0000"/>
        </w:rPr>
      </w:pPr>
    </w:p>
    <w:p w14:paraId="09A94B0F" w14:textId="4E664EE0" w:rsidR="00760400" w:rsidRPr="009461CC" w:rsidRDefault="008745ED" w:rsidP="00042B91">
      <w:pPr>
        <w:pStyle w:val="Heading1"/>
        <w:rPr>
          <w:rFonts w:cs="Times New Roman"/>
        </w:rPr>
      </w:pPr>
      <w:bookmarkStart w:id="69" w:name="_Toc222741717"/>
      <w:r>
        <w:rPr>
          <w:rFonts w:cs="Times New Roman"/>
          <w:bCs/>
          <w:lang w:val="sk"/>
        </w:rPr>
        <w:t>Ďalšie relevantné aspekty bezpečnosti vrátane prípadného súhrnu akýchkoľvek bezpečnostných nápravných opatrení (FSCA vrátane FSN)</w:t>
      </w:r>
      <w:bookmarkEnd w:id="69"/>
    </w:p>
    <w:p w14:paraId="65E21D1D" w14:textId="58A43005" w:rsidR="004F5057" w:rsidRPr="009461CC" w:rsidRDefault="00FC52C8" w:rsidP="001F48BA">
      <w:pPr>
        <w:rPr>
          <w:rFonts w:cs="Times New Roman"/>
        </w:rPr>
      </w:pPr>
      <w:r>
        <w:rPr>
          <w:rFonts w:cs="Times New Roman"/>
          <w:lang w:val="sk"/>
        </w:rPr>
        <w:t>Počas vykazovaného obdobia neboli prijaté žiadne nápravné opatrenia v oblasti bezpečnosti v teréne (FSCA) ani stiahnutie z trhu.</w:t>
      </w:r>
    </w:p>
    <w:p w14:paraId="21FC0F42" w14:textId="6F4CDE71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0" w:name="_Toc222741718"/>
      <w:r>
        <w:rPr>
          <w:rFonts w:cs="Times New Roman"/>
          <w:bCs/>
          <w:lang w:val="sk"/>
        </w:rPr>
        <w:lastRenderedPageBreak/>
        <w:t>Súhrn klinického hodnotenia a postmarketingového klinického sledovania (PMCF)</w:t>
      </w:r>
      <w:bookmarkEnd w:id="70"/>
    </w:p>
    <w:p w14:paraId="7CA310DE" w14:textId="0ED9D76A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sk"/>
        </w:rPr>
        <w:t>Klinická hodnotiaca správa (CER-029 Rev B) potvrdzuje, že súprava Atrieve Vascular Snare Kit je klinicky bezpečná a účinná na vyberanie a manipuláciu s cudzími predmetmi v kardiovaskulárnom systéme. Používajú ju predovšetkým vyškolení zdravotnícki pracovníci pri minimálne invazívnych zákrokoch.</w:t>
      </w:r>
    </w:p>
    <w:p w14:paraId="065C32D9" w14:textId="36044E92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sk"/>
        </w:rPr>
        <w:t>Hodnotenie, založené na prehľade literatúry, klinických skúsenostiach a údajoch po uvedení na trh, ukazuje vysokú mieru technickej a klinickej úspešnosti. Komplikácie ako krvácanie, embólia, infekcia alebo alergické reakcie sú zriedkavé a v rámci prijateľných klinických limitov.</w:t>
      </w:r>
    </w:p>
    <w:p w14:paraId="0DAD67AD" w14:textId="4FF5EA89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sk"/>
        </w:rPr>
        <w:t>Neboli zistené žiadne nové bezpečnostné obavy ani neočakávané riziká. Zariadenie funguje porovnateľne s podobnými produktmi na trhu a zachováva si konzistentný profil rizika a prínosu.</w:t>
      </w:r>
    </w:p>
    <w:p w14:paraId="745B2F11" w14:textId="506F1A62" w:rsidR="00257EE2" w:rsidRPr="009461CC" w:rsidRDefault="00DA4404" w:rsidP="00DA4404">
      <w:pPr>
        <w:rPr>
          <w:rFonts w:cs="Times New Roman"/>
          <w:highlight w:val="yellow"/>
        </w:rPr>
      </w:pPr>
      <w:r>
        <w:rPr>
          <w:rFonts w:cs="Times New Roman"/>
          <w:lang w:val="sk"/>
        </w:rPr>
        <w:t>Záverom možno povedať, že pomôcka Atrieve Snare preukazuje spoľahlivý výkon a silné bezpečnostné výsledky, čo podporuje jej ďalšie používanie v klinických podmienkach.</w:t>
      </w:r>
    </w:p>
    <w:p w14:paraId="491E112E" w14:textId="43F380B5" w:rsidR="005A5584" w:rsidRPr="009461CC" w:rsidRDefault="005A5584" w:rsidP="00300E25">
      <w:pPr>
        <w:rPr>
          <w:rFonts w:cs="Times New Roman"/>
        </w:rPr>
      </w:pPr>
      <w:r>
        <w:rPr>
          <w:rFonts w:cs="Times New Roman"/>
          <w:lang w:val="sk"/>
        </w:rPr>
        <w:t>Plán klinického sledovania po uvedení na trh (PMCFP) pre pomôcku Atrieve načrtáva štruktúrovaný prístup k monitorovaniu jej bezpečnosti a účinnosti po uvedení na trh. Tieto pomôcky triedy III sa používajú na vyberanie alebo manipuláciu s cudzími predmetmi v kardiovaskulárnom systéme a sú určené na prechodné použitie.</w:t>
      </w:r>
    </w:p>
    <w:p w14:paraId="72FE8271" w14:textId="5FE4B52E" w:rsidR="00042B91" w:rsidRPr="009461CC" w:rsidRDefault="005A5584" w:rsidP="00A8663C">
      <w:pPr>
        <w:rPr>
          <w:rFonts w:cs="Times New Roman"/>
        </w:rPr>
      </w:pPr>
      <w:r>
        <w:rPr>
          <w:rFonts w:cs="Times New Roman"/>
          <w:lang w:val="sk"/>
        </w:rPr>
        <w:t>Činnosti PMCF sa opierajú o všeobecné metódy vrátane ročných prehľadov literatúry, monitorovania databázy nežiaducich udalostí (napr. MAUDE) a analýzy správ o postmarketingovom dohľade. Cieľom tohto úsilia je potvrdiť pretrvávajúcu bezpečnosť a účinnosť, identifikovať vznikajúce riziká a odhaliť použitie mimo schválených indikácií. Na porovnanie výsledkov sa preskúmajú aj klinické údaje z podobných pomôcok.</w:t>
      </w:r>
    </w:p>
    <w:p w14:paraId="33785C59" w14:textId="7AB0634B" w:rsidR="008745ED" w:rsidRPr="009461CC" w:rsidRDefault="008745ED" w:rsidP="00042B91">
      <w:pPr>
        <w:pStyle w:val="Heading1"/>
        <w:rPr>
          <w:rFonts w:cs="Times New Roman"/>
        </w:rPr>
      </w:pPr>
      <w:bookmarkStart w:id="71" w:name="_Toc222741719"/>
      <w:r>
        <w:rPr>
          <w:rFonts w:cs="Times New Roman"/>
          <w:bCs/>
          <w:lang w:val="sk"/>
        </w:rPr>
        <w:t>Prípadný súhrn klinických údajov súvisiacich s ekvivalentnou pomôckou</w:t>
      </w:r>
      <w:bookmarkEnd w:id="71"/>
      <w:r>
        <w:rPr>
          <w:rFonts w:cs="Times New Roman"/>
          <w:bCs/>
          <w:lang w:val="sk"/>
        </w:rPr>
        <w:t xml:space="preserve"> </w:t>
      </w:r>
    </w:p>
    <w:p w14:paraId="62C65035" w14:textId="2ED3F324" w:rsidR="00B763A0" w:rsidRPr="009461CC" w:rsidRDefault="00F24AE3" w:rsidP="00511B41">
      <w:pPr>
        <w:ind w:firstLine="360"/>
        <w:rPr>
          <w:rFonts w:cs="Times New Roman"/>
        </w:rPr>
      </w:pPr>
      <w:r>
        <w:rPr>
          <w:rFonts w:cs="Times New Roman"/>
          <w:lang w:val="sk"/>
        </w:rPr>
        <w:t>Táto časť sa neuplatňuje (neuvádza sa).</w:t>
      </w:r>
    </w:p>
    <w:p w14:paraId="46CE7D79" w14:textId="2B10E133" w:rsidR="008745ED" w:rsidRPr="009461CC" w:rsidRDefault="008745ED" w:rsidP="00042B91">
      <w:pPr>
        <w:pStyle w:val="Heading1"/>
        <w:rPr>
          <w:rFonts w:cs="Times New Roman"/>
        </w:rPr>
      </w:pPr>
      <w:bookmarkStart w:id="72" w:name="_Toc222741720"/>
      <w:r>
        <w:rPr>
          <w:rFonts w:cs="Times New Roman"/>
          <w:bCs/>
          <w:lang w:val="sk"/>
        </w:rPr>
        <w:t>Prípadný súhrn klinických údajov z vykonaných vyšetrení pomôcky pred značením CE</w:t>
      </w:r>
      <w:bookmarkEnd w:id="72"/>
      <w:r>
        <w:rPr>
          <w:rFonts w:cs="Times New Roman"/>
          <w:bCs/>
          <w:lang w:val="sk"/>
        </w:rPr>
        <w:t xml:space="preserve"> </w:t>
      </w:r>
    </w:p>
    <w:p w14:paraId="27B7D18D" w14:textId="3346219F" w:rsidR="004846A6" w:rsidRPr="009461CC" w:rsidRDefault="00F604C9" w:rsidP="00F24AE3">
      <w:pPr>
        <w:ind w:left="360"/>
        <w:rPr>
          <w:rFonts w:cs="Times New Roman"/>
        </w:rPr>
      </w:pPr>
      <w:bookmarkStart w:id="73" w:name="_Hlk196514030"/>
      <w:r>
        <w:rPr>
          <w:rFonts w:cs="Times New Roman"/>
          <w:lang w:val="sk"/>
        </w:rPr>
        <w:t>Táto časť sa neuplatňuje (neuvádza sa).</w:t>
      </w:r>
    </w:p>
    <w:p w14:paraId="7A896071" w14:textId="00061818" w:rsidR="008745ED" w:rsidRPr="009461CC" w:rsidRDefault="008745ED" w:rsidP="00042B91">
      <w:pPr>
        <w:pStyle w:val="Heading1"/>
        <w:rPr>
          <w:rFonts w:cs="Times New Roman"/>
        </w:rPr>
      </w:pPr>
      <w:bookmarkStart w:id="74" w:name="_Toc222741721"/>
      <w:bookmarkEnd w:id="73"/>
      <w:r>
        <w:rPr>
          <w:rFonts w:cs="Times New Roman"/>
          <w:bCs/>
          <w:lang w:val="sk"/>
        </w:rPr>
        <w:t>Prípadný súhrn klinických údajov z iných zdrojov</w:t>
      </w:r>
      <w:bookmarkEnd w:id="74"/>
      <w:r>
        <w:rPr>
          <w:rFonts w:cs="Times New Roman"/>
          <w:bCs/>
          <w:lang w:val="sk"/>
        </w:rPr>
        <w:t xml:space="preserve"> </w:t>
      </w:r>
    </w:p>
    <w:p w14:paraId="3F1ED76E" w14:textId="5FADBA51" w:rsidR="006C2B68" w:rsidRPr="009461CC" w:rsidRDefault="0037599D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CER-029 Rev B je podporený komplexným prehľadom externých klinických údajov vrátane:</w:t>
      </w:r>
    </w:p>
    <w:p w14:paraId="421058D0" w14:textId="26D1A572" w:rsidR="00FB1FDD" w:rsidRPr="009461CC" w:rsidRDefault="00FC5667" w:rsidP="004846A6">
      <w:pPr>
        <w:spacing w:before="100" w:beforeAutospacing="1" w:line="240" w:lineRule="auto"/>
        <w:rPr>
          <w:rFonts w:cs="Times New Roman"/>
        </w:rPr>
      </w:pPr>
      <w:r>
        <w:rPr>
          <w:rFonts w:cs="Times New Roman"/>
          <w:szCs w:val="24"/>
          <w:lang w:val="sk"/>
        </w:rPr>
        <w:t>Literatúra o súčasnom stave techniky (SOA): Systematický prehľad 579 článkov identifikoval 16 relevantných štúdií o podobných pomôckach a postupoch. Tieto štúdie preukázali vysokú mieru technickej úspešnosti (≥91,2 %) a nízku mieru komplikácií (≤1,1 %), čím stanovili referenčné hodnoty pre bezpečnosť a výkonnosť.</w:t>
      </w:r>
      <w:r>
        <w:rPr>
          <w:rFonts w:cs="Times New Roman"/>
          <w:lang w:val="sk"/>
        </w:rPr>
        <w:t xml:space="preserve"> </w:t>
      </w:r>
    </w:p>
    <w:p w14:paraId="7C6B59FC" w14:textId="77777777" w:rsidR="00FB1FDD" w:rsidRPr="009461CC" w:rsidRDefault="00D23267" w:rsidP="004846A6">
      <w:pPr>
        <w:spacing w:before="100" w:beforeAutospacing="1" w:line="240" w:lineRule="auto"/>
        <w:rPr>
          <w:rFonts w:cs="Times New Roman"/>
        </w:rPr>
      </w:pPr>
      <w:r>
        <w:rPr>
          <w:rFonts w:cs="Times New Roman"/>
          <w:szCs w:val="24"/>
          <w:lang w:val="sk"/>
        </w:rPr>
        <w:lastRenderedPageBreak/>
        <w:t>Literatúra o konkurenčných zariadeniach: Osem štúdií o porovnateľných zariadeniach (napr. EN Snare, GooseNeck, CloverSnare) potvrdilo podobné profily bezpečnosti a účinnosti, čím sa posilnil status cievnych slučiek ako štandardnej starostlivosti.</w:t>
      </w:r>
      <w:r>
        <w:rPr>
          <w:rFonts w:cs="Times New Roman"/>
          <w:lang w:val="sk"/>
        </w:rPr>
        <w:t xml:space="preserve"> </w:t>
      </w:r>
    </w:p>
    <w:p w14:paraId="2910073B" w14:textId="4049ACE7" w:rsidR="004846A6" w:rsidRPr="009461CC" w:rsidRDefault="009B4453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Klinické smernice: Odporúčania odborných spoločností (napr. SIR, ESC, KDOQI) podporujú používanie perkutánnych metód odstraňovania cudzích teliesok vrátane slučiek ako liečby prvej voľby pri odstraňovaní cudzích teliesok v kardiovaskulárnom systéme.</w:t>
      </w:r>
    </w:p>
    <w:p w14:paraId="661EF380" w14:textId="29BB1CA1" w:rsidR="00516D79" w:rsidRPr="009461CC" w:rsidRDefault="00516D79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Literatúra o predmetnej pomôcke: Trinásť publikácií (vrátane kazuistík a retrospektívnych štúdií) o pomôcke Atrieve preukázalo 100 % technický úspech a 94,5 % klinický úspech s minimálnymi nežiaducimi udalosťami. Niektoré výkonnostné metriky mierne zaostávali v porovnaní s benchmarkmi SOA, ale zostali v rámci prijateľných klinických rozsahov.</w:t>
      </w:r>
    </w:p>
    <w:p w14:paraId="66F22352" w14:textId="28F3CCF3" w:rsidR="004846A6" w:rsidRPr="009461CC" w:rsidRDefault="004846A6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Správa okrem toho zahŕňa údaje z postmarketingového dohľadu (PMS) zhromaždené prostredníctvom štruktúrovaných plánov dohľadu pre produkt Atrieve. Zahŕňa to sledovanie sťažností a nežiaducich udalostí počas piatich rokov, ako aj nápravné opatrenia. Napriek vysokému objemu globálneho predaja údaje z PMS neodhalili žiadne nové bezpečnostné trendy ani neočakávané riziká, čo posilňuje bezpečnostné profily zariadení v reálnych podmienkach.</w:t>
      </w:r>
    </w:p>
    <w:p w14:paraId="6527D03E" w14:textId="73944EC6" w:rsidR="004846A6" w:rsidRPr="009461CC" w:rsidRDefault="004846A6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k"/>
        </w:rPr>
        <w:t>Neklinické údaje vrátane testovania na pracovisku a hodnotenia biokompatibility preukazujú, že pomôcky spĺňajú všetky konštrukčné a regulačné normy. Hoci sa pre tieto pomôcky nevykonali žiadne klinické skúšky, odôvodnili to komplexné údaje z literatúry, zdrojov po uvedení na trh a používania starších pomôcok. Celkovo tieto rôzne zdroje údajov spoločne podporujú bezpečnosť a účinnosť pomôcok v súlade s požiadavkami EÚ MDR.</w:t>
      </w:r>
    </w:p>
    <w:p w14:paraId="0F01E5AD" w14:textId="2BD461FF" w:rsidR="008745ED" w:rsidRPr="009461CC" w:rsidRDefault="008745ED" w:rsidP="00042B91">
      <w:pPr>
        <w:pStyle w:val="Heading1"/>
        <w:rPr>
          <w:rFonts w:cs="Times New Roman"/>
        </w:rPr>
      </w:pPr>
      <w:bookmarkStart w:id="75" w:name="_Toc222741722"/>
      <w:r>
        <w:rPr>
          <w:rFonts w:cs="Times New Roman"/>
          <w:bCs/>
          <w:lang w:val="sk"/>
        </w:rPr>
        <w:t>Celkový súhrn parametrov bezpečnosti a klinického výkonu</w:t>
      </w:r>
      <w:bookmarkEnd w:id="75"/>
      <w:r>
        <w:rPr>
          <w:rFonts w:cs="Times New Roman"/>
          <w:bCs/>
          <w:lang w:val="sk"/>
        </w:rPr>
        <w:t xml:space="preserve"> </w:t>
      </w:r>
    </w:p>
    <w:p w14:paraId="7C1B956B" w14:textId="77777777" w:rsidR="009977D7" w:rsidRPr="009461CC" w:rsidRDefault="009977D7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068544DB" w14:textId="3687A670" w:rsidR="00D52DF8" w:rsidRPr="009461CC" w:rsidRDefault="00D52DF8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Na základe dokumentov X9585730-0321-EU Rev A a CER-029 Rev B pre súpravu Atrieve Vascular Snare Kit je celkový klinický výkon a bezpečnostný profil pomôcky priaznivý a v súlade s očakávaniami pre jeho zamýšľané použitie.</w:t>
      </w:r>
    </w:p>
    <w:p w14:paraId="3508FD3D" w14:textId="77777777" w:rsidR="002E59B4" w:rsidRPr="009461CC" w:rsidRDefault="002E59B4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0A303358" w14:textId="24357A0A" w:rsidR="00C361CA" w:rsidRPr="009461CC" w:rsidRDefault="005C642C" w:rsidP="00C9784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sk"/>
        </w:rPr>
        <w:t xml:space="preserve">Pomôcka je určená pre </w:t>
      </w:r>
      <w:r>
        <w:rPr>
          <w:rStyle w:val="Strong"/>
          <w:rFonts w:cs="Times New Roman"/>
          <w:lang w:val="sk"/>
        </w:rPr>
        <w:t>perkutánne odstraňovanie a manipulácia s cudzími telesami</w:t>
      </w:r>
      <w:r>
        <w:rPr>
          <w:rFonts w:cs="Times New Roman"/>
          <w:lang w:val="sk"/>
        </w:rPr>
        <w:t xml:space="preserve"> v kardiovaskulárnom systéme alebo dutých vnútorných orgánoch. Medzi kľúčové klinické výhody patrí minimálne invazívne odstraňovanie, znížené riziko pre pacienta a nižšia miera komplikácií v porovnaní s chirurgickými alternatívami.</w:t>
      </w:r>
    </w:p>
    <w:p w14:paraId="0DE0B963" w14:textId="77777777" w:rsidR="005C642C" w:rsidRPr="009461CC" w:rsidRDefault="005C642C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2DA4A118" w14:textId="58FE2B84" w:rsidR="00C97841" w:rsidRPr="009461CC" w:rsidRDefault="00B26297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Klinické hodnotenie definuje nasledujúce výsledné ukazovatele: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7384"/>
      </w:tblGrid>
      <w:tr w:rsidR="00942C1E" w:rsidRPr="009461CC" w14:paraId="0839D18E" w14:textId="77777777" w:rsidTr="00607046">
        <w:trPr>
          <w:tblHeader/>
          <w:tblCellSpacing w:w="15" w:type="dxa"/>
          <w:jc w:val="center"/>
        </w:trPr>
        <w:tc>
          <w:tcPr>
            <w:tcW w:w="4971" w:type="pct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5368930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Výkonnostné opatrenia</w:t>
            </w:r>
          </w:p>
        </w:tc>
      </w:tr>
      <w:tr w:rsidR="00607046" w:rsidRPr="009461CC" w14:paraId="609C186F" w14:textId="77777777" w:rsidTr="00607046">
        <w:trPr>
          <w:tblHeader/>
          <w:tblCellSpacing w:w="15" w:type="dxa"/>
          <w:jc w:val="center"/>
        </w:trPr>
        <w:tc>
          <w:tcPr>
            <w:tcW w:w="1443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28E34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Opatrenie</w:t>
            </w:r>
          </w:p>
        </w:tc>
        <w:tc>
          <w:tcPr>
            <w:tcW w:w="3514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A387C4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Definícia</w:t>
            </w:r>
          </w:p>
        </w:tc>
      </w:tr>
      <w:tr w:rsidR="00942C1E" w:rsidRPr="009461CC" w14:paraId="67F5D1CE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6236EF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Technický úspech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E25C2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sk"/>
              </w:rPr>
              <w:t>Úspešné vytiahnutie/manipulácia s cudzími telesami</w:t>
            </w:r>
          </w:p>
        </w:tc>
      </w:tr>
      <w:tr w:rsidR="00942C1E" w:rsidRPr="009461CC" w14:paraId="5EE8C36D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C7EA7EC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lastRenderedPageBreak/>
              <w:t>Klinický úspech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1FCEBA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sk"/>
              </w:rPr>
              <w:t>Úspešné vyzdvihnutie/manipulácia bez procedurálnych komplikácií</w:t>
            </w:r>
          </w:p>
        </w:tc>
      </w:tr>
    </w:tbl>
    <w:p w14:paraId="6CABCDF2" w14:textId="77777777" w:rsidR="004F7F77" w:rsidRPr="009461CC" w:rsidRDefault="004F7F77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7353"/>
      </w:tblGrid>
      <w:tr w:rsidR="00607046" w:rsidRPr="009461CC" w14:paraId="62F22A34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42B79F3" w14:textId="77777777" w:rsidR="00607046" w:rsidRPr="009461CC" w:rsidRDefault="00607046" w:rsidP="006070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Bezpečnostné opatrenia</w:t>
            </w:r>
          </w:p>
        </w:tc>
      </w:tr>
      <w:tr w:rsidR="00607046" w:rsidRPr="009461CC" w14:paraId="6CEF70FC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49FF4D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Opatrenia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D43B30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Definícia</w:t>
            </w:r>
          </w:p>
        </w:tc>
      </w:tr>
      <w:tr w:rsidR="00607046" w:rsidRPr="009461CC" w14:paraId="11F5FD97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CE5781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Potenciálne komplikácie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FFAF53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sk"/>
              </w:rPr>
              <w:t>Zahŕňa krvácanie, perforáciu, embóliu, infekciu, alergickú reakciu, bolesť</w:t>
            </w:r>
          </w:p>
        </w:tc>
      </w:tr>
      <w:tr w:rsidR="00607046" w:rsidRPr="009461CC" w14:paraId="6CA744C3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50E35B1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sk"/>
              </w:rPr>
              <w:t>Celková miera komplikácií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D2E84BE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sk"/>
              </w:rPr>
              <w:t>Kombinovaná miera všetkých nežiaducich udalostí počas alebo po zákroku</w:t>
            </w:r>
          </w:p>
        </w:tc>
      </w:tr>
    </w:tbl>
    <w:p w14:paraId="4A64B2C8" w14:textId="77777777" w:rsidR="00607046" w:rsidRPr="009461CC" w:rsidRDefault="00607046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10E95C55" w14:textId="35E4246E" w:rsidR="00050F24" w:rsidRPr="009461CC" w:rsidRDefault="00050F24" w:rsidP="00050F24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Súhrn miery úspešnosti pre výsledky meraní Atrieve Vascular Snare:</w:t>
      </w:r>
    </w:p>
    <w:p w14:paraId="5B675D80" w14:textId="77777777" w:rsidR="00EE18FA" w:rsidRPr="009461CC" w:rsidRDefault="00EE18FA" w:rsidP="00050F24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6387EAAA" w14:textId="6A98A9F8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Technický úspech bol vynikajúci na 100 %.</w:t>
      </w:r>
    </w:p>
    <w:p w14:paraId="70426807" w14:textId="6A68FCB6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Klinický úspech bol 94,5 %, čo je mierne pod prahom 97,4 %.</w:t>
      </w:r>
    </w:p>
    <w:p w14:paraId="3E9DC071" w14:textId="055EE80D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Celková miera komplikácií, perforácia/poškodenie tkaniva a klinický úspech nespĺňali kritériá akceptovateľnosti.</w:t>
      </w:r>
    </w:p>
    <w:p w14:paraId="44EC781B" w14:textId="7DA02325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Miera embólie, bolesti a úmrtnosti bola 0 % a spĺňala kritériá.</w:t>
      </w:r>
    </w:p>
    <w:p w14:paraId="05E37DDA" w14:textId="77777777" w:rsidR="00EE18FA" w:rsidRPr="009461CC" w:rsidRDefault="00EE18FA" w:rsidP="00EE18FA">
      <w:pPr>
        <w:pStyle w:val="ListParagraph"/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3F2FC7C2" w14:textId="2808A8DE" w:rsidR="00050F24" w:rsidRPr="009461CC" w:rsidRDefault="00050F24" w:rsidP="00EE18FA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Napriek tomu, že niektoré bezpečnostné ukazovatele prekročili prahové hodnoty, profil prínosu a rizika zostal priaznivý vďaka vysokému technickému úspechu a komplikáciám s nízkou závažnosťou.</w:t>
      </w:r>
    </w:p>
    <w:p w14:paraId="2F8EAFF0" w14:textId="77777777" w:rsidR="00AA7F1D" w:rsidRPr="009461CC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7A0B3597" w14:textId="24A6D6E4" w:rsidR="00D47200" w:rsidRPr="009461CC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sk"/>
        </w:rPr>
        <w:t>Klinické tvrdenia v návode na použitie a marketingových materiáloch</w:t>
      </w:r>
    </w:p>
    <w:p w14:paraId="7DADA029" w14:textId="6C6ECAD3" w:rsidR="001F48BA" w:rsidRPr="009461CC" w:rsidRDefault="00C01A53" w:rsidP="00D52DF8">
      <w:p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sk"/>
        </w:rPr>
        <w:t>Klinické hodnotenie podporuje nasledujúce tvrdenia:</w:t>
      </w:r>
    </w:p>
    <w:p w14:paraId="19E8DAE4" w14:textId="77777777" w:rsidR="00EE18FA" w:rsidRPr="009461CC" w:rsidRDefault="00EE18FA" w:rsidP="00D52DF8">
      <w:pPr>
        <w:spacing w:after="0" w:afterAutospacing="0" w:line="240" w:lineRule="auto"/>
        <w:rPr>
          <w:rFonts w:cs="Times New Roman"/>
          <w:iCs/>
          <w:szCs w:val="24"/>
        </w:rPr>
      </w:pPr>
    </w:p>
    <w:p w14:paraId="7925D059" w14:textId="1A5A89DA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sk"/>
        </w:rPr>
        <w:t>Perkutánne odstraňovanie/manipulácia s cudzími telesami – 100 % technické úspechy podložené literatúrou.</w:t>
      </w:r>
    </w:p>
    <w:p w14:paraId="3AB6E45D" w14:textId="783809AA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sk"/>
        </w:rPr>
        <w:t>Nižšia miera komplikácií ako pri chirurgickom zákroku – podložené porovnávacou literatúrou a najmodernejšou analýzou.</w:t>
      </w:r>
    </w:p>
    <w:p w14:paraId="15638B58" w14:textId="335CFE86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sk"/>
        </w:rPr>
        <w:t>Použitie pri doplnkových zákrokoch (napr. odstránenie fibrínového puzdra, zmena polohy katétra) – podložené klinickými kazuistikami a postupmi.</w:t>
      </w:r>
    </w:p>
    <w:p w14:paraId="351D383E" w14:textId="7EB46C62" w:rsidR="00C01A53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sk"/>
        </w:rPr>
        <w:t>Bezpečné pre použitie u dospelých – podložené sledovaním po uvedení na trh a údajmi z literatúry.</w:t>
      </w:r>
    </w:p>
    <w:p w14:paraId="68D32F33" w14:textId="77777777" w:rsidR="005D424F" w:rsidRPr="009461CC" w:rsidRDefault="005D424F" w:rsidP="005D424F">
      <w:pPr>
        <w:spacing w:after="0" w:afterAutospacing="0" w:line="240" w:lineRule="auto"/>
        <w:rPr>
          <w:rFonts w:cs="Times New Roman"/>
          <w:iCs/>
          <w:szCs w:val="24"/>
        </w:rPr>
      </w:pPr>
    </w:p>
    <w:p w14:paraId="76063689" w14:textId="3006D09D" w:rsidR="005D424F" w:rsidRPr="009461CC" w:rsidRDefault="005D424F" w:rsidP="005D424F">
      <w:p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sk"/>
        </w:rPr>
        <w:t>Cievne slučky Atrieve vykazujú priaznivý profil prínosu a rizika so silným klinickým výkonom a bezpečnosťou podloženou literatúrou, testovaním a údajmi po uvedení na trh. Sú v súlade s regulačnými normami a vhodné na ďalšie klinické použitie.</w:t>
      </w:r>
    </w:p>
    <w:p w14:paraId="653883C0" w14:textId="77777777" w:rsidR="003859AF" w:rsidRPr="009461CC" w:rsidRDefault="003859AF" w:rsidP="003859AF">
      <w:pPr>
        <w:spacing w:after="0" w:afterAutospacing="0" w:line="240" w:lineRule="auto"/>
        <w:rPr>
          <w:rFonts w:cs="Times New Roman"/>
          <w:iCs/>
          <w:szCs w:val="24"/>
        </w:rPr>
      </w:pPr>
    </w:p>
    <w:p w14:paraId="6DCFA27A" w14:textId="12CF0A2D" w:rsidR="00C91927" w:rsidRPr="009461CC" w:rsidRDefault="008745ED" w:rsidP="00C91927">
      <w:pPr>
        <w:pStyle w:val="Heading1"/>
        <w:rPr>
          <w:rFonts w:cs="Times New Roman"/>
          <w:color w:val="auto"/>
        </w:rPr>
      </w:pPr>
      <w:bookmarkStart w:id="76" w:name="_Toc222741723"/>
      <w:r>
        <w:rPr>
          <w:rFonts w:cs="Times New Roman"/>
          <w:bCs/>
          <w:color w:val="auto"/>
          <w:lang w:val="sk"/>
        </w:rPr>
        <w:t>Pokračujúce alebo plánované klinické sledovanie po uvedení na trh</w:t>
      </w:r>
      <w:bookmarkEnd w:id="76"/>
    </w:p>
    <w:p w14:paraId="494CEDC3" w14:textId="10523200" w:rsidR="0094476E" w:rsidRPr="009461CC" w:rsidRDefault="003B4C77" w:rsidP="00C91927">
      <w:pPr>
        <w:spacing w:line="240" w:lineRule="auto"/>
        <w:rPr>
          <w:rFonts w:cs="Times New Roman"/>
          <w:highlight w:val="yellow"/>
        </w:rPr>
      </w:pPr>
      <w:r>
        <w:rPr>
          <w:rFonts w:cs="Times New Roman"/>
          <w:lang w:val="sk"/>
        </w:rPr>
        <w:t>Klinické sledovanie po uvedení na trh pre pomôcku Atrieve Vascular Snare sa vykonáva v súlade s PMCFP-029 Rev C a spĺňa požiadavky časti B prílohy XIV k nariadeniu MDR. Činnosti PMCF sú navrhnuté tak, aby proaktívne potvrdili bezpečnosť a výkonnosť pomôcky v bežnej klinickej praxi, identifikovali akékoľvek vznikajúce riziká a overili, či je profil prínosu a rizika naďalej prijateľný.</w:t>
      </w:r>
    </w:p>
    <w:p w14:paraId="58642C16" w14:textId="276C8BA1" w:rsidR="00E541DE" w:rsidRPr="009461CC" w:rsidRDefault="00E541DE" w:rsidP="00E541DE">
      <w:pPr>
        <w:pStyle w:val="NormalWeb"/>
      </w:pPr>
      <w:r>
        <w:rPr>
          <w:rStyle w:val="Strong"/>
          <w:lang w:val="sk"/>
        </w:rPr>
        <w:t>Prebiehajúce aktivity PMCF</w:t>
      </w:r>
      <w:r>
        <w:rPr>
          <w:lang w:val="sk"/>
        </w:rPr>
        <w:br/>
        <w:t>Počas celého životného cyklu zariadenia sa plánujú nasledujúce priebežné činnosti:</w:t>
      </w:r>
    </w:p>
    <w:p w14:paraId="15FC3A69" w14:textId="31C9D895" w:rsidR="00E541DE" w:rsidRPr="009461CC" w:rsidRDefault="00DE3CC0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sk"/>
        </w:rPr>
        <w:t>Ročný systematický prehľad literatúry:</w:t>
      </w:r>
      <w:r>
        <w:rPr>
          <w:lang w:val="sk"/>
        </w:rPr>
        <w:t xml:space="preserve"> Vykonáva sa štruktúrovaný prehľad publikovaných klinických dôkazov týkajúcich sa cievnych slučiek a porovnateľných pomôcok s cieľom identifikovať nové informácie o bezpečnosti, výkonnosti, klinických technikách alebo vznikajúcich rizikách.</w:t>
      </w:r>
    </w:p>
    <w:p w14:paraId="08598FA3" w14:textId="6BDEE605" w:rsidR="00E541DE" w:rsidRPr="009461CC" w:rsidRDefault="00DE3CC0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sk"/>
        </w:rPr>
        <w:t>Ročné hodnotenie najmodernejších technológií (SOA):</w:t>
      </w:r>
      <w:r>
        <w:rPr>
          <w:lang w:val="sk"/>
        </w:rPr>
        <w:t xml:space="preserve"> Vykonáva sa hodnotenie klinických postupov, medzinárodných štandardov a konkurenčných technológií, aby sa zabezpečil ich neustály súlad so súčasnou klinickou a technickou praxou.</w:t>
      </w:r>
    </w:p>
    <w:p w14:paraId="6EE80A3F" w14:textId="77777777" w:rsidR="00E541DE" w:rsidRPr="009461CC" w:rsidRDefault="00E541DE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sk"/>
        </w:rPr>
        <w:t>Neustále prehodnocovanie sťažností a údajov o nežiaducich udalostiach:</w:t>
      </w:r>
      <w:r>
        <w:rPr>
          <w:lang w:val="sk"/>
        </w:rPr>
        <w:t xml:space="preserve"> Hoci ide skôr o aktivitu PMS než PMCF, kľúčové zistenia sa hodnotia v rámci procesu PMCF, aby sa určilo, či je potrebné ďalšie klinické sledovanie.</w:t>
      </w:r>
    </w:p>
    <w:p w14:paraId="39597E9A" w14:textId="77777777" w:rsidR="009E1EBB" w:rsidRPr="009461CC" w:rsidRDefault="009E1EBB" w:rsidP="009E1EBB">
      <w:pPr>
        <w:pStyle w:val="NormalWeb"/>
      </w:pPr>
      <w:r>
        <w:rPr>
          <w:rStyle w:val="Strong"/>
          <w:lang w:val="sk"/>
        </w:rPr>
        <w:t>Plánované aktivity PMCF</w:t>
      </w:r>
      <w:r>
        <w:rPr>
          <w:lang w:val="sk"/>
        </w:rPr>
        <w:br/>
        <w:t>Na zhromaždenie cielených dôkazov z reálneho sveta o súprave Atrieve Vascular Snare Kit sa plánuje nasledujúca aktivita:</w:t>
      </w:r>
    </w:p>
    <w:p w14:paraId="395AA027" w14:textId="77777777" w:rsidR="009E1EBB" w:rsidRPr="009461CC" w:rsidRDefault="009E1EBB" w:rsidP="009E1EBB">
      <w:pPr>
        <w:pStyle w:val="NormalWeb"/>
        <w:numPr>
          <w:ilvl w:val="0"/>
          <w:numId w:val="32"/>
        </w:numPr>
      </w:pPr>
      <w:r>
        <w:rPr>
          <w:rStyle w:val="Strong"/>
          <w:lang w:val="sk"/>
        </w:rPr>
        <w:t>Prieskum pre lekárov PMCF:</w:t>
      </w:r>
      <w:r>
        <w:rPr>
          <w:lang w:val="sk"/>
        </w:rPr>
        <w:br/>
        <w:t>Medzi klinickými používateľmi sa uskutoční štruktúrovaný prieskum s cieľom zaznamenať ich skúsenosti so zariadením, posúdiť jeho výkon v bežnej praxi a identifikovať akékoľvek pozorované komplikácie alebo neočakávané udalosti. Výsledky prieskumu budú analyzované a zapracované do hodnotiacej správy PMCF. Zistenia budú podkladom pre rozhodnutia týkajúce sa potreby ďalších činností PMCF alebo aktualizácie správy o klinickom hodnotení (CER) a správy o riadení rizík (RMR).</w:t>
      </w:r>
    </w:p>
    <w:p w14:paraId="1DED8B40" w14:textId="44E4C95F" w:rsidR="00DE0007" w:rsidRPr="009461CC" w:rsidRDefault="00DE0007" w:rsidP="00DE0007">
      <w:pPr>
        <w:pStyle w:val="NormalWeb"/>
      </w:pPr>
      <w:r>
        <w:rPr>
          <w:rStyle w:val="Strong"/>
          <w:lang w:val="sk"/>
        </w:rPr>
        <w:t>Zdôvodnenie prístupu PMCF</w:t>
      </w:r>
      <w:r>
        <w:rPr>
          <w:lang w:val="sk"/>
        </w:rPr>
        <w:br/>
        <w:t>Na základe súčasného klinického hodnotenia, dôkazov z literatúry a skúseností po uvedení na trh neboli identifikované žiadne nové alebo vznikajúce riziká, ktoré by si vyžadovali klinické skúšanie špecifické pre danú pomôcku. Existujúce činnosti PMCF, každoročné preskúmania literatúry a SOA podporované cielenou spätnou väzbou od lekárov sa považujú za dostatočné na potvrdenie trvalej bezpečnosti a výkonu tejto dobre zavedenej staršej pomôcky triedy III Atrieve Vascular Snare Kit.</w:t>
      </w:r>
    </w:p>
    <w:p w14:paraId="3DA3C9CA" w14:textId="77777777" w:rsidR="005B4422" w:rsidRPr="009461CC" w:rsidRDefault="005B4422" w:rsidP="005B4422">
      <w:pPr>
        <w:pStyle w:val="NormalWeb"/>
        <w:spacing w:before="0" w:beforeAutospacing="0" w:after="0" w:afterAutospacing="0"/>
      </w:pPr>
      <w:r>
        <w:rPr>
          <w:rStyle w:val="Strong"/>
          <w:lang w:val="sk"/>
        </w:rPr>
        <w:t>Správa PMCF</w:t>
      </w:r>
    </w:p>
    <w:p w14:paraId="5C389055" w14:textId="14E4D114" w:rsidR="0094476E" w:rsidRDefault="00B04139" w:rsidP="007002E4">
      <w:pPr>
        <w:pStyle w:val="NormalWeb"/>
        <w:spacing w:before="0" w:beforeAutospacing="0" w:after="0" w:afterAutospacing="0"/>
      </w:pPr>
      <w:r>
        <w:rPr>
          <w:lang w:val="sk"/>
        </w:rPr>
        <w:t>Správa PMCF sa generuje v stanovených intervaloch a vždy, keď sú k dispozícii nové informácie, ktoré môžu ovplyvniť profil prínosu a rizika. Všetky výstupy PMCF sa podľa potreby premietajú do správy o klinickom hodnotení (CER), správy o riadení rizík (RMR) a ďalších procesov po uvedení na trh.</w:t>
      </w:r>
    </w:p>
    <w:p w14:paraId="09D946B7" w14:textId="77777777" w:rsidR="007002E4" w:rsidRPr="007002E4" w:rsidRDefault="007002E4" w:rsidP="007002E4">
      <w:pPr>
        <w:pStyle w:val="NormalWeb"/>
        <w:spacing w:before="0" w:beforeAutospacing="0" w:after="0" w:afterAutospacing="0"/>
      </w:pPr>
    </w:p>
    <w:p w14:paraId="748C3FE5" w14:textId="1D19292C" w:rsidR="00760400" w:rsidRPr="009461CC" w:rsidRDefault="0076040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7" w:name="_Toc222741724"/>
      <w:r>
        <w:rPr>
          <w:rFonts w:cs="Times New Roman"/>
          <w:bCs/>
          <w:lang w:val="sk"/>
        </w:rPr>
        <w:t>Možná diagnostika alebo terapeutické alternatívy</w:t>
      </w:r>
      <w:bookmarkEnd w:id="77"/>
      <w:r>
        <w:rPr>
          <w:rFonts w:cs="Times New Roman"/>
          <w:bCs/>
          <w:lang w:val="sk"/>
        </w:rPr>
        <w:t xml:space="preserve"> </w:t>
      </w:r>
    </w:p>
    <w:p w14:paraId="60C316BA" w14:textId="4177FF86" w:rsidR="00042B91" w:rsidRPr="009461CC" w:rsidRDefault="008373C6" w:rsidP="00AB04FB">
      <w:pPr>
        <w:rPr>
          <w:rFonts w:cs="Times New Roman"/>
        </w:rPr>
      </w:pPr>
      <w:r>
        <w:rPr>
          <w:rFonts w:cs="Times New Roman"/>
          <w:lang w:val="sk"/>
        </w:rPr>
        <w:t>Podľa CER-029 Rev B identifikuje tri hlavné alternatívy pre odstraňovanie cudzích telies (CTE) v kardiovaskulárnom systéme. Konzervatívna liečba sa odporúča u asymptomatických alebo vysoko rizikových chirurgických pacientov, pričom sa v prípadoch, keď intervencia môže predstavovať väčšie riziko, spolieha na dôkladné monitorovanie a zobrazovacie vyšetrenia. Minimálne invazívne techniky sú preferovaným prístupom, pričom slučkové slučky, najmä slučky s husím krkom, sa široko používajú na štandardné aj komplexné vyberanie. Kliešte poskytujú presný úchop a sú vhodné pre zložité prípady, ako sú zlomené alebo zapustené pomôcky. Chirurgické odstránenie, ako je torakotómia alebo sternotomia, je poslednou možnosťou kvôli svojej invazívnej povahe a vyššiemu riziku pre pacienta. Celkovo zostáva endovaskulárne odstránenie štandardom starostlivosti, pričom liečba je prispôsobená stavu pacienta a charakteristikám cudzieho telesa.</w:t>
      </w:r>
    </w:p>
    <w:p w14:paraId="2CDE6FBF" w14:textId="77777777" w:rsidR="00042B91" w:rsidRPr="009461CC" w:rsidRDefault="00042B91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8" w:name="_Toc222741725"/>
      <w:r>
        <w:rPr>
          <w:rFonts w:cs="Times New Roman"/>
          <w:bCs/>
          <w:lang w:val="sk"/>
        </w:rPr>
        <w:t>Navrhovaný profil a školenie pre používateľov</w:t>
      </w:r>
      <w:bookmarkEnd w:id="78"/>
    </w:p>
    <w:p w14:paraId="35173865" w14:textId="0C72FD3E" w:rsidR="00042B91" w:rsidRPr="009461CC" w:rsidRDefault="00A5239F" w:rsidP="00042B91">
      <w:pPr>
        <w:spacing w:after="0" w:afterAutospacing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k"/>
        </w:rPr>
        <w:t>Výrobok je určený na používanie zdravotníckymi pracovníkmi a smie ho používať len kvalifikovaný personál, ktorý je oboznámený s technikou.</w:t>
      </w:r>
    </w:p>
    <w:p w14:paraId="21A7D581" w14:textId="77777777" w:rsidR="00A5239F" w:rsidRPr="009461CC" w:rsidRDefault="00A5239F" w:rsidP="00042B91">
      <w:pPr>
        <w:spacing w:after="0" w:afterAutospacing="0" w:line="240" w:lineRule="auto"/>
        <w:rPr>
          <w:rFonts w:cs="Times New Roman"/>
          <w:i/>
          <w:color w:val="FF0000"/>
          <w:highlight w:val="yellow"/>
        </w:rPr>
      </w:pPr>
    </w:p>
    <w:p w14:paraId="7848B753" w14:textId="692785D6" w:rsidR="0037316E" w:rsidRPr="009461CC" w:rsidRDefault="0076040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9" w:name="_Toc222741726"/>
      <w:r>
        <w:rPr>
          <w:rFonts w:cs="Times New Roman"/>
          <w:bCs/>
          <w:lang w:val="sk"/>
        </w:rPr>
        <w:t>Harmonizované normy/bežné špecifikácie</w:t>
      </w:r>
      <w:bookmarkEnd w:id="79"/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2336"/>
        <w:gridCol w:w="8008"/>
      </w:tblGrid>
      <w:tr w:rsidR="0094168A" w:rsidRPr="009461CC" w14:paraId="04F3E487" w14:textId="77777777" w:rsidTr="00293453">
        <w:trPr>
          <w:tblHeader/>
        </w:trPr>
        <w:tc>
          <w:tcPr>
            <w:tcW w:w="1129" w:type="pct"/>
          </w:tcPr>
          <w:p w14:paraId="5EEB168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Dátum/verzia zhody Argon</w:t>
            </w:r>
          </w:p>
        </w:tc>
        <w:tc>
          <w:tcPr>
            <w:tcW w:w="3871" w:type="pct"/>
          </w:tcPr>
          <w:p w14:paraId="7BCD103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Názov normy</w:t>
            </w:r>
          </w:p>
        </w:tc>
      </w:tr>
      <w:tr w:rsidR="0094168A" w:rsidRPr="009461CC" w14:paraId="67124770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B92BAB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Označovanie</w:t>
            </w:r>
          </w:p>
        </w:tc>
      </w:tr>
      <w:tr w:rsidR="0094168A" w:rsidRPr="009461CC" w14:paraId="25DF072C" w14:textId="77777777" w:rsidTr="00293453">
        <w:tc>
          <w:tcPr>
            <w:tcW w:w="1129" w:type="pct"/>
          </w:tcPr>
          <w:p w14:paraId="434B73A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k"/>
              </w:rPr>
              <w:t>EN ISO 15223-1:2021</w:t>
            </w:r>
          </w:p>
        </w:tc>
        <w:tc>
          <w:tcPr>
            <w:tcW w:w="3871" w:type="pct"/>
          </w:tcPr>
          <w:p w14:paraId="40A15B1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 xml:space="preserve">Zdravotnícke pomôcky - Symboly, ktoré sa majú používať so zdravotníckymi pomôckami. </w:t>
            </w:r>
          </w:p>
          <w:p w14:paraId="093121E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 xml:space="preserve">etikety, označovanie a informácie, ktoré sa majú poskytnúť – Časť 1: Všeobecné požiadavky. </w:t>
            </w:r>
          </w:p>
          <w:p w14:paraId="3CEE87D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94168A" w:rsidRPr="009461CC" w14:paraId="13723641" w14:textId="77777777" w:rsidTr="00293453">
        <w:tc>
          <w:tcPr>
            <w:tcW w:w="1129" w:type="pct"/>
          </w:tcPr>
          <w:p w14:paraId="7822ED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EN ISO 20417:2021</w:t>
            </w:r>
          </w:p>
        </w:tc>
        <w:tc>
          <w:tcPr>
            <w:tcW w:w="3871" w:type="pct"/>
          </w:tcPr>
          <w:p w14:paraId="6EF6F71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Terminológia, symboly a informácie poskytované so zdravotníckymi pomôckami: Informácie poskytované výrobcom so zdravotníckymi pomôckami</w:t>
            </w:r>
          </w:p>
        </w:tc>
      </w:tr>
      <w:tr w:rsidR="0094168A" w:rsidRPr="009461CC" w14:paraId="26B8C057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F9809B2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Všeobecné normy – Sterilizácia</w:t>
            </w:r>
          </w:p>
        </w:tc>
      </w:tr>
      <w:tr w:rsidR="0094168A" w:rsidRPr="009461CC" w14:paraId="7C28E0D3" w14:textId="77777777" w:rsidTr="00293453">
        <w:tc>
          <w:tcPr>
            <w:tcW w:w="1129" w:type="pct"/>
          </w:tcPr>
          <w:p w14:paraId="0416000A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ISO 10555-1:2013</w:t>
            </w:r>
          </w:p>
        </w:tc>
        <w:tc>
          <w:tcPr>
            <w:tcW w:w="3871" w:type="pct"/>
          </w:tcPr>
          <w:p w14:paraId="5B0C265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Intravaskulárne katétre. Sterilné a jednorazové katétre. 1. časť: Všeobecné požiadavky</w:t>
            </w:r>
          </w:p>
        </w:tc>
      </w:tr>
      <w:tr w:rsidR="0094168A" w:rsidRPr="009461CC" w14:paraId="088E27B4" w14:textId="77777777" w:rsidTr="00293453">
        <w:tc>
          <w:tcPr>
            <w:tcW w:w="1129" w:type="pct"/>
          </w:tcPr>
          <w:p w14:paraId="4746087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EN 556-1:2024</w:t>
            </w:r>
          </w:p>
        </w:tc>
        <w:tc>
          <w:tcPr>
            <w:tcW w:w="3871" w:type="pct"/>
          </w:tcPr>
          <w:p w14:paraId="64BED8C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Sterilizácia zdravotníckych pomôcok. Požiadavky na zdravotnícke pomôcky, ktoré sa majú označiť ako STERILNÉ. Požiadavky na zdravotnícke pomôcky sterilizované v konečnom obale</w:t>
            </w:r>
          </w:p>
        </w:tc>
      </w:tr>
      <w:tr w:rsidR="0094168A" w:rsidRPr="009461CC" w14:paraId="4DEE0525" w14:textId="77777777" w:rsidTr="00293453">
        <w:tc>
          <w:tcPr>
            <w:tcW w:w="1129" w:type="pct"/>
          </w:tcPr>
          <w:p w14:paraId="5095D1B9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EN ISO 11135:2019</w:t>
            </w:r>
          </w:p>
        </w:tc>
        <w:tc>
          <w:tcPr>
            <w:tcW w:w="3871" w:type="pct"/>
          </w:tcPr>
          <w:p w14:paraId="1E9B7BE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Sterilizácia zdravotníckych výrobkov – Etylénoxid – Časť 1: Požiadavky na vývoj, validáciu a bežnú kontrolu procesu sterilizácie zdravotníckych pomôcok</w:t>
            </w:r>
          </w:p>
        </w:tc>
      </w:tr>
      <w:tr w:rsidR="0094168A" w:rsidRPr="009461CC" w14:paraId="6B89F042" w14:textId="77777777" w:rsidTr="00293453">
        <w:tc>
          <w:tcPr>
            <w:tcW w:w="1129" w:type="pct"/>
          </w:tcPr>
          <w:p w14:paraId="3F4832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AAMI TIR28:2016</w:t>
            </w:r>
          </w:p>
          <w:p w14:paraId="4FBEE0AF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68BE6733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Prijatie produktu a ekvivalencia procesu pre sterilizáciu etylénoxidom</w:t>
            </w:r>
          </w:p>
        </w:tc>
      </w:tr>
      <w:tr w:rsidR="0094168A" w:rsidRPr="009461CC" w14:paraId="1E1CCCD6" w14:textId="77777777" w:rsidTr="00293453">
        <w:tc>
          <w:tcPr>
            <w:tcW w:w="1129" w:type="pct"/>
          </w:tcPr>
          <w:p w14:paraId="25D300E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EN ISO 14644-1:2015</w:t>
            </w:r>
          </w:p>
        </w:tc>
        <w:tc>
          <w:tcPr>
            <w:tcW w:w="3871" w:type="pct"/>
          </w:tcPr>
          <w:p w14:paraId="2AD73BC5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Klasifikácia čistoty ovzdušia, čistých priestorov a súvisiaceho kontrolovaného prostredia. Časť 1: Klasifikácia čistoty ovzdušia</w:t>
            </w:r>
          </w:p>
        </w:tc>
      </w:tr>
      <w:tr w:rsidR="0094168A" w:rsidRPr="009461CC" w14:paraId="27E7EE41" w14:textId="77777777" w:rsidTr="00293453">
        <w:trPr>
          <w:trHeight w:val="1097"/>
        </w:trPr>
        <w:tc>
          <w:tcPr>
            <w:tcW w:w="1129" w:type="pct"/>
          </w:tcPr>
          <w:p w14:paraId="51EAE02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EN ISO 14644-2:2015</w:t>
            </w:r>
          </w:p>
        </w:tc>
        <w:tc>
          <w:tcPr>
            <w:tcW w:w="3871" w:type="pct"/>
          </w:tcPr>
          <w:p w14:paraId="3AA6B4D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 xml:space="preserve">Čisté priestory a súvisiace kontrolované prostredia - Časť 2: Monitorovanie na zabezpečenie dôkazov o čistých priestoroch. </w:t>
            </w:r>
          </w:p>
          <w:p w14:paraId="2873EF6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 xml:space="preserve">výkon súvisiaci s čistotou vzduchu podľa častíc. </w:t>
            </w:r>
          </w:p>
          <w:p w14:paraId="02B2FED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koncentrácia</w:t>
            </w:r>
          </w:p>
        </w:tc>
      </w:tr>
      <w:tr w:rsidR="0094168A" w:rsidRPr="009461CC" w14:paraId="0A4BF260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ED2A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k"/>
              </w:rPr>
              <w:lastRenderedPageBreak/>
              <w:t>EN ISO 11737-1:2018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B8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k"/>
              </w:rPr>
              <w:t>Sterilizácia zdravotníckych pomôcok – Mikrobiologické metódy – Časť 1: Stanovenie populácie mikroorganizmov na výrobkoch</w:t>
            </w:r>
          </w:p>
        </w:tc>
      </w:tr>
      <w:tr w:rsidR="0094168A" w:rsidRPr="009461CC" w14:paraId="79153AFF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3E9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k"/>
              </w:rPr>
              <w:t>EN ISO 10993-7:2022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C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k"/>
              </w:rPr>
              <w:t>Biologické hodnotenie zdravotníckych pomôcok. Zvyšky po sterilizácii etylénoxidom</w:t>
            </w:r>
          </w:p>
        </w:tc>
      </w:tr>
      <w:tr w:rsidR="0094168A" w:rsidRPr="009461CC" w14:paraId="255576C7" w14:textId="77777777" w:rsidTr="00293453">
        <w:tc>
          <w:tcPr>
            <w:tcW w:w="1129" w:type="pct"/>
          </w:tcPr>
          <w:p w14:paraId="3E8552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NSI/AAMI ST72:2019</w:t>
            </w:r>
          </w:p>
        </w:tc>
        <w:tc>
          <w:tcPr>
            <w:tcW w:w="3871" w:type="pct"/>
          </w:tcPr>
          <w:p w14:paraId="1BB261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Test bakteriálnych endotoxínov</w:t>
            </w:r>
          </w:p>
        </w:tc>
      </w:tr>
      <w:tr w:rsidR="0094168A" w:rsidRPr="009461CC" w14:paraId="404997E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ABA833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Všeobecné normy – systémy kvality</w:t>
            </w:r>
          </w:p>
        </w:tc>
      </w:tr>
      <w:tr w:rsidR="0094168A" w:rsidRPr="009461CC" w14:paraId="63A55C82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DA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k"/>
              </w:rPr>
              <w:t>EN ISO 13485:2016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B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k"/>
              </w:rPr>
              <w:t>Zdravotnícke pomôcky. Systémy manažmentu kvality. Požiadavky na splnenie predpisov</w:t>
            </w:r>
          </w:p>
        </w:tc>
      </w:tr>
      <w:tr w:rsidR="0094168A" w:rsidRPr="009461CC" w14:paraId="387B175B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9DAC31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Riadenie rizík</w:t>
            </w:r>
          </w:p>
        </w:tc>
      </w:tr>
      <w:tr w:rsidR="0094168A" w:rsidRPr="009461CC" w14:paraId="75307B89" w14:textId="77777777" w:rsidTr="00293453">
        <w:tc>
          <w:tcPr>
            <w:tcW w:w="1129" w:type="pct"/>
          </w:tcPr>
          <w:p w14:paraId="653BDB4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EN ISO 14971:2019</w:t>
            </w:r>
          </w:p>
        </w:tc>
        <w:tc>
          <w:tcPr>
            <w:tcW w:w="3871" w:type="pct"/>
          </w:tcPr>
          <w:p w14:paraId="4457BE6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Zdravotnícke pomôcky – aplikácia riadenia rizík na zdravotnícke pomôcky</w:t>
            </w:r>
          </w:p>
        </w:tc>
      </w:tr>
      <w:tr w:rsidR="0094168A" w:rsidRPr="009461CC" w14:paraId="0412F728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0003C37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sk"/>
              </w:rPr>
              <w:t>Biologická bezpečnosť</w:t>
            </w:r>
          </w:p>
        </w:tc>
      </w:tr>
      <w:tr w:rsidR="0094168A" w:rsidRPr="009461CC" w14:paraId="4EC2D85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F9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10993-1:2020 + LC:2021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02E8D" w14:textId="77777777" w:rsidR="0094168A" w:rsidRPr="009461CC" w:rsidRDefault="0094168A" w:rsidP="00293453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Biologické hodnotenie zdravotníckych pomôcok – časť 1: </w:t>
            </w:r>
          </w:p>
          <w:p w14:paraId="1D869305" w14:textId="77777777" w:rsidR="0094168A" w:rsidRPr="009461CC" w:rsidRDefault="0094168A" w:rsidP="00293453">
            <w:pPr>
              <w:tabs>
                <w:tab w:val="left" w:pos="1320"/>
              </w:tabs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Hodnotenie a skúšanie  </w:t>
            </w:r>
          </w:p>
        </w:tc>
      </w:tr>
      <w:tr w:rsidR="0094168A" w:rsidRPr="009461CC" w14:paraId="3496F1C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84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10993-3:2014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8F9B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Biologické hodnotenie zdravotníckych pomôcok -- Časť 3: Testy genotoxicity, karcinogenity a reprodukčnej toxicity </w:t>
            </w:r>
          </w:p>
        </w:tc>
      </w:tr>
      <w:tr w:rsidR="0094168A" w:rsidRPr="009461CC" w14:paraId="5B12C58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D356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10993-4:2017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4D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Biologické hodnotenie zdravotníckych pomôcok – Časť 4: Výber testov na interakcie s krvou </w:t>
            </w:r>
          </w:p>
        </w:tc>
      </w:tr>
      <w:tr w:rsidR="0094168A" w:rsidRPr="009461CC" w14:paraId="6B4C18F9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AAA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10993-5:2009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EB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Biologické hodnotenie zdravotníckych pomôcok -- Časť 5: Skúšky cytotoxicity in vitro </w:t>
            </w:r>
          </w:p>
        </w:tc>
      </w:tr>
      <w:tr w:rsidR="0094168A" w:rsidRPr="009461CC" w14:paraId="0C8F61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A6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10993-10:2013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A3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Biologické hodnotenie zdravotníckych pomôcok -- Časť 10: Skúšky na podráždenie a senzibilizáciu pokožky </w:t>
            </w:r>
          </w:p>
        </w:tc>
      </w:tr>
      <w:tr w:rsidR="0094168A" w:rsidRPr="009461CC" w14:paraId="0E6AC70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75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10993-11:2018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9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Biologické hodnotenie zdravotníckych pomôcok -- Časť 11: Skúšky systémovej toxicity </w:t>
            </w:r>
          </w:p>
        </w:tc>
      </w:tr>
      <w:tr w:rsidR="0094168A" w:rsidRPr="009461CC" w14:paraId="4DA537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A3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10993-12:2021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3A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Biologické hodnotenie zdravotníckych pomôcok – Časť 12: Príprava vzoriek a referenčné materiály </w:t>
            </w:r>
          </w:p>
        </w:tc>
      </w:tr>
      <w:tr w:rsidR="00586415" w:rsidRPr="009461CC" w14:paraId="5BDB3E6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CB5" w14:textId="75B11B14" w:rsidR="00586415" w:rsidRPr="009461CC" w:rsidRDefault="00522664" w:rsidP="00586415">
            <w:pPr>
              <w:spacing w:after="0" w:afterAutospacing="0"/>
              <w:rPr>
                <w:rFonts w:eastAsia="Arial"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10993-17:2023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5B5F" w14:textId="1691BD78" w:rsidR="00586415" w:rsidRPr="009461CC" w:rsidRDefault="00586415" w:rsidP="00586415">
            <w:pPr>
              <w:spacing w:after="0" w:afterAutospacing="0"/>
              <w:rPr>
                <w:rFonts w:eastAsia="Arial"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Posúdenie toxikologického rizika zložiek zdravotníckych pomôcok</w:t>
            </w:r>
          </w:p>
        </w:tc>
      </w:tr>
      <w:tr w:rsidR="00586415" w:rsidRPr="009461CC" w14:paraId="14855AA5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81D3BA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sk"/>
              </w:rPr>
              <w:t>Klinické hodnotenie</w:t>
            </w:r>
          </w:p>
        </w:tc>
      </w:tr>
      <w:tr w:rsidR="00586415" w:rsidRPr="009461CC" w14:paraId="1F26EC64" w14:textId="77777777" w:rsidTr="00293453">
        <w:tc>
          <w:tcPr>
            <w:tcW w:w="1129" w:type="pct"/>
          </w:tcPr>
          <w:p w14:paraId="5AF3269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MEDDEV 2.7/1 Rev4</w:t>
            </w:r>
          </w:p>
        </w:tc>
        <w:tc>
          <w:tcPr>
            <w:tcW w:w="3871" w:type="pct"/>
          </w:tcPr>
          <w:p w14:paraId="3D1D112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Klinické hodnotenie: Sprievodca pre výrobcov a notifikované orgány</w:t>
            </w:r>
          </w:p>
        </w:tc>
      </w:tr>
      <w:tr w:rsidR="00586415" w:rsidRPr="009461CC" w14:paraId="59A5C57A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3347842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sk"/>
              </w:rPr>
              <w:t>Kontrola dizajnu</w:t>
            </w:r>
          </w:p>
        </w:tc>
      </w:tr>
      <w:tr w:rsidR="00586415" w:rsidRPr="009461CC" w14:paraId="54F49ECD" w14:textId="77777777" w:rsidTr="00293453">
        <w:tc>
          <w:tcPr>
            <w:tcW w:w="1129" w:type="pct"/>
          </w:tcPr>
          <w:p w14:paraId="4795B61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EN ISO 14971</w:t>
            </w:r>
          </w:p>
        </w:tc>
        <w:tc>
          <w:tcPr>
            <w:tcW w:w="3871" w:type="pct"/>
          </w:tcPr>
          <w:p w14:paraId="55771886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Zdravotnícke pomôcky – aplikácia riadenia rizík na zdravotnícke pomôcky</w:t>
            </w:r>
          </w:p>
        </w:tc>
      </w:tr>
      <w:tr w:rsidR="00586415" w:rsidRPr="009461CC" w14:paraId="48F71F50" w14:textId="77777777" w:rsidTr="00293453">
        <w:tc>
          <w:tcPr>
            <w:tcW w:w="1129" w:type="pct"/>
          </w:tcPr>
          <w:p w14:paraId="477CFB4F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20C1E19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586415" w:rsidRPr="009461CC" w14:paraId="0064DEC6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4B791D4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Použiteľnosť</w:t>
            </w:r>
          </w:p>
        </w:tc>
      </w:tr>
      <w:tr w:rsidR="00586415" w:rsidRPr="009461CC" w14:paraId="29A23DD2" w14:textId="77777777" w:rsidTr="00293453">
        <w:tc>
          <w:tcPr>
            <w:tcW w:w="1129" w:type="pct"/>
          </w:tcPr>
          <w:p w14:paraId="38C30B5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IEC 62366-1:2015 a</w:t>
            </w:r>
          </w:p>
          <w:p w14:paraId="2D964E3D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IEC 62366-1:2015/ COR1:2016</w:t>
            </w:r>
          </w:p>
        </w:tc>
        <w:tc>
          <w:tcPr>
            <w:tcW w:w="3871" w:type="pct"/>
          </w:tcPr>
          <w:p w14:paraId="7A444F47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Zdravotnícke pomôcky – Aplikácia inžinierstva použiteľnosti v zdravotníckych pomôckach</w:t>
            </w:r>
          </w:p>
        </w:tc>
      </w:tr>
      <w:tr w:rsidR="00586415" w:rsidRPr="009461CC" w14:paraId="075E02B3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02A71D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Balenie</w:t>
            </w:r>
          </w:p>
        </w:tc>
      </w:tr>
      <w:tr w:rsidR="00586415" w:rsidRPr="009461CC" w14:paraId="0144C9E3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C5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11607-1:2020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F92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Obaly pre terminálne sterilizované zdravotnícke pomôcky. Časť 1: Požiadavky na materiály, systémy sterilnej bariéry a obalové systémy </w:t>
            </w:r>
          </w:p>
        </w:tc>
      </w:tr>
      <w:tr w:rsidR="00586415" w:rsidRPr="009461CC" w14:paraId="32D78976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C628" w14:textId="77777777" w:rsidR="00586415" w:rsidRPr="009461CC" w:rsidRDefault="00586415" w:rsidP="00586415">
            <w:pPr>
              <w:spacing w:after="16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11607-2:2020</w:t>
            </w:r>
          </w:p>
          <w:p w14:paraId="2A1BCB5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F1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Obaly pre terminálne sterilizované zdravotnícke pomôcky. Časť 2: Požiadavky validácie na procesy tvarovania, spájania a skladania </w:t>
            </w:r>
          </w:p>
        </w:tc>
      </w:tr>
      <w:tr w:rsidR="00586415" w:rsidRPr="009461CC" w14:paraId="1D891E6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4A1D" w14:textId="77777777" w:rsidR="00586415" w:rsidRPr="009461CC" w:rsidRDefault="00586415" w:rsidP="00586415">
            <w:pPr>
              <w:spacing w:after="14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>EN ISO 2233:2001</w:t>
            </w:r>
          </w:p>
          <w:p w14:paraId="3F44F0A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563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Balenie -- Kompletné, naplnené prepravné obaly a jednotkové náklady -- Príprava na testovanie </w:t>
            </w:r>
          </w:p>
        </w:tc>
      </w:tr>
      <w:tr w:rsidR="00586415" w:rsidRPr="009461CC" w14:paraId="7DFBA78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30C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4">
              <w:r>
                <w:rPr>
                  <w:rFonts w:eastAsia="Arial" w:cs="Times New Roman"/>
                  <w:sz w:val="22"/>
                  <w:lang w:val="sk"/>
                </w:rPr>
                <w:t xml:space="preserve">ASTM D4169 </w:t>
              </w:r>
            </w:hyperlink>
            <w:r>
              <w:rPr>
                <w:rFonts w:eastAsia="Arial" w:cs="Times New Roman"/>
                <w:sz w:val="22"/>
                <w:lang w:val="sk"/>
              </w:rPr>
              <w:t>:2022</w:t>
            </w:r>
            <w:hyperlink r:id="rId15">
              <w:r>
                <w:rPr>
                  <w:rFonts w:eastAsia="Arial" w:cs="Times New Roman"/>
                  <w:sz w:val="22"/>
                  <w:lang w:val="sk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60F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Štandardný postup pre výkonnostné testovanie prepravných kontajnerov a systémov - </w:t>
            </w:r>
          </w:p>
        </w:tc>
      </w:tr>
      <w:tr w:rsidR="00586415" w:rsidRPr="009461CC" w14:paraId="1A9015D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C0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6">
              <w:r>
                <w:rPr>
                  <w:rFonts w:eastAsia="Arial" w:cs="Times New Roman"/>
                  <w:sz w:val="22"/>
                  <w:lang w:val="sk"/>
                </w:rPr>
                <w:t xml:space="preserve">ASTM F2096 </w:t>
              </w:r>
            </w:hyperlink>
            <w:hyperlink r:id="rId17">
              <w:r>
                <w:rPr>
                  <w:rFonts w:eastAsia="Arial" w:cs="Times New Roman"/>
                  <w:sz w:val="22"/>
                  <w:lang w:val="sk"/>
                </w:rPr>
                <w:t xml:space="preserve">– </w:t>
              </w:r>
            </w:hyperlink>
            <w:r>
              <w:rPr>
                <w:rFonts w:eastAsia="Arial" w:cs="Times New Roman"/>
                <w:sz w:val="22"/>
                <w:lang w:val="sk"/>
              </w:rPr>
              <w:t>20</w:t>
            </w:r>
            <w:hyperlink r:id="rId18">
              <w:r>
                <w:rPr>
                  <w:rFonts w:eastAsia="Arial" w:cs="Times New Roman"/>
                  <w:sz w:val="22"/>
                  <w:lang w:val="sk"/>
                </w:rPr>
                <w:t xml:space="preserve">11 (R2019) </w:t>
              </w:r>
            </w:hyperlink>
            <w:hyperlink r:id="rId19">
              <w:r>
                <w:rPr>
                  <w:rFonts w:eastAsia="Arial" w:cs="Times New Roman"/>
                  <w:sz w:val="22"/>
                  <w:lang w:val="sk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4E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Štandardná testovacia metóda na detekciu hrubých únikov v </w:t>
            </w:r>
          </w:p>
          <w:p w14:paraId="403EB0FF" w14:textId="77777777" w:rsidR="00586415" w:rsidRPr="009461CC" w:rsidRDefault="00586415" w:rsidP="00586415">
            <w:pPr>
              <w:spacing w:after="16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medicínskom balení vnútorným tlakom (bublinový test) </w:t>
            </w:r>
          </w:p>
          <w:p w14:paraId="401902E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- ASTM F 2096-11 (2019) </w:t>
            </w:r>
          </w:p>
        </w:tc>
      </w:tr>
      <w:tr w:rsidR="00586415" w:rsidRPr="009461CC" w14:paraId="6A8F5AF4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3B2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0">
              <w:r>
                <w:rPr>
                  <w:rFonts w:eastAsia="Arial" w:cs="Times New Roman"/>
                  <w:sz w:val="22"/>
                  <w:lang w:val="sk"/>
                </w:rPr>
                <w:t xml:space="preserve">ASTM F1929 </w:t>
              </w:r>
            </w:hyperlink>
            <w:hyperlink r:id="rId21">
              <w:r>
                <w:rPr>
                  <w:rFonts w:eastAsia="Arial" w:cs="Times New Roman"/>
                  <w:sz w:val="22"/>
                  <w:lang w:val="sk"/>
                </w:rPr>
                <w:t xml:space="preserve">- </w:t>
              </w:r>
            </w:hyperlink>
            <w:hyperlink r:id="rId22">
              <w:r>
                <w:rPr>
                  <w:rFonts w:eastAsia="Arial" w:cs="Times New Roman"/>
                  <w:sz w:val="22"/>
                  <w:lang w:val="sk"/>
                </w:rPr>
                <w:t xml:space="preserve">15 </w:t>
              </w:r>
            </w:hyperlink>
            <w:hyperlink r:id="rId23">
              <w:r>
                <w:rPr>
                  <w:rFonts w:eastAsia="Arial" w:cs="Times New Roman"/>
                  <w:sz w:val="22"/>
                  <w:lang w:val="sk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47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Štandardná testovacia metóda na detekciu netesností tesnení v poréznych </w:t>
            </w:r>
          </w:p>
          <w:p w14:paraId="1449B41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lastRenderedPageBreak/>
              <w:t xml:space="preserve">medicínskych baleniach penetráciou farbiva - ASTM F 1929 </w:t>
            </w:r>
          </w:p>
        </w:tc>
      </w:tr>
      <w:tr w:rsidR="00586415" w:rsidRPr="009461CC" w14:paraId="5231BAAE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9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4">
              <w:r>
                <w:rPr>
                  <w:rFonts w:eastAsia="Arial" w:cs="Times New Roman"/>
                  <w:sz w:val="22"/>
                  <w:lang w:val="sk"/>
                </w:rPr>
                <w:t xml:space="preserve">ASTM F88 / F88M </w:t>
              </w:r>
            </w:hyperlink>
            <w:hyperlink r:id="rId25">
              <w:r>
                <w:rPr>
                  <w:rFonts w:eastAsia="Arial" w:cs="Times New Roman"/>
                  <w:sz w:val="22"/>
                  <w:lang w:val="sk"/>
                </w:rPr>
                <w:t xml:space="preserve">- </w:t>
              </w:r>
            </w:hyperlink>
            <w:r>
              <w:rPr>
                <w:rFonts w:eastAsia="Arial" w:cs="Times New Roman"/>
                <w:sz w:val="22"/>
                <w:lang w:val="sk"/>
              </w:rPr>
              <w:t>2021</w:t>
            </w:r>
            <w:hyperlink r:id="rId26">
              <w:r>
                <w:rPr>
                  <w:rFonts w:eastAsia="Arial" w:cs="Times New Roman"/>
                  <w:sz w:val="22"/>
                  <w:lang w:val="sk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AF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Štandardná skúšobná metóda pre pevnosť utesnenia flexibilných bariérových materiálov - ASTM F88 </w:t>
            </w:r>
          </w:p>
        </w:tc>
      </w:tr>
      <w:tr w:rsidR="00586415" w:rsidRPr="009461CC" w14:paraId="08E5E70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8F8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7">
              <w:r>
                <w:rPr>
                  <w:rFonts w:eastAsia="Arial" w:cs="Times New Roman"/>
                  <w:sz w:val="22"/>
                  <w:lang w:val="sk"/>
                </w:rPr>
                <w:t xml:space="preserve">ASTM F1980 </w:t>
              </w:r>
            </w:hyperlink>
            <w:hyperlink r:id="rId28">
              <w:r>
                <w:rPr>
                  <w:rFonts w:eastAsia="Arial" w:cs="Times New Roman"/>
                  <w:sz w:val="22"/>
                  <w:lang w:val="sk"/>
                </w:rPr>
                <w:t xml:space="preserve">- </w:t>
              </w:r>
            </w:hyperlink>
            <w:r>
              <w:rPr>
                <w:rFonts w:eastAsia="Arial" w:cs="Times New Roman"/>
                <w:sz w:val="22"/>
                <w:lang w:val="sk"/>
              </w:rPr>
              <w:t>2021</w:t>
            </w:r>
            <w:hyperlink r:id="rId29">
              <w:r>
                <w:rPr>
                  <w:rFonts w:eastAsia="Arial" w:cs="Times New Roman"/>
                  <w:sz w:val="22"/>
                  <w:lang w:val="sk"/>
                </w:rPr>
                <w:t xml:space="preserve"> </w:t>
              </w:r>
            </w:hyperlink>
            <w:hyperlink r:id="rId30">
              <w:r>
                <w:rPr>
                  <w:rFonts w:eastAsia="Arial" w:cs="Times New Roman"/>
                  <w:sz w:val="22"/>
                  <w:lang w:val="sk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64AF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sk"/>
              </w:rPr>
              <w:t xml:space="preserve">Štandardná príručka pre zrýchlené starnutie sterilných bariérových systémov pre zdravotnícke pomôcky - ASTM F1980 </w:t>
            </w:r>
          </w:p>
        </w:tc>
      </w:tr>
      <w:tr w:rsidR="00586415" w:rsidRPr="009461CC" w14:paraId="0F76587E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6DCCB7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Klinické sledovanie po uvedení na trh</w:t>
            </w:r>
          </w:p>
        </w:tc>
      </w:tr>
      <w:tr w:rsidR="00586415" w:rsidRPr="009461CC" w14:paraId="72BDA171" w14:textId="77777777" w:rsidTr="00293453">
        <w:tc>
          <w:tcPr>
            <w:tcW w:w="1129" w:type="pct"/>
          </w:tcPr>
          <w:p w14:paraId="4A2D9F8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MEDDEV 2.12/2 Rev2</w:t>
            </w:r>
          </w:p>
        </w:tc>
        <w:tc>
          <w:tcPr>
            <w:tcW w:w="3871" w:type="pct"/>
          </w:tcPr>
          <w:p w14:paraId="534E025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Štúdie klinického sledovania po uvedení na trh</w:t>
            </w:r>
          </w:p>
        </w:tc>
      </w:tr>
      <w:tr w:rsidR="00586415" w:rsidRPr="009461CC" w14:paraId="1CA6A5F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FE76F53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Vigilancia</w:t>
            </w:r>
          </w:p>
        </w:tc>
      </w:tr>
      <w:tr w:rsidR="00586415" w:rsidRPr="009461CC" w14:paraId="577ABEC8" w14:textId="77777777" w:rsidTr="00293453">
        <w:tc>
          <w:tcPr>
            <w:tcW w:w="1129" w:type="pct"/>
          </w:tcPr>
          <w:p w14:paraId="403A7E8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MEDDEV 2.12/1 Rev8</w:t>
            </w:r>
          </w:p>
        </w:tc>
        <w:tc>
          <w:tcPr>
            <w:tcW w:w="3871" w:type="pct"/>
          </w:tcPr>
          <w:p w14:paraId="1F13D90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Usmernenia k systému vigilancie zdravotníckych pomôcok</w:t>
            </w:r>
          </w:p>
        </w:tc>
      </w:tr>
    </w:tbl>
    <w:p w14:paraId="06B25AF7" w14:textId="77777777" w:rsidR="00582286" w:rsidRPr="009461CC" w:rsidRDefault="00582286" w:rsidP="000A23CB">
      <w:pPr>
        <w:spacing w:after="0" w:afterAutospacing="0" w:line="240" w:lineRule="auto"/>
        <w:rPr>
          <w:rFonts w:cs="Times New Roman"/>
        </w:rPr>
      </w:pPr>
    </w:p>
    <w:p w14:paraId="6F757B16" w14:textId="77777777" w:rsidR="00601F87" w:rsidRPr="009461CC" w:rsidRDefault="00601F87" w:rsidP="000A23CB">
      <w:pPr>
        <w:spacing w:after="0" w:afterAutospacing="0" w:line="240" w:lineRule="auto"/>
        <w:rPr>
          <w:rFonts w:cs="Times New Roman"/>
        </w:rPr>
      </w:pPr>
    </w:p>
    <w:p w14:paraId="438059D7" w14:textId="77777777" w:rsidR="00601F87" w:rsidRPr="009461CC" w:rsidRDefault="00601F87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80" w:name="_Toc181362715"/>
      <w:bookmarkStart w:id="81" w:name="_Toc222741727"/>
      <w:r>
        <w:rPr>
          <w:rFonts w:cs="Times New Roman"/>
          <w:bCs/>
          <w:lang w:val="sk"/>
        </w:rPr>
        <w:t>História revízií</w:t>
      </w:r>
      <w:bookmarkEnd w:id="80"/>
      <w:bookmarkEnd w:id="8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9"/>
        <w:gridCol w:w="1506"/>
        <w:gridCol w:w="4819"/>
        <w:gridCol w:w="2906"/>
      </w:tblGrid>
      <w:tr w:rsidR="00601F87" w:rsidRPr="009461CC" w14:paraId="5B6BFC55" w14:textId="77777777" w:rsidTr="00293453">
        <w:tc>
          <w:tcPr>
            <w:tcW w:w="575" w:type="pct"/>
          </w:tcPr>
          <w:p w14:paraId="2E035377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Revízia</w:t>
            </w:r>
          </w:p>
        </w:tc>
        <w:tc>
          <w:tcPr>
            <w:tcW w:w="722" w:type="pct"/>
          </w:tcPr>
          <w:p w14:paraId="50A5C536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Dátum vydania</w:t>
            </w:r>
          </w:p>
        </w:tc>
        <w:tc>
          <w:tcPr>
            <w:tcW w:w="2310" w:type="pct"/>
          </w:tcPr>
          <w:p w14:paraId="028B7F5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>Opis zmeny</w:t>
            </w:r>
          </w:p>
        </w:tc>
        <w:tc>
          <w:tcPr>
            <w:tcW w:w="1393" w:type="pct"/>
          </w:tcPr>
          <w:p w14:paraId="3C9FD99C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sk"/>
              </w:rPr>
              <w:t xml:space="preserve"> Revízia overená notifikovaným orgánom?</w:t>
            </w:r>
          </w:p>
        </w:tc>
      </w:tr>
      <w:tr w:rsidR="00601F87" w:rsidRPr="009461CC" w14:paraId="16EC10C7" w14:textId="77777777" w:rsidTr="00293453">
        <w:tc>
          <w:tcPr>
            <w:tcW w:w="575" w:type="pct"/>
          </w:tcPr>
          <w:p w14:paraId="58BC1E5F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A</w:t>
            </w:r>
          </w:p>
        </w:tc>
        <w:tc>
          <w:tcPr>
            <w:tcW w:w="722" w:type="pct"/>
          </w:tcPr>
          <w:p w14:paraId="6A81A9AF" w14:textId="71A1E241" w:rsidR="00601F87" w:rsidRPr="009461CC" w:rsidRDefault="002069F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22. mája 2022</w:t>
            </w:r>
          </w:p>
        </w:tc>
        <w:tc>
          <w:tcPr>
            <w:tcW w:w="2310" w:type="pct"/>
          </w:tcPr>
          <w:p w14:paraId="0B577D7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Počiatočné interné vydanie – Neoverené BSI</w:t>
            </w:r>
          </w:p>
        </w:tc>
        <w:tc>
          <w:tcPr>
            <w:tcW w:w="1393" w:type="pct"/>
          </w:tcPr>
          <w:p w14:paraId="3673E384" w14:textId="77777777" w:rsidR="00601F87" w:rsidRPr="009461CC" w:rsidRDefault="00000000" w:rsidP="0029345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-216212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2"/>
                    <w:lang w:val="sk"/>
                  </w:rPr>
                  <w:t>☒</w:t>
                </w:r>
              </w:sdtContent>
            </w:sdt>
            <w:r>
              <w:rPr>
                <w:rFonts w:eastAsia="MS Gothic"/>
                <w:sz w:val="22"/>
                <w:lang w:val="sk"/>
              </w:rPr>
              <w:t xml:space="preserve"> Len na interné použitie</w:t>
            </w:r>
          </w:p>
        </w:tc>
      </w:tr>
      <w:tr w:rsidR="00601F87" w:rsidRPr="009461CC" w14:paraId="253ED939" w14:textId="77777777" w:rsidTr="00293453">
        <w:tc>
          <w:tcPr>
            <w:tcW w:w="575" w:type="pct"/>
          </w:tcPr>
          <w:p w14:paraId="794C6341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 xml:space="preserve">B </w:t>
            </w:r>
          </w:p>
        </w:tc>
        <w:tc>
          <w:tcPr>
            <w:tcW w:w="722" w:type="pct"/>
          </w:tcPr>
          <w:p w14:paraId="4E93CA05" w14:textId="47A5412E" w:rsidR="00601F87" w:rsidRPr="009461CC" w:rsidRDefault="0062476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 xml:space="preserve">15. decembra 2025 </w:t>
            </w:r>
          </w:p>
          <w:p w14:paraId="76ECF0BB" w14:textId="21F4F941" w:rsidR="00601F87" w:rsidRPr="009461CC" w:rsidRDefault="00601F87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</w:p>
        </w:tc>
        <w:tc>
          <w:tcPr>
            <w:tcW w:w="2310" w:type="pct"/>
          </w:tcPr>
          <w:p w14:paraId="7ADC2C3E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Počiatočné predloženie BSI na preskúmanie</w:t>
            </w:r>
          </w:p>
          <w:p w14:paraId="17842BBC" w14:textId="53FA9776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 xml:space="preserve"> </w:t>
            </w:r>
          </w:p>
        </w:tc>
        <w:tc>
          <w:tcPr>
            <w:tcW w:w="1393" w:type="pct"/>
          </w:tcPr>
          <w:p w14:paraId="0FC9FC92" w14:textId="465431A0" w:rsidR="006D6EA3" w:rsidRPr="009461CC" w:rsidRDefault="00000000" w:rsidP="006D6EA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1250311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2"/>
                    <w:lang w:val="sk"/>
                  </w:rPr>
                  <w:t>☒</w:t>
                </w:r>
              </w:sdtContent>
            </w:sdt>
            <w:r>
              <w:rPr>
                <w:rFonts w:eastAsia="MS Gothic"/>
                <w:sz w:val="22"/>
                <w:lang w:val="sk"/>
              </w:rPr>
              <w:t xml:space="preserve"> Áno </w:t>
            </w:r>
          </w:p>
          <w:p w14:paraId="52EB2E13" w14:textId="77777777" w:rsidR="006D6EA3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 xml:space="preserve">Jazyk validácie: </w:t>
            </w:r>
          </w:p>
          <w:p w14:paraId="293F45BE" w14:textId="789551FE" w:rsidR="00CA46B0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k"/>
              </w:rPr>
              <w:t>Slovenčina</w:t>
            </w:r>
          </w:p>
          <w:p w14:paraId="2C6B2388" w14:textId="23538238" w:rsidR="00601F87" w:rsidRPr="009461CC" w:rsidRDefault="006D6EA3" w:rsidP="006D6EA3">
            <w:pPr>
              <w:spacing w:after="0" w:afterAutospacing="0"/>
              <w:rPr>
                <w:rFonts w:cs="Times New Roman"/>
                <w:sz w:val="22"/>
                <w:highlight w:val="yellow"/>
              </w:rPr>
            </w:pPr>
            <w:r>
              <w:rPr>
                <w:rFonts w:ascii="Segoe UI Symbol" w:hAnsi="Segoe UI Symbol"/>
                <w:sz w:val="22"/>
                <w:lang w:val="sk"/>
              </w:rPr>
              <w:t>☐</w:t>
            </w:r>
            <w:r>
              <w:rPr>
                <w:sz w:val="22"/>
                <w:lang w:val="sk"/>
              </w:rPr>
              <w:t xml:space="preserve"> Nie (platí iba pre pomôcky triedy IIa alebo niektoré IIb, pre ktoré nie je SSCP validovaný NO)</w:t>
            </w:r>
          </w:p>
        </w:tc>
      </w:tr>
    </w:tbl>
    <w:p w14:paraId="05B94FC3" w14:textId="73ABFCCD" w:rsidR="00601F87" w:rsidRPr="009461CC" w:rsidRDefault="00601F87" w:rsidP="00601F87">
      <w:pPr>
        <w:tabs>
          <w:tab w:val="left" w:pos="3633"/>
        </w:tabs>
        <w:rPr>
          <w:rFonts w:cs="Times New Roman"/>
        </w:rPr>
      </w:pPr>
    </w:p>
    <w:sectPr w:rsidR="00601F87" w:rsidRPr="009461CC" w:rsidSect="008018F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800" w:right="72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6723" w14:textId="77777777" w:rsidR="005A7096" w:rsidRDefault="005A7096" w:rsidP="009855C3">
      <w:r>
        <w:separator/>
      </w:r>
    </w:p>
  </w:endnote>
  <w:endnote w:type="continuationSeparator" w:id="0">
    <w:p w14:paraId="7CB14FDE" w14:textId="77777777" w:rsidR="005A7096" w:rsidRDefault="005A7096" w:rsidP="009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12p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80000287" w:usb1="188F1C12" w:usb2="00000016" w:usb3="00000000" w:csb0="0004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2497" w14:textId="77777777" w:rsidR="00CD6EF2" w:rsidRDefault="00CD6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9D42" w14:textId="6BB303DF" w:rsidR="00BE3D15" w:rsidRPr="00F44E82" w:rsidRDefault="003036AD" w:rsidP="009855C3">
    <w:pPr>
      <w:pStyle w:val="Footer"/>
      <w:rPr>
        <w:szCs w:val="24"/>
      </w:rPr>
    </w:pPr>
    <w:r>
      <w:rPr>
        <w:b/>
        <w:bCs/>
        <w:sz w:val="18"/>
        <w:szCs w:val="18"/>
        <w:lang w:val="sk"/>
      </w:rPr>
      <w:t>CAQ-QA-025-F1 Rev G: Súhrn bezpečnosti a klinického výkonu (SSCP)</w:t>
    </w:r>
    <w:r>
      <w:rPr>
        <w:lang w:val="sk"/>
      </w:rPr>
      <w:t xml:space="preserve"> </w:t>
    </w:r>
    <w:r>
      <w:rPr>
        <w:lang w:val="sk"/>
      </w:rPr>
      <w:tab/>
      <w:t xml:space="preserve">Strana </w:t>
    </w:r>
    <w:r>
      <w:rPr>
        <w:lang w:val="sk"/>
      </w:rPr>
      <w:fldChar w:fldCharType="begin"/>
    </w:r>
    <w:r>
      <w:rPr>
        <w:lang w:val="sk"/>
      </w:rPr>
      <w:instrText xml:space="preserve"> PAGE  \* Arabic </w:instrText>
    </w:r>
    <w:r>
      <w:rPr>
        <w:lang w:val="sk"/>
      </w:rPr>
      <w:fldChar w:fldCharType="separate"/>
    </w:r>
    <w:r>
      <w:rPr>
        <w:lang w:val="sk"/>
      </w:rPr>
      <w:t>0</w:t>
    </w:r>
    <w:r>
      <w:rPr>
        <w:lang w:val="sk"/>
      </w:rPr>
      <w:fldChar w:fldCharType="end"/>
    </w:r>
    <w:r>
      <w:rPr>
        <w:lang w:val="sk"/>
      </w:rPr>
      <w:t xml:space="preserve"> of </w:t>
    </w:r>
    <w:fldSimple w:instr=" NUMPAGES  ">
      <w:r>
        <w:rPr>
          <w:lang w:val="sk"/>
        </w:rPr>
        <w:t>12</w:t>
      </w:r>
    </w:fldSimple>
    <w:r>
      <w:rPr>
        <w:lang w:val="sk"/>
      </w:rPr>
      <w:t xml:space="preserve">  </w:t>
    </w:r>
    <w:r>
      <w:rPr>
        <w:lang w:val="sk"/>
      </w:rPr>
      <w:tab/>
    </w:r>
    <w:r>
      <w:rPr>
        <w:lang w:val="sk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C275" w14:textId="77777777" w:rsidR="00CD6EF2" w:rsidRDefault="00CD6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61EB" w14:textId="77777777" w:rsidR="005A7096" w:rsidRDefault="005A7096" w:rsidP="009855C3">
      <w:r>
        <w:separator/>
      </w:r>
    </w:p>
  </w:footnote>
  <w:footnote w:type="continuationSeparator" w:id="0">
    <w:p w14:paraId="536E32C3" w14:textId="77777777" w:rsidR="005A7096" w:rsidRDefault="005A7096" w:rsidP="0098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5D29" w14:textId="77777777" w:rsidR="00CD6EF2" w:rsidRDefault="00CD6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7350"/>
    </w:tblGrid>
    <w:tr w:rsidR="00B62140" w14:paraId="7E46E4C7" w14:textId="77777777" w:rsidTr="00B62140">
      <w:tc>
        <w:tcPr>
          <w:tcW w:w="3080" w:type="dxa"/>
        </w:tcPr>
        <w:p w14:paraId="184F2588" w14:textId="6EABB2E0" w:rsidR="00B62140" w:rsidRDefault="00B62140" w:rsidP="00B62140">
          <w:pPr>
            <w:pStyle w:val="Header"/>
            <w:jc w:val="left"/>
          </w:pPr>
          <w:r>
            <w:rPr>
              <w:noProof/>
              <w:lang w:val="sk"/>
            </w:rPr>
            <w:drawing>
              <wp:inline distT="0" distB="0" distL="0" distR="0" wp14:anchorId="4BFA3582" wp14:editId="165F9D90">
                <wp:extent cx="1016000" cy="635000"/>
                <wp:effectExtent l="0" t="0" r="0" b="0"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0" w:type="dxa"/>
        </w:tcPr>
        <w:p w14:paraId="6E8300D8" w14:textId="7A70FCBF" w:rsidR="005450DC" w:rsidRPr="005450DC" w:rsidRDefault="005450DC" w:rsidP="005450DC">
          <w:pPr>
            <w:spacing w:after="0" w:afterAutospacing="0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sk"/>
            </w:rPr>
            <w:t>SÚHRN PARAMETROV BEZPEČNOSTI A KLINICKÉHO VÝKONU (SSCP)</w:t>
          </w:r>
        </w:p>
        <w:p w14:paraId="3BB3B2B1" w14:textId="0B7A306D" w:rsidR="009F5769" w:rsidRPr="005450DC" w:rsidRDefault="009F5769" w:rsidP="009F5769">
          <w:pPr>
            <w:spacing w:after="0" w:afterAutospacing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sk"/>
            </w:rPr>
            <w:t xml:space="preserve">SSCP-0006: </w:t>
          </w:r>
          <w:bookmarkStart w:id="82" w:name="_Hlk196721157"/>
          <w:r>
            <w:rPr>
              <w:rFonts w:ascii="Arial" w:hAnsi="Arial" w:cs="Arial"/>
              <w:sz w:val="18"/>
              <w:szCs w:val="18"/>
              <w:lang w:val="sk"/>
            </w:rPr>
            <w:t>Atrieve Vascular Snare Kit</w:t>
          </w:r>
          <w:bookmarkEnd w:id="82"/>
        </w:p>
        <w:p w14:paraId="32066318" w14:textId="5996CDC6" w:rsidR="005450DC" w:rsidRPr="005450DC" w:rsidRDefault="005450DC" w:rsidP="005450DC">
          <w:pPr>
            <w:spacing w:after="0" w:afterAutospacing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sk"/>
            </w:rPr>
            <w:t>Revízia: B</w:t>
          </w:r>
        </w:p>
        <w:p w14:paraId="2F5F8390" w14:textId="0ABFBBD1" w:rsidR="005450DC" w:rsidRPr="00B62140" w:rsidRDefault="005450DC" w:rsidP="005450DC">
          <w:pPr>
            <w:pStyle w:val="Header"/>
            <w:jc w:val="left"/>
            <w:rPr>
              <w:rFonts w:ascii="Arial" w:hAnsi="Arial" w:cs="Arial"/>
              <w:sz w:val="18"/>
            </w:rPr>
          </w:pPr>
          <w:r>
            <w:rPr>
              <w:rFonts w:ascii="Calibri" w:eastAsiaTheme="minorHAnsi" w:hAnsi="Calibri" w:cs="Calibri"/>
              <w:sz w:val="18"/>
              <w:szCs w:val="18"/>
              <w:lang w:val="sk"/>
            </w:rPr>
            <w:t>Lokalita Argon: všetky lokality</w:t>
          </w:r>
        </w:p>
      </w:tc>
    </w:tr>
  </w:tbl>
  <w:p w14:paraId="0BD58B4F" w14:textId="7DA38D57" w:rsidR="00B62140" w:rsidRDefault="00B62140" w:rsidP="00B62140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74AA" w14:textId="77777777" w:rsidR="00CD6EF2" w:rsidRDefault="00CD6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86"/>
    <w:multiLevelType w:val="hybridMultilevel"/>
    <w:tmpl w:val="DA0C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77569"/>
    <w:multiLevelType w:val="hybridMultilevel"/>
    <w:tmpl w:val="15B4E1B2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642F"/>
    <w:multiLevelType w:val="multilevel"/>
    <w:tmpl w:val="475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7021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37B14"/>
    <w:multiLevelType w:val="hybridMultilevel"/>
    <w:tmpl w:val="DD1A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2A27"/>
    <w:multiLevelType w:val="hybridMultilevel"/>
    <w:tmpl w:val="CA6E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4A05"/>
    <w:multiLevelType w:val="hybridMultilevel"/>
    <w:tmpl w:val="FEAE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16D5"/>
    <w:multiLevelType w:val="multilevel"/>
    <w:tmpl w:val="3DB2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44DA"/>
    <w:multiLevelType w:val="hybridMultilevel"/>
    <w:tmpl w:val="4126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329F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95574"/>
    <w:multiLevelType w:val="hybridMultilevel"/>
    <w:tmpl w:val="1DF48DB6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5951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F32A0"/>
    <w:multiLevelType w:val="hybridMultilevel"/>
    <w:tmpl w:val="DD72E76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DC3F5B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C1CC7"/>
    <w:multiLevelType w:val="multilevel"/>
    <w:tmpl w:val="19D2CB6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Heading1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F33BF6"/>
    <w:multiLevelType w:val="hybridMultilevel"/>
    <w:tmpl w:val="5A40E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B7D64"/>
    <w:multiLevelType w:val="multilevel"/>
    <w:tmpl w:val="7B2C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A37D2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F27DD"/>
    <w:multiLevelType w:val="multilevel"/>
    <w:tmpl w:val="1CA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F5615"/>
    <w:multiLevelType w:val="hybridMultilevel"/>
    <w:tmpl w:val="39B8B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8342CC"/>
    <w:multiLevelType w:val="hybridMultilevel"/>
    <w:tmpl w:val="D3948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B39D6"/>
    <w:multiLevelType w:val="hybridMultilevel"/>
    <w:tmpl w:val="726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43C02"/>
    <w:multiLevelType w:val="multilevel"/>
    <w:tmpl w:val="75F0F646"/>
    <w:lvl w:ilvl="0">
      <w:start w:val="1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2866B7F"/>
    <w:multiLevelType w:val="hybridMultilevel"/>
    <w:tmpl w:val="0D6C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C0CD0"/>
    <w:multiLevelType w:val="hybridMultilevel"/>
    <w:tmpl w:val="57DCF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AE87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C224B"/>
    <w:multiLevelType w:val="multilevel"/>
    <w:tmpl w:val="8E1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C4F74"/>
    <w:multiLevelType w:val="hybridMultilevel"/>
    <w:tmpl w:val="C85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66B5D"/>
    <w:multiLevelType w:val="multilevel"/>
    <w:tmpl w:val="1C2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14B8E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F0477"/>
    <w:multiLevelType w:val="hybridMultilevel"/>
    <w:tmpl w:val="E6F8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87167"/>
    <w:multiLevelType w:val="hybridMultilevel"/>
    <w:tmpl w:val="980EE75C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86F75"/>
    <w:multiLevelType w:val="multilevel"/>
    <w:tmpl w:val="30B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76312">
    <w:abstractNumId w:val="22"/>
  </w:num>
  <w:num w:numId="2" w16cid:durableId="1360936298">
    <w:abstractNumId w:val="14"/>
  </w:num>
  <w:num w:numId="3" w16cid:durableId="300112310">
    <w:abstractNumId w:val="19"/>
  </w:num>
  <w:num w:numId="4" w16cid:durableId="1853834821">
    <w:abstractNumId w:val="6"/>
  </w:num>
  <w:num w:numId="5" w16cid:durableId="1034691173">
    <w:abstractNumId w:val="12"/>
  </w:num>
  <w:num w:numId="6" w16cid:durableId="1593513253">
    <w:abstractNumId w:val="21"/>
  </w:num>
  <w:num w:numId="7" w16cid:durableId="346831415">
    <w:abstractNumId w:val="23"/>
  </w:num>
  <w:num w:numId="8" w16cid:durableId="1853715173">
    <w:abstractNumId w:val="0"/>
  </w:num>
  <w:num w:numId="9" w16cid:durableId="1855343271">
    <w:abstractNumId w:val="15"/>
  </w:num>
  <w:num w:numId="10" w16cid:durableId="916865255">
    <w:abstractNumId w:val="24"/>
  </w:num>
  <w:num w:numId="11" w16cid:durableId="364184473">
    <w:abstractNumId w:val="25"/>
  </w:num>
  <w:num w:numId="12" w16cid:durableId="2108647119">
    <w:abstractNumId w:val="16"/>
  </w:num>
  <w:num w:numId="13" w16cid:durableId="1982877844">
    <w:abstractNumId w:val="3"/>
  </w:num>
  <w:num w:numId="14" w16cid:durableId="1684937638">
    <w:abstractNumId w:val="9"/>
  </w:num>
  <w:num w:numId="15" w16cid:durableId="586424511">
    <w:abstractNumId w:val="17"/>
  </w:num>
  <w:num w:numId="16" w16cid:durableId="1213268901">
    <w:abstractNumId w:val="28"/>
  </w:num>
  <w:num w:numId="17" w16cid:durableId="171838373">
    <w:abstractNumId w:val="13"/>
  </w:num>
  <w:num w:numId="18" w16cid:durableId="799612473">
    <w:abstractNumId w:val="11"/>
  </w:num>
  <w:num w:numId="19" w16cid:durableId="475414826">
    <w:abstractNumId w:val="31"/>
  </w:num>
  <w:num w:numId="20" w16cid:durableId="320740550">
    <w:abstractNumId w:val="27"/>
  </w:num>
  <w:num w:numId="21" w16cid:durableId="166943843">
    <w:abstractNumId w:val="4"/>
  </w:num>
  <w:num w:numId="22" w16cid:durableId="1888569262">
    <w:abstractNumId w:val="8"/>
  </w:num>
  <w:num w:numId="23" w16cid:durableId="1644770191">
    <w:abstractNumId w:val="20"/>
  </w:num>
  <w:num w:numId="24" w16cid:durableId="1439636620">
    <w:abstractNumId w:val="26"/>
  </w:num>
  <w:num w:numId="25" w16cid:durableId="882600577">
    <w:abstractNumId w:val="5"/>
  </w:num>
  <w:num w:numId="26" w16cid:durableId="1718622400">
    <w:abstractNumId w:val="10"/>
  </w:num>
  <w:num w:numId="27" w16cid:durableId="1475558162">
    <w:abstractNumId w:val="30"/>
  </w:num>
  <w:num w:numId="28" w16cid:durableId="1475566087">
    <w:abstractNumId w:val="1"/>
  </w:num>
  <w:num w:numId="29" w16cid:durableId="1286497301">
    <w:abstractNumId w:val="7"/>
  </w:num>
  <w:num w:numId="30" w16cid:durableId="3093058">
    <w:abstractNumId w:val="18"/>
  </w:num>
  <w:num w:numId="31" w16cid:durableId="972251898">
    <w:abstractNumId w:val="29"/>
  </w:num>
  <w:num w:numId="32" w16cid:durableId="70591431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AA"/>
    <w:rsid w:val="00006459"/>
    <w:rsid w:val="00011045"/>
    <w:rsid w:val="00012E12"/>
    <w:rsid w:val="000167B6"/>
    <w:rsid w:val="00017BF4"/>
    <w:rsid w:val="00021D6F"/>
    <w:rsid w:val="00021E83"/>
    <w:rsid w:val="0002755B"/>
    <w:rsid w:val="00034879"/>
    <w:rsid w:val="000379B4"/>
    <w:rsid w:val="00042B91"/>
    <w:rsid w:val="00047250"/>
    <w:rsid w:val="00050F24"/>
    <w:rsid w:val="0005411A"/>
    <w:rsid w:val="00057D5B"/>
    <w:rsid w:val="000628F7"/>
    <w:rsid w:val="00063367"/>
    <w:rsid w:val="00076AE4"/>
    <w:rsid w:val="00076F70"/>
    <w:rsid w:val="000774DD"/>
    <w:rsid w:val="000857E5"/>
    <w:rsid w:val="000920E7"/>
    <w:rsid w:val="000975C6"/>
    <w:rsid w:val="000A1236"/>
    <w:rsid w:val="000A23CB"/>
    <w:rsid w:val="000A25FA"/>
    <w:rsid w:val="000A5EBD"/>
    <w:rsid w:val="000A6E93"/>
    <w:rsid w:val="000B3E80"/>
    <w:rsid w:val="000B6CF0"/>
    <w:rsid w:val="000C41AC"/>
    <w:rsid w:val="000C5F93"/>
    <w:rsid w:val="000C633A"/>
    <w:rsid w:val="000C7AF6"/>
    <w:rsid w:val="000D2F57"/>
    <w:rsid w:val="000D5406"/>
    <w:rsid w:val="000D7B59"/>
    <w:rsid w:val="000E39A6"/>
    <w:rsid w:val="000F0AC2"/>
    <w:rsid w:val="000F0DCC"/>
    <w:rsid w:val="000F4DF1"/>
    <w:rsid w:val="001035F0"/>
    <w:rsid w:val="00103AF7"/>
    <w:rsid w:val="00113A33"/>
    <w:rsid w:val="001209D7"/>
    <w:rsid w:val="00120DD8"/>
    <w:rsid w:val="00122999"/>
    <w:rsid w:val="00125511"/>
    <w:rsid w:val="00125D9F"/>
    <w:rsid w:val="00142B70"/>
    <w:rsid w:val="00142D15"/>
    <w:rsid w:val="001440E1"/>
    <w:rsid w:val="001475A8"/>
    <w:rsid w:val="00151F01"/>
    <w:rsid w:val="001533A4"/>
    <w:rsid w:val="00154AAA"/>
    <w:rsid w:val="00155220"/>
    <w:rsid w:val="0015690A"/>
    <w:rsid w:val="00156CF3"/>
    <w:rsid w:val="00162917"/>
    <w:rsid w:val="00162923"/>
    <w:rsid w:val="00165A00"/>
    <w:rsid w:val="001861C6"/>
    <w:rsid w:val="00187CF5"/>
    <w:rsid w:val="001919D6"/>
    <w:rsid w:val="00191ED2"/>
    <w:rsid w:val="001A3916"/>
    <w:rsid w:val="001A7EA5"/>
    <w:rsid w:val="001B4005"/>
    <w:rsid w:val="001B6D13"/>
    <w:rsid w:val="001C43C6"/>
    <w:rsid w:val="001D1887"/>
    <w:rsid w:val="001E5AFF"/>
    <w:rsid w:val="001E6921"/>
    <w:rsid w:val="001E7A0E"/>
    <w:rsid w:val="001F4798"/>
    <w:rsid w:val="001F48BA"/>
    <w:rsid w:val="001F5B3B"/>
    <w:rsid w:val="00201156"/>
    <w:rsid w:val="002069F1"/>
    <w:rsid w:val="00207A7C"/>
    <w:rsid w:val="00210ACA"/>
    <w:rsid w:val="00210E41"/>
    <w:rsid w:val="00214E2F"/>
    <w:rsid w:val="0021589A"/>
    <w:rsid w:val="0022033C"/>
    <w:rsid w:val="00221CEF"/>
    <w:rsid w:val="00226C45"/>
    <w:rsid w:val="002277B9"/>
    <w:rsid w:val="00230011"/>
    <w:rsid w:val="002351E5"/>
    <w:rsid w:val="00235AAE"/>
    <w:rsid w:val="00237870"/>
    <w:rsid w:val="00242075"/>
    <w:rsid w:val="00243417"/>
    <w:rsid w:val="002538C9"/>
    <w:rsid w:val="00257EE2"/>
    <w:rsid w:val="002669BD"/>
    <w:rsid w:val="00272B97"/>
    <w:rsid w:val="00272DEA"/>
    <w:rsid w:val="00273413"/>
    <w:rsid w:val="00275A67"/>
    <w:rsid w:val="00277426"/>
    <w:rsid w:val="00280A53"/>
    <w:rsid w:val="00290AFE"/>
    <w:rsid w:val="002914F4"/>
    <w:rsid w:val="00291A3E"/>
    <w:rsid w:val="00297A62"/>
    <w:rsid w:val="002A1AF1"/>
    <w:rsid w:val="002A24E8"/>
    <w:rsid w:val="002A75DC"/>
    <w:rsid w:val="002B2F38"/>
    <w:rsid w:val="002D4833"/>
    <w:rsid w:val="002D4C43"/>
    <w:rsid w:val="002D6103"/>
    <w:rsid w:val="002D6725"/>
    <w:rsid w:val="002E59B4"/>
    <w:rsid w:val="002F199B"/>
    <w:rsid w:val="002F2571"/>
    <w:rsid w:val="002F344E"/>
    <w:rsid w:val="002F37BF"/>
    <w:rsid w:val="002F39DB"/>
    <w:rsid w:val="00300E25"/>
    <w:rsid w:val="00300FC0"/>
    <w:rsid w:val="003036AD"/>
    <w:rsid w:val="003074B3"/>
    <w:rsid w:val="00314ACD"/>
    <w:rsid w:val="0032368A"/>
    <w:rsid w:val="003326A4"/>
    <w:rsid w:val="00335020"/>
    <w:rsid w:val="00335181"/>
    <w:rsid w:val="0033663C"/>
    <w:rsid w:val="0034308B"/>
    <w:rsid w:val="003513E0"/>
    <w:rsid w:val="00354365"/>
    <w:rsid w:val="003663A1"/>
    <w:rsid w:val="0037316E"/>
    <w:rsid w:val="00375370"/>
    <w:rsid w:val="0037599D"/>
    <w:rsid w:val="00375CFE"/>
    <w:rsid w:val="00376A92"/>
    <w:rsid w:val="00380316"/>
    <w:rsid w:val="00383678"/>
    <w:rsid w:val="00384B21"/>
    <w:rsid w:val="003859AF"/>
    <w:rsid w:val="003859DA"/>
    <w:rsid w:val="00386F47"/>
    <w:rsid w:val="003912E5"/>
    <w:rsid w:val="00394151"/>
    <w:rsid w:val="003951DC"/>
    <w:rsid w:val="00395788"/>
    <w:rsid w:val="00395FDB"/>
    <w:rsid w:val="003966BD"/>
    <w:rsid w:val="00397AE0"/>
    <w:rsid w:val="003A26B9"/>
    <w:rsid w:val="003A3A2E"/>
    <w:rsid w:val="003A3DB1"/>
    <w:rsid w:val="003B4C77"/>
    <w:rsid w:val="003B5B28"/>
    <w:rsid w:val="003B70D7"/>
    <w:rsid w:val="003D4104"/>
    <w:rsid w:val="003D63DA"/>
    <w:rsid w:val="003E5476"/>
    <w:rsid w:val="003F2EB4"/>
    <w:rsid w:val="003F3F3C"/>
    <w:rsid w:val="003F5F86"/>
    <w:rsid w:val="004065D7"/>
    <w:rsid w:val="004235A7"/>
    <w:rsid w:val="004263BF"/>
    <w:rsid w:val="0043056A"/>
    <w:rsid w:val="004329F3"/>
    <w:rsid w:val="00433305"/>
    <w:rsid w:val="00441215"/>
    <w:rsid w:val="0044138A"/>
    <w:rsid w:val="00442087"/>
    <w:rsid w:val="004430BE"/>
    <w:rsid w:val="00446152"/>
    <w:rsid w:val="004466ED"/>
    <w:rsid w:val="00453251"/>
    <w:rsid w:val="00453B44"/>
    <w:rsid w:val="00454296"/>
    <w:rsid w:val="004553D9"/>
    <w:rsid w:val="00465F4B"/>
    <w:rsid w:val="00466071"/>
    <w:rsid w:val="00466981"/>
    <w:rsid w:val="00466B66"/>
    <w:rsid w:val="004673EB"/>
    <w:rsid w:val="004714F7"/>
    <w:rsid w:val="00472F06"/>
    <w:rsid w:val="00474E2A"/>
    <w:rsid w:val="00475E00"/>
    <w:rsid w:val="0047648B"/>
    <w:rsid w:val="00476A48"/>
    <w:rsid w:val="00481A9E"/>
    <w:rsid w:val="0048338B"/>
    <w:rsid w:val="00483CA4"/>
    <w:rsid w:val="004846A6"/>
    <w:rsid w:val="00490703"/>
    <w:rsid w:val="0049079D"/>
    <w:rsid w:val="00490B97"/>
    <w:rsid w:val="0049275B"/>
    <w:rsid w:val="00493B5B"/>
    <w:rsid w:val="00495F6C"/>
    <w:rsid w:val="004A0035"/>
    <w:rsid w:val="004A2596"/>
    <w:rsid w:val="004A4063"/>
    <w:rsid w:val="004A4D87"/>
    <w:rsid w:val="004B30A3"/>
    <w:rsid w:val="004B4929"/>
    <w:rsid w:val="004C0D7F"/>
    <w:rsid w:val="004C12F0"/>
    <w:rsid w:val="004C73EF"/>
    <w:rsid w:val="004D77A4"/>
    <w:rsid w:val="004D7A94"/>
    <w:rsid w:val="004E24F8"/>
    <w:rsid w:val="004E28F8"/>
    <w:rsid w:val="004E397F"/>
    <w:rsid w:val="004E3C57"/>
    <w:rsid w:val="004E6C1C"/>
    <w:rsid w:val="004F01A5"/>
    <w:rsid w:val="004F26D9"/>
    <w:rsid w:val="004F2CB7"/>
    <w:rsid w:val="004F3CA9"/>
    <w:rsid w:val="004F5057"/>
    <w:rsid w:val="004F7F77"/>
    <w:rsid w:val="005010E4"/>
    <w:rsid w:val="005063EA"/>
    <w:rsid w:val="005072B8"/>
    <w:rsid w:val="005104CC"/>
    <w:rsid w:val="0051131D"/>
    <w:rsid w:val="00511B41"/>
    <w:rsid w:val="0051305A"/>
    <w:rsid w:val="00516D79"/>
    <w:rsid w:val="00522664"/>
    <w:rsid w:val="00524D41"/>
    <w:rsid w:val="00525377"/>
    <w:rsid w:val="005257E7"/>
    <w:rsid w:val="0052695A"/>
    <w:rsid w:val="00533C0A"/>
    <w:rsid w:val="00536EDE"/>
    <w:rsid w:val="00540616"/>
    <w:rsid w:val="005439FC"/>
    <w:rsid w:val="005450DC"/>
    <w:rsid w:val="00547018"/>
    <w:rsid w:val="00547353"/>
    <w:rsid w:val="00550F97"/>
    <w:rsid w:val="0055697A"/>
    <w:rsid w:val="00560A40"/>
    <w:rsid w:val="00563107"/>
    <w:rsid w:val="005647F4"/>
    <w:rsid w:val="00567FF4"/>
    <w:rsid w:val="00570454"/>
    <w:rsid w:val="00575EE3"/>
    <w:rsid w:val="00577A16"/>
    <w:rsid w:val="00580274"/>
    <w:rsid w:val="0058041F"/>
    <w:rsid w:val="005808F2"/>
    <w:rsid w:val="00582286"/>
    <w:rsid w:val="005842F3"/>
    <w:rsid w:val="00586415"/>
    <w:rsid w:val="00595963"/>
    <w:rsid w:val="005A1E4B"/>
    <w:rsid w:val="005A23F3"/>
    <w:rsid w:val="005A310B"/>
    <w:rsid w:val="005A3D4F"/>
    <w:rsid w:val="005A48D7"/>
    <w:rsid w:val="005A5584"/>
    <w:rsid w:val="005A6AE9"/>
    <w:rsid w:val="005A7096"/>
    <w:rsid w:val="005B3E76"/>
    <w:rsid w:val="005B4422"/>
    <w:rsid w:val="005C642C"/>
    <w:rsid w:val="005C6A90"/>
    <w:rsid w:val="005D00E4"/>
    <w:rsid w:val="005D04DF"/>
    <w:rsid w:val="005D3210"/>
    <w:rsid w:val="005D41AF"/>
    <w:rsid w:val="005D424F"/>
    <w:rsid w:val="005D4A52"/>
    <w:rsid w:val="005D7627"/>
    <w:rsid w:val="005D7D43"/>
    <w:rsid w:val="005E76F6"/>
    <w:rsid w:val="005F1F10"/>
    <w:rsid w:val="00601F73"/>
    <w:rsid w:val="00601F87"/>
    <w:rsid w:val="00602115"/>
    <w:rsid w:val="006027B7"/>
    <w:rsid w:val="00607046"/>
    <w:rsid w:val="00612216"/>
    <w:rsid w:val="00612BE6"/>
    <w:rsid w:val="00614E9F"/>
    <w:rsid w:val="00616ADF"/>
    <w:rsid w:val="00620D8F"/>
    <w:rsid w:val="00622C5B"/>
    <w:rsid w:val="00623CC6"/>
    <w:rsid w:val="00624761"/>
    <w:rsid w:val="006266F5"/>
    <w:rsid w:val="00634E28"/>
    <w:rsid w:val="00647A09"/>
    <w:rsid w:val="0065086A"/>
    <w:rsid w:val="006517A0"/>
    <w:rsid w:val="006524A2"/>
    <w:rsid w:val="00674185"/>
    <w:rsid w:val="00683D4A"/>
    <w:rsid w:val="00686D39"/>
    <w:rsid w:val="00692CDD"/>
    <w:rsid w:val="0069398D"/>
    <w:rsid w:val="006962F2"/>
    <w:rsid w:val="00696541"/>
    <w:rsid w:val="006A4B34"/>
    <w:rsid w:val="006A5C21"/>
    <w:rsid w:val="006B14EA"/>
    <w:rsid w:val="006B2504"/>
    <w:rsid w:val="006B3C71"/>
    <w:rsid w:val="006C1385"/>
    <w:rsid w:val="006C2B68"/>
    <w:rsid w:val="006C66D0"/>
    <w:rsid w:val="006D00F2"/>
    <w:rsid w:val="006D0CBE"/>
    <w:rsid w:val="006D29A6"/>
    <w:rsid w:val="006D6EA3"/>
    <w:rsid w:val="006D7D1C"/>
    <w:rsid w:val="006E0847"/>
    <w:rsid w:val="006E4BCB"/>
    <w:rsid w:val="006E55CB"/>
    <w:rsid w:val="006F0810"/>
    <w:rsid w:val="006F0D7E"/>
    <w:rsid w:val="006F12B6"/>
    <w:rsid w:val="006F1D9B"/>
    <w:rsid w:val="006F2D64"/>
    <w:rsid w:val="006F76E2"/>
    <w:rsid w:val="006F7FE6"/>
    <w:rsid w:val="007002E4"/>
    <w:rsid w:val="00706757"/>
    <w:rsid w:val="007076C9"/>
    <w:rsid w:val="00710948"/>
    <w:rsid w:val="00710EE4"/>
    <w:rsid w:val="00713233"/>
    <w:rsid w:val="0071436C"/>
    <w:rsid w:val="00716E6B"/>
    <w:rsid w:val="00717248"/>
    <w:rsid w:val="00720869"/>
    <w:rsid w:val="00725BB8"/>
    <w:rsid w:val="007263BF"/>
    <w:rsid w:val="0073263C"/>
    <w:rsid w:val="007349B0"/>
    <w:rsid w:val="007354A2"/>
    <w:rsid w:val="00736211"/>
    <w:rsid w:val="0073680D"/>
    <w:rsid w:val="00737E50"/>
    <w:rsid w:val="00740900"/>
    <w:rsid w:val="0074262E"/>
    <w:rsid w:val="00744702"/>
    <w:rsid w:val="0075662C"/>
    <w:rsid w:val="00757131"/>
    <w:rsid w:val="00760400"/>
    <w:rsid w:val="00761873"/>
    <w:rsid w:val="007618AC"/>
    <w:rsid w:val="00762212"/>
    <w:rsid w:val="00763272"/>
    <w:rsid w:val="007646E7"/>
    <w:rsid w:val="00765B21"/>
    <w:rsid w:val="00770C94"/>
    <w:rsid w:val="00771CF6"/>
    <w:rsid w:val="0077387D"/>
    <w:rsid w:val="00773B3B"/>
    <w:rsid w:val="00775E6F"/>
    <w:rsid w:val="00780A59"/>
    <w:rsid w:val="007811AA"/>
    <w:rsid w:val="007867EE"/>
    <w:rsid w:val="00790BF0"/>
    <w:rsid w:val="00790C23"/>
    <w:rsid w:val="007A1221"/>
    <w:rsid w:val="007A2AD5"/>
    <w:rsid w:val="007A47F1"/>
    <w:rsid w:val="007A5226"/>
    <w:rsid w:val="007B0F04"/>
    <w:rsid w:val="007B2D5F"/>
    <w:rsid w:val="007B72EE"/>
    <w:rsid w:val="007C7E15"/>
    <w:rsid w:val="007D5088"/>
    <w:rsid w:val="007D708F"/>
    <w:rsid w:val="007F42BD"/>
    <w:rsid w:val="008002AB"/>
    <w:rsid w:val="008018FA"/>
    <w:rsid w:val="0080432B"/>
    <w:rsid w:val="00804949"/>
    <w:rsid w:val="00805DD8"/>
    <w:rsid w:val="008103FA"/>
    <w:rsid w:val="008170F8"/>
    <w:rsid w:val="0083288A"/>
    <w:rsid w:val="00832C94"/>
    <w:rsid w:val="00832EBC"/>
    <w:rsid w:val="008373C6"/>
    <w:rsid w:val="0084795E"/>
    <w:rsid w:val="00864E1E"/>
    <w:rsid w:val="00873051"/>
    <w:rsid w:val="008735FE"/>
    <w:rsid w:val="0087371C"/>
    <w:rsid w:val="008745ED"/>
    <w:rsid w:val="00874EDF"/>
    <w:rsid w:val="00882C64"/>
    <w:rsid w:val="0088793A"/>
    <w:rsid w:val="00887E5D"/>
    <w:rsid w:val="00894B7F"/>
    <w:rsid w:val="008A15B7"/>
    <w:rsid w:val="008A210D"/>
    <w:rsid w:val="008B0C3D"/>
    <w:rsid w:val="008B13A5"/>
    <w:rsid w:val="008B1BA9"/>
    <w:rsid w:val="008B3CB9"/>
    <w:rsid w:val="008B667F"/>
    <w:rsid w:val="008C2DA2"/>
    <w:rsid w:val="008C5C2C"/>
    <w:rsid w:val="008C7623"/>
    <w:rsid w:val="008C78ED"/>
    <w:rsid w:val="008D7F1C"/>
    <w:rsid w:val="008F6E85"/>
    <w:rsid w:val="00900933"/>
    <w:rsid w:val="0090367B"/>
    <w:rsid w:val="00905F56"/>
    <w:rsid w:val="00914027"/>
    <w:rsid w:val="009140CD"/>
    <w:rsid w:val="009214EC"/>
    <w:rsid w:val="009224DD"/>
    <w:rsid w:val="00922F95"/>
    <w:rsid w:val="00923982"/>
    <w:rsid w:val="00923DA5"/>
    <w:rsid w:val="00924CA5"/>
    <w:rsid w:val="00930F2F"/>
    <w:rsid w:val="009337D8"/>
    <w:rsid w:val="00934A5D"/>
    <w:rsid w:val="00941292"/>
    <w:rsid w:val="0094168A"/>
    <w:rsid w:val="00941D63"/>
    <w:rsid w:val="00942C1E"/>
    <w:rsid w:val="0094476E"/>
    <w:rsid w:val="009456AE"/>
    <w:rsid w:val="009461CC"/>
    <w:rsid w:val="00953A7F"/>
    <w:rsid w:val="009645C9"/>
    <w:rsid w:val="00966ED8"/>
    <w:rsid w:val="009709B4"/>
    <w:rsid w:val="00970F10"/>
    <w:rsid w:val="00971960"/>
    <w:rsid w:val="00972802"/>
    <w:rsid w:val="00976460"/>
    <w:rsid w:val="00976960"/>
    <w:rsid w:val="00981AFC"/>
    <w:rsid w:val="00982459"/>
    <w:rsid w:val="00982823"/>
    <w:rsid w:val="00982903"/>
    <w:rsid w:val="009855C3"/>
    <w:rsid w:val="00987307"/>
    <w:rsid w:val="00994DB9"/>
    <w:rsid w:val="009964D2"/>
    <w:rsid w:val="009977D7"/>
    <w:rsid w:val="009A1AED"/>
    <w:rsid w:val="009A1FF8"/>
    <w:rsid w:val="009A5F24"/>
    <w:rsid w:val="009B4453"/>
    <w:rsid w:val="009B569A"/>
    <w:rsid w:val="009B7C1D"/>
    <w:rsid w:val="009C4FD5"/>
    <w:rsid w:val="009D19D6"/>
    <w:rsid w:val="009D3291"/>
    <w:rsid w:val="009D54C6"/>
    <w:rsid w:val="009D6FE2"/>
    <w:rsid w:val="009D7E33"/>
    <w:rsid w:val="009E10C6"/>
    <w:rsid w:val="009E1EBB"/>
    <w:rsid w:val="009E4BE1"/>
    <w:rsid w:val="009F1498"/>
    <w:rsid w:val="009F1998"/>
    <w:rsid w:val="009F1BD0"/>
    <w:rsid w:val="009F282F"/>
    <w:rsid w:val="009F2A57"/>
    <w:rsid w:val="009F319A"/>
    <w:rsid w:val="009F4223"/>
    <w:rsid w:val="009F51B0"/>
    <w:rsid w:val="009F5769"/>
    <w:rsid w:val="009F78EE"/>
    <w:rsid w:val="00A00853"/>
    <w:rsid w:val="00A0129F"/>
    <w:rsid w:val="00A02A54"/>
    <w:rsid w:val="00A030DC"/>
    <w:rsid w:val="00A03A91"/>
    <w:rsid w:val="00A05360"/>
    <w:rsid w:val="00A06EA0"/>
    <w:rsid w:val="00A12C5D"/>
    <w:rsid w:val="00A2055A"/>
    <w:rsid w:val="00A24C7B"/>
    <w:rsid w:val="00A25FCE"/>
    <w:rsid w:val="00A30F54"/>
    <w:rsid w:val="00A36237"/>
    <w:rsid w:val="00A3639B"/>
    <w:rsid w:val="00A44D21"/>
    <w:rsid w:val="00A4616A"/>
    <w:rsid w:val="00A5239F"/>
    <w:rsid w:val="00A538EF"/>
    <w:rsid w:val="00A56D87"/>
    <w:rsid w:val="00A570BF"/>
    <w:rsid w:val="00A57182"/>
    <w:rsid w:val="00A603C9"/>
    <w:rsid w:val="00A62721"/>
    <w:rsid w:val="00A62AA4"/>
    <w:rsid w:val="00A80721"/>
    <w:rsid w:val="00A8284F"/>
    <w:rsid w:val="00A8483B"/>
    <w:rsid w:val="00A8663C"/>
    <w:rsid w:val="00A86CBA"/>
    <w:rsid w:val="00A90A1C"/>
    <w:rsid w:val="00A95910"/>
    <w:rsid w:val="00AA2E04"/>
    <w:rsid w:val="00AA3502"/>
    <w:rsid w:val="00AA3694"/>
    <w:rsid w:val="00AA7F1D"/>
    <w:rsid w:val="00AB04FB"/>
    <w:rsid w:val="00AC1EE8"/>
    <w:rsid w:val="00AC53BA"/>
    <w:rsid w:val="00AC7864"/>
    <w:rsid w:val="00AD0542"/>
    <w:rsid w:val="00AD355F"/>
    <w:rsid w:val="00AD3C62"/>
    <w:rsid w:val="00AD4A16"/>
    <w:rsid w:val="00AE212B"/>
    <w:rsid w:val="00AE2B73"/>
    <w:rsid w:val="00AE5A46"/>
    <w:rsid w:val="00AF2584"/>
    <w:rsid w:val="00B0012D"/>
    <w:rsid w:val="00B01620"/>
    <w:rsid w:val="00B0256A"/>
    <w:rsid w:val="00B04139"/>
    <w:rsid w:val="00B06F88"/>
    <w:rsid w:val="00B07777"/>
    <w:rsid w:val="00B1087D"/>
    <w:rsid w:val="00B11A66"/>
    <w:rsid w:val="00B15E55"/>
    <w:rsid w:val="00B16AB3"/>
    <w:rsid w:val="00B17CC3"/>
    <w:rsid w:val="00B26297"/>
    <w:rsid w:val="00B343C2"/>
    <w:rsid w:val="00B37A72"/>
    <w:rsid w:val="00B407B6"/>
    <w:rsid w:val="00B459A4"/>
    <w:rsid w:val="00B62140"/>
    <w:rsid w:val="00B66253"/>
    <w:rsid w:val="00B67432"/>
    <w:rsid w:val="00B7112F"/>
    <w:rsid w:val="00B714A8"/>
    <w:rsid w:val="00B7247B"/>
    <w:rsid w:val="00B73BEA"/>
    <w:rsid w:val="00B763A0"/>
    <w:rsid w:val="00B82FB3"/>
    <w:rsid w:val="00B8570A"/>
    <w:rsid w:val="00B8696D"/>
    <w:rsid w:val="00B9692A"/>
    <w:rsid w:val="00BA7D3E"/>
    <w:rsid w:val="00BB36B1"/>
    <w:rsid w:val="00BB79B1"/>
    <w:rsid w:val="00BC0CE0"/>
    <w:rsid w:val="00BC3DD7"/>
    <w:rsid w:val="00BD1913"/>
    <w:rsid w:val="00BD7F46"/>
    <w:rsid w:val="00BE0727"/>
    <w:rsid w:val="00BE09C5"/>
    <w:rsid w:val="00BE3D15"/>
    <w:rsid w:val="00BE7E3B"/>
    <w:rsid w:val="00BF53FD"/>
    <w:rsid w:val="00BF7DE6"/>
    <w:rsid w:val="00C00243"/>
    <w:rsid w:val="00C01A53"/>
    <w:rsid w:val="00C0200E"/>
    <w:rsid w:val="00C02BC0"/>
    <w:rsid w:val="00C134BC"/>
    <w:rsid w:val="00C13612"/>
    <w:rsid w:val="00C1549E"/>
    <w:rsid w:val="00C16423"/>
    <w:rsid w:val="00C16D85"/>
    <w:rsid w:val="00C3050A"/>
    <w:rsid w:val="00C361CA"/>
    <w:rsid w:val="00C3745E"/>
    <w:rsid w:val="00C46C3A"/>
    <w:rsid w:val="00C47B0F"/>
    <w:rsid w:val="00C56109"/>
    <w:rsid w:val="00C6261A"/>
    <w:rsid w:val="00C64987"/>
    <w:rsid w:val="00C64AB4"/>
    <w:rsid w:val="00C673A6"/>
    <w:rsid w:val="00C706D6"/>
    <w:rsid w:val="00C70884"/>
    <w:rsid w:val="00C76698"/>
    <w:rsid w:val="00C824D9"/>
    <w:rsid w:val="00C82528"/>
    <w:rsid w:val="00C83032"/>
    <w:rsid w:val="00C91927"/>
    <w:rsid w:val="00C94CB5"/>
    <w:rsid w:val="00C97841"/>
    <w:rsid w:val="00CA2472"/>
    <w:rsid w:val="00CA46B0"/>
    <w:rsid w:val="00CA7832"/>
    <w:rsid w:val="00CB0F1E"/>
    <w:rsid w:val="00CB7CB0"/>
    <w:rsid w:val="00CC0372"/>
    <w:rsid w:val="00CD129C"/>
    <w:rsid w:val="00CD6594"/>
    <w:rsid w:val="00CD6EF2"/>
    <w:rsid w:val="00CD76E0"/>
    <w:rsid w:val="00CE3EA4"/>
    <w:rsid w:val="00CE6144"/>
    <w:rsid w:val="00CE7154"/>
    <w:rsid w:val="00CF0AF4"/>
    <w:rsid w:val="00CF6BEB"/>
    <w:rsid w:val="00CF7C5F"/>
    <w:rsid w:val="00D0560B"/>
    <w:rsid w:val="00D104AC"/>
    <w:rsid w:val="00D14601"/>
    <w:rsid w:val="00D15BBE"/>
    <w:rsid w:val="00D16500"/>
    <w:rsid w:val="00D20FA4"/>
    <w:rsid w:val="00D23267"/>
    <w:rsid w:val="00D23846"/>
    <w:rsid w:val="00D24167"/>
    <w:rsid w:val="00D26121"/>
    <w:rsid w:val="00D26B0D"/>
    <w:rsid w:val="00D35E63"/>
    <w:rsid w:val="00D42481"/>
    <w:rsid w:val="00D4289F"/>
    <w:rsid w:val="00D47200"/>
    <w:rsid w:val="00D479C6"/>
    <w:rsid w:val="00D52DF8"/>
    <w:rsid w:val="00D558E5"/>
    <w:rsid w:val="00D56C82"/>
    <w:rsid w:val="00D600D7"/>
    <w:rsid w:val="00D62E8E"/>
    <w:rsid w:val="00D63EAA"/>
    <w:rsid w:val="00D64EA5"/>
    <w:rsid w:val="00D75384"/>
    <w:rsid w:val="00D75D87"/>
    <w:rsid w:val="00D760D8"/>
    <w:rsid w:val="00D82C89"/>
    <w:rsid w:val="00D91CDB"/>
    <w:rsid w:val="00D94089"/>
    <w:rsid w:val="00D96F6A"/>
    <w:rsid w:val="00D979CC"/>
    <w:rsid w:val="00DA4404"/>
    <w:rsid w:val="00DA5FD1"/>
    <w:rsid w:val="00DA6381"/>
    <w:rsid w:val="00DB020C"/>
    <w:rsid w:val="00DB582A"/>
    <w:rsid w:val="00DB74A8"/>
    <w:rsid w:val="00DD13F4"/>
    <w:rsid w:val="00DD54B4"/>
    <w:rsid w:val="00DE0007"/>
    <w:rsid w:val="00DE2118"/>
    <w:rsid w:val="00DE3CC0"/>
    <w:rsid w:val="00DE6313"/>
    <w:rsid w:val="00DE6327"/>
    <w:rsid w:val="00DE7FD7"/>
    <w:rsid w:val="00DF0617"/>
    <w:rsid w:val="00DF62DC"/>
    <w:rsid w:val="00E03D31"/>
    <w:rsid w:val="00E11D92"/>
    <w:rsid w:val="00E1442F"/>
    <w:rsid w:val="00E14C97"/>
    <w:rsid w:val="00E213E0"/>
    <w:rsid w:val="00E23984"/>
    <w:rsid w:val="00E269CF"/>
    <w:rsid w:val="00E3060B"/>
    <w:rsid w:val="00E3332E"/>
    <w:rsid w:val="00E352B4"/>
    <w:rsid w:val="00E407A5"/>
    <w:rsid w:val="00E409AE"/>
    <w:rsid w:val="00E41C44"/>
    <w:rsid w:val="00E46137"/>
    <w:rsid w:val="00E529DC"/>
    <w:rsid w:val="00E535E2"/>
    <w:rsid w:val="00E541DE"/>
    <w:rsid w:val="00E7114E"/>
    <w:rsid w:val="00E714ED"/>
    <w:rsid w:val="00E818B5"/>
    <w:rsid w:val="00E87974"/>
    <w:rsid w:val="00E91403"/>
    <w:rsid w:val="00E950A1"/>
    <w:rsid w:val="00E9587C"/>
    <w:rsid w:val="00EA0589"/>
    <w:rsid w:val="00EA2539"/>
    <w:rsid w:val="00EA261A"/>
    <w:rsid w:val="00EA2A12"/>
    <w:rsid w:val="00EA34B1"/>
    <w:rsid w:val="00EA386A"/>
    <w:rsid w:val="00EA3F04"/>
    <w:rsid w:val="00EB3CE1"/>
    <w:rsid w:val="00EB4EEE"/>
    <w:rsid w:val="00EB5323"/>
    <w:rsid w:val="00EB55F4"/>
    <w:rsid w:val="00EC009B"/>
    <w:rsid w:val="00EC0A5C"/>
    <w:rsid w:val="00EC0F3C"/>
    <w:rsid w:val="00ED2006"/>
    <w:rsid w:val="00ED2C52"/>
    <w:rsid w:val="00ED57DD"/>
    <w:rsid w:val="00ED6077"/>
    <w:rsid w:val="00ED60E5"/>
    <w:rsid w:val="00EE18FA"/>
    <w:rsid w:val="00EE3541"/>
    <w:rsid w:val="00EF2775"/>
    <w:rsid w:val="00F0588E"/>
    <w:rsid w:val="00F07DD1"/>
    <w:rsid w:val="00F12464"/>
    <w:rsid w:val="00F12AB9"/>
    <w:rsid w:val="00F1562A"/>
    <w:rsid w:val="00F1569C"/>
    <w:rsid w:val="00F20DD6"/>
    <w:rsid w:val="00F24AE3"/>
    <w:rsid w:val="00F32C32"/>
    <w:rsid w:val="00F332F1"/>
    <w:rsid w:val="00F343C3"/>
    <w:rsid w:val="00F347FB"/>
    <w:rsid w:val="00F3731D"/>
    <w:rsid w:val="00F37F87"/>
    <w:rsid w:val="00F44E82"/>
    <w:rsid w:val="00F501B1"/>
    <w:rsid w:val="00F56303"/>
    <w:rsid w:val="00F604C9"/>
    <w:rsid w:val="00F63689"/>
    <w:rsid w:val="00F66077"/>
    <w:rsid w:val="00F66E1F"/>
    <w:rsid w:val="00F67A0E"/>
    <w:rsid w:val="00F67D06"/>
    <w:rsid w:val="00F7558C"/>
    <w:rsid w:val="00F761EC"/>
    <w:rsid w:val="00F86E3F"/>
    <w:rsid w:val="00F9112F"/>
    <w:rsid w:val="00FA1D26"/>
    <w:rsid w:val="00FB05F7"/>
    <w:rsid w:val="00FB0A38"/>
    <w:rsid w:val="00FB14AD"/>
    <w:rsid w:val="00FB1FDD"/>
    <w:rsid w:val="00FB59FD"/>
    <w:rsid w:val="00FC52C8"/>
    <w:rsid w:val="00FC5667"/>
    <w:rsid w:val="00FC6DBB"/>
    <w:rsid w:val="00FD0ECB"/>
    <w:rsid w:val="00FE191E"/>
    <w:rsid w:val="00FE3112"/>
    <w:rsid w:val="00FE4230"/>
    <w:rsid w:val="00FE5B73"/>
    <w:rsid w:val="00FE6595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14C6"/>
  <w15:chartTrackingRefBased/>
  <w15:docId w15:val="{EC7DA20C-9F38-4A81-966B-D50D5F52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C3"/>
    <w:pPr>
      <w:spacing w:after="100" w:afterAutospacing="1"/>
    </w:pPr>
    <w:rPr>
      <w:rFonts w:ascii="Times New Roman" w:hAnsi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B91"/>
    <w:pPr>
      <w:numPr>
        <w:ilvl w:val="1"/>
        <w:numId w:val="2"/>
      </w:numPr>
      <w:spacing w:after="0" w:afterAutospacing="0" w:line="240" w:lineRule="auto"/>
      <w:ind w:left="792"/>
      <w:outlineLvl w:val="0"/>
    </w:pPr>
    <w:rPr>
      <w:b/>
      <w:color w:val="000000" w:themeColor="text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55C3"/>
    <w:pPr>
      <w:numPr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810"/>
    <w:pPr>
      <w:keepNext/>
      <w:keepLines/>
      <w:numPr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5411A"/>
    <w:pPr>
      <w:keepNext/>
      <w:spacing w:after="120" w:line="240" w:lineRule="auto"/>
      <w:jc w:val="center"/>
      <w:outlineLvl w:val="6"/>
    </w:pPr>
    <w:rPr>
      <w:rFonts w:eastAsia="Times New Roman" w:cs="Times New Roman"/>
      <w:b/>
      <w:sz w:val="3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 List Paragraph,Bullet 1,Bullet,Title 1,List Paragraph1,Trust List Numbering"/>
    <w:basedOn w:val="Normal"/>
    <w:link w:val="ListParagraphChar"/>
    <w:uiPriority w:val="34"/>
    <w:qFormat/>
    <w:rsid w:val="007811A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5411A"/>
    <w:rPr>
      <w:rFonts w:ascii="Times New Roman" w:eastAsia="Times New Roman" w:hAnsi="Times New Roman" w:cs="Times New Roman"/>
      <w:b/>
      <w:sz w:val="36"/>
      <w:szCs w:val="24"/>
      <w:lang w:val="en-GB" w:eastAsia="en-GB"/>
    </w:rPr>
  </w:style>
  <w:style w:type="paragraph" w:styleId="Header">
    <w:name w:val="header"/>
    <w:basedOn w:val="Normal"/>
    <w:link w:val="HeaderChar"/>
    <w:rsid w:val="0005411A"/>
    <w:pPr>
      <w:widowControl w:val="0"/>
      <w:tabs>
        <w:tab w:val="center" w:pos="4153"/>
        <w:tab w:val="right" w:pos="8306"/>
      </w:tabs>
      <w:spacing w:after="120" w:line="240" w:lineRule="auto"/>
      <w:jc w:val="both"/>
    </w:pPr>
    <w:rPr>
      <w:rFonts w:ascii="CG Times 12pt" w:eastAsia="Times New Roman" w:hAnsi="CG Times 12pt" w:cs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05411A"/>
    <w:rPr>
      <w:rFonts w:ascii="CG Times 12pt" w:eastAsia="Times New Roman" w:hAnsi="CG Times 12pt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05411A"/>
    <w:pPr>
      <w:spacing w:after="120" w:line="240" w:lineRule="auto"/>
      <w:jc w:val="center"/>
    </w:pPr>
    <w:rPr>
      <w:rFonts w:eastAsia="Times New Roman" w:cs="Times New Roman"/>
      <w:b/>
      <w:sz w:val="2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05411A"/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character" w:styleId="Hyperlink">
    <w:name w:val="Hyperlink"/>
    <w:uiPriority w:val="99"/>
    <w:rsid w:val="006F081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2B91"/>
    <w:rPr>
      <w:rFonts w:ascii="Times New Roman" w:hAnsi="Times New Roman"/>
      <w:b/>
      <w:color w:val="000000" w:themeColor="text1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F0810"/>
    <w:pPr>
      <w:spacing w:after="120"/>
      <w:outlineLvl w:val="9"/>
    </w:pPr>
    <w:rPr>
      <w:rFonts w:ascii="Calibri Light" w:eastAsia="MS Gothic" w:hAnsi="Calibri Light" w:cs="Times New Roman"/>
      <w:color w:val="2E74B5"/>
    </w:rPr>
  </w:style>
  <w:style w:type="paragraph" w:styleId="TOC3">
    <w:name w:val="toc 3"/>
    <w:basedOn w:val="Normal"/>
    <w:next w:val="Normal"/>
    <w:autoRedefine/>
    <w:uiPriority w:val="39"/>
    <w:rsid w:val="006F0810"/>
    <w:pPr>
      <w:tabs>
        <w:tab w:val="left" w:pos="1080"/>
        <w:tab w:val="right" w:leader="dot" w:pos="9629"/>
      </w:tabs>
      <w:spacing w:line="240" w:lineRule="auto"/>
      <w:ind w:left="400"/>
      <w:jc w:val="both"/>
    </w:pPr>
    <w:rPr>
      <w:rFonts w:eastAsia="Times New Roman" w:cs="Times New Roman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rsid w:val="00A2055A"/>
    <w:pPr>
      <w:tabs>
        <w:tab w:val="left" w:pos="660"/>
        <w:tab w:val="right" w:leader="dot" w:pos="9350"/>
      </w:tabs>
      <w:spacing w:after="0" w:afterAutospacing="0" w:line="240" w:lineRule="auto"/>
      <w:ind w:left="720" w:right="1710" w:hanging="720"/>
      <w:jc w:val="both"/>
    </w:pPr>
    <w:rPr>
      <w:rFonts w:eastAsia="Times New Roman" w:cs="Times New Roman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08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0810"/>
  </w:style>
  <w:style w:type="table" w:styleId="TableGrid">
    <w:name w:val="Table Grid"/>
    <w:basedOn w:val="TableNormal"/>
    <w:uiPriority w:val="39"/>
    <w:qFormat/>
    <w:rsid w:val="006F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855C3"/>
    <w:rPr>
      <w:rFonts w:ascii="Times New Roman" w:hAnsi="Times New Roman"/>
      <w:b/>
      <w:color w:val="000000" w:themeColor="text1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F0810"/>
    <w:rPr>
      <w:rFonts w:asciiTheme="majorHAnsi" w:eastAsiaTheme="majorEastAsia" w:hAnsiTheme="majorHAnsi" w:cstheme="majorBidi"/>
      <w:color w:val="2F5496" w:themeColor="accent1" w:themeShade="BF"/>
      <w:sz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11A66"/>
    <w:pPr>
      <w:ind w:left="220"/>
    </w:pPr>
  </w:style>
  <w:style w:type="paragraph" w:styleId="Footer">
    <w:name w:val="footer"/>
    <w:basedOn w:val="Normal"/>
    <w:link w:val="FooterChar"/>
    <w:uiPriority w:val="99"/>
    <w:unhideWhenUsed/>
    <w:rsid w:val="0039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51"/>
  </w:style>
  <w:style w:type="paragraph" w:customStyle="1" w:styleId="paragraph">
    <w:name w:val="paragraph"/>
    <w:basedOn w:val="Normal"/>
    <w:rsid w:val="000D2F57"/>
    <w:pPr>
      <w:spacing w:before="100" w:before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0D2F57"/>
  </w:style>
  <w:style w:type="character" w:customStyle="1" w:styleId="eop">
    <w:name w:val="eop"/>
    <w:basedOn w:val="DefaultParagraphFont"/>
    <w:rsid w:val="000D2F57"/>
  </w:style>
  <w:style w:type="character" w:customStyle="1" w:styleId="spellingerror">
    <w:name w:val="spellingerror"/>
    <w:basedOn w:val="DefaultParagraphFont"/>
    <w:rsid w:val="000D2F57"/>
  </w:style>
  <w:style w:type="paragraph" w:styleId="Revision">
    <w:name w:val="Revision"/>
    <w:hidden/>
    <w:uiPriority w:val="99"/>
    <w:semiHidden/>
    <w:rsid w:val="00A2055A"/>
    <w:pPr>
      <w:spacing w:after="0" w:line="240" w:lineRule="auto"/>
    </w:pPr>
    <w:rPr>
      <w:rFonts w:ascii="Times New Roman" w:hAnsi="Times New Roman"/>
      <w:sz w:val="24"/>
      <w:lang w:eastAsia="en-GB"/>
    </w:rPr>
  </w:style>
  <w:style w:type="paragraph" w:customStyle="1" w:styleId="TableHeading-Font10">
    <w:name w:val="Table Heading-Font 10"/>
    <w:next w:val="Normal"/>
    <w:link w:val="TableHeading-Font10Char"/>
    <w:qFormat/>
    <w:rsid w:val="00AC1EE8"/>
    <w:pPr>
      <w:keepNext/>
      <w:keepLines/>
      <w:tabs>
        <w:tab w:val="left" w:pos="1440"/>
      </w:tabs>
      <w:spacing w:before="80" w:after="80" w:line="200" w:lineRule="exact"/>
      <w:jc w:val="center"/>
    </w:pPr>
    <w:rPr>
      <w:rFonts w:ascii="Arial" w:hAnsi="Arial" w:cs="Arial"/>
      <w:b/>
      <w:bCs/>
      <w:kern w:val="32"/>
      <w:sz w:val="20"/>
      <w:szCs w:val="20"/>
    </w:rPr>
  </w:style>
  <w:style w:type="character" w:customStyle="1" w:styleId="TableHeading-Font10Char">
    <w:name w:val="Table Heading-Font 10 Char"/>
    <w:link w:val="TableHeading-Font10"/>
    <w:rsid w:val="00AC1EE8"/>
    <w:rPr>
      <w:rFonts w:ascii="Arial" w:hAnsi="Arial" w:cs="Arial"/>
      <w:b/>
      <w:bCs/>
      <w:kern w:val="32"/>
      <w:sz w:val="20"/>
      <w:szCs w:val="20"/>
    </w:rPr>
  </w:style>
  <w:style w:type="paragraph" w:customStyle="1" w:styleId="TableTextLeft">
    <w:name w:val="Table Text Left"/>
    <w:basedOn w:val="Normal"/>
    <w:link w:val="TableTextLeftChar"/>
    <w:qFormat/>
    <w:rsid w:val="00AC1EE8"/>
    <w:pPr>
      <w:spacing w:before="40" w:after="40" w:afterAutospacing="0" w:line="240" w:lineRule="auto"/>
    </w:pPr>
    <w:rPr>
      <w:rFonts w:ascii="Arial" w:eastAsia="Arial Unicode MS" w:hAnsi="Arial" w:cs="Arial"/>
      <w:iCs/>
      <w:sz w:val="20"/>
      <w:szCs w:val="20"/>
    </w:rPr>
  </w:style>
  <w:style w:type="character" w:customStyle="1" w:styleId="TableTextLeftChar">
    <w:name w:val="Table Text Left Char"/>
    <w:basedOn w:val="DefaultParagraphFont"/>
    <w:link w:val="TableTextLeft"/>
    <w:rsid w:val="00AC1EE8"/>
    <w:rPr>
      <w:rFonts w:ascii="Arial" w:eastAsia="Arial Unicode MS" w:hAnsi="Arial" w:cs="Arial"/>
      <w:i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D75D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5D87"/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223"/>
    <w:pPr>
      <w:widowControl w:val="0"/>
      <w:autoSpaceDE w:val="0"/>
      <w:autoSpaceDN w:val="0"/>
      <w:spacing w:after="0" w:afterAutospacing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223"/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9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B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T1BodyTextI1">
    <w:name w:val="BT1: Body Text I1"/>
    <w:basedOn w:val="BodyText"/>
    <w:link w:val="BT1BodyTextI1Char"/>
    <w:qFormat/>
    <w:rsid w:val="00476A48"/>
    <w:pPr>
      <w:spacing w:before="240" w:after="0" w:afterAutospacing="0" w:line="240" w:lineRule="auto"/>
      <w:jc w:val="both"/>
    </w:pPr>
    <w:rPr>
      <w:rFonts w:ascii="Arial" w:eastAsia="Calibri" w:hAnsi="Arial" w:cs="Arial"/>
      <w:iCs/>
      <w:sz w:val="22"/>
      <w:lang w:eastAsia="en-US"/>
    </w:rPr>
  </w:style>
  <w:style w:type="character" w:customStyle="1" w:styleId="BT1BodyTextI1Char">
    <w:name w:val="BT1: Body Text I1 Char"/>
    <w:basedOn w:val="DefaultParagraphFont"/>
    <w:link w:val="BT1BodyTextI1"/>
    <w:locked/>
    <w:rsid w:val="00476A48"/>
    <w:rPr>
      <w:rFonts w:ascii="Arial" w:eastAsia="Calibri" w:hAnsi="Arial" w:cs="Arial"/>
      <w:iCs/>
    </w:rPr>
  </w:style>
  <w:style w:type="character" w:customStyle="1" w:styleId="ListParagraphChar">
    <w:name w:val="List Paragraph Char"/>
    <w:aliases w:val="Bullet List Char,Bullet List Paragraph Char,Bullet 1 Char,Bullet Char,Title 1 Char,List Paragraph1 Char,Trust List Numbering Char"/>
    <w:link w:val="ListParagraph"/>
    <w:uiPriority w:val="34"/>
    <w:locked/>
    <w:rsid w:val="00EA2539"/>
    <w:rPr>
      <w:rFonts w:ascii="Times New Roman" w:hAnsi="Times New Roman"/>
      <w:sz w:val="24"/>
      <w:lang w:eastAsia="en-GB"/>
    </w:rPr>
  </w:style>
  <w:style w:type="paragraph" w:styleId="Caption">
    <w:name w:val="caption"/>
    <w:aliases w:val="Footnote,Times Roman 10 bold,Char2,Char Char Char Char,Top Caption,1 Tbl Titles,Table Caption,Figure Caption,cerCAPTION,Pg1Title,Char Char Char + Arial,Left,Before:  6 pt,Caption Char1 Char,Fig Tittle,Caption Table, Char Char Char Char,Caption_m"/>
    <w:next w:val="Normal"/>
    <w:link w:val="CaptionChar"/>
    <w:qFormat/>
    <w:rsid w:val="00ED6077"/>
    <w:pPr>
      <w:keepNext/>
      <w:spacing w:before="240" w:after="240" w:line="240" w:lineRule="auto"/>
      <w:ind w:left="1411" w:hanging="1411"/>
    </w:pPr>
    <w:rPr>
      <w:rFonts w:ascii="Arial" w:eastAsia="Times New Roman" w:hAnsi="Arial" w:cs="Arial"/>
      <w:b/>
      <w:bCs/>
      <w:lang w:val="en-AU"/>
    </w:rPr>
  </w:style>
  <w:style w:type="character" w:customStyle="1" w:styleId="CaptionChar">
    <w:name w:val="Caption Char"/>
    <w:aliases w:val="Footnote Char,Times Roman 10 bold Char,Char2 Char,Char Char Char Char Char,Top Caption Char,1 Tbl Titles Char,Table Caption Char,Figure Caption Char,cerCAPTION Char,Pg1Title Char,Char Char Char + Arial Char,Left Char,Before:  6 pt Char"/>
    <w:link w:val="Caption"/>
    <w:qFormat/>
    <w:rsid w:val="00ED6077"/>
    <w:rPr>
      <w:rFonts w:ascii="Arial" w:eastAsia="Times New Roman" w:hAnsi="Arial" w:cs="Arial"/>
      <w:b/>
      <w:bCs/>
      <w:lang w:val="en-AU"/>
    </w:rPr>
  </w:style>
  <w:style w:type="paragraph" w:customStyle="1" w:styleId="Tablefootnotetext">
    <w:name w:val="Table footnote text"/>
    <w:basedOn w:val="Normal"/>
    <w:qFormat/>
    <w:locked/>
    <w:rsid w:val="00ED6077"/>
    <w:pPr>
      <w:spacing w:before="40" w:after="0" w:afterAutospacing="0" w:line="240" w:lineRule="auto"/>
      <w:jc w:val="both"/>
    </w:pPr>
    <w:rPr>
      <w:rFonts w:ascii="Arial" w:eastAsia="Times New Roman" w:hAnsi="Arial" w:cs="Times New Roman"/>
      <w:sz w:val="18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11D92"/>
    <w:pPr>
      <w:spacing w:before="100" w:beforeAutospacing="1" w:line="240" w:lineRule="auto"/>
    </w:pPr>
    <w:rPr>
      <w:rFonts w:eastAsia="Times New Roman"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11D92"/>
    <w:rPr>
      <w:b/>
      <w:bCs/>
    </w:rPr>
  </w:style>
  <w:style w:type="paragraph" w:customStyle="1" w:styleId="pf0">
    <w:name w:val="pf0"/>
    <w:basedOn w:val="Normal"/>
    <w:rsid w:val="003B70D7"/>
    <w:pPr>
      <w:spacing w:before="100" w:beforeAutospacing="1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5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58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3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07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sigroup.com" TargetMode="External"/><Relationship Id="rId18" Type="http://schemas.openxmlformats.org/officeDocument/2006/relationships/hyperlink" Target="https://www.astm.org/Standards/F2096.htm" TargetMode="External"/><Relationship Id="rId26" Type="http://schemas.openxmlformats.org/officeDocument/2006/relationships/hyperlink" Target="https://www.astm.org/Standards/F88.htm" TargetMode="External"/><Relationship Id="rId21" Type="http://schemas.openxmlformats.org/officeDocument/2006/relationships/hyperlink" Target="https://www.astm.org/Standards/F1929.htm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EmergoVigilance@ul.com" TargetMode="External"/><Relationship Id="rId17" Type="http://schemas.openxmlformats.org/officeDocument/2006/relationships/hyperlink" Target="https://www.astm.org/Standards/F2096.htm" TargetMode="External"/><Relationship Id="rId25" Type="http://schemas.openxmlformats.org/officeDocument/2006/relationships/hyperlink" Target="https://www.astm.org/Standards/F88.ht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stm.org/Standards/F2096.htm" TargetMode="External"/><Relationship Id="rId20" Type="http://schemas.openxmlformats.org/officeDocument/2006/relationships/hyperlink" Target="https://www.astm.org/Standards/F1929.htm" TargetMode="External"/><Relationship Id="rId29" Type="http://schemas.openxmlformats.org/officeDocument/2006/relationships/hyperlink" Target="https://www.astm.org/Standards/F1980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Compliance@argonmedical.com" TargetMode="External"/><Relationship Id="rId24" Type="http://schemas.openxmlformats.org/officeDocument/2006/relationships/hyperlink" Target="https://www.astm.org/Standards/F88.ht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stm.org/Standards/D4169.htm" TargetMode="External"/><Relationship Id="rId23" Type="http://schemas.openxmlformats.org/officeDocument/2006/relationships/hyperlink" Target="https://www.astm.org/Standards/F1929.htm" TargetMode="External"/><Relationship Id="rId28" Type="http://schemas.openxmlformats.org/officeDocument/2006/relationships/hyperlink" Target="https://www.astm.org/Standards/F1980.htm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astm.org/Standards/F2096.ht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stm.org/Standards/D4169.htm" TargetMode="External"/><Relationship Id="rId22" Type="http://schemas.openxmlformats.org/officeDocument/2006/relationships/hyperlink" Target="https://www.astm.org/Standards/F1929.htm" TargetMode="External"/><Relationship Id="rId27" Type="http://schemas.openxmlformats.org/officeDocument/2006/relationships/hyperlink" Target="https://www.astm.org/Standards/F1980.htm" TargetMode="External"/><Relationship Id="rId30" Type="http://schemas.openxmlformats.org/officeDocument/2006/relationships/hyperlink" Target="https://www.astm.org/Standards/F1980.htm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5168FB229E64BB02D823972441852" ma:contentTypeVersion="8" ma:contentTypeDescription="Create a new document." ma:contentTypeScope="" ma:versionID="930cde1784db80892a686ca36e180a82">
  <xsd:schema xmlns:xsd="http://www.w3.org/2001/XMLSchema" xmlns:xs="http://www.w3.org/2001/XMLSchema" xmlns:p="http://schemas.microsoft.com/office/2006/metadata/properties" xmlns:ns1="http://schemas.microsoft.com/sharepoint/v3" xmlns:ns2="98998320-5229-49fa-b545-1146fcc196c3" xmlns:ns3="7df48557-8e40-41cc-b42f-0234d1441c26" xmlns:ns4="533d7803-0b09-441b-8841-a7d5d61164fa" targetNamespace="http://schemas.microsoft.com/office/2006/metadata/properties" ma:root="true" ma:fieldsID="a2decff7a4d88684e1e04d71338e4e58" ns1:_="" ns2:_="" ns3:_="" ns4:_="">
    <xsd:import namespace="http://schemas.microsoft.com/sharepoint/v3"/>
    <xsd:import namespace="98998320-5229-49fa-b545-1146fcc196c3"/>
    <xsd:import namespace="7df48557-8e40-41cc-b42f-0234d1441c26"/>
    <xsd:import namespace="533d7803-0b09-441b-8841-a7d5d6116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8320-5229-49fa-b545-1146fcc196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8557-8e40-41cc-b42f-0234d1441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7803-0b09-441b-8841-a7d5d6116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998320-5229-49fa-b545-1146fcc196c3">X6KQWXAJUN6C-1856867172-302</_dlc_DocId>
    <_dlc_DocIdUrl xmlns="98998320-5229-49fa-b545-1146fcc196c3">
      <Url>https://argonmedical.sharepoint.com/Quality/PME/_layouts/15/DocIdRedir.aspx?ID=X6KQWXAJUN6C-1856867172-302</Url>
      <Description>X6KQWXAJUN6C-1856867172-302</Description>
    </_dlc_DocIdUrl>
    <SharedWithUsers xmlns="533d7803-0b09-441b-8841-a7d5d61164fa">
      <UserInfo>
        <DisplayName>Nneoma Oparah</DisplayName>
        <AccountId>317</AccountId>
        <AccountType/>
      </UserInfo>
      <UserInfo>
        <DisplayName>Gedaa Hassan</DisplayName>
        <AccountId>752</AccountId>
        <AccountType/>
      </UserInfo>
      <UserInfo>
        <DisplayName>Nadira Lotus</DisplayName>
        <AccountId>672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1F52C6-68E5-4D12-B750-4728A895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998320-5229-49fa-b545-1146fcc196c3"/>
    <ds:schemaRef ds:uri="7df48557-8e40-41cc-b42f-0234d1441c26"/>
    <ds:schemaRef ds:uri="533d7803-0b09-441b-8841-a7d5d6116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36AD9-7C49-4C9F-8758-EEFFA6AB49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7BDF46-C2A2-49C5-B0CE-B782C57F7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8D0B19-D938-4802-9383-28F654A630FD}">
  <ds:schemaRefs>
    <ds:schemaRef ds:uri="http://schemas.microsoft.com/office/2006/metadata/properties"/>
    <ds:schemaRef ds:uri="http://schemas.microsoft.com/office/infopath/2007/PartnerControls"/>
    <ds:schemaRef ds:uri="98998320-5229-49fa-b545-1146fcc196c3"/>
    <ds:schemaRef ds:uri="533d7803-0b09-441b-8841-a7d5d61164f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4455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Gedaa Hassan</dc:creator>
  <cp:keywords/>
  <dc:description/>
  <cp:lastModifiedBy>Nikola Zivic</cp:lastModifiedBy>
  <cp:revision>3</cp:revision>
  <cp:lastPrinted>2026-02-23T12:21:00Z</cp:lastPrinted>
  <dcterms:created xsi:type="dcterms:W3CDTF">2026-02-23T12:21:00Z</dcterms:created>
  <dcterms:modified xsi:type="dcterms:W3CDTF">2026-02-23T12:21:00Z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0x010100A845168FB229E64BB02D823972441852</vt:lpwstr>
  </property>
  <property fmtid="{D5CDD505-2E9C-101B-9397-08002B2CF9AE}" pid="3" name="_dlc_DocIdItemGuid">
    <vt:lpwstr>449f7a72-25d5-43c5-bfd7-104e0d46ffec</vt:lpwstr>
  </property>
</Properties>
</file>