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sl"/>
        </w:rPr>
        <mc:AlternateContent>
          <mc:Choice Requires="wps">
            <w:drawing>
              <wp:anchor distT="0" distB="0" distL="114300" distR="114300" simplePos="0" relativeHeight="251659264" behindDoc="0" locked="0" layoutInCell="1" allowOverlap="1" wp14:anchorId="6FC0C8B7" wp14:editId="6DA47034">
                <wp:simplePos x="0" y="0"/>
                <wp:positionH relativeFrom="column">
                  <wp:posOffset>-190500</wp:posOffset>
                </wp:positionH>
                <wp:positionV relativeFrom="paragraph">
                  <wp:posOffset>71755</wp:posOffset>
                </wp:positionV>
                <wp:extent cx="6448425" cy="12096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09675"/>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sl"/>
                              </w:rPr>
                              <w:t>POVZETEK O VARNOSTI IN KLINIČNI UČINKOVITOSTI (SSCP)</w:t>
                            </w:r>
                          </w:p>
                          <w:p w14:paraId="0E1996B2" w14:textId="77777777" w:rsidR="005D4A52" w:rsidRDefault="005D4A52" w:rsidP="006D00F2">
                            <w:pPr>
                              <w:pStyle w:val="Heading7"/>
                              <w:spacing w:after="0" w:afterAutospacing="0"/>
                              <w:rPr>
                                <w:sz w:val="32"/>
                                <w:szCs w:val="32"/>
                              </w:rPr>
                            </w:pPr>
                            <w:r>
                              <w:rPr>
                                <w:bCs/>
                                <w:sz w:val="32"/>
                                <w:szCs w:val="32"/>
                                <w:lang w:val="sl"/>
                              </w:rPr>
                              <w:t>SSCP-0006</w:t>
                            </w:r>
                          </w:p>
                          <w:p w14:paraId="06B6F153" w14:textId="72F11D73" w:rsidR="005D4A52" w:rsidRDefault="00F1569C" w:rsidP="006D00F2">
                            <w:pPr>
                              <w:pStyle w:val="Heading7"/>
                              <w:spacing w:after="0" w:afterAutospacing="0"/>
                              <w:rPr>
                                <w:sz w:val="32"/>
                                <w:szCs w:val="32"/>
                              </w:rPr>
                            </w:pPr>
                            <w:r>
                              <w:rPr>
                                <w:bCs/>
                                <w:sz w:val="32"/>
                                <w:szCs w:val="32"/>
                                <w:lang w:val="sl"/>
                              </w:rPr>
                              <w:t>Komplet za vaskularno zanko Atrieve™</w:t>
                            </w:r>
                          </w:p>
                          <w:p w14:paraId="3354BBA5" w14:textId="08AF297F" w:rsidR="005D4A52" w:rsidRPr="005B469C" w:rsidRDefault="005D4A52" w:rsidP="006D00F2">
                            <w:pPr>
                              <w:spacing w:after="0" w:afterAutospacing="0"/>
                              <w:jc w:val="center"/>
                              <w:rPr>
                                <w:b/>
                                <w:bCs/>
                                <w:sz w:val="32"/>
                                <w:szCs w:val="32"/>
                              </w:rPr>
                            </w:pPr>
                            <w:r>
                              <w:rPr>
                                <w:b/>
                                <w:bCs/>
                                <w:sz w:val="32"/>
                                <w:szCs w:val="32"/>
                                <w:lang w:val="sl"/>
                              </w:rPr>
                              <w:t>DHF-82248</w:t>
                            </w:r>
                          </w:p>
                          <w:p w14:paraId="3CF39942" w14:textId="77777777" w:rsidR="0005411A" w:rsidRPr="00267292" w:rsidRDefault="0005411A" w:rsidP="009855C3"/>
                          <w:p w14:paraId="684B57C2" w14:textId="77777777" w:rsidR="0005411A" w:rsidRPr="00267292" w:rsidRDefault="0005411A" w:rsidP="009855C3">
                            <w:r>
                              <w:rPr>
                                <w:lang w:val="sl"/>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pt;margin-top:5.65pt;width:50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&#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sl"/>
                        </w:rPr>
                        <w:t>POVZETEK O VARNOSTI IN KLINIČNI UČINKOVITOSTI (SSCP)</w:t>
                      </w:r>
                    </w:p>
                    <w:p w14:paraId="0E1996B2" w14:textId="77777777" w:rsidR="005D4A52" w:rsidRDefault="005D4A52" w:rsidP="006D00F2">
                      <w:pPr>
                        <w:pStyle w:val="Heading7"/>
                        <w:spacing w:after="0" w:afterAutospacing="0"/>
                        <w:rPr>
                          <w:sz w:val="32"/>
                          <w:szCs w:val="32"/>
                        </w:rPr>
                      </w:pPr>
                      <w:r>
                        <w:rPr>
                          <w:bCs/>
                          <w:sz w:val="32"/>
                          <w:szCs w:val="32"/>
                          <w:lang w:val="sl"/>
                        </w:rPr>
                        <w:t>SSCP-0006</w:t>
                      </w:r>
                    </w:p>
                    <w:p w14:paraId="06B6F153" w14:textId="72F11D73" w:rsidR="005D4A52" w:rsidRDefault="00F1569C" w:rsidP="006D00F2">
                      <w:pPr>
                        <w:pStyle w:val="Heading7"/>
                        <w:spacing w:after="0" w:afterAutospacing="0"/>
                        <w:rPr>
                          <w:sz w:val="32"/>
                          <w:szCs w:val="32"/>
                        </w:rPr>
                      </w:pPr>
                      <w:r>
                        <w:rPr>
                          <w:bCs/>
                          <w:sz w:val="32"/>
                          <w:szCs w:val="32"/>
                          <w:lang w:val="sl"/>
                        </w:rPr>
                        <w:t>Komplet za vaskularno zanko Atrieve™</w:t>
                      </w:r>
                    </w:p>
                    <w:p w14:paraId="3354BBA5" w14:textId="08AF297F" w:rsidR="005D4A52" w:rsidRPr="005B469C" w:rsidRDefault="005D4A52" w:rsidP="006D00F2">
                      <w:pPr>
                        <w:spacing w:after="0" w:afterAutospacing="0"/>
                        <w:jc w:val="center"/>
                        <w:rPr>
                          <w:b/>
                          <w:bCs/>
                          <w:sz w:val="32"/>
                          <w:szCs w:val="32"/>
                        </w:rPr>
                      </w:pPr>
                      <w:r>
                        <w:rPr>
                          <w:b/>
                          <w:bCs/>
                          <w:sz w:val="32"/>
                          <w:szCs w:val="32"/>
                          <w:lang w:val="sl"/>
                        </w:rPr>
                        <w:t>DHF-82248</w:t>
                      </w:r>
                    </w:p>
                    <w:p w14:paraId="3CF39942" w14:textId="77777777" w:rsidR="0005411A" w:rsidRPr="00267292" w:rsidRDefault="0005411A" w:rsidP="009855C3"/>
                    <w:p w14:paraId="684B57C2" w14:textId="77777777" w:rsidR="0005411A" w:rsidRPr="00267292" w:rsidRDefault="0005411A" w:rsidP="009855C3">
                      <w:r>
                        <w:rPr>
                          <w:lang w:val="sl"/>
                        </w:rPr>
                        <w:t>[DATUM]</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sl"/>
        </w:rPr>
        <w:t>Za objavo v Eudamedu</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70"/>
        <w:gridCol w:w="1417"/>
        <w:gridCol w:w="7262"/>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sl"/>
              </w:rPr>
              <w:t>VLOGA</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sl"/>
              </w:rPr>
              <w:t>ODDELEK</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sl"/>
              </w:rPr>
              <w:t>IME/NAZIV</w:t>
            </w:r>
          </w:p>
        </w:tc>
      </w:tr>
      <w:tr w:rsidR="006E0847" w:rsidRPr="00A376FC"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sl"/>
              </w:rPr>
              <w:t>Pripravila</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sl"/>
              </w:rPr>
              <w:t>Regulativne zadeve</w:t>
            </w:r>
          </w:p>
        </w:tc>
        <w:tc>
          <w:tcPr>
            <w:tcW w:w="7519" w:type="dxa"/>
            <w:tcBorders>
              <w:top w:val="double" w:sz="4" w:space="0" w:color="auto"/>
            </w:tcBorders>
          </w:tcPr>
          <w:p w14:paraId="360D10DB" w14:textId="77777777" w:rsidR="006E0847" w:rsidRPr="00A376FC" w:rsidRDefault="006E0847" w:rsidP="006E0847">
            <w:pPr>
              <w:spacing w:after="0" w:afterAutospacing="0"/>
              <w:jc w:val="center"/>
              <w:rPr>
                <w:rFonts w:cs="Times New Roman"/>
                <w:szCs w:val="24"/>
                <w:lang w:val="it-IT"/>
              </w:rPr>
            </w:pPr>
            <w:r>
              <w:rPr>
                <w:rFonts w:cs="Times New Roman"/>
                <w:szCs w:val="24"/>
                <w:lang w:val="sl"/>
              </w:rPr>
              <w:t>Nadira Lotus</w:t>
            </w:r>
          </w:p>
          <w:p w14:paraId="7BA00BEF" w14:textId="2E4C5FAD" w:rsidR="006E0847" w:rsidRPr="00A376FC" w:rsidRDefault="006E0847" w:rsidP="006E0847">
            <w:pPr>
              <w:jc w:val="center"/>
              <w:rPr>
                <w:rFonts w:cs="Times New Roman"/>
                <w:szCs w:val="24"/>
                <w:lang w:val="it-IT"/>
              </w:rPr>
            </w:pPr>
            <w:r>
              <w:rPr>
                <w:rFonts w:cs="Times New Roman"/>
                <w:szCs w:val="24"/>
                <w:lang w:val="sl"/>
              </w:rPr>
              <w:t>Vodja, poprodajni nadzor</w:t>
            </w:r>
          </w:p>
        </w:tc>
      </w:tr>
    </w:tbl>
    <w:p w14:paraId="45EA3393" w14:textId="77777777" w:rsidR="00E91403" w:rsidRPr="00A376FC" w:rsidRDefault="00E91403" w:rsidP="00E91403">
      <w:pPr>
        <w:jc w:val="center"/>
        <w:rPr>
          <w:rFonts w:cs="Times New Roman"/>
          <w:b/>
          <w:lang w:val="it-IT"/>
        </w:rPr>
      </w:pPr>
    </w:p>
    <w:p w14:paraId="3ADE6C89" w14:textId="0496458B" w:rsidR="00E91403" w:rsidRPr="00A376FC" w:rsidRDefault="00E91403" w:rsidP="00E91403">
      <w:pPr>
        <w:tabs>
          <w:tab w:val="center" w:pos="5220"/>
          <w:tab w:val="right" w:pos="10440"/>
        </w:tabs>
        <w:rPr>
          <w:rFonts w:cs="Times New Roman"/>
          <w:b/>
          <w:lang w:val="sl"/>
        </w:rPr>
      </w:pPr>
      <w:r>
        <w:rPr>
          <w:rFonts w:cs="Times New Roman"/>
          <w:lang w:val="sl"/>
        </w:rPr>
        <w:tab/>
      </w:r>
      <w:r>
        <w:rPr>
          <w:rFonts w:cs="Times New Roman"/>
          <w:b/>
          <w:bCs/>
          <w:lang w:val="sl"/>
        </w:rPr>
        <w:t>Matrica za odobritev podpisa</w:t>
      </w:r>
      <w:r>
        <w:rPr>
          <w:rFonts w:cs="Times New Roman"/>
          <w:lang w:val="sl"/>
        </w:rPr>
        <w:tab/>
      </w:r>
    </w:p>
    <w:p w14:paraId="01F684E3" w14:textId="77777777" w:rsidR="00E91403" w:rsidRPr="00A376FC" w:rsidRDefault="00E91403" w:rsidP="00E91403">
      <w:pPr>
        <w:spacing w:after="60"/>
        <w:ind w:right="274"/>
        <w:rPr>
          <w:rFonts w:cs="Times New Roman"/>
          <w:sz w:val="20"/>
          <w:szCs w:val="20"/>
          <w:lang w:val="sl"/>
        </w:rPr>
      </w:pPr>
      <w:r>
        <w:rPr>
          <w:rFonts w:cs="Times New Roman"/>
          <w:sz w:val="20"/>
          <w:szCs w:val="20"/>
          <w:lang w:val="sl"/>
        </w:rPr>
        <w:t>Ta dokument morajo pregledati in odobriti vsi spodaj navedeni posamezniki ali njihovi pooblaščeni zastopniki.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70"/>
        <w:gridCol w:w="1417"/>
        <w:gridCol w:w="7262"/>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sl"/>
              </w:rPr>
              <w:t>VLOGA</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sl"/>
              </w:rPr>
              <w:t>ODDELEK</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sl"/>
              </w:rPr>
              <w:t>IME/NAZIV</w:t>
            </w:r>
          </w:p>
        </w:tc>
      </w:tr>
      <w:tr w:rsidR="00386F47" w:rsidRPr="009461CC"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sl"/>
              </w:rPr>
              <w:t>Odobritev</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sl"/>
              </w:rPr>
              <w:t>Klinične zadeve</w:t>
            </w:r>
          </w:p>
        </w:tc>
        <w:tc>
          <w:tcPr>
            <w:tcW w:w="7519" w:type="dxa"/>
            <w:vAlign w:val="center"/>
          </w:tcPr>
          <w:p w14:paraId="613876EC" w14:textId="77777777" w:rsidR="00386F47" w:rsidRPr="009461CC" w:rsidRDefault="00386F47" w:rsidP="00386F47">
            <w:pPr>
              <w:spacing w:after="0" w:afterAutospacing="0"/>
              <w:jc w:val="center"/>
              <w:rPr>
                <w:rFonts w:cs="Times New Roman"/>
                <w:szCs w:val="24"/>
              </w:rPr>
            </w:pPr>
            <w:r>
              <w:rPr>
                <w:rFonts w:cs="Times New Roman"/>
                <w:szCs w:val="24"/>
                <w:lang w:val="sl"/>
              </w:rPr>
              <w:t>Danyel Carr</w:t>
            </w:r>
          </w:p>
          <w:p w14:paraId="172E4813" w14:textId="2E4F9175" w:rsidR="00386F47" w:rsidRPr="009461CC" w:rsidRDefault="00E03D31" w:rsidP="00386F47">
            <w:pPr>
              <w:jc w:val="center"/>
              <w:rPr>
                <w:rFonts w:cs="Times New Roman"/>
                <w:szCs w:val="24"/>
              </w:rPr>
            </w:pPr>
            <w:r>
              <w:rPr>
                <w:rFonts w:cs="Times New Roman"/>
                <w:szCs w:val="24"/>
                <w:lang w:val="sl"/>
              </w:rPr>
              <w:t>Višji direktor, klinične zadeve</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sl"/>
              </w:rPr>
              <w:t>Odobritev</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sl"/>
              </w:rPr>
              <w:t xml:space="preserve">Kakovost </w:t>
            </w:r>
          </w:p>
        </w:tc>
        <w:tc>
          <w:tcPr>
            <w:tcW w:w="7519" w:type="dxa"/>
            <w:vAlign w:val="center"/>
          </w:tcPr>
          <w:p w14:paraId="3D954801" w14:textId="77777777" w:rsidR="00F07DD1" w:rsidRDefault="00F07DD1" w:rsidP="004065D7">
            <w:pPr>
              <w:spacing w:after="0" w:afterAutospacing="0"/>
              <w:jc w:val="center"/>
              <w:rPr>
                <w:rFonts w:cs="Times New Roman"/>
                <w:szCs w:val="24"/>
              </w:rPr>
            </w:pPr>
            <w:r>
              <w:rPr>
                <w:rFonts w:cs="Times New Roman"/>
                <w:szCs w:val="24"/>
                <w:lang w:val="sl"/>
              </w:rPr>
              <w:t xml:space="preserve">James Stephens </w:t>
            </w:r>
          </w:p>
          <w:p w14:paraId="1EA24645" w14:textId="5BC698A1" w:rsidR="00386F47" w:rsidRPr="009461CC" w:rsidRDefault="00547353" w:rsidP="004065D7">
            <w:pPr>
              <w:spacing w:after="0" w:afterAutospacing="0"/>
              <w:jc w:val="center"/>
              <w:rPr>
                <w:rFonts w:cs="Times New Roman"/>
                <w:szCs w:val="24"/>
              </w:rPr>
            </w:pPr>
            <w:r>
              <w:rPr>
                <w:rFonts w:cs="Times New Roman"/>
                <w:szCs w:val="24"/>
                <w:lang w:val="sl"/>
              </w:rPr>
              <w:t>Višji direktor, oddelek za kakovost</w:t>
            </w:r>
          </w:p>
        </w:tc>
      </w:tr>
      <w:tr w:rsidR="00386F47" w:rsidRPr="009461CC"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sl"/>
              </w:rPr>
              <w:t>Odobritev</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sl"/>
              </w:rPr>
              <w:t xml:space="preserve">Regulativna </w:t>
            </w:r>
          </w:p>
        </w:tc>
        <w:tc>
          <w:tcPr>
            <w:tcW w:w="7519"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sl"/>
              </w:rPr>
              <w:t>Scott Bishops</w:t>
            </w:r>
          </w:p>
          <w:p w14:paraId="39BF7685" w14:textId="4DD9DE97" w:rsidR="00386F47" w:rsidRPr="009461CC" w:rsidRDefault="00E950A1" w:rsidP="00386F47">
            <w:pPr>
              <w:jc w:val="center"/>
              <w:rPr>
                <w:rFonts w:cs="Times New Roman"/>
                <w:szCs w:val="24"/>
              </w:rPr>
            </w:pPr>
            <w:r>
              <w:rPr>
                <w:rFonts w:eastAsia="Times New Roman" w:cs="Times New Roman"/>
                <w:color w:val="000000" w:themeColor="text1"/>
                <w:szCs w:val="24"/>
                <w:lang w:val="sl"/>
              </w:rPr>
              <w:t>Podpredsednik, globalne regulativne zadeve in zagotavljanje kakovosti</w:t>
            </w:r>
          </w:p>
        </w:tc>
      </w:tr>
    </w:tbl>
    <w:p w14:paraId="51DA0A01" w14:textId="5402C604" w:rsidR="00E91403" w:rsidRPr="009461CC" w:rsidRDefault="00E91403" w:rsidP="00E91403">
      <w:pPr>
        <w:jc w:val="center"/>
        <w:rPr>
          <w:rFonts w:cs="Times New Roman"/>
          <w:b/>
        </w:rPr>
      </w:pPr>
      <w:r>
        <w:rPr>
          <w:rFonts w:cs="Times New Roman"/>
          <w:b/>
          <w:bCs/>
          <w:lang w:val="sl"/>
        </w:rPr>
        <w:t>Zgodovina revizij</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4"/>
        <w:gridCol w:w="1467"/>
        <w:gridCol w:w="1043"/>
        <w:gridCol w:w="4309"/>
        <w:gridCol w:w="1764"/>
      </w:tblGrid>
      <w:tr w:rsidR="00E91403" w:rsidRPr="009461CC" w14:paraId="38F29FD4" w14:textId="77777777" w:rsidTr="00A376FC">
        <w:tc>
          <w:tcPr>
            <w:tcW w:w="1207"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sl"/>
              </w:rPr>
              <w:t>Revizija</w:t>
            </w:r>
          </w:p>
        </w:tc>
        <w:tc>
          <w:tcPr>
            <w:tcW w:w="1470"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sl"/>
              </w:rPr>
              <w:t>Datum</w:t>
            </w:r>
          </w:p>
        </w:tc>
        <w:tc>
          <w:tcPr>
            <w:tcW w:w="972"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sl"/>
              </w:rPr>
              <w:t>Oddelki</w:t>
            </w:r>
          </w:p>
        </w:tc>
        <w:tc>
          <w:tcPr>
            <w:tcW w:w="4364"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sl"/>
              </w:rPr>
              <w:t>Opis revizije</w:t>
            </w:r>
          </w:p>
        </w:tc>
        <w:tc>
          <w:tcPr>
            <w:tcW w:w="1774"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sl"/>
              </w:rPr>
              <w:t>Spremeni zahtevo #</w:t>
            </w:r>
          </w:p>
        </w:tc>
      </w:tr>
      <w:tr w:rsidR="00740900" w:rsidRPr="009461CC" w14:paraId="47D66140" w14:textId="77777777" w:rsidTr="00A376FC">
        <w:tc>
          <w:tcPr>
            <w:tcW w:w="1207"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sl"/>
              </w:rPr>
              <w:t>A</w:t>
            </w:r>
          </w:p>
        </w:tc>
        <w:tc>
          <w:tcPr>
            <w:tcW w:w="1470"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sl"/>
              </w:rPr>
              <w:t>22. 5. 2022</w:t>
            </w:r>
          </w:p>
        </w:tc>
        <w:tc>
          <w:tcPr>
            <w:tcW w:w="972"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sl"/>
              </w:rPr>
              <w:t>Vse</w:t>
            </w:r>
          </w:p>
        </w:tc>
        <w:tc>
          <w:tcPr>
            <w:tcW w:w="4364" w:type="dxa"/>
            <w:tcBorders>
              <w:top w:val="double" w:sz="4" w:space="0" w:color="auto"/>
              <w:bottom w:val="single" w:sz="4" w:space="0" w:color="auto"/>
            </w:tcBorders>
          </w:tcPr>
          <w:p w14:paraId="3973A2E3" w14:textId="3D8B33BA" w:rsidR="00740900" w:rsidRPr="00A376FC" w:rsidRDefault="00740900" w:rsidP="00740900">
            <w:pPr>
              <w:rPr>
                <w:rFonts w:cs="Times New Roman"/>
                <w:szCs w:val="24"/>
                <w:lang w:val="it-IT"/>
              </w:rPr>
            </w:pPr>
            <w:r>
              <w:rPr>
                <w:rFonts w:cs="Times New Roman"/>
                <w:szCs w:val="24"/>
                <w:lang w:val="sl"/>
              </w:rPr>
              <w:t>Začetno poročilo samo za interno uporabo</w:t>
            </w:r>
          </w:p>
        </w:tc>
        <w:tc>
          <w:tcPr>
            <w:tcW w:w="1774"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sl"/>
              </w:rPr>
              <w:t>Ni na voljo</w:t>
            </w:r>
          </w:p>
        </w:tc>
      </w:tr>
      <w:tr w:rsidR="00923982" w:rsidRPr="009461CC" w14:paraId="495D8A1C" w14:textId="77777777" w:rsidTr="00A376FC">
        <w:tc>
          <w:tcPr>
            <w:tcW w:w="1207"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sl"/>
              </w:rPr>
              <w:t>B</w:t>
            </w:r>
          </w:p>
        </w:tc>
        <w:tc>
          <w:tcPr>
            <w:tcW w:w="1470"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sl"/>
              </w:rPr>
              <w:t>15. 12. 2025</w:t>
            </w:r>
          </w:p>
        </w:tc>
        <w:tc>
          <w:tcPr>
            <w:tcW w:w="972"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sl"/>
              </w:rPr>
              <w:t>Vse</w:t>
            </w:r>
          </w:p>
        </w:tc>
        <w:tc>
          <w:tcPr>
            <w:tcW w:w="4364"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sl"/>
              </w:rPr>
              <w:t>Predložitev MDR v EU</w:t>
            </w:r>
          </w:p>
        </w:tc>
        <w:tc>
          <w:tcPr>
            <w:tcW w:w="1774"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sl"/>
              </w:rPr>
              <w:t>07919</w:t>
            </w:r>
          </w:p>
        </w:tc>
      </w:tr>
    </w:tbl>
    <w:p w14:paraId="5C951A98" w14:textId="6A651DC3" w:rsidR="0005411A" w:rsidRPr="009461CC" w:rsidRDefault="00E91403" w:rsidP="00E91403">
      <w:pPr>
        <w:jc w:val="center"/>
        <w:rPr>
          <w:rFonts w:cs="Times New Roman"/>
        </w:rPr>
      </w:pPr>
      <w:r>
        <w:rPr>
          <w:rFonts w:cs="Times New Roman"/>
          <w:i/>
          <w:iCs/>
          <w:lang w:val="sl"/>
        </w:rPr>
        <w:t>Opomba: Odobritve bodo zabeležene prek povezane zahteve za spremembo.</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sl"/>
        </w:rPr>
        <w:br w:type="page"/>
      </w:r>
      <w:r>
        <w:rPr>
          <w:rFonts w:cs="Times New Roman"/>
          <w:lang w:val="sl"/>
        </w:rPr>
        <w:lastRenderedPageBreak/>
        <w:t>Kazalo vsebine</w:t>
      </w:r>
    </w:p>
    <w:p w14:paraId="11ADCB8F" w14:textId="308CB933" w:rsidR="00A376FC" w:rsidRDefault="006F0810">
      <w:pPr>
        <w:pStyle w:val="TOC1"/>
        <w:rPr>
          <w:rFonts w:asciiTheme="minorHAnsi" w:eastAsiaTheme="minorEastAsia" w:hAnsiTheme="minorHAnsi" w:cstheme="minorBidi"/>
          <w:noProof/>
          <w:kern w:val="2"/>
          <w:lang w:eastAsia="zh-CN"/>
          <w14:ligatures w14:val="standardContextual"/>
        </w:rPr>
      </w:pPr>
      <w:r>
        <w:rPr>
          <w:lang w:val="sl"/>
        </w:rPr>
        <w:fldChar w:fldCharType="begin"/>
      </w:r>
      <w:r>
        <w:instrText xml:space="preserve"> TOC \o "1-3" \h \z \u </w:instrText>
      </w:r>
      <w:r>
        <w:fldChar w:fldCharType="separate"/>
      </w:r>
      <w:hyperlink w:anchor="_Toc222741730" w:history="1">
        <w:r w:rsidR="00A376FC" w:rsidRPr="001A225C">
          <w:rPr>
            <w:rStyle w:val="Hyperlink"/>
            <w:noProof/>
          </w:rPr>
          <w:t>1.</w:t>
        </w:r>
        <w:r w:rsidR="00A376FC">
          <w:rPr>
            <w:rFonts w:asciiTheme="minorHAnsi" w:eastAsiaTheme="minorEastAsia" w:hAnsiTheme="minorHAnsi" w:cstheme="minorBidi"/>
            <w:noProof/>
            <w:kern w:val="2"/>
            <w:lang w:eastAsia="zh-CN"/>
            <w14:ligatures w14:val="standardContextual"/>
          </w:rPr>
          <w:tab/>
        </w:r>
        <w:r w:rsidR="00A376FC" w:rsidRPr="001A225C">
          <w:rPr>
            <w:rStyle w:val="Hyperlink"/>
            <w:bCs/>
            <w:noProof/>
            <w:lang w:val="sl"/>
          </w:rPr>
          <w:t>Obseg tega povzetka o varnosti in klinični učinkovitosti (SSCP):</w:t>
        </w:r>
        <w:r w:rsidR="00A376FC">
          <w:rPr>
            <w:noProof/>
            <w:webHidden/>
          </w:rPr>
          <w:tab/>
        </w:r>
        <w:r w:rsidR="00A376FC">
          <w:rPr>
            <w:noProof/>
            <w:webHidden/>
          </w:rPr>
          <w:fldChar w:fldCharType="begin"/>
        </w:r>
        <w:r w:rsidR="00A376FC">
          <w:rPr>
            <w:noProof/>
            <w:webHidden/>
          </w:rPr>
          <w:instrText xml:space="preserve"> PAGEREF _Toc222741730 \h </w:instrText>
        </w:r>
        <w:r w:rsidR="00A376FC">
          <w:rPr>
            <w:noProof/>
            <w:webHidden/>
          </w:rPr>
        </w:r>
        <w:r w:rsidR="00A376FC">
          <w:rPr>
            <w:noProof/>
            <w:webHidden/>
          </w:rPr>
          <w:fldChar w:fldCharType="separate"/>
        </w:r>
        <w:r w:rsidR="00BD4F54">
          <w:rPr>
            <w:noProof/>
            <w:webHidden/>
          </w:rPr>
          <w:t>3</w:t>
        </w:r>
        <w:r w:rsidR="00A376FC">
          <w:rPr>
            <w:noProof/>
            <w:webHidden/>
          </w:rPr>
          <w:fldChar w:fldCharType="end"/>
        </w:r>
      </w:hyperlink>
    </w:p>
    <w:p w14:paraId="5366F7E0" w14:textId="7A93F3A7"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1" w:history="1">
        <w:r w:rsidRPr="001A225C">
          <w:rPr>
            <w:rStyle w:val="Hyperlink"/>
            <w:noProof/>
          </w:rPr>
          <w:t>1.1.</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Trgovsko ime pripomočka:</w:t>
        </w:r>
        <w:r>
          <w:rPr>
            <w:noProof/>
            <w:webHidden/>
          </w:rPr>
          <w:tab/>
        </w:r>
        <w:r>
          <w:rPr>
            <w:noProof/>
            <w:webHidden/>
          </w:rPr>
          <w:fldChar w:fldCharType="begin"/>
        </w:r>
        <w:r>
          <w:rPr>
            <w:noProof/>
            <w:webHidden/>
          </w:rPr>
          <w:instrText xml:space="preserve"> PAGEREF _Toc222741731 \h </w:instrText>
        </w:r>
        <w:r>
          <w:rPr>
            <w:noProof/>
            <w:webHidden/>
          </w:rPr>
        </w:r>
        <w:r>
          <w:rPr>
            <w:noProof/>
            <w:webHidden/>
          </w:rPr>
          <w:fldChar w:fldCharType="separate"/>
        </w:r>
        <w:r w:rsidR="00BD4F54">
          <w:rPr>
            <w:noProof/>
            <w:webHidden/>
          </w:rPr>
          <w:t>3</w:t>
        </w:r>
        <w:r>
          <w:rPr>
            <w:noProof/>
            <w:webHidden/>
          </w:rPr>
          <w:fldChar w:fldCharType="end"/>
        </w:r>
      </w:hyperlink>
    </w:p>
    <w:p w14:paraId="30403ECB" w14:textId="612B8480"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2" w:history="1">
        <w:r w:rsidRPr="001A225C">
          <w:rPr>
            <w:rStyle w:val="Hyperlink"/>
            <w:noProof/>
          </w:rPr>
          <w:t>1.2.</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Opis pripomočka, osnovni UDI-DI in klasifikacija EU:</w:t>
        </w:r>
        <w:r>
          <w:rPr>
            <w:noProof/>
            <w:webHidden/>
          </w:rPr>
          <w:tab/>
        </w:r>
        <w:r>
          <w:rPr>
            <w:noProof/>
            <w:webHidden/>
          </w:rPr>
          <w:fldChar w:fldCharType="begin"/>
        </w:r>
        <w:r>
          <w:rPr>
            <w:noProof/>
            <w:webHidden/>
          </w:rPr>
          <w:instrText xml:space="preserve"> PAGEREF _Toc222741732 \h </w:instrText>
        </w:r>
        <w:r>
          <w:rPr>
            <w:noProof/>
            <w:webHidden/>
          </w:rPr>
        </w:r>
        <w:r>
          <w:rPr>
            <w:noProof/>
            <w:webHidden/>
          </w:rPr>
          <w:fldChar w:fldCharType="separate"/>
        </w:r>
        <w:r w:rsidR="00BD4F54">
          <w:rPr>
            <w:noProof/>
            <w:webHidden/>
          </w:rPr>
          <w:t>3</w:t>
        </w:r>
        <w:r>
          <w:rPr>
            <w:noProof/>
            <w:webHidden/>
          </w:rPr>
          <w:fldChar w:fldCharType="end"/>
        </w:r>
      </w:hyperlink>
    </w:p>
    <w:p w14:paraId="2BB5B33C" w14:textId="20EFABBC"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3" w:history="1">
        <w:r w:rsidRPr="001A225C">
          <w:rPr>
            <w:rStyle w:val="Hyperlink"/>
            <w:noProof/>
          </w:rPr>
          <w:t>1.3.</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Leto, ko je bilo izdano prvo potrdilo (CE) za ta pripomoček:</w:t>
        </w:r>
        <w:r>
          <w:rPr>
            <w:noProof/>
            <w:webHidden/>
          </w:rPr>
          <w:tab/>
        </w:r>
        <w:r>
          <w:rPr>
            <w:noProof/>
            <w:webHidden/>
          </w:rPr>
          <w:fldChar w:fldCharType="begin"/>
        </w:r>
        <w:r>
          <w:rPr>
            <w:noProof/>
            <w:webHidden/>
          </w:rPr>
          <w:instrText xml:space="preserve"> PAGEREF _Toc222741733 \h </w:instrText>
        </w:r>
        <w:r>
          <w:rPr>
            <w:noProof/>
            <w:webHidden/>
          </w:rPr>
        </w:r>
        <w:r>
          <w:rPr>
            <w:noProof/>
            <w:webHidden/>
          </w:rPr>
          <w:fldChar w:fldCharType="separate"/>
        </w:r>
        <w:r w:rsidR="00BD4F54">
          <w:rPr>
            <w:noProof/>
            <w:webHidden/>
          </w:rPr>
          <w:t>3</w:t>
        </w:r>
        <w:r>
          <w:rPr>
            <w:noProof/>
            <w:webHidden/>
          </w:rPr>
          <w:fldChar w:fldCharType="end"/>
        </w:r>
      </w:hyperlink>
    </w:p>
    <w:p w14:paraId="74A9D531" w14:textId="6D27DC7C"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4" w:history="1">
        <w:r w:rsidRPr="001A225C">
          <w:rPr>
            <w:rStyle w:val="Hyperlink"/>
            <w:noProof/>
          </w:rPr>
          <w:t>1.4.</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Ime proizvajalca, naslov in serijska številka (SRN):</w:t>
        </w:r>
        <w:r>
          <w:rPr>
            <w:noProof/>
            <w:webHidden/>
          </w:rPr>
          <w:tab/>
        </w:r>
        <w:r>
          <w:rPr>
            <w:noProof/>
            <w:webHidden/>
          </w:rPr>
          <w:fldChar w:fldCharType="begin"/>
        </w:r>
        <w:r>
          <w:rPr>
            <w:noProof/>
            <w:webHidden/>
          </w:rPr>
          <w:instrText xml:space="preserve"> PAGEREF _Toc222741734 \h </w:instrText>
        </w:r>
        <w:r>
          <w:rPr>
            <w:noProof/>
            <w:webHidden/>
          </w:rPr>
        </w:r>
        <w:r>
          <w:rPr>
            <w:noProof/>
            <w:webHidden/>
          </w:rPr>
          <w:fldChar w:fldCharType="separate"/>
        </w:r>
        <w:r w:rsidR="00BD4F54">
          <w:rPr>
            <w:noProof/>
            <w:webHidden/>
          </w:rPr>
          <w:t>4</w:t>
        </w:r>
        <w:r>
          <w:rPr>
            <w:noProof/>
            <w:webHidden/>
          </w:rPr>
          <w:fldChar w:fldCharType="end"/>
        </w:r>
      </w:hyperlink>
    </w:p>
    <w:p w14:paraId="3264B52F" w14:textId="6BDB209E"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5" w:history="1">
        <w:r w:rsidRPr="001A225C">
          <w:rPr>
            <w:rStyle w:val="Hyperlink"/>
            <w:noProof/>
          </w:rPr>
          <w:t>1.5.</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Ime pooblaščenega zastopnika in SRN:</w:t>
        </w:r>
        <w:r>
          <w:rPr>
            <w:noProof/>
            <w:webHidden/>
          </w:rPr>
          <w:tab/>
        </w:r>
        <w:r>
          <w:rPr>
            <w:noProof/>
            <w:webHidden/>
          </w:rPr>
          <w:fldChar w:fldCharType="begin"/>
        </w:r>
        <w:r>
          <w:rPr>
            <w:noProof/>
            <w:webHidden/>
          </w:rPr>
          <w:instrText xml:space="preserve"> PAGEREF _Toc222741735 \h </w:instrText>
        </w:r>
        <w:r>
          <w:rPr>
            <w:noProof/>
            <w:webHidden/>
          </w:rPr>
        </w:r>
        <w:r>
          <w:rPr>
            <w:noProof/>
            <w:webHidden/>
          </w:rPr>
          <w:fldChar w:fldCharType="separate"/>
        </w:r>
        <w:r w:rsidR="00BD4F54">
          <w:rPr>
            <w:noProof/>
            <w:webHidden/>
          </w:rPr>
          <w:t>4</w:t>
        </w:r>
        <w:r>
          <w:rPr>
            <w:noProof/>
            <w:webHidden/>
          </w:rPr>
          <w:fldChar w:fldCharType="end"/>
        </w:r>
      </w:hyperlink>
    </w:p>
    <w:p w14:paraId="5C8793A1" w14:textId="3C6C9A2A"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6" w:history="1">
        <w:r w:rsidRPr="001A225C">
          <w:rPr>
            <w:rStyle w:val="Hyperlink"/>
            <w:noProof/>
          </w:rPr>
          <w:t>1.6.</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Ime in enotna identifikacijska številka NB:</w:t>
        </w:r>
        <w:r>
          <w:rPr>
            <w:noProof/>
            <w:webHidden/>
          </w:rPr>
          <w:tab/>
        </w:r>
        <w:r>
          <w:rPr>
            <w:noProof/>
            <w:webHidden/>
          </w:rPr>
          <w:fldChar w:fldCharType="begin"/>
        </w:r>
        <w:r>
          <w:rPr>
            <w:noProof/>
            <w:webHidden/>
          </w:rPr>
          <w:instrText xml:space="preserve"> PAGEREF _Toc222741736 \h </w:instrText>
        </w:r>
        <w:r>
          <w:rPr>
            <w:noProof/>
            <w:webHidden/>
          </w:rPr>
        </w:r>
        <w:r>
          <w:rPr>
            <w:noProof/>
            <w:webHidden/>
          </w:rPr>
          <w:fldChar w:fldCharType="separate"/>
        </w:r>
        <w:r w:rsidR="00BD4F54">
          <w:rPr>
            <w:noProof/>
            <w:webHidden/>
          </w:rPr>
          <w:t>4</w:t>
        </w:r>
        <w:r>
          <w:rPr>
            <w:noProof/>
            <w:webHidden/>
          </w:rPr>
          <w:fldChar w:fldCharType="end"/>
        </w:r>
      </w:hyperlink>
    </w:p>
    <w:p w14:paraId="5837733C" w14:textId="4CB9546B"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7" w:history="1">
        <w:r w:rsidRPr="001A225C">
          <w:rPr>
            <w:rStyle w:val="Hyperlink"/>
            <w:noProof/>
          </w:rPr>
          <w:t>2.</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Predvidena uporaba/namen pripomočka</w:t>
        </w:r>
        <w:r>
          <w:rPr>
            <w:noProof/>
            <w:webHidden/>
          </w:rPr>
          <w:tab/>
        </w:r>
        <w:r>
          <w:rPr>
            <w:noProof/>
            <w:webHidden/>
          </w:rPr>
          <w:fldChar w:fldCharType="begin"/>
        </w:r>
        <w:r>
          <w:rPr>
            <w:noProof/>
            <w:webHidden/>
          </w:rPr>
          <w:instrText xml:space="preserve"> PAGEREF _Toc222741737 \h </w:instrText>
        </w:r>
        <w:r>
          <w:rPr>
            <w:noProof/>
            <w:webHidden/>
          </w:rPr>
        </w:r>
        <w:r>
          <w:rPr>
            <w:noProof/>
            <w:webHidden/>
          </w:rPr>
          <w:fldChar w:fldCharType="separate"/>
        </w:r>
        <w:r w:rsidR="00BD4F54">
          <w:rPr>
            <w:noProof/>
            <w:webHidden/>
          </w:rPr>
          <w:t>4</w:t>
        </w:r>
        <w:r>
          <w:rPr>
            <w:noProof/>
            <w:webHidden/>
          </w:rPr>
          <w:fldChar w:fldCharType="end"/>
        </w:r>
      </w:hyperlink>
    </w:p>
    <w:p w14:paraId="624CA647" w14:textId="7BCA3980"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8" w:history="1">
        <w:r w:rsidRPr="001A225C">
          <w:rPr>
            <w:rStyle w:val="Hyperlink"/>
            <w:noProof/>
          </w:rPr>
          <w:t>2.1.</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Predvideni namen/predvidena uporaba</w:t>
        </w:r>
        <w:r>
          <w:rPr>
            <w:noProof/>
            <w:webHidden/>
          </w:rPr>
          <w:tab/>
        </w:r>
        <w:r>
          <w:rPr>
            <w:noProof/>
            <w:webHidden/>
          </w:rPr>
          <w:fldChar w:fldCharType="begin"/>
        </w:r>
        <w:r>
          <w:rPr>
            <w:noProof/>
            <w:webHidden/>
          </w:rPr>
          <w:instrText xml:space="preserve"> PAGEREF _Toc222741738 \h </w:instrText>
        </w:r>
        <w:r>
          <w:rPr>
            <w:noProof/>
            <w:webHidden/>
          </w:rPr>
        </w:r>
        <w:r>
          <w:rPr>
            <w:noProof/>
            <w:webHidden/>
          </w:rPr>
          <w:fldChar w:fldCharType="separate"/>
        </w:r>
        <w:r w:rsidR="00BD4F54">
          <w:rPr>
            <w:noProof/>
            <w:webHidden/>
          </w:rPr>
          <w:t>4</w:t>
        </w:r>
        <w:r>
          <w:rPr>
            <w:noProof/>
            <w:webHidden/>
          </w:rPr>
          <w:fldChar w:fldCharType="end"/>
        </w:r>
      </w:hyperlink>
    </w:p>
    <w:p w14:paraId="3193D7B2" w14:textId="404C105D"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39" w:history="1">
        <w:r w:rsidRPr="001A225C">
          <w:rPr>
            <w:rStyle w:val="Hyperlink"/>
            <w:noProof/>
          </w:rPr>
          <w:t>2.2.</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Indikacije za uporabo</w:t>
        </w:r>
        <w:r>
          <w:rPr>
            <w:noProof/>
            <w:webHidden/>
          </w:rPr>
          <w:tab/>
        </w:r>
        <w:r>
          <w:rPr>
            <w:noProof/>
            <w:webHidden/>
          </w:rPr>
          <w:fldChar w:fldCharType="begin"/>
        </w:r>
        <w:r>
          <w:rPr>
            <w:noProof/>
            <w:webHidden/>
          </w:rPr>
          <w:instrText xml:space="preserve"> PAGEREF _Toc222741739 \h </w:instrText>
        </w:r>
        <w:r>
          <w:rPr>
            <w:noProof/>
            <w:webHidden/>
          </w:rPr>
        </w:r>
        <w:r>
          <w:rPr>
            <w:noProof/>
            <w:webHidden/>
          </w:rPr>
          <w:fldChar w:fldCharType="separate"/>
        </w:r>
        <w:r w:rsidR="00BD4F54">
          <w:rPr>
            <w:noProof/>
            <w:webHidden/>
          </w:rPr>
          <w:t>5</w:t>
        </w:r>
        <w:r>
          <w:rPr>
            <w:noProof/>
            <w:webHidden/>
          </w:rPr>
          <w:fldChar w:fldCharType="end"/>
        </w:r>
      </w:hyperlink>
    </w:p>
    <w:p w14:paraId="0FC6A2B5" w14:textId="012A41B5"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0" w:history="1">
        <w:r w:rsidRPr="001A225C">
          <w:rPr>
            <w:rStyle w:val="Hyperlink"/>
            <w:noProof/>
          </w:rPr>
          <w:t>2.3.</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Ciljna populacija</w:t>
        </w:r>
        <w:r>
          <w:rPr>
            <w:noProof/>
            <w:webHidden/>
          </w:rPr>
          <w:tab/>
        </w:r>
        <w:r>
          <w:rPr>
            <w:noProof/>
            <w:webHidden/>
          </w:rPr>
          <w:fldChar w:fldCharType="begin"/>
        </w:r>
        <w:r>
          <w:rPr>
            <w:noProof/>
            <w:webHidden/>
          </w:rPr>
          <w:instrText xml:space="preserve"> PAGEREF _Toc222741740 \h </w:instrText>
        </w:r>
        <w:r>
          <w:rPr>
            <w:noProof/>
            <w:webHidden/>
          </w:rPr>
        </w:r>
        <w:r>
          <w:rPr>
            <w:noProof/>
            <w:webHidden/>
          </w:rPr>
          <w:fldChar w:fldCharType="separate"/>
        </w:r>
        <w:r w:rsidR="00BD4F54">
          <w:rPr>
            <w:noProof/>
            <w:webHidden/>
          </w:rPr>
          <w:t>5</w:t>
        </w:r>
        <w:r>
          <w:rPr>
            <w:noProof/>
            <w:webHidden/>
          </w:rPr>
          <w:fldChar w:fldCharType="end"/>
        </w:r>
      </w:hyperlink>
    </w:p>
    <w:p w14:paraId="525CA177" w14:textId="7B8B0A4E"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1" w:history="1">
        <w:r w:rsidRPr="001A225C">
          <w:rPr>
            <w:rStyle w:val="Hyperlink"/>
            <w:noProof/>
          </w:rPr>
          <w:t>2.4.</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Kontraindikacije</w:t>
        </w:r>
        <w:r>
          <w:rPr>
            <w:noProof/>
            <w:webHidden/>
          </w:rPr>
          <w:tab/>
        </w:r>
        <w:r>
          <w:rPr>
            <w:noProof/>
            <w:webHidden/>
          </w:rPr>
          <w:fldChar w:fldCharType="begin"/>
        </w:r>
        <w:r>
          <w:rPr>
            <w:noProof/>
            <w:webHidden/>
          </w:rPr>
          <w:instrText xml:space="preserve"> PAGEREF _Toc222741741 \h </w:instrText>
        </w:r>
        <w:r>
          <w:rPr>
            <w:noProof/>
            <w:webHidden/>
          </w:rPr>
        </w:r>
        <w:r>
          <w:rPr>
            <w:noProof/>
            <w:webHidden/>
          </w:rPr>
          <w:fldChar w:fldCharType="separate"/>
        </w:r>
        <w:r w:rsidR="00BD4F54">
          <w:rPr>
            <w:noProof/>
            <w:webHidden/>
          </w:rPr>
          <w:t>5</w:t>
        </w:r>
        <w:r>
          <w:rPr>
            <w:noProof/>
            <w:webHidden/>
          </w:rPr>
          <w:fldChar w:fldCharType="end"/>
        </w:r>
      </w:hyperlink>
    </w:p>
    <w:p w14:paraId="46AB3669" w14:textId="3753A613"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2" w:history="1">
        <w:r w:rsidRPr="001A225C">
          <w:rPr>
            <w:rStyle w:val="Hyperlink"/>
            <w:noProof/>
          </w:rPr>
          <w:t>3.</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Opis pripomočka</w:t>
        </w:r>
        <w:r>
          <w:rPr>
            <w:noProof/>
            <w:webHidden/>
          </w:rPr>
          <w:tab/>
        </w:r>
        <w:r>
          <w:rPr>
            <w:noProof/>
            <w:webHidden/>
          </w:rPr>
          <w:fldChar w:fldCharType="begin"/>
        </w:r>
        <w:r>
          <w:rPr>
            <w:noProof/>
            <w:webHidden/>
          </w:rPr>
          <w:instrText xml:space="preserve"> PAGEREF _Toc222741742 \h </w:instrText>
        </w:r>
        <w:r>
          <w:rPr>
            <w:noProof/>
            <w:webHidden/>
          </w:rPr>
        </w:r>
        <w:r>
          <w:rPr>
            <w:noProof/>
            <w:webHidden/>
          </w:rPr>
          <w:fldChar w:fldCharType="separate"/>
        </w:r>
        <w:r w:rsidR="00BD4F54">
          <w:rPr>
            <w:noProof/>
            <w:webHidden/>
          </w:rPr>
          <w:t>5</w:t>
        </w:r>
        <w:r>
          <w:rPr>
            <w:noProof/>
            <w:webHidden/>
          </w:rPr>
          <w:fldChar w:fldCharType="end"/>
        </w:r>
      </w:hyperlink>
    </w:p>
    <w:p w14:paraId="31532E5D" w14:textId="4E25C5FC"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3" w:history="1">
        <w:r w:rsidRPr="001A225C">
          <w:rPr>
            <w:rStyle w:val="Hyperlink"/>
            <w:noProof/>
          </w:rPr>
          <w:t>3.1.</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Opis pripomočka</w:t>
        </w:r>
        <w:r>
          <w:rPr>
            <w:noProof/>
            <w:webHidden/>
          </w:rPr>
          <w:tab/>
        </w:r>
        <w:r>
          <w:rPr>
            <w:noProof/>
            <w:webHidden/>
          </w:rPr>
          <w:fldChar w:fldCharType="begin"/>
        </w:r>
        <w:r>
          <w:rPr>
            <w:noProof/>
            <w:webHidden/>
          </w:rPr>
          <w:instrText xml:space="preserve"> PAGEREF _Toc222741743 \h </w:instrText>
        </w:r>
        <w:r>
          <w:rPr>
            <w:noProof/>
            <w:webHidden/>
          </w:rPr>
        </w:r>
        <w:r>
          <w:rPr>
            <w:noProof/>
            <w:webHidden/>
          </w:rPr>
          <w:fldChar w:fldCharType="separate"/>
        </w:r>
        <w:r w:rsidR="00BD4F54">
          <w:rPr>
            <w:noProof/>
            <w:webHidden/>
          </w:rPr>
          <w:t>5</w:t>
        </w:r>
        <w:r>
          <w:rPr>
            <w:noProof/>
            <w:webHidden/>
          </w:rPr>
          <w:fldChar w:fldCharType="end"/>
        </w:r>
      </w:hyperlink>
    </w:p>
    <w:p w14:paraId="5F2685EB" w14:textId="36E89487"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4" w:history="1">
        <w:r w:rsidRPr="001A225C">
          <w:rPr>
            <w:rStyle w:val="Hyperlink"/>
            <w:noProof/>
          </w:rPr>
          <w:t>3.2.</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Prejšnje različice in njihove razlike</w:t>
        </w:r>
        <w:r>
          <w:rPr>
            <w:noProof/>
            <w:webHidden/>
          </w:rPr>
          <w:tab/>
        </w:r>
        <w:r>
          <w:rPr>
            <w:noProof/>
            <w:webHidden/>
          </w:rPr>
          <w:fldChar w:fldCharType="begin"/>
        </w:r>
        <w:r>
          <w:rPr>
            <w:noProof/>
            <w:webHidden/>
          </w:rPr>
          <w:instrText xml:space="preserve"> PAGEREF _Toc222741744 \h </w:instrText>
        </w:r>
        <w:r>
          <w:rPr>
            <w:noProof/>
            <w:webHidden/>
          </w:rPr>
        </w:r>
        <w:r>
          <w:rPr>
            <w:noProof/>
            <w:webHidden/>
          </w:rPr>
          <w:fldChar w:fldCharType="separate"/>
        </w:r>
        <w:r w:rsidR="00BD4F54">
          <w:rPr>
            <w:noProof/>
            <w:webHidden/>
          </w:rPr>
          <w:t>5</w:t>
        </w:r>
        <w:r>
          <w:rPr>
            <w:noProof/>
            <w:webHidden/>
          </w:rPr>
          <w:fldChar w:fldCharType="end"/>
        </w:r>
      </w:hyperlink>
    </w:p>
    <w:p w14:paraId="63EC63EE" w14:textId="1D0E07A6"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5" w:history="1">
        <w:r w:rsidRPr="001A225C">
          <w:rPr>
            <w:rStyle w:val="Hyperlink"/>
            <w:noProof/>
          </w:rPr>
          <w:t>3.3.</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Dodatki, združljivi pripomočki in drugi izdelki, ki se uporabljajo v kombinaciji</w:t>
        </w:r>
        <w:r>
          <w:rPr>
            <w:noProof/>
            <w:webHidden/>
          </w:rPr>
          <w:tab/>
        </w:r>
        <w:r>
          <w:rPr>
            <w:noProof/>
            <w:webHidden/>
          </w:rPr>
          <w:fldChar w:fldCharType="begin"/>
        </w:r>
        <w:r>
          <w:rPr>
            <w:noProof/>
            <w:webHidden/>
          </w:rPr>
          <w:instrText xml:space="preserve"> PAGEREF _Toc222741745 \h </w:instrText>
        </w:r>
        <w:r>
          <w:rPr>
            <w:noProof/>
            <w:webHidden/>
          </w:rPr>
        </w:r>
        <w:r>
          <w:rPr>
            <w:noProof/>
            <w:webHidden/>
          </w:rPr>
          <w:fldChar w:fldCharType="separate"/>
        </w:r>
        <w:r w:rsidR="00BD4F54">
          <w:rPr>
            <w:noProof/>
            <w:webHidden/>
          </w:rPr>
          <w:t>5</w:t>
        </w:r>
        <w:r>
          <w:rPr>
            <w:noProof/>
            <w:webHidden/>
          </w:rPr>
          <w:fldChar w:fldCharType="end"/>
        </w:r>
      </w:hyperlink>
    </w:p>
    <w:p w14:paraId="7EC2A050" w14:textId="6F225837"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6" w:history="1">
        <w:r w:rsidRPr="001A225C">
          <w:rPr>
            <w:rStyle w:val="Hyperlink"/>
            <w:noProof/>
          </w:rPr>
          <w:t>4.</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Tveganja in opozorila</w:t>
        </w:r>
        <w:r>
          <w:rPr>
            <w:noProof/>
            <w:webHidden/>
          </w:rPr>
          <w:tab/>
        </w:r>
        <w:r>
          <w:rPr>
            <w:noProof/>
            <w:webHidden/>
          </w:rPr>
          <w:fldChar w:fldCharType="begin"/>
        </w:r>
        <w:r>
          <w:rPr>
            <w:noProof/>
            <w:webHidden/>
          </w:rPr>
          <w:instrText xml:space="preserve"> PAGEREF _Toc222741746 \h </w:instrText>
        </w:r>
        <w:r>
          <w:rPr>
            <w:noProof/>
            <w:webHidden/>
          </w:rPr>
        </w:r>
        <w:r>
          <w:rPr>
            <w:noProof/>
            <w:webHidden/>
          </w:rPr>
          <w:fldChar w:fldCharType="separate"/>
        </w:r>
        <w:r w:rsidR="00BD4F54">
          <w:rPr>
            <w:noProof/>
            <w:webHidden/>
          </w:rPr>
          <w:t>6</w:t>
        </w:r>
        <w:r>
          <w:rPr>
            <w:noProof/>
            <w:webHidden/>
          </w:rPr>
          <w:fldChar w:fldCharType="end"/>
        </w:r>
      </w:hyperlink>
    </w:p>
    <w:p w14:paraId="0B8D0AC3" w14:textId="5B4AF923"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7" w:history="1">
        <w:r w:rsidRPr="001A225C">
          <w:rPr>
            <w:rStyle w:val="Hyperlink"/>
            <w:noProof/>
          </w:rPr>
          <w:t>4.1.</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Ostala tveganja in neželeni stranski učinki</w:t>
        </w:r>
        <w:r>
          <w:rPr>
            <w:noProof/>
            <w:webHidden/>
          </w:rPr>
          <w:tab/>
        </w:r>
        <w:r>
          <w:rPr>
            <w:noProof/>
            <w:webHidden/>
          </w:rPr>
          <w:fldChar w:fldCharType="begin"/>
        </w:r>
        <w:r>
          <w:rPr>
            <w:noProof/>
            <w:webHidden/>
          </w:rPr>
          <w:instrText xml:space="preserve"> PAGEREF _Toc222741747 \h </w:instrText>
        </w:r>
        <w:r>
          <w:rPr>
            <w:noProof/>
            <w:webHidden/>
          </w:rPr>
        </w:r>
        <w:r>
          <w:rPr>
            <w:noProof/>
            <w:webHidden/>
          </w:rPr>
          <w:fldChar w:fldCharType="separate"/>
        </w:r>
        <w:r w:rsidR="00BD4F54">
          <w:rPr>
            <w:noProof/>
            <w:webHidden/>
          </w:rPr>
          <w:t>6</w:t>
        </w:r>
        <w:r>
          <w:rPr>
            <w:noProof/>
            <w:webHidden/>
          </w:rPr>
          <w:fldChar w:fldCharType="end"/>
        </w:r>
      </w:hyperlink>
    </w:p>
    <w:p w14:paraId="3CE28B52" w14:textId="704D62DE"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8" w:history="1">
        <w:r w:rsidRPr="001A225C">
          <w:rPr>
            <w:rStyle w:val="Hyperlink"/>
            <w:noProof/>
          </w:rPr>
          <w:t>4.2.</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Opozorila in previdnostni ukrepi</w:t>
        </w:r>
        <w:r>
          <w:rPr>
            <w:noProof/>
            <w:webHidden/>
          </w:rPr>
          <w:tab/>
        </w:r>
        <w:r>
          <w:rPr>
            <w:noProof/>
            <w:webHidden/>
          </w:rPr>
          <w:fldChar w:fldCharType="begin"/>
        </w:r>
        <w:r>
          <w:rPr>
            <w:noProof/>
            <w:webHidden/>
          </w:rPr>
          <w:instrText xml:space="preserve"> PAGEREF _Toc222741748 \h </w:instrText>
        </w:r>
        <w:r>
          <w:rPr>
            <w:noProof/>
            <w:webHidden/>
          </w:rPr>
        </w:r>
        <w:r>
          <w:rPr>
            <w:noProof/>
            <w:webHidden/>
          </w:rPr>
          <w:fldChar w:fldCharType="separate"/>
        </w:r>
        <w:r w:rsidR="00BD4F54">
          <w:rPr>
            <w:noProof/>
            <w:webHidden/>
          </w:rPr>
          <w:t>6</w:t>
        </w:r>
        <w:r>
          <w:rPr>
            <w:noProof/>
            <w:webHidden/>
          </w:rPr>
          <w:fldChar w:fldCharType="end"/>
        </w:r>
      </w:hyperlink>
    </w:p>
    <w:p w14:paraId="5A079045" w14:textId="409E3781"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49" w:history="1">
        <w:r w:rsidRPr="001A225C">
          <w:rPr>
            <w:rStyle w:val="Hyperlink"/>
            <w:noProof/>
          </w:rPr>
          <w:t>4.3.</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Drugi pomembni vidiki varnosti, vključno s povzetkom morebitnih varnostnih korektivnih ukrepov (FSCA, vključno s FSN), če je potrebno</w:t>
        </w:r>
        <w:r>
          <w:rPr>
            <w:noProof/>
            <w:webHidden/>
          </w:rPr>
          <w:tab/>
        </w:r>
        <w:r>
          <w:rPr>
            <w:noProof/>
            <w:webHidden/>
          </w:rPr>
          <w:fldChar w:fldCharType="begin"/>
        </w:r>
        <w:r>
          <w:rPr>
            <w:noProof/>
            <w:webHidden/>
          </w:rPr>
          <w:instrText xml:space="preserve"> PAGEREF _Toc222741749 \h </w:instrText>
        </w:r>
        <w:r>
          <w:rPr>
            <w:noProof/>
            <w:webHidden/>
          </w:rPr>
        </w:r>
        <w:r>
          <w:rPr>
            <w:noProof/>
            <w:webHidden/>
          </w:rPr>
          <w:fldChar w:fldCharType="separate"/>
        </w:r>
        <w:r w:rsidR="00BD4F54">
          <w:rPr>
            <w:noProof/>
            <w:webHidden/>
          </w:rPr>
          <w:t>7</w:t>
        </w:r>
        <w:r>
          <w:rPr>
            <w:noProof/>
            <w:webHidden/>
          </w:rPr>
          <w:fldChar w:fldCharType="end"/>
        </w:r>
      </w:hyperlink>
    </w:p>
    <w:p w14:paraId="6F368BD8" w14:textId="4ED46355"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0" w:history="1">
        <w:r w:rsidRPr="001A225C">
          <w:rPr>
            <w:rStyle w:val="Hyperlink"/>
            <w:noProof/>
          </w:rPr>
          <w:t>5.</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Povzetek klinične ocene in poprodajnega kliničnega spremljanja (PMCF)</w:t>
        </w:r>
        <w:r>
          <w:rPr>
            <w:noProof/>
            <w:webHidden/>
          </w:rPr>
          <w:tab/>
        </w:r>
        <w:r>
          <w:rPr>
            <w:noProof/>
            <w:webHidden/>
          </w:rPr>
          <w:fldChar w:fldCharType="begin"/>
        </w:r>
        <w:r>
          <w:rPr>
            <w:noProof/>
            <w:webHidden/>
          </w:rPr>
          <w:instrText xml:space="preserve"> PAGEREF _Toc222741750 \h </w:instrText>
        </w:r>
        <w:r>
          <w:rPr>
            <w:noProof/>
            <w:webHidden/>
          </w:rPr>
        </w:r>
        <w:r>
          <w:rPr>
            <w:noProof/>
            <w:webHidden/>
          </w:rPr>
          <w:fldChar w:fldCharType="separate"/>
        </w:r>
        <w:r w:rsidR="00BD4F54">
          <w:rPr>
            <w:noProof/>
            <w:webHidden/>
          </w:rPr>
          <w:t>7</w:t>
        </w:r>
        <w:r>
          <w:rPr>
            <w:noProof/>
            <w:webHidden/>
          </w:rPr>
          <w:fldChar w:fldCharType="end"/>
        </w:r>
      </w:hyperlink>
    </w:p>
    <w:p w14:paraId="1A9FC313" w14:textId="4E87FDE7"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1" w:history="1">
        <w:r w:rsidRPr="001A225C">
          <w:rPr>
            <w:rStyle w:val="Hyperlink"/>
            <w:noProof/>
          </w:rPr>
          <w:t>5.1.</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Povzetek kliničnih podatkov, povezanih z enakovrednim pripomočkom, če je potrebno</w:t>
        </w:r>
        <w:r>
          <w:rPr>
            <w:noProof/>
            <w:webHidden/>
          </w:rPr>
          <w:tab/>
        </w:r>
        <w:r>
          <w:rPr>
            <w:noProof/>
            <w:webHidden/>
          </w:rPr>
          <w:fldChar w:fldCharType="begin"/>
        </w:r>
        <w:r>
          <w:rPr>
            <w:noProof/>
            <w:webHidden/>
          </w:rPr>
          <w:instrText xml:space="preserve"> PAGEREF _Toc222741751 \h </w:instrText>
        </w:r>
        <w:r>
          <w:rPr>
            <w:noProof/>
            <w:webHidden/>
          </w:rPr>
        </w:r>
        <w:r>
          <w:rPr>
            <w:noProof/>
            <w:webHidden/>
          </w:rPr>
          <w:fldChar w:fldCharType="separate"/>
        </w:r>
        <w:r w:rsidR="00BD4F54">
          <w:rPr>
            <w:noProof/>
            <w:webHidden/>
          </w:rPr>
          <w:t>8</w:t>
        </w:r>
        <w:r>
          <w:rPr>
            <w:noProof/>
            <w:webHidden/>
          </w:rPr>
          <w:fldChar w:fldCharType="end"/>
        </w:r>
      </w:hyperlink>
    </w:p>
    <w:p w14:paraId="7E0B6F10" w14:textId="5A69CF96"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2" w:history="1">
        <w:r w:rsidRPr="001A225C">
          <w:rPr>
            <w:rStyle w:val="Hyperlink"/>
            <w:noProof/>
          </w:rPr>
          <w:t>5.2.</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Povzetek kliničnih podatkov iz opravljenih preiskav za pripomoček pred oznako CE, če je potrebno</w:t>
        </w:r>
        <w:r>
          <w:rPr>
            <w:noProof/>
            <w:webHidden/>
          </w:rPr>
          <w:tab/>
        </w:r>
        <w:r>
          <w:rPr>
            <w:noProof/>
            <w:webHidden/>
          </w:rPr>
          <w:fldChar w:fldCharType="begin"/>
        </w:r>
        <w:r>
          <w:rPr>
            <w:noProof/>
            <w:webHidden/>
          </w:rPr>
          <w:instrText xml:space="preserve"> PAGEREF _Toc222741752 \h </w:instrText>
        </w:r>
        <w:r>
          <w:rPr>
            <w:noProof/>
            <w:webHidden/>
          </w:rPr>
        </w:r>
        <w:r>
          <w:rPr>
            <w:noProof/>
            <w:webHidden/>
          </w:rPr>
          <w:fldChar w:fldCharType="separate"/>
        </w:r>
        <w:r w:rsidR="00BD4F54">
          <w:rPr>
            <w:noProof/>
            <w:webHidden/>
          </w:rPr>
          <w:t>8</w:t>
        </w:r>
        <w:r>
          <w:rPr>
            <w:noProof/>
            <w:webHidden/>
          </w:rPr>
          <w:fldChar w:fldCharType="end"/>
        </w:r>
      </w:hyperlink>
    </w:p>
    <w:p w14:paraId="17B0BDBD" w14:textId="40C67FA1"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3" w:history="1">
        <w:r w:rsidRPr="001A225C">
          <w:rPr>
            <w:rStyle w:val="Hyperlink"/>
            <w:noProof/>
          </w:rPr>
          <w:t>5.3.</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Povzetek kliničnih podatkov iz drugih virov, če je potrebno</w:t>
        </w:r>
        <w:r>
          <w:rPr>
            <w:noProof/>
            <w:webHidden/>
          </w:rPr>
          <w:tab/>
        </w:r>
        <w:r>
          <w:rPr>
            <w:noProof/>
            <w:webHidden/>
          </w:rPr>
          <w:fldChar w:fldCharType="begin"/>
        </w:r>
        <w:r>
          <w:rPr>
            <w:noProof/>
            <w:webHidden/>
          </w:rPr>
          <w:instrText xml:space="preserve"> PAGEREF _Toc222741753 \h </w:instrText>
        </w:r>
        <w:r>
          <w:rPr>
            <w:noProof/>
            <w:webHidden/>
          </w:rPr>
        </w:r>
        <w:r>
          <w:rPr>
            <w:noProof/>
            <w:webHidden/>
          </w:rPr>
          <w:fldChar w:fldCharType="separate"/>
        </w:r>
        <w:r w:rsidR="00BD4F54">
          <w:rPr>
            <w:noProof/>
            <w:webHidden/>
          </w:rPr>
          <w:t>8</w:t>
        </w:r>
        <w:r>
          <w:rPr>
            <w:noProof/>
            <w:webHidden/>
          </w:rPr>
          <w:fldChar w:fldCharType="end"/>
        </w:r>
      </w:hyperlink>
    </w:p>
    <w:p w14:paraId="726BB7FA" w14:textId="1D778EBC"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4" w:history="1">
        <w:r w:rsidRPr="001A225C">
          <w:rPr>
            <w:rStyle w:val="Hyperlink"/>
            <w:noProof/>
          </w:rPr>
          <w:t>5.4.</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Splošni povzetek klinične učinkovitosti in varnosti</w:t>
        </w:r>
        <w:r>
          <w:rPr>
            <w:noProof/>
            <w:webHidden/>
          </w:rPr>
          <w:tab/>
        </w:r>
        <w:r>
          <w:rPr>
            <w:noProof/>
            <w:webHidden/>
          </w:rPr>
          <w:fldChar w:fldCharType="begin"/>
        </w:r>
        <w:r>
          <w:rPr>
            <w:noProof/>
            <w:webHidden/>
          </w:rPr>
          <w:instrText xml:space="preserve"> PAGEREF _Toc222741754 \h </w:instrText>
        </w:r>
        <w:r>
          <w:rPr>
            <w:noProof/>
            <w:webHidden/>
          </w:rPr>
        </w:r>
        <w:r>
          <w:rPr>
            <w:noProof/>
            <w:webHidden/>
          </w:rPr>
          <w:fldChar w:fldCharType="separate"/>
        </w:r>
        <w:r w:rsidR="00BD4F54">
          <w:rPr>
            <w:noProof/>
            <w:webHidden/>
          </w:rPr>
          <w:t>9</w:t>
        </w:r>
        <w:r>
          <w:rPr>
            <w:noProof/>
            <w:webHidden/>
          </w:rPr>
          <w:fldChar w:fldCharType="end"/>
        </w:r>
      </w:hyperlink>
    </w:p>
    <w:p w14:paraId="297DD421" w14:textId="62846217"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5" w:history="1">
        <w:r w:rsidRPr="001A225C">
          <w:rPr>
            <w:rStyle w:val="Hyperlink"/>
            <w:noProof/>
          </w:rPr>
          <w:t>5.5.</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Tekoče ali načrtovano poprodajno klinično spremljanje</w:t>
        </w:r>
        <w:r>
          <w:rPr>
            <w:noProof/>
            <w:webHidden/>
          </w:rPr>
          <w:tab/>
        </w:r>
        <w:r>
          <w:rPr>
            <w:noProof/>
            <w:webHidden/>
          </w:rPr>
          <w:fldChar w:fldCharType="begin"/>
        </w:r>
        <w:r>
          <w:rPr>
            <w:noProof/>
            <w:webHidden/>
          </w:rPr>
          <w:instrText xml:space="preserve"> PAGEREF _Toc222741755 \h </w:instrText>
        </w:r>
        <w:r>
          <w:rPr>
            <w:noProof/>
            <w:webHidden/>
          </w:rPr>
        </w:r>
        <w:r>
          <w:rPr>
            <w:noProof/>
            <w:webHidden/>
          </w:rPr>
          <w:fldChar w:fldCharType="separate"/>
        </w:r>
        <w:r w:rsidR="00BD4F54">
          <w:rPr>
            <w:noProof/>
            <w:webHidden/>
          </w:rPr>
          <w:t>10</w:t>
        </w:r>
        <w:r>
          <w:rPr>
            <w:noProof/>
            <w:webHidden/>
          </w:rPr>
          <w:fldChar w:fldCharType="end"/>
        </w:r>
      </w:hyperlink>
    </w:p>
    <w:p w14:paraId="5B3FB574" w14:textId="14AEC2FF"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6" w:history="1">
        <w:r w:rsidRPr="001A225C">
          <w:rPr>
            <w:rStyle w:val="Hyperlink"/>
            <w:noProof/>
          </w:rPr>
          <w:t>6.</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Možne diagnostične ali terapevtske alternative</w:t>
        </w:r>
        <w:r>
          <w:rPr>
            <w:noProof/>
            <w:webHidden/>
          </w:rPr>
          <w:tab/>
        </w:r>
        <w:r>
          <w:rPr>
            <w:noProof/>
            <w:webHidden/>
          </w:rPr>
          <w:fldChar w:fldCharType="begin"/>
        </w:r>
        <w:r>
          <w:rPr>
            <w:noProof/>
            <w:webHidden/>
          </w:rPr>
          <w:instrText xml:space="preserve"> PAGEREF _Toc222741756 \h </w:instrText>
        </w:r>
        <w:r>
          <w:rPr>
            <w:noProof/>
            <w:webHidden/>
          </w:rPr>
        </w:r>
        <w:r>
          <w:rPr>
            <w:noProof/>
            <w:webHidden/>
          </w:rPr>
          <w:fldChar w:fldCharType="separate"/>
        </w:r>
        <w:r w:rsidR="00BD4F54">
          <w:rPr>
            <w:noProof/>
            <w:webHidden/>
          </w:rPr>
          <w:t>11</w:t>
        </w:r>
        <w:r>
          <w:rPr>
            <w:noProof/>
            <w:webHidden/>
          </w:rPr>
          <w:fldChar w:fldCharType="end"/>
        </w:r>
      </w:hyperlink>
    </w:p>
    <w:p w14:paraId="3620F736" w14:textId="0C6056D7"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7" w:history="1">
        <w:r w:rsidRPr="001A225C">
          <w:rPr>
            <w:rStyle w:val="Hyperlink"/>
            <w:noProof/>
          </w:rPr>
          <w:t>7.</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Predlagani profil in usposabljanje za uporabnike</w:t>
        </w:r>
        <w:r>
          <w:rPr>
            <w:noProof/>
            <w:webHidden/>
          </w:rPr>
          <w:tab/>
        </w:r>
        <w:r>
          <w:rPr>
            <w:noProof/>
            <w:webHidden/>
          </w:rPr>
          <w:fldChar w:fldCharType="begin"/>
        </w:r>
        <w:r>
          <w:rPr>
            <w:noProof/>
            <w:webHidden/>
          </w:rPr>
          <w:instrText xml:space="preserve"> PAGEREF _Toc222741757 \h </w:instrText>
        </w:r>
        <w:r>
          <w:rPr>
            <w:noProof/>
            <w:webHidden/>
          </w:rPr>
        </w:r>
        <w:r>
          <w:rPr>
            <w:noProof/>
            <w:webHidden/>
          </w:rPr>
          <w:fldChar w:fldCharType="separate"/>
        </w:r>
        <w:r w:rsidR="00BD4F54">
          <w:rPr>
            <w:noProof/>
            <w:webHidden/>
          </w:rPr>
          <w:t>12</w:t>
        </w:r>
        <w:r>
          <w:rPr>
            <w:noProof/>
            <w:webHidden/>
          </w:rPr>
          <w:fldChar w:fldCharType="end"/>
        </w:r>
      </w:hyperlink>
    </w:p>
    <w:p w14:paraId="29B8A4D1" w14:textId="25B1B3BA"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8" w:history="1">
        <w:r w:rsidRPr="001A225C">
          <w:rPr>
            <w:rStyle w:val="Hyperlink"/>
            <w:noProof/>
          </w:rPr>
          <w:t>8.</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Harmonizirani standardi/skupne specifikacije</w:t>
        </w:r>
        <w:r>
          <w:rPr>
            <w:noProof/>
            <w:webHidden/>
          </w:rPr>
          <w:tab/>
        </w:r>
        <w:r>
          <w:rPr>
            <w:noProof/>
            <w:webHidden/>
          </w:rPr>
          <w:fldChar w:fldCharType="begin"/>
        </w:r>
        <w:r>
          <w:rPr>
            <w:noProof/>
            <w:webHidden/>
          </w:rPr>
          <w:instrText xml:space="preserve"> PAGEREF _Toc222741758 \h </w:instrText>
        </w:r>
        <w:r>
          <w:rPr>
            <w:noProof/>
            <w:webHidden/>
          </w:rPr>
        </w:r>
        <w:r>
          <w:rPr>
            <w:noProof/>
            <w:webHidden/>
          </w:rPr>
          <w:fldChar w:fldCharType="separate"/>
        </w:r>
        <w:r w:rsidR="00BD4F54">
          <w:rPr>
            <w:noProof/>
            <w:webHidden/>
          </w:rPr>
          <w:t>12</w:t>
        </w:r>
        <w:r>
          <w:rPr>
            <w:noProof/>
            <w:webHidden/>
          </w:rPr>
          <w:fldChar w:fldCharType="end"/>
        </w:r>
      </w:hyperlink>
    </w:p>
    <w:p w14:paraId="2B97A35E" w14:textId="5797D585" w:rsidR="00A376FC" w:rsidRDefault="00A376FC">
      <w:pPr>
        <w:pStyle w:val="TOC1"/>
        <w:rPr>
          <w:rFonts w:asciiTheme="minorHAnsi" w:eastAsiaTheme="minorEastAsia" w:hAnsiTheme="minorHAnsi" w:cstheme="minorBidi"/>
          <w:noProof/>
          <w:kern w:val="2"/>
          <w:lang w:eastAsia="zh-CN"/>
          <w14:ligatures w14:val="standardContextual"/>
        </w:rPr>
      </w:pPr>
      <w:hyperlink w:anchor="_Toc222741759" w:history="1">
        <w:r w:rsidRPr="001A225C">
          <w:rPr>
            <w:rStyle w:val="Hyperlink"/>
            <w:noProof/>
          </w:rPr>
          <w:t>9.</w:t>
        </w:r>
        <w:r>
          <w:rPr>
            <w:rFonts w:asciiTheme="minorHAnsi" w:eastAsiaTheme="minorEastAsia" w:hAnsiTheme="minorHAnsi" w:cstheme="minorBidi"/>
            <w:noProof/>
            <w:kern w:val="2"/>
            <w:lang w:eastAsia="zh-CN"/>
            <w14:ligatures w14:val="standardContextual"/>
          </w:rPr>
          <w:tab/>
        </w:r>
        <w:r w:rsidRPr="001A225C">
          <w:rPr>
            <w:rStyle w:val="Hyperlink"/>
            <w:bCs/>
            <w:noProof/>
            <w:lang w:val="sl"/>
          </w:rPr>
          <w:t>Zgodovina revizij</w:t>
        </w:r>
        <w:r>
          <w:rPr>
            <w:noProof/>
            <w:webHidden/>
          </w:rPr>
          <w:tab/>
        </w:r>
        <w:r>
          <w:rPr>
            <w:noProof/>
            <w:webHidden/>
          </w:rPr>
          <w:fldChar w:fldCharType="begin"/>
        </w:r>
        <w:r>
          <w:rPr>
            <w:noProof/>
            <w:webHidden/>
          </w:rPr>
          <w:instrText xml:space="preserve"> PAGEREF _Toc222741759 \h </w:instrText>
        </w:r>
        <w:r>
          <w:rPr>
            <w:noProof/>
            <w:webHidden/>
          </w:rPr>
        </w:r>
        <w:r>
          <w:rPr>
            <w:noProof/>
            <w:webHidden/>
          </w:rPr>
          <w:fldChar w:fldCharType="separate"/>
        </w:r>
        <w:r w:rsidR="00BD4F54">
          <w:rPr>
            <w:noProof/>
            <w:webHidden/>
          </w:rPr>
          <w:t>13</w:t>
        </w:r>
        <w:r>
          <w:rPr>
            <w:noProof/>
            <w:webHidden/>
          </w:rPr>
          <w:fldChar w:fldCharType="end"/>
        </w:r>
      </w:hyperlink>
    </w:p>
    <w:p w14:paraId="29D6E5E3" w14:textId="736324E3"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sl"/>
        </w:rPr>
        <w:br w:type="page"/>
      </w:r>
    </w:p>
    <w:p w14:paraId="453DC774" w14:textId="77777777" w:rsidR="00221CEF" w:rsidRPr="00A376FC" w:rsidRDefault="00221CEF" w:rsidP="00042B91">
      <w:pPr>
        <w:pStyle w:val="Heading7"/>
        <w:spacing w:after="0" w:afterAutospacing="0"/>
        <w:rPr>
          <w:lang w:val="it-IT"/>
        </w:rPr>
      </w:pPr>
      <w:r>
        <w:rPr>
          <w:bCs/>
          <w:lang w:val="sl"/>
        </w:rPr>
        <w:lastRenderedPageBreak/>
        <w:t>Povzetek o varnosti in klinični učinkovitosti</w:t>
      </w:r>
    </w:p>
    <w:p w14:paraId="2D567C3A" w14:textId="4D6B7954" w:rsidR="00221CEF" w:rsidRPr="00A376FC" w:rsidRDefault="00221CEF" w:rsidP="00042B91">
      <w:pPr>
        <w:spacing w:after="0" w:afterAutospacing="0" w:line="240" w:lineRule="auto"/>
        <w:rPr>
          <w:rFonts w:cs="Times New Roman"/>
          <w:lang w:val="it-IT"/>
        </w:rPr>
      </w:pPr>
      <w:r>
        <w:rPr>
          <w:rFonts w:cs="Times New Roman"/>
          <w:lang w:val="sl"/>
        </w:rPr>
        <w:t>Ta povzetek o varnosti in klinični učinkovitosti (SSCP) je namenjen za to, da bi omogočil javni dostop do posodobljenega povzetka glavnih vidikov varnosti in klinične učinkovitosti za pripomoček.</w:t>
      </w:r>
    </w:p>
    <w:p w14:paraId="549AF428" w14:textId="35F6904C" w:rsidR="00221CEF" w:rsidRPr="00A376FC" w:rsidRDefault="00221CEF" w:rsidP="00042B91">
      <w:pPr>
        <w:spacing w:after="0" w:afterAutospacing="0" w:line="240" w:lineRule="auto"/>
        <w:rPr>
          <w:rFonts w:cs="Times New Roman"/>
          <w:lang w:val="it-IT"/>
        </w:rPr>
      </w:pPr>
      <w:r>
        <w:rPr>
          <w:rFonts w:cs="Times New Roman"/>
          <w:lang w:val="sl"/>
        </w:rPr>
        <w:t>SSCP ni namenjen za nadomestitev navodil za uporabo kot glavnega dokumenta za zagotovitev varne uporabe naprave, niti ni namenjen zagotavljanju diagnostičnih ali terapevtskih predlogov za predvidene uporabnike ali paciente.</w:t>
      </w:r>
    </w:p>
    <w:p w14:paraId="6E1D4297" w14:textId="77777777" w:rsidR="00042B91" w:rsidRPr="00A376FC" w:rsidRDefault="00042B91" w:rsidP="00042B91">
      <w:pPr>
        <w:spacing w:after="0" w:afterAutospacing="0" w:line="240" w:lineRule="auto"/>
        <w:rPr>
          <w:rFonts w:cs="Times New Roman"/>
          <w:lang w:val="it-IT"/>
        </w:rPr>
      </w:pPr>
    </w:p>
    <w:p w14:paraId="57958E5A" w14:textId="739089BF" w:rsidR="00221CEF" w:rsidRPr="00A376FC" w:rsidRDefault="00221CEF" w:rsidP="00042B91">
      <w:pPr>
        <w:spacing w:after="0" w:afterAutospacing="0" w:line="240" w:lineRule="auto"/>
        <w:rPr>
          <w:rFonts w:cs="Times New Roman"/>
          <w:lang w:val="it-IT"/>
        </w:rPr>
      </w:pPr>
      <w:r>
        <w:rPr>
          <w:rFonts w:cs="Times New Roman"/>
          <w:lang w:val="sl"/>
        </w:rPr>
        <w:t>Naslednje informacije so namenjene uporabnikom/zdravstvenim delavcem.</w:t>
      </w:r>
    </w:p>
    <w:p w14:paraId="18A77BED" w14:textId="77777777" w:rsidR="00042B91" w:rsidRPr="00A376FC" w:rsidRDefault="00042B91" w:rsidP="00042B91">
      <w:pPr>
        <w:spacing w:after="0" w:afterAutospacing="0" w:line="240" w:lineRule="auto"/>
        <w:rPr>
          <w:rFonts w:cs="Times New Roman"/>
          <w:lang w:val="it-IT"/>
        </w:rPr>
      </w:pPr>
    </w:p>
    <w:p w14:paraId="6E5276B4" w14:textId="2AFD9220" w:rsidR="00042B91" w:rsidRPr="00A376FC" w:rsidRDefault="006F0810" w:rsidP="00F67A0E">
      <w:pPr>
        <w:pStyle w:val="Heading1"/>
        <w:numPr>
          <w:ilvl w:val="0"/>
          <w:numId w:val="2"/>
        </w:numPr>
        <w:rPr>
          <w:rFonts w:cs="Times New Roman"/>
          <w:lang w:val="it-IT"/>
        </w:rPr>
      </w:pPr>
      <w:bookmarkStart w:id="0" w:name="_Toc222741730"/>
      <w:r>
        <w:rPr>
          <w:rFonts w:cs="Times New Roman"/>
          <w:bCs/>
          <w:lang w:val="sl"/>
        </w:rPr>
        <w:t>Obseg tega povzetka o varnosti in klinični učinkovitosti (SSCP):</w:t>
      </w:r>
      <w:bookmarkEnd w:id="0"/>
    </w:p>
    <w:p w14:paraId="5CDBAEA3" w14:textId="77777777" w:rsidR="00042B91" w:rsidRPr="00A376FC" w:rsidRDefault="00042B91" w:rsidP="00042B91">
      <w:pPr>
        <w:spacing w:after="0" w:afterAutospacing="0" w:line="240" w:lineRule="auto"/>
        <w:rPr>
          <w:rFonts w:cs="Times New Roman"/>
          <w:lang w:val="it-IT"/>
        </w:rPr>
      </w:pPr>
    </w:p>
    <w:p w14:paraId="45E5BCB2" w14:textId="6E901CD2" w:rsidR="00AA2E04" w:rsidRPr="009461CC" w:rsidRDefault="00221CEF" w:rsidP="00042B91">
      <w:pPr>
        <w:pStyle w:val="Heading1"/>
        <w:rPr>
          <w:rFonts w:cs="Times New Roman"/>
        </w:rPr>
      </w:pPr>
      <w:bookmarkStart w:id="1" w:name="_Toc222741731"/>
      <w:r>
        <w:rPr>
          <w:rFonts w:cs="Times New Roman"/>
          <w:bCs/>
          <w:lang w:val="sl"/>
        </w:rPr>
        <w:t>Trgovsko ime pripomočka:</w:t>
      </w:r>
      <w:bookmarkEnd w:id="1"/>
      <w:r>
        <w:rPr>
          <w:rFonts w:cs="Times New Roman"/>
          <w:bCs/>
          <w:lang w:val="sl"/>
        </w:rPr>
        <w:t xml:space="preserve"> </w:t>
      </w:r>
    </w:p>
    <w:p w14:paraId="29AE9E59" w14:textId="5B8D3A96" w:rsidR="00042B91" w:rsidRPr="009461CC" w:rsidRDefault="00982459" w:rsidP="001E6921">
      <w:pPr>
        <w:spacing w:after="0" w:afterAutospacing="0" w:line="240" w:lineRule="auto"/>
        <w:ind w:left="792"/>
        <w:rPr>
          <w:rFonts w:cs="Times New Roman"/>
        </w:rPr>
      </w:pPr>
      <w:r>
        <w:rPr>
          <w:rFonts w:cs="Times New Roman"/>
          <w:lang w:val="sl"/>
        </w:rPr>
        <w:t>Komplet za vaskularno zanko Atrieve</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A376FC" w:rsidRDefault="00221CEF" w:rsidP="00042B91">
      <w:pPr>
        <w:pStyle w:val="Heading1"/>
        <w:rPr>
          <w:rFonts w:cs="Times New Roman"/>
          <w:lang w:val="it-IT"/>
        </w:rPr>
      </w:pPr>
      <w:bookmarkStart w:id="2" w:name="_Toc222741732"/>
      <w:r>
        <w:rPr>
          <w:rFonts w:cs="Times New Roman"/>
          <w:bCs/>
          <w:lang w:val="sl"/>
        </w:rPr>
        <w:t>Opis pripomočka, osnovni UDI-DI in klasifikacija EU:</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sl"/>
              </w:rPr>
              <w:t>Ime in opis pripomočka</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sl"/>
              </w:rPr>
              <w:t>Klasifikacija</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sl"/>
              </w:rPr>
              <w:t>Koda GMDN</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sl"/>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sl"/>
              </w:rPr>
              <w:t>Osnovni UDI-DI</w:t>
            </w:r>
          </w:p>
        </w:tc>
      </w:tr>
      <w:tr w:rsidR="006266F5" w:rsidRPr="009461CC" w14:paraId="72288A12" w14:textId="77777777" w:rsidTr="006266F5">
        <w:tc>
          <w:tcPr>
            <w:tcW w:w="3795" w:type="dxa"/>
          </w:tcPr>
          <w:p w14:paraId="04AE147E" w14:textId="07005FC5" w:rsidR="006266F5" w:rsidRPr="009461CC" w:rsidRDefault="006266F5" w:rsidP="005B3E76">
            <w:pPr>
              <w:rPr>
                <w:rFonts w:cs="Times New Roman"/>
              </w:rPr>
            </w:pPr>
            <w:r>
              <w:rPr>
                <w:rFonts w:cs="Times New Roman"/>
                <w:lang w:val="sl"/>
              </w:rPr>
              <w:t>Komplet Atrieve Vascular Snare™, zanka premera 6–10 mm x 120 cm, kateter 6 F x 100 cm</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sl"/>
              </w:rPr>
              <w:t>Razred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sl"/>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sl"/>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sl"/>
              </w:rPr>
              <w:t>088633329000132</w:t>
            </w:r>
          </w:p>
        </w:tc>
      </w:tr>
      <w:tr w:rsidR="006266F5" w:rsidRPr="009461CC" w14:paraId="674985B4" w14:textId="77777777" w:rsidTr="006266F5">
        <w:tc>
          <w:tcPr>
            <w:tcW w:w="3795" w:type="dxa"/>
          </w:tcPr>
          <w:p w14:paraId="1845B978" w14:textId="3466CA48" w:rsidR="006266F5" w:rsidRPr="009461CC" w:rsidRDefault="006266F5" w:rsidP="005B3E76">
            <w:pPr>
              <w:rPr>
                <w:rFonts w:cs="Times New Roman"/>
              </w:rPr>
            </w:pPr>
            <w:r>
              <w:rPr>
                <w:rFonts w:cs="Times New Roman"/>
                <w:lang w:val="sl"/>
              </w:rPr>
              <w:t xml:space="preserve">Komplet Atrieve Vascular Snare™, zanka premera 9–15 mm x 120 cm, kateter 6 F x 100 cm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666AEB18" w:rsidR="006266F5" w:rsidRPr="009461CC" w:rsidRDefault="006266F5" w:rsidP="005B3E76">
            <w:pPr>
              <w:rPr>
                <w:rFonts w:cs="Times New Roman"/>
              </w:rPr>
            </w:pPr>
            <w:r>
              <w:rPr>
                <w:rFonts w:cs="Times New Roman"/>
                <w:lang w:val="sl"/>
              </w:rPr>
              <w:t xml:space="preserve">Komplet Atrieve Vascular Snare™, zanka premera 12–20 mm x 120 cm, kateter 6 F x 100 cm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2EC9E7BD" w:rsidR="006266F5" w:rsidRPr="009461CC" w:rsidRDefault="006266F5" w:rsidP="005B3E76">
            <w:pPr>
              <w:rPr>
                <w:rFonts w:cs="Times New Roman"/>
              </w:rPr>
            </w:pPr>
            <w:r>
              <w:rPr>
                <w:rFonts w:cs="Times New Roman"/>
                <w:lang w:val="sl"/>
              </w:rPr>
              <w:t xml:space="preserve">Komplet Atrieve Vascular Snare™, zanka premera 18–30 mm x 120 cm, kateter 7 F x 100 cm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12CC0658" w:rsidR="006266F5" w:rsidRPr="009461CC" w:rsidRDefault="006266F5" w:rsidP="005B3E76">
            <w:pPr>
              <w:rPr>
                <w:rFonts w:cs="Times New Roman"/>
              </w:rPr>
            </w:pPr>
            <w:r>
              <w:rPr>
                <w:rFonts w:cs="Times New Roman"/>
                <w:lang w:val="sl"/>
              </w:rPr>
              <w:t>Komplet Atrieve Vascular Snare™, zanka premera 27–45 mm x 120 cm, kateter 7 F x 100 cm</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381C18CA" w:rsidR="006266F5" w:rsidRPr="009461CC" w:rsidRDefault="006266F5" w:rsidP="005B3E76">
            <w:pPr>
              <w:rPr>
                <w:rFonts w:cs="Times New Roman"/>
              </w:rPr>
            </w:pPr>
            <w:r>
              <w:rPr>
                <w:rFonts w:cs="Times New Roman"/>
                <w:lang w:val="sl"/>
              </w:rPr>
              <w:t xml:space="preserve">Komplet Atrieve Vascular Snare™, zanka premera 2–4 mm x 175 cm, kateter 3,2 F x 150 cm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28EFC76A" w:rsidR="006266F5" w:rsidRPr="009461CC" w:rsidRDefault="006266F5" w:rsidP="005B3E76">
            <w:pPr>
              <w:rPr>
                <w:rFonts w:cs="Times New Roman"/>
              </w:rPr>
            </w:pPr>
            <w:r>
              <w:rPr>
                <w:rFonts w:cs="Times New Roman"/>
                <w:lang w:val="sl"/>
              </w:rPr>
              <w:t>Komplet Atrieve Vascular Snare™, zanka premera 4–8 mm x 175 cm, kateter 3,2 F x 150 cm</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A376FC" w:rsidRDefault="009855C3" w:rsidP="00042B91">
      <w:pPr>
        <w:pStyle w:val="Heading1"/>
        <w:rPr>
          <w:rFonts w:cs="Times New Roman"/>
          <w:lang w:val="it-IT"/>
        </w:rPr>
      </w:pPr>
      <w:bookmarkStart w:id="3" w:name="_Toc222741733"/>
      <w:r>
        <w:rPr>
          <w:rFonts w:cs="Times New Roman"/>
          <w:bCs/>
          <w:lang w:val="sl"/>
        </w:rPr>
        <w:t>Leto, ko je bilo izdano prvo potrdilo (CE) za ta pripomoček:</w:t>
      </w:r>
      <w:bookmarkEnd w:id="3"/>
      <w:r>
        <w:rPr>
          <w:rFonts w:cs="Times New Roman"/>
          <w:bCs/>
          <w:lang w:val="sl"/>
        </w:rPr>
        <w:t xml:space="preserve"> </w:t>
      </w:r>
    </w:p>
    <w:p w14:paraId="76BA3EF9" w14:textId="540D85A6" w:rsidR="00713233" w:rsidRPr="00A376FC" w:rsidRDefault="00780A59" w:rsidP="00E714ED">
      <w:pPr>
        <w:spacing w:after="0" w:afterAutospacing="0" w:line="240" w:lineRule="auto"/>
        <w:ind w:left="792"/>
        <w:rPr>
          <w:rFonts w:cs="Times New Roman"/>
          <w:lang w:val="it-IT"/>
        </w:rPr>
      </w:pPr>
      <w:r>
        <w:rPr>
          <w:rFonts w:cs="Times New Roman"/>
          <w:lang w:val="sl"/>
        </w:rPr>
        <w:t xml:space="preserve">Komplet za vaskularno zanko Atrieve je leta 2010 v skladu z MDD prejel oznako CE (CE 608298). </w:t>
      </w:r>
    </w:p>
    <w:p w14:paraId="6B157940" w14:textId="77777777" w:rsidR="00FE78AD" w:rsidRPr="00A376FC" w:rsidRDefault="00FE78AD" w:rsidP="00E714ED">
      <w:pPr>
        <w:spacing w:after="0" w:afterAutospacing="0" w:line="240" w:lineRule="auto"/>
        <w:ind w:left="792"/>
        <w:rPr>
          <w:rFonts w:cs="Times New Roman"/>
          <w:lang w:val="it-IT"/>
        </w:rPr>
      </w:pPr>
    </w:p>
    <w:p w14:paraId="7DB260B7" w14:textId="77777777" w:rsidR="00FE78AD" w:rsidRPr="00A376FC" w:rsidRDefault="00FE78AD" w:rsidP="00E714ED">
      <w:pPr>
        <w:spacing w:after="0" w:afterAutospacing="0" w:line="240" w:lineRule="auto"/>
        <w:ind w:left="792"/>
        <w:rPr>
          <w:rFonts w:cs="Times New Roman"/>
          <w:lang w:val="it-IT"/>
        </w:rPr>
      </w:pPr>
    </w:p>
    <w:p w14:paraId="79EE515A" w14:textId="77777777" w:rsidR="00FE78AD" w:rsidRPr="00A376FC" w:rsidRDefault="00FE78AD" w:rsidP="00E714ED">
      <w:pPr>
        <w:spacing w:after="0" w:afterAutospacing="0" w:line="240" w:lineRule="auto"/>
        <w:ind w:left="792"/>
        <w:rPr>
          <w:rFonts w:cs="Times New Roman"/>
          <w:lang w:val="it-IT"/>
        </w:rPr>
      </w:pPr>
    </w:p>
    <w:p w14:paraId="234B8791" w14:textId="77777777" w:rsidR="005C6A90" w:rsidRPr="00A376FC" w:rsidRDefault="005C6A90" w:rsidP="00E714ED">
      <w:pPr>
        <w:spacing w:after="0" w:afterAutospacing="0" w:line="240" w:lineRule="auto"/>
        <w:ind w:left="792"/>
        <w:rPr>
          <w:rFonts w:cs="Times New Roman"/>
          <w:lang w:val="it-IT"/>
        </w:rPr>
      </w:pPr>
    </w:p>
    <w:p w14:paraId="10A04209" w14:textId="75FC9DEC" w:rsidR="009855C3" w:rsidRPr="00A376FC" w:rsidRDefault="009855C3" w:rsidP="00042B91">
      <w:pPr>
        <w:pStyle w:val="Heading1"/>
        <w:rPr>
          <w:rFonts w:cs="Times New Roman"/>
          <w:lang w:val="it-IT"/>
        </w:rPr>
      </w:pPr>
      <w:r>
        <w:rPr>
          <w:rFonts w:cs="Times New Roman"/>
          <w:bCs/>
          <w:lang w:val="sl"/>
        </w:rPr>
        <w:t xml:space="preserve"> </w:t>
      </w:r>
      <w:bookmarkStart w:id="4" w:name="_Toc222741734"/>
      <w:r>
        <w:rPr>
          <w:rFonts w:cs="Times New Roman"/>
          <w:bCs/>
          <w:lang w:val="sl"/>
        </w:rPr>
        <w:t>Ime proizvajalca, naslov in serijska številka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sl"/>
              </w:rPr>
              <w:t>Informacije o proizvajalcu</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sl"/>
              </w:rPr>
              <w:t>Serijska številka proizvajalca: US-MF-000002324</w:t>
            </w:r>
          </w:p>
        </w:tc>
        <w:tc>
          <w:tcPr>
            <w:tcW w:w="2759" w:type="pct"/>
          </w:tcPr>
          <w:p w14:paraId="61E93080" w14:textId="77777777" w:rsidR="00493B5B" w:rsidRPr="009461CC" w:rsidRDefault="00493B5B" w:rsidP="00AA3694">
            <w:pPr>
              <w:spacing w:after="0" w:afterAutospacing="0"/>
              <w:rPr>
                <w:szCs w:val="24"/>
              </w:rPr>
            </w:pPr>
            <w:r>
              <w:rPr>
                <w:szCs w:val="24"/>
                <w:lang w:val="sl"/>
              </w:rPr>
              <w:t>Ime proizvajalca: Argon Medical Devices, Inc.</w:t>
            </w:r>
          </w:p>
        </w:tc>
      </w:tr>
      <w:tr w:rsidR="00493B5B" w:rsidRPr="009461CC" w14:paraId="03F91594" w14:textId="77777777" w:rsidTr="00272DEA">
        <w:trPr>
          <w:trHeight w:val="525"/>
        </w:trPr>
        <w:tc>
          <w:tcPr>
            <w:tcW w:w="2241" w:type="pct"/>
          </w:tcPr>
          <w:p w14:paraId="119B5A73" w14:textId="77777777" w:rsidR="00493B5B" w:rsidRPr="00A376FC" w:rsidRDefault="00493B5B" w:rsidP="00AA3694">
            <w:pPr>
              <w:spacing w:after="0" w:afterAutospacing="0"/>
              <w:jc w:val="both"/>
              <w:rPr>
                <w:spacing w:val="-2"/>
                <w:szCs w:val="24"/>
                <w:lang w:val="de-DE"/>
              </w:rPr>
            </w:pPr>
            <w:r>
              <w:rPr>
                <w:szCs w:val="24"/>
                <w:lang w:val="sl"/>
              </w:rPr>
              <w:t>Ime in priimek kontaktne osebe: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sl"/>
              </w:rPr>
              <w:t>E-pošta:</w:t>
            </w:r>
            <w:r>
              <w:rPr>
                <w:sz w:val="22"/>
                <w:lang w:val="sl"/>
              </w:rPr>
              <w:t xml:space="preserve"> </w:t>
            </w:r>
            <w:hyperlink r:id="rId11" w:history="1">
              <w:r>
                <w:rPr>
                  <w:color w:val="0563C1"/>
                  <w:szCs w:val="24"/>
                  <w:u w:val="single"/>
                  <w:lang w:val="sl"/>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sl"/>
              </w:rPr>
              <w:t>Telefonska številka: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sl"/>
              </w:rPr>
              <w:t>Naslov:</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sl"/>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sl"/>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sl"/>
              </w:rPr>
              <w:t>ZDA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9461CC" w:rsidRDefault="00887E5D" w:rsidP="00AA3694">
      <w:pPr>
        <w:pStyle w:val="Heading1"/>
        <w:rPr>
          <w:rFonts w:cs="Times New Roman"/>
        </w:rPr>
      </w:pPr>
      <w:bookmarkStart w:id="5" w:name="_Toc222741735"/>
      <w:r>
        <w:rPr>
          <w:rFonts w:cs="Times New Roman"/>
          <w:bCs/>
          <w:lang w:val="sl"/>
        </w:rPr>
        <w:t>Ime pooblaščenega zastopnika in SRN: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sl"/>
              </w:rPr>
              <w:t>Informacije o pooblaščenem zastopniku</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sl"/>
              </w:rPr>
              <w:t>SRN: NL-AR-000000116</w:t>
            </w:r>
          </w:p>
        </w:tc>
        <w:tc>
          <w:tcPr>
            <w:tcW w:w="2759" w:type="pct"/>
          </w:tcPr>
          <w:p w14:paraId="25BF63FC" w14:textId="77777777" w:rsidR="008A210D" w:rsidRPr="009461CC" w:rsidRDefault="008A210D" w:rsidP="008A210D">
            <w:pPr>
              <w:widowControl w:val="0"/>
              <w:autoSpaceDE w:val="0"/>
              <w:autoSpaceDN w:val="0"/>
              <w:spacing w:before="119" w:after="0" w:afterAutospacing="0"/>
              <w:rPr>
                <w:bCs/>
                <w:szCs w:val="24"/>
              </w:rPr>
            </w:pPr>
            <w:r>
              <w:rPr>
                <w:szCs w:val="24"/>
                <w:lang w:val="sl"/>
              </w:rPr>
              <w:t>Ime organizacije pooblaščenega zastopnika:</w:t>
            </w:r>
          </w:p>
          <w:p w14:paraId="3A6B7B5C" w14:textId="77777777" w:rsidR="008A210D" w:rsidRPr="009461CC" w:rsidRDefault="008A210D" w:rsidP="008A210D">
            <w:pPr>
              <w:spacing w:after="0" w:afterAutospacing="0"/>
              <w:rPr>
                <w:szCs w:val="24"/>
              </w:rPr>
            </w:pPr>
            <w:r>
              <w:rPr>
                <w:szCs w:val="24"/>
                <w:lang w:val="sl"/>
              </w:rPr>
              <w:t>Emergo Europe</w:t>
            </w:r>
          </w:p>
        </w:tc>
      </w:tr>
      <w:tr w:rsidR="008A210D" w:rsidRPr="00A376FC" w14:paraId="7AE34B46" w14:textId="77777777" w:rsidTr="00272DEA">
        <w:trPr>
          <w:trHeight w:val="525"/>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sl"/>
              </w:rPr>
              <w:t>Kontaktni podatki: Vigilance Team</w:t>
            </w:r>
          </w:p>
        </w:tc>
        <w:tc>
          <w:tcPr>
            <w:tcW w:w="2759" w:type="pct"/>
          </w:tcPr>
          <w:p w14:paraId="2A3CD5D0" w14:textId="77777777" w:rsidR="008A210D" w:rsidRPr="00A376FC" w:rsidRDefault="008A210D" w:rsidP="008A210D">
            <w:pPr>
              <w:widowControl w:val="0"/>
              <w:autoSpaceDE w:val="0"/>
              <w:autoSpaceDN w:val="0"/>
              <w:spacing w:before="39" w:after="0" w:afterAutospacing="0"/>
              <w:rPr>
                <w:spacing w:val="-2"/>
                <w:szCs w:val="24"/>
                <w:lang w:val="it-IT"/>
              </w:rPr>
            </w:pPr>
            <w:r>
              <w:rPr>
                <w:szCs w:val="24"/>
                <w:lang w:val="sl"/>
              </w:rPr>
              <w:t xml:space="preserve">E-pošta: </w:t>
            </w:r>
            <w:hyperlink r:id="rId12" w:history="1">
              <w:r>
                <w:rPr>
                  <w:color w:val="0563C1"/>
                  <w:szCs w:val="24"/>
                  <w:u w:val="single"/>
                  <w:lang w:val="sl"/>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sl"/>
              </w:rPr>
              <w:t>Telefonska številka: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sl"/>
              </w:rPr>
              <w:t>Faks:+31 (0)70 346 7299</w:t>
            </w:r>
          </w:p>
        </w:tc>
        <w:tc>
          <w:tcPr>
            <w:tcW w:w="2759" w:type="pct"/>
          </w:tcPr>
          <w:p w14:paraId="2F414254" w14:textId="77777777" w:rsidR="008A210D" w:rsidRPr="009461CC" w:rsidRDefault="008A210D" w:rsidP="009709B4">
            <w:pPr>
              <w:widowControl w:val="0"/>
              <w:autoSpaceDE w:val="0"/>
              <w:autoSpaceDN w:val="0"/>
              <w:spacing w:after="0" w:afterAutospacing="0"/>
              <w:rPr>
                <w:spacing w:val="-2"/>
                <w:szCs w:val="24"/>
              </w:rPr>
            </w:pPr>
            <w:r>
              <w:rPr>
                <w:szCs w:val="24"/>
                <w:lang w:val="sl"/>
              </w:rPr>
              <w:t>Naslov</w:t>
            </w:r>
          </w:p>
          <w:p w14:paraId="759A4A48" w14:textId="77777777" w:rsidR="008A210D" w:rsidRPr="009461CC" w:rsidRDefault="008A210D" w:rsidP="009709B4">
            <w:pPr>
              <w:widowControl w:val="0"/>
              <w:autoSpaceDE w:val="0"/>
              <w:autoSpaceDN w:val="0"/>
              <w:spacing w:after="0" w:afterAutospacing="0"/>
              <w:rPr>
                <w:spacing w:val="-2"/>
                <w:szCs w:val="24"/>
              </w:rPr>
            </w:pPr>
            <w:r>
              <w:rPr>
                <w:szCs w:val="24"/>
                <w:lang w:val="sl"/>
              </w:rPr>
              <w:t>Hišna številka in ime ulice:</w:t>
            </w:r>
            <w:r>
              <w:rPr>
                <w:sz w:val="22"/>
                <w:lang w:val="sl"/>
              </w:rPr>
              <w:t xml:space="preserve"> 60 </w:t>
            </w:r>
            <w:r>
              <w:rPr>
                <w:szCs w:val="24"/>
                <w:lang w:val="sl"/>
              </w:rPr>
              <w:t>Westervoortsedijk</w:t>
            </w:r>
          </w:p>
          <w:p w14:paraId="3B20AE15" w14:textId="77777777" w:rsidR="008A210D" w:rsidRPr="009461CC" w:rsidRDefault="008A210D" w:rsidP="009709B4">
            <w:pPr>
              <w:widowControl w:val="0"/>
              <w:autoSpaceDE w:val="0"/>
              <w:autoSpaceDN w:val="0"/>
              <w:spacing w:after="0" w:afterAutospacing="0"/>
              <w:rPr>
                <w:spacing w:val="-2"/>
                <w:szCs w:val="24"/>
              </w:rPr>
            </w:pPr>
            <w:r>
              <w:rPr>
                <w:szCs w:val="24"/>
                <w:lang w:val="sl"/>
              </w:rPr>
              <w:t>Mesto: Arnhem</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sl"/>
              </w:rPr>
              <w:t>Poštna številka: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sl"/>
              </w:rPr>
              <w:t>Država: Nizozemska</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9461CC" w:rsidRDefault="009855C3" w:rsidP="003074B3">
      <w:pPr>
        <w:pStyle w:val="Heading1"/>
        <w:rPr>
          <w:rFonts w:cs="Times New Roman"/>
        </w:rPr>
      </w:pPr>
      <w:bookmarkStart w:id="6" w:name="_Toc222741736"/>
      <w:r>
        <w:rPr>
          <w:rFonts w:cs="Times New Roman"/>
          <w:bCs/>
          <w:lang w:val="sl"/>
        </w:rPr>
        <w:t>Ime in enotna identifikacijska številka NB:</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sl"/>
              </w:rPr>
              <w:t>Priglašeni organ</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sl"/>
              </w:rPr>
              <w:t>Ime:</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sl"/>
              </w:rPr>
              <w:t>The British Standards Institution (BSI) Group the Netherlands B.V.</w:t>
            </w:r>
          </w:p>
        </w:tc>
      </w:tr>
      <w:tr w:rsidR="003074B3" w:rsidRPr="009461CC"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l"/>
              </w:rPr>
              <w:t>Naslov:</w:t>
            </w:r>
          </w:p>
        </w:tc>
        <w:tc>
          <w:tcPr>
            <w:tcW w:w="3170"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sl"/>
              </w:rPr>
              <w:t>John M. Keynesplein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sl"/>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sl"/>
              </w:rPr>
              <w:t xml:space="preserve"> Nizozemska</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l"/>
              </w:rPr>
              <w:t>Spletna stran:</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sl"/>
                </w:rPr>
                <w:t>www.bsigroup.com</w:t>
              </w:r>
            </w:hyperlink>
            <w:r>
              <w:rPr>
                <w:rFonts w:eastAsia="Times New Roman" w:cs="Times New Roman"/>
                <w:szCs w:val="24"/>
                <w:lang w:val="sl"/>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sl"/>
              </w:rPr>
              <w:t>Telefon:</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sl"/>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sl"/>
              </w:rPr>
              <w:t>Faks:</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sl"/>
              </w:rPr>
              <w:t>+31 (0)20 346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sl"/>
              </w:rPr>
              <w:t>Številka priglašenega organa:</w:t>
            </w:r>
            <w:r>
              <w:rPr>
                <w:rFonts w:eastAsia="Times New Roman" w:cs="Times New Roman"/>
                <w:szCs w:val="24"/>
                <w:lang w:val="sl"/>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sl"/>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737"/>
      <w:r>
        <w:rPr>
          <w:rFonts w:cs="Times New Roman"/>
          <w:bCs/>
          <w:lang w:val="sl"/>
        </w:rPr>
        <w:t>Predvidena uporaba/namen pripomočka</w:t>
      </w:r>
      <w:bookmarkEnd w:id="7"/>
      <w:r>
        <w:rPr>
          <w:rFonts w:cs="Times New Roman"/>
          <w:bCs/>
          <w:lang w:val="sl"/>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sl"/>
        </w:rPr>
        <w:t>Reference:</w:t>
      </w:r>
    </w:p>
    <w:p w14:paraId="5CC3EE9B" w14:textId="1A780D49" w:rsidR="00042B91" w:rsidRPr="00A376FC" w:rsidRDefault="00FE5B73" w:rsidP="00042B91">
      <w:pPr>
        <w:spacing w:after="0" w:afterAutospacing="0" w:line="240" w:lineRule="auto"/>
        <w:rPr>
          <w:rFonts w:cs="Times New Roman"/>
          <w:lang w:val="de-DE"/>
        </w:rPr>
      </w:pPr>
      <w:r>
        <w:rPr>
          <w:rFonts w:cs="Times New Roman"/>
          <w:lang w:val="sl"/>
        </w:rPr>
        <w:t>Referenčne številke: X9585730-0321-EU Rev A</w:t>
      </w:r>
    </w:p>
    <w:p w14:paraId="1254EE9F" w14:textId="77777777" w:rsidR="00FE5B73" w:rsidRPr="00A376FC" w:rsidRDefault="00FE5B73" w:rsidP="00042B91">
      <w:pPr>
        <w:spacing w:after="0" w:afterAutospacing="0" w:line="240" w:lineRule="auto"/>
        <w:rPr>
          <w:rFonts w:cs="Times New Roman"/>
          <w:lang w:val="de-DE"/>
        </w:rPr>
      </w:pPr>
    </w:p>
    <w:p w14:paraId="39A6DB15" w14:textId="58ED6DAB" w:rsidR="006F0810" w:rsidRPr="009461CC" w:rsidRDefault="00B7112F" w:rsidP="00042B91">
      <w:pPr>
        <w:pStyle w:val="Heading1"/>
        <w:rPr>
          <w:rFonts w:cs="Times New Roman"/>
        </w:rPr>
      </w:pPr>
      <w:r>
        <w:rPr>
          <w:rFonts w:cs="Times New Roman"/>
          <w:bCs/>
          <w:lang w:val="sl"/>
        </w:rPr>
        <w:t xml:space="preserve"> </w:t>
      </w:r>
      <w:bookmarkStart w:id="8" w:name="_Toc222741738"/>
      <w:r>
        <w:rPr>
          <w:rFonts w:cs="Times New Roman"/>
          <w:bCs/>
          <w:lang w:val="sl"/>
        </w:rPr>
        <w:t>Predvideni namen/predvidena uporaba</w:t>
      </w:r>
      <w:bookmarkEnd w:id="8"/>
    </w:p>
    <w:p w14:paraId="5F55F24F" w14:textId="20556298" w:rsidR="009B569A" w:rsidRPr="009461CC" w:rsidRDefault="00B82FB3" w:rsidP="00B82FB3">
      <w:pPr>
        <w:rPr>
          <w:rFonts w:cs="Times New Roman"/>
          <w:shd w:val="clear" w:color="auto" w:fill="FFFFFF"/>
        </w:rPr>
      </w:pPr>
      <w:r>
        <w:rPr>
          <w:rFonts w:cs="Times New Roman"/>
          <w:shd w:val="clear" w:color="auto" w:fill="FFFFFF"/>
          <w:lang w:val="sl"/>
        </w:rPr>
        <w:t>Izdelek je namenjen za uporabo v kardiovaskularnem sistemu ali v votlih organih za iskanje tujkov in manipuliranje z njimi.</w:t>
      </w:r>
    </w:p>
    <w:p w14:paraId="0540FB4C" w14:textId="6BE36C7A" w:rsidR="006F0810" w:rsidRPr="009461CC" w:rsidRDefault="006F0810" w:rsidP="00042B91">
      <w:pPr>
        <w:pStyle w:val="Heading1"/>
        <w:rPr>
          <w:rFonts w:cs="Times New Roman"/>
        </w:rPr>
      </w:pPr>
      <w:bookmarkStart w:id="9" w:name="_Toc222741739"/>
      <w:r>
        <w:rPr>
          <w:rFonts w:cs="Times New Roman"/>
          <w:bCs/>
          <w:lang w:val="sl"/>
        </w:rPr>
        <w:lastRenderedPageBreak/>
        <w:t>Indikacije za uporabo</w:t>
      </w:r>
      <w:bookmarkEnd w:id="9"/>
    </w:p>
    <w:p w14:paraId="24ADD508" w14:textId="77777777" w:rsidR="00235AAE" w:rsidRPr="00A376FC" w:rsidRDefault="00235AAE" w:rsidP="00235AAE">
      <w:pPr>
        <w:widowControl w:val="0"/>
        <w:rPr>
          <w:rFonts w:cs="Times New Roman"/>
          <w:lang w:val="sl"/>
        </w:rPr>
      </w:pPr>
      <w:r>
        <w:rPr>
          <w:rFonts w:cs="Times New Roman"/>
          <w:lang w:val="sl"/>
        </w:rPr>
        <w:t>Izdelek je namenjen za uporabo v kardiovaskularnem sistemu ali v votlih organih za iskanje tujkov in manipuliranje z njimi. Postopki manipuliranja vključujejo premestitev vsajenih žilnih katetrov, luščenje fibrinske ovojnice z nameščenih žilnih katetrov in pomoč pri postopku prebadanja žile za centralni žilni dostop.</w:t>
      </w:r>
    </w:p>
    <w:p w14:paraId="498EAE44" w14:textId="77777777" w:rsidR="00D20FA4" w:rsidRPr="009461CC" w:rsidRDefault="00D20FA4" w:rsidP="00042B91">
      <w:pPr>
        <w:pStyle w:val="Heading1"/>
        <w:rPr>
          <w:rFonts w:cs="Times New Roman"/>
        </w:rPr>
      </w:pPr>
      <w:bookmarkStart w:id="10" w:name="_Toc222741740"/>
      <w:r>
        <w:rPr>
          <w:rFonts w:cs="Times New Roman"/>
          <w:bCs/>
          <w:lang w:val="sl"/>
        </w:rPr>
        <w:t>Ciljna populacija</w:t>
      </w:r>
      <w:bookmarkEnd w:id="10"/>
    </w:p>
    <w:p w14:paraId="099A3585" w14:textId="77777777" w:rsidR="003B70D7" w:rsidRPr="00A376FC" w:rsidRDefault="003B70D7" w:rsidP="005A1E4B">
      <w:pPr>
        <w:pStyle w:val="pf0"/>
        <w:widowControl w:val="0"/>
        <w:spacing w:before="0" w:beforeAutospacing="0" w:after="0" w:afterAutospacing="0"/>
        <w:rPr>
          <w:lang w:val="it-IT"/>
        </w:rPr>
      </w:pPr>
      <w:r>
        <w:rPr>
          <w:lang w:val="sl"/>
        </w:rPr>
        <w:t>Odrasli pacienti, vključno s starejšimi odraslimi, ne glede na spol, raso ali etnično pripadnost.</w:t>
      </w:r>
    </w:p>
    <w:p w14:paraId="3621B4F1" w14:textId="77777777" w:rsidR="003B70D7" w:rsidRPr="00A376FC" w:rsidRDefault="003B70D7" w:rsidP="003B70D7">
      <w:pPr>
        <w:pStyle w:val="pf0"/>
        <w:widowControl w:val="0"/>
        <w:spacing w:before="0" w:beforeAutospacing="0" w:after="0" w:afterAutospacing="0"/>
        <w:rPr>
          <w:lang w:val="it-IT"/>
        </w:rPr>
      </w:pPr>
    </w:p>
    <w:p w14:paraId="28F544BD" w14:textId="4F93A450" w:rsidR="006F0810" w:rsidRPr="009461CC" w:rsidRDefault="006F0810" w:rsidP="00042B91">
      <w:pPr>
        <w:pStyle w:val="Heading1"/>
        <w:rPr>
          <w:rFonts w:cs="Times New Roman"/>
        </w:rPr>
      </w:pPr>
      <w:bookmarkStart w:id="11" w:name="_Toc222741741"/>
      <w:r>
        <w:rPr>
          <w:rFonts w:cs="Times New Roman"/>
          <w:bCs/>
          <w:lang w:val="sl"/>
        </w:rPr>
        <w:t>Kontraindikacije</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cs="Times New Roman"/>
          <w:color w:val="000000"/>
          <w:lang w:val="sl"/>
        </w:rPr>
        <w:t>Ta pripomoček ni namenjen odstranjevanju tujkov, ki so se ujeli zaradi rasti tkiva.</w:t>
      </w:r>
      <w:r>
        <w:rPr>
          <w:rFonts w:cs="Times New Roman"/>
          <w:color w:val="4472C4" w:themeColor="accent1"/>
          <w:lang w:val="sl"/>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sl"/>
        </w:rPr>
        <w:t>Pripomočka ne smete uporabljati za odstranjevanje fibrinske ovojnice ob prisotnosti septalnih defektov odprtega ovalnega foramna.</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sl"/>
        </w:rPr>
        <w:t>Ta pripomoček ni namenjen odstranjevanju vsajenih elektrod za srčni spodbujevalnik.</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1742"/>
      <w:r>
        <w:rPr>
          <w:rFonts w:cs="Times New Roman"/>
          <w:bCs/>
          <w:lang w:val="sl"/>
        </w:rPr>
        <w:t>Opis pripomočka</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743"/>
      <w:r>
        <w:rPr>
          <w:rFonts w:cs="Times New Roman"/>
          <w:bCs/>
          <w:lang w:val="sl"/>
        </w:rPr>
        <w:t>Opis pripomočka</w:t>
      </w:r>
      <w:bookmarkEnd w:id="13"/>
      <w:r>
        <w:rPr>
          <w:rFonts w:cs="Times New Roman"/>
          <w:bCs/>
          <w:lang w:val="sl"/>
        </w:rPr>
        <w:t xml:space="preserve"> </w:t>
      </w:r>
    </w:p>
    <w:p w14:paraId="3DAFEC6E" w14:textId="5053E6C6" w:rsidR="00994DB9" w:rsidRPr="00A376FC" w:rsidRDefault="00994DB9" w:rsidP="00994DB9">
      <w:pPr>
        <w:rPr>
          <w:rFonts w:cs="Times New Roman"/>
          <w:lang w:val="sl"/>
        </w:rPr>
      </w:pPr>
      <w:bookmarkStart w:id="14" w:name="_Hlk169187630"/>
      <w:r>
        <w:rPr>
          <w:rFonts w:cs="Times New Roman"/>
          <w:lang w:val="sl"/>
        </w:rPr>
        <w:t>Komplet za vaskularno zanko Atrieve™ vsebuje pripomoček za zanke s tremi vnaprej oblikovanimi pentljami, izdelanimi iz super elastičnega nitinola in platine. Pentlje med seboj niso prepletene in lahko relativno preprosto zdrsnejo ena v drugo. Pentlje na zanki je možno vstaviti v dostavni kateter brez tveganja za trajno deformacijo pripomočka. Komplet za vaskularno zanko Atrieve vključuje tudi dostavni kateter, navorni ročaj in uvajalnik. Dostavni kateter ima na distalni konici neprepusten označevalni trak. Izdelek je zapakiran v zaščitni obročasti nosilec. Pripomoček je namenjen za enkratno uporabo in je dobavljen sterilen (etilen oksid) ter pripravljen za uporabo.</w:t>
      </w:r>
    </w:p>
    <w:p w14:paraId="210E0750" w14:textId="77777777" w:rsidR="00994DB9" w:rsidRPr="00A376FC" w:rsidRDefault="00994DB9" w:rsidP="00994DB9">
      <w:pPr>
        <w:rPr>
          <w:rFonts w:cs="Times New Roman"/>
          <w:lang w:val="sl"/>
        </w:rPr>
      </w:pPr>
      <w:r>
        <w:rPr>
          <w:rFonts w:cs="Times New Roman"/>
          <w:lang w:val="sl"/>
        </w:rPr>
        <w:t>Komplet za vaskularno zanko Atrieve™ je na voljo v naslednjih velikostih:</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sl"/>
              </w:rPr>
              <w:t>Razpon premera zanke</w:t>
            </w:r>
          </w:p>
        </w:tc>
        <w:tc>
          <w:tcPr>
            <w:tcW w:w="1274" w:type="pct"/>
          </w:tcPr>
          <w:p w14:paraId="2775F724" w14:textId="77777777" w:rsidR="00994DB9" w:rsidRPr="009461CC" w:rsidRDefault="00994DB9" w:rsidP="0022766F">
            <w:pPr>
              <w:widowControl w:val="0"/>
              <w:rPr>
                <w:rFonts w:cs="Times New Roman"/>
              </w:rPr>
            </w:pPr>
            <w:r>
              <w:rPr>
                <w:rFonts w:cs="Times New Roman"/>
                <w:lang w:val="sl"/>
              </w:rPr>
              <w:t>Dolžina zanke</w:t>
            </w:r>
          </w:p>
        </w:tc>
        <w:tc>
          <w:tcPr>
            <w:tcW w:w="1123" w:type="pct"/>
          </w:tcPr>
          <w:p w14:paraId="7396E037" w14:textId="77777777" w:rsidR="00994DB9" w:rsidRPr="009461CC" w:rsidRDefault="00994DB9" w:rsidP="0022766F">
            <w:pPr>
              <w:widowControl w:val="0"/>
              <w:rPr>
                <w:rFonts w:cs="Times New Roman"/>
              </w:rPr>
            </w:pPr>
            <w:r>
              <w:rPr>
                <w:rFonts w:cs="Times New Roman"/>
                <w:lang w:val="sl"/>
              </w:rPr>
              <w:t>Dostavna velikost</w:t>
            </w:r>
          </w:p>
        </w:tc>
        <w:tc>
          <w:tcPr>
            <w:tcW w:w="1250" w:type="pct"/>
          </w:tcPr>
          <w:p w14:paraId="7E248A66" w14:textId="77777777" w:rsidR="00994DB9" w:rsidRPr="009461CC" w:rsidRDefault="00994DB9" w:rsidP="0022766F">
            <w:pPr>
              <w:widowControl w:val="0"/>
              <w:rPr>
                <w:rFonts w:cs="Times New Roman"/>
              </w:rPr>
            </w:pPr>
            <w:r>
              <w:rPr>
                <w:rFonts w:cs="Times New Roman"/>
                <w:lang w:val="sl"/>
              </w:rPr>
              <w:t>Dolžina katetra</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sl"/>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sl"/>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sl"/>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sl"/>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sl"/>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sl"/>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sl"/>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sl"/>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sl"/>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sl"/>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sl"/>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sl"/>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sl"/>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sl"/>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sl"/>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sl"/>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sl"/>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sl"/>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sl"/>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sl"/>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sl"/>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sl"/>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sl"/>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sl"/>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sl"/>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sl"/>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sl"/>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sl"/>
              </w:rPr>
              <w:t>100 cm</w:t>
            </w:r>
          </w:p>
        </w:tc>
      </w:tr>
    </w:tbl>
    <w:p w14:paraId="5D27461E" w14:textId="77777777" w:rsidR="000F4DF1" w:rsidRPr="009461CC" w:rsidRDefault="000F4DF1" w:rsidP="00994DB9">
      <w:pPr>
        <w:rPr>
          <w:rFonts w:cs="Times New Roman"/>
        </w:rPr>
      </w:pPr>
    </w:p>
    <w:p w14:paraId="4C7769AE" w14:textId="77777777" w:rsidR="00D20FA4" w:rsidRPr="009461CC" w:rsidRDefault="00D20FA4" w:rsidP="00042B91">
      <w:pPr>
        <w:pStyle w:val="Heading1"/>
        <w:rPr>
          <w:rFonts w:cs="Times New Roman"/>
        </w:rPr>
      </w:pPr>
      <w:bookmarkStart w:id="15" w:name="_Toc222741744"/>
      <w:bookmarkEnd w:id="14"/>
      <w:r>
        <w:rPr>
          <w:rFonts w:cs="Times New Roman"/>
          <w:bCs/>
          <w:lang w:val="sl"/>
        </w:rPr>
        <w:t>Prejšnje različice in njihove razlike</w:t>
      </w:r>
      <w:bookmarkEnd w:id="15"/>
    </w:p>
    <w:p w14:paraId="060329F5" w14:textId="3AA8BB73" w:rsidR="00042B91" w:rsidRPr="009461CC" w:rsidRDefault="009D7E33" w:rsidP="007B0F04">
      <w:pPr>
        <w:ind w:left="792"/>
        <w:rPr>
          <w:rFonts w:cs="Times New Roman"/>
        </w:rPr>
      </w:pPr>
      <w:r>
        <w:rPr>
          <w:rFonts w:cs="Times New Roman"/>
          <w:lang w:val="sl"/>
        </w:rPr>
        <w:t>Ta razdelek se ne uporablja (ni na voljo).</w:t>
      </w:r>
    </w:p>
    <w:p w14:paraId="26363C05" w14:textId="77777777" w:rsidR="00760400" w:rsidRPr="009461CC" w:rsidRDefault="00760400" w:rsidP="00042B91">
      <w:pPr>
        <w:pStyle w:val="Heading1"/>
        <w:rPr>
          <w:rFonts w:cs="Times New Roman"/>
        </w:rPr>
      </w:pPr>
      <w:bookmarkStart w:id="16" w:name="_Toc222741745"/>
      <w:r>
        <w:rPr>
          <w:rFonts w:cs="Times New Roman"/>
          <w:bCs/>
          <w:lang w:val="sl"/>
        </w:rPr>
        <w:t>Dodatki, združljivi pripomočki in drugi izdelki, ki se uporabljajo v kombinaciji</w:t>
      </w:r>
      <w:bookmarkEnd w:id="16"/>
    </w:p>
    <w:p w14:paraId="21F32064" w14:textId="1C156DEB" w:rsidR="00C02BC0" w:rsidRPr="009461CC" w:rsidRDefault="00C02BC0" w:rsidP="007B0F04">
      <w:pPr>
        <w:spacing w:after="0" w:afterAutospacing="0"/>
        <w:ind w:left="792"/>
        <w:rPr>
          <w:rFonts w:cs="Times New Roman"/>
        </w:rPr>
      </w:pPr>
      <w:r>
        <w:rPr>
          <w:rFonts w:cs="Times New Roman"/>
          <w:lang w:val="sl"/>
        </w:rPr>
        <w:lastRenderedPageBreak/>
        <w:t>Pripomočki kompleta za vaskularno zanko Atrieve vključujejo dostavni kateter, uvajalnik in navorni ročaj (primež).</w:t>
      </w:r>
    </w:p>
    <w:p w14:paraId="17CCC4B6" w14:textId="77777777" w:rsidR="00042B91" w:rsidRPr="009461CC" w:rsidRDefault="00042B91" w:rsidP="00042B91">
      <w:pPr>
        <w:spacing w:after="0" w:afterAutospacing="0" w:line="240" w:lineRule="auto"/>
        <w:rPr>
          <w:rFonts w:cs="Times New Roman"/>
          <w:i/>
          <w:color w:val="FF0000"/>
        </w:rPr>
      </w:pPr>
    </w:p>
    <w:p w14:paraId="45C0A245" w14:textId="61A622A4" w:rsidR="008745ED" w:rsidRPr="009461CC" w:rsidRDefault="008745ED" w:rsidP="00F67A0E">
      <w:pPr>
        <w:pStyle w:val="Heading1"/>
        <w:numPr>
          <w:ilvl w:val="0"/>
          <w:numId w:val="2"/>
        </w:numPr>
        <w:rPr>
          <w:rFonts w:cs="Times New Roman"/>
        </w:rPr>
      </w:pPr>
      <w:bookmarkStart w:id="17" w:name="_Toc222741746"/>
      <w:r>
        <w:rPr>
          <w:rFonts w:cs="Times New Roman"/>
          <w:bCs/>
          <w:lang w:val="sl"/>
        </w:rPr>
        <w:t>Tveganja in opozorila</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9461CC" w:rsidRDefault="008745ED" w:rsidP="00042B91">
      <w:pPr>
        <w:pStyle w:val="Heading1"/>
        <w:rPr>
          <w:rFonts w:cs="Times New Roman"/>
        </w:rPr>
      </w:pPr>
      <w:bookmarkStart w:id="18" w:name="_Toc222741747"/>
      <w:r>
        <w:rPr>
          <w:rFonts w:cs="Times New Roman"/>
          <w:bCs/>
          <w:lang w:val="sl"/>
        </w:rPr>
        <w:t>Ostala tveganja in neželeni stranski učinki</w:t>
      </w:r>
      <w:bookmarkEnd w:id="18"/>
    </w:p>
    <w:p w14:paraId="2F64097C" w14:textId="607FF4A5" w:rsidR="00D15BBE" w:rsidRPr="009461CC" w:rsidRDefault="00C64987" w:rsidP="008D7F1C">
      <w:pPr>
        <w:ind w:left="792"/>
        <w:rPr>
          <w:rFonts w:cs="Times New Roman"/>
        </w:rPr>
      </w:pPr>
      <w:r>
        <w:rPr>
          <w:rFonts w:cs="Times New Roman"/>
          <w:lang w:val="sl"/>
        </w:rPr>
        <w:t xml:space="preserve">V skladu z RMR-0011 Rev H je bil za izdelek opisan naslednji profil tveganja in koristi: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416"/>
        <w:gridCol w:w="3555"/>
      </w:tblGrid>
      <w:tr w:rsidR="00453251" w:rsidRPr="009461CC" w14:paraId="15FC12E9" w14:textId="77777777" w:rsidTr="00453251">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l"/>
              </w:rPr>
              <w:t>Rezultat</w:t>
            </w:r>
            <w:bookmarkStart w:id="19" w:name="_Toc86391902"/>
            <w:bookmarkEnd w:id="19"/>
          </w:p>
        </w:tc>
        <w:tc>
          <w:tcPr>
            <w:tcW w:w="100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l"/>
              </w:rPr>
              <w:t>Celotni razpon</w:t>
            </w:r>
            <w:r>
              <w:rPr>
                <w:rFonts w:ascii="Times New Roman" w:hAnsi="Times New Roman" w:cs="Times New Roman"/>
                <w:lang w:val="sl"/>
              </w:rPr>
              <w:br/>
              <w:t>SOA</w:t>
            </w:r>
          </w:p>
        </w:tc>
        <w:tc>
          <w:tcPr>
            <w:tcW w:w="1158"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l"/>
              </w:rPr>
              <w:t>Konkurenčni pripomoček</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l"/>
              </w:rPr>
              <w:t>Celotni razpon</w:t>
            </w:r>
            <w:bookmarkStart w:id="20" w:name="_Toc86391905"/>
            <w:bookmarkEnd w:id="20"/>
          </w:p>
        </w:tc>
        <w:tc>
          <w:tcPr>
            <w:tcW w:w="1704"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l"/>
              </w:rPr>
              <w:t>Kriteriji sprejemljivosti</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sl"/>
              </w:rPr>
              <w:t>Varnost</w:t>
            </w:r>
          </w:p>
        </w:tc>
      </w:tr>
      <w:tr w:rsidR="00453251" w:rsidRPr="009461CC" w14:paraId="2ECEC40D" w14:textId="77777777" w:rsidTr="00453251">
        <w:tc>
          <w:tcPr>
            <w:tcW w:w="113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l"/>
              </w:rPr>
              <w:t>Krvavitve</w:t>
            </w:r>
            <w:bookmarkStart w:id="23" w:name="_Toc86391910"/>
            <w:bookmarkEnd w:id="23"/>
          </w:p>
        </w:tc>
        <w:tc>
          <w:tcPr>
            <w:tcW w:w="100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0–3 %</w:t>
            </w:r>
          </w:p>
        </w:tc>
        <w:tc>
          <w:tcPr>
            <w:tcW w:w="1158"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sl"/>
              </w:rPr>
              <w:t>0–0,6 %</w:t>
            </w:r>
          </w:p>
        </w:tc>
        <w:tc>
          <w:tcPr>
            <w:tcW w:w="1704"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sl"/>
              </w:rPr>
              <w:t xml:space="preserve">Stopnja krvavitve, </w:t>
            </w:r>
            <w:r>
              <w:rPr>
                <w:rFonts w:ascii="Times New Roman" w:hAnsi="Times New Roman" w:cs="Times New Roman"/>
                <w:b/>
                <w:bCs/>
                <w:iCs w:val="0"/>
                <w:lang w:val="sl"/>
              </w:rPr>
              <w:t>manjša od 3 %</w:t>
            </w:r>
          </w:p>
        </w:tc>
        <w:bookmarkStart w:id="27" w:name="_Toc86391915"/>
        <w:bookmarkEnd w:id="27"/>
      </w:tr>
      <w:tr w:rsidR="00453251" w:rsidRPr="009461CC" w14:paraId="770200CA" w14:textId="77777777" w:rsidTr="00453251">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sl"/>
              </w:rPr>
              <w:t>Perforacija/poškodba tkiva</w:t>
            </w:r>
            <w:bookmarkStart w:id="28" w:name="_Toc86391916"/>
            <w:bookmarkEnd w:id="28"/>
          </w:p>
        </w:tc>
        <w:tc>
          <w:tcPr>
            <w:tcW w:w="100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0–1,7 %</w:t>
            </w:r>
          </w:p>
        </w:tc>
        <w:tc>
          <w:tcPr>
            <w:tcW w:w="1158"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sl"/>
              </w:rPr>
              <w:t>0–4,0 %</w:t>
            </w:r>
          </w:p>
        </w:tc>
        <w:tc>
          <w:tcPr>
            <w:tcW w:w="1704"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sl"/>
              </w:rPr>
              <w:t xml:space="preserve">Stopnja perforacije/poškodbe tkiva, </w:t>
            </w:r>
            <w:r>
              <w:rPr>
                <w:rFonts w:ascii="Times New Roman" w:hAnsi="Times New Roman" w:cs="Times New Roman"/>
                <w:b/>
                <w:bCs/>
                <w:iCs w:val="0"/>
                <w:lang w:val="sl"/>
              </w:rPr>
              <w:t>manjša od 4 %</w:t>
            </w:r>
          </w:p>
        </w:tc>
        <w:bookmarkStart w:id="32" w:name="_Toc86391921"/>
        <w:bookmarkEnd w:id="32"/>
      </w:tr>
      <w:tr w:rsidR="00453251" w:rsidRPr="009461CC" w14:paraId="3D17E0CA" w14:textId="77777777" w:rsidTr="00453251">
        <w:tc>
          <w:tcPr>
            <w:tcW w:w="1138"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l"/>
              </w:rPr>
              <w:t>Zračna embolija</w:t>
            </w:r>
            <w:bookmarkStart w:id="33" w:name="_Toc86391922"/>
            <w:bookmarkEnd w:id="33"/>
          </w:p>
        </w:tc>
        <w:tc>
          <w:tcPr>
            <w:tcW w:w="100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0–2,1 %</w:t>
            </w:r>
          </w:p>
        </w:tc>
        <w:tc>
          <w:tcPr>
            <w:tcW w:w="1158"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sl"/>
              </w:rPr>
              <w:t>0–0,6 %</w:t>
            </w:r>
          </w:p>
        </w:tc>
        <w:tc>
          <w:tcPr>
            <w:tcW w:w="1704"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sl"/>
              </w:rPr>
              <w:t xml:space="preserve">Embolija, </w:t>
            </w:r>
            <w:r>
              <w:rPr>
                <w:rFonts w:ascii="Times New Roman" w:hAnsi="Times New Roman" w:cs="Times New Roman"/>
                <w:b/>
                <w:bCs/>
                <w:iCs w:val="0"/>
                <w:lang w:val="sl"/>
              </w:rPr>
              <w:t>manjša od 2,1 %</w:t>
            </w:r>
          </w:p>
        </w:tc>
        <w:bookmarkStart w:id="37" w:name="_Toc86391927"/>
        <w:bookmarkEnd w:id="37"/>
      </w:tr>
      <w:tr w:rsidR="00453251" w:rsidRPr="009461CC" w14:paraId="33FEDA6C" w14:textId="77777777" w:rsidTr="00453251">
        <w:tc>
          <w:tcPr>
            <w:tcW w:w="113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l"/>
              </w:rPr>
              <w:t>Okužba</w:t>
            </w:r>
            <w:bookmarkStart w:id="38" w:name="_Toc86391928"/>
            <w:bookmarkEnd w:id="38"/>
          </w:p>
        </w:tc>
        <w:tc>
          <w:tcPr>
            <w:tcW w:w="100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0 %</w:t>
            </w:r>
          </w:p>
        </w:tc>
        <w:tc>
          <w:tcPr>
            <w:tcW w:w="1158"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sl"/>
              </w:rPr>
              <w:t>0 %</w:t>
            </w:r>
          </w:p>
        </w:tc>
        <w:tc>
          <w:tcPr>
            <w:tcW w:w="1704"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sl"/>
              </w:rPr>
              <w:t xml:space="preserve">Okužba, </w:t>
            </w:r>
            <w:r>
              <w:rPr>
                <w:rFonts w:ascii="Times New Roman" w:hAnsi="Times New Roman" w:cs="Times New Roman"/>
                <w:b/>
                <w:bCs/>
                <w:iCs w:val="0"/>
                <w:lang w:val="sl"/>
              </w:rPr>
              <w:t>manjša od 0 %</w:t>
            </w:r>
          </w:p>
        </w:tc>
        <w:bookmarkStart w:id="42" w:name="_Toc86391933"/>
        <w:bookmarkEnd w:id="42"/>
      </w:tr>
      <w:tr w:rsidR="00453251" w:rsidRPr="009461CC" w14:paraId="00F9D43C" w14:textId="77777777" w:rsidTr="00453251">
        <w:tc>
          <w:tcPr>
            <w:tcW w:w="113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l"/>
              </w:rPr>
              <w:t>Alergijska reakcija</w:t>
            </w:r>
            <w:bookmarkStart w:id="43" w:name="_Toc86391934"/>
            <w:bookmarkEnd w:id="43"/>
          </w:p>
        </w:tc>
        <w:tc>
          <w:tcPr>
            <w:tcW w:w="100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0 %</w:t>
            </w:r>
          </w:p>
        </w:tc>
        <w:tc>
          <w:tcPr>
            <w:tcW w:w="1158"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sl"/>
              </w:rPr>
              <w:t>0 %</w:t>
            </w:r>
          </w:p>
        </w:tc>
        <w:tc>
          <w:tcPr>
            <w:tcW w:w="1704"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sl"/>
              </w:rPr>
              <w:t xml:space="preserve">Alergijska reakcija, </w:t>
            </w:r>
            <w:r>
              <w:rPr>
                <w:rFonts w:ascii="Times New Roman" w:hAnsi="Times New Roman" w:cs="Times New Roman"/>
                <w:b/>
                <w:bCs/>
                <w:iCs w:val="0"/>
                <w:lang w:val="sl"/>
              </w:rPr>
              <w:t>manjša od 0 %</w:t>
            </w:r>
          </w:p>
        </w:tc>
        <w:bookmarkStart w:id="47" w:name="_Toc86391939"/>
        <w:bookmarkEnd w:id="47"/>
      </w:tr>
      <w:tr w:rsidR="00453251" w:rsidRPr="009461CC" w14:paraId="027FF060" w14:textId="77777777" w:rsidTr="00453251">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l"/>
              </w:rPr>
              <w:t>Bolečina</w:t>
            </w:r>
            <w:bookmarkStart w:id="48" w:name="_Toc86391940"/>
            <w:bookmarkEnd w:id="48"/>
          </w:p>
        </w:tc>
        <w:tc>
          <w:tcPr>
            <w:tcW w:w="100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0 %</w:t>
            </w:r>
          </w:p>
        </w:tc>
        <w:tc>
          <w:tcPr>
            <w:tcW w:w="1158"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sl"/>
              </w:rPr>
              <w:t>0 %</w:t>
            </w:r>
          </w:p>
        </w:tc>
        <w:tc>
          <w:tcPr>
            <w:tcW w:w="1704"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sl"/>
              </w:rPr>
              <w:t xml:space="preserve">Bolečina, </w:t>
            </w:r>
            <w:r>
              <w:rPr>
                <w:rFonts w:ascii="Times New Roman" w:hAnsi="Times New Roman" w:cs="Times New Roman"/>
                <w:b/>
                <w:bCs/>
                <w:iCs w:val="0"/>
                <w:lang w:val="sl"/>
              </w:rPr>
              <w:t>manjša od 0 %</w:t>
            </w:r>
          </w:p>
        </w:tc>
        <w:bookmarkStart w:id="52" w:name="_Toc86391945"/>
        <w:bookmarkEnd w:id="52"/>
      </w:tr>
      <w:tr w:rsidR="00453251" w:rsidRPr="009461CC" w14:paraId="28252FD0" w14:textId="77777777" w:rsidTr="00453251">
        <w:tc>
          <w:tcPr>
            <w:tcW w:w="113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l"/>
              </w:rPr>
              <w:t>Splošni zapleti</w:t>
            </w:r>
            <w:bookmarkStart w:id="53" w:name="_Toc86391946"/>
            <w:bookmarkEnd w:id="53"/>
          </w:p>
        </w:tc>
        <w:tc>
          <w:tcPr>
            <w:tcW w:w="100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0–5,2 %</w:t>
            </w:r>
          </w:p>
        </w:tc>
        <w:tc>
          <w:tcPr>
            <w:tcW w:w="1158"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sl"/>
              </w:rPr>
              <w:t>0–4 %</w:t>
            </w:r>
          </w:p>
        </w:tc>
        <w:tc>
          <w:tcPr>
            <w:tcW w:w="1704"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sl"/>
              </w:rPr>
              <w:t xml:space="preserve">Splošni zapleti, </w:t>
            </w:r>
            <w:r>
              <w:rPr>
                <w:rFonts w:ascii="Times New Roman" w:hAnsi="Times New Roman" w:cs="Times New Roman"/>
                <w:b/>
                <w:bCs/>
                <w:iCs w:val="0"/>
                <w:lang w:val="sl"/>
              </w:rPr>
              <w:t>manjši od 5,2 %</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sl"/>
              </w:rPr>
              <w:t>Učinkovitost</w:t>
            </w:r>
          </w:p>
        </w:tc>
      </w:tr>
      <w:tr w:rsidR="00453251" w:rsidRPr="009461CC" w14:paraId="6F720CB6" w14:textId="77777777" w:rsidTr="00453251">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l"/>
              </w:rPr>
              <w:t xml:space="preserve">Tehnična uspešnost </w:t>
            </w:r>
            <w:bookmarkStart w:id="58" w:name="_Toc86391954"/>
            <w:bookmarkEnd w:id="58"/>
          </w:p>
        </w:tc>
        <w:tc>
          <w:tcPr>
            <w:tcW w:w="100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82,8–100 %</w:t>
            </w:r>
          </w:p>
        </w:tc>
        <w:tc>
          <w:tcPr>
            <w:tcW w:w="1158"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sl"/>
              </w:rPr>
              <w:t>82,0–100 %</w:t>
            </w:r>
          </w:p>
        </w:tc>
        <w:tc>
          <w:tcPr>
            <w:tcW w:w="1704"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sl"/>
              </w:rPr>
              <w:t xml:space="preserve">Tehnična uspešnost, </w:t>
            </w:r>
            <w:r>
              <w:rPr>
                <w:rFonts w:ascii="Times New Roman" w:hAnsi="Times New Roman" w:cs="Times New Roman"/>
                <w:b/>
                <w:bCs/>
                <w:iCs w:val="0"/>
                <w:lang w:val="sl"/>
              </w:rPr>
              <w:t>večja od 82,0 %</w:t>
            </w:r>
          </w:p>
        </w:tc>
        <w:bookmarkStart w:id="62" w:name="_Toc86391959"/>
        <w:bookmarkEnd w:id="62"/>
      </w:tr>
      <w:tr w:rsidR="00453251" w:rsidRPr="009461CC" w14:paraId="4E839B51" w14:textId="77777777" w:rsidTr="00453251">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sl"/>
              </w:rPr>
              <w:t xml:space="preserve">Klinični uspeh </w:t>
            </w:r>
            <w:bookmarkStart w:id="63" w:name="_Toc86391960"/>
            <w:bookmarkEnd w:id="63"/>
          </w:p>
        </w:tc>
        <w:tc>
          <w:tcPr>
            <w:tcW w:w="100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l"/>
              </w:rPr>
              <w:t>95,2–100 %</w:t>
            </w:r>
          </w:p>
        </w:tc>
        <w:tc>
          <w:tcPr>
            <w:tcW w:w="1158"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sl"/>
              </w:rPr>
              <w:t>92,3–100 %</w:t>
            </w:r>
          </w:p>
        </w:tc>
        <w:tc>
          <w:tcPr>
            <w:tcW w:w="1704"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sl"/>
              </w:rPr>
              <w:t xml:space="preserve">Klinični uspeh, </w:t>
            </w:r>
            <w:r>
              <w:rPr>
                <w:rFonts w:ascii="Times New Roman" w:hAnsi="Times New Roman" w:cs="Times New Roman"/>
                <w:b/>
                <w:bCs/>
                <w:iCs w:val="0"/>
                <w:lang w:val="sl"/>
              </w:rPr>
              <w:t>večji od 92,3 %</w:t>
            </w:r>
          </w:p>
        </w:tc>
        <w:bookmarkStart w:id="67" w:name="_Toc86391965"/>
        <w:bookmarkEnd w:id="67"/>
      </w:tr>
    </w:tbl>
    <w:p w14:paraId="47F3BE56" w14:textId="14358A29"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sl"/>
        </w:rPr>
        <w:t>Komplet za vaskularno zanko Atrieve kaže sprejemljiv profil tveganja brez preostalih tveganj, ki bi bila razvrščena kot nesprejemljiva. Potencialne telesne poškodbe pacientov, kot so krvavitev, embolija, okužba in poškodba tkiva, so redke in spadajo v sprejemljive stopnje v industriji. Pogosti načini odpovedi, kot sta odklop komponent ali upornost pripomočka, so redki in dobro nadzorovani.</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sl"/>
        </w:rPr>
        <w:t>Vsa ugotovljena tveganja so obravnavana z označevanjem, opozorili in navodili za uporabo. Splošno tveganje je primerljivo z alternativnimi zdravljenji, koristi varnega, minimalno invazivnega odstranjevanja tujkov s pomočjo pripomočka pa odtehtajo tveganja. Med spremljanjem po dajanju na trg niso bila ugotovljena nobena nova tveganja.</w:t>
      </w:r>
    </w:p>
    <w:p w14:paraId="503092B6" w14:textId="15AAF628" w:rsidR="000F0AC2" w:rsidRPr="009461CC" w:rsidRDefault="008745ED" w:rsidP="001035F0">
      <w:pPr>
        <w:pStyle w:val="Heading1"/>
        <w:rPr>
          <w:rFonts w:cs="Times New Roman"/>
        </w:rPr>
      </w:pPr>
      <w:bookmarkStart w:id="68" w:name="_Toc222741748"/>
      <w:r>
        <w:rPr>
          <w:rFonts w:cs="Times New Roman"/>
          <w:bCs/>
          <w:lang w:val="sl"/>
        </w:rPr>
        <w:t>Opozorila in previdnostni ukrepi</w:t>
      </w:r>
      <w:bookmarkEnd w:id="68"/>
    </w:p>
    <w:p w14:paraId="3AFFFB2C" w14:textId="56B6C6C3" w:rsidR="00A030DC" w:rsidRPr="009461CC" w:rsidRDefault="00C64987" w:rsidP="006F12B6">
      <w:pPr>
        <w:spacing w:after="0" w:afterAutospacing="0" w:line="240" w:lineRule="auto"/>
        <w:ind w:left="792"/>
        <w:rPr>
          <w:rFonts w:cs="Times New Roman"/>
          <w:iCs/>
        </w:rPr>
      </w:pPr>
      <w:r>
        <w:rPr>
          <w:rFonts w:cs="Times New Roman"/>
          <w:lang w:val="sl"/>
        </w:rPr>
        <w:t>Referenčna navodila za uporabo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sl"/>
        </w:rPr>
        <w:t>Opozorila:</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sl"/>
        </w:rPr>
        <w:t>Ta pripomoček je bil zasnovan, preizkušen in izdelan samo za uporabo pri enem pacientu. Ponovna uporaba ali ponovna obdelava tega pripomočka lahko povzroči njegovo okvaro in posledično telesne poškodbe pacienta. Ponovna obdelava in/ali ponovna sterilizacija tega pripomočka lahko povzroči tveganje za kontaminacijo in okužbo pacienta. Tega pripomočka ne smete ponovno uporabiti, ponovno obdelati ali ponovno sterilizirati.</w:t>
      </w:r>
    </w:p>
    <w:p w14:paraId="02E0F1FE"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sl"/>
        </w:rPr>
        <w:t>Pred uporabo preverite celovitost embalaže.</w:t>
      </w:r>
    </w:p>
    <w:p w14:paraId="0AB04CB5"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sl"/>
        </w:rPr>
        <w:lastRenderedPageBreak/>
        <w:t>Ne uporabljajte, če je embalaža odprta ali poškodovana, ali če je bil rok uporabe prekoračen.</w:t>
      </w:r>
    </w:p>
    <w:p w14:paraId="287B6E69"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sl"/>
        </w:rPr>
        <w:t>Če se med postopkom kateri koli sestavni del poškoduje, ne nadaljujte z uporabo izdelka.</w:t>
      </w:r>
    </w:p>
    <w:p w14:paraId="2247748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sl"/>
        </w:rPr>
        <w:t>Nitinol je zlitina niklja in titana. Pri pacientih, ki so preobčutljivi na nikelj, se lahko pojavi reakcija.</w:t>
      </w:r>
    </w:p>
    <w:p w14:paraId="2A4E00BA"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sl"/>
        </w:rPr>
        <w:t>Pri pacientih, ki so preobčutljivi na platino, se lahko pojavi reakcija.</w:t>
      </w:r>
    </w:p>
    <w:p w14:paraId="0D7E98B5"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sl"/>
        </w:rPr>
        <w:t>Pri uporabi tega pripomočka za odstranjevanje velikih fibrinskih ovojnic bodite previdni, da manjšate tveganje pljučne embolije.</w:t>
      </w:r>
    </w:p>
    <w:p w14:paraId="4CB50B44"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sl"/>
        </w:rPr>
        <w:t>Skozi pesto dostavnega katetra se pri nekaterih postopkih lahko pojavi krvavitev. Na dostavni kateter lahko priključite hemostatski ventil (ni priložen), da zmanjšate krvavitev, kot je potrebno oziroma po zdravnikovi presoji.</w:t>
      </w:r>
    </w:p>
    <w:p w14:paraId="7C5DC59D" w14:textId="77777777" w:rsidR="0084795E" w:rsidRPr="009461CC" w:rsidRDefault="0084795E" w:rsidP="00FE6595">
      <w:pPr>
        <w:spacing w:after="0" w:afterAutospacing="0" w:line="240" w:lineRule="auto"/>
        <w:ind w:left="792"/>
        <w:rPr>
          <w:rFonts w:cs="Times New Roman"/>
          <w:iCs/>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sl"/>
        </w:rPr>
        <w:t>Previdnostni ukrepi:</w:t>
      </w:r>
    </w:p>
    <w:p w14:paraId="043EE8E1"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sl"/>
        </w:rPr>
        <w:t>Vlečne sile, ki delujejo na katetre med odstranjevanjem fibrinske ovojnice, lahko poškodujejo, raztegnejo ali zlomijo stalne katetre s premerom 6 French ali manjšim premerom. Pri odstranjevanju fibrinske ovojnice katetrov s premerom 6 French ali manj ne uporabljajte prekomerne vlečne sile.</w:t>
      </w:r>
    </w:p>
    <w:p w14:paraId="7C78A400"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sl"/>
        </w:rPr>
        <w:t>Pri vstavljanju katetra skozi uvajalnik ne uporabljajte prekomerne sile.</w:t>
      </w:r>
    </w:p>
    <w:p w14:paraId="68E7CD6A" w14:textId="77777777" w:rsidR="009E4BE1" w:rsidRPr="009461CC" w:rsidRDefault="009E4BE1" w:rsidP="00DB582A">
      <w:pPr>
        <w:spacing w:after="0" w:afterAutospacing="0" w:line="240" w:lineRule="auto"/>
        <w:rPr>
          <w:rFonts w:cs="Times New Roman"/>
          <w:b/>
          <w:bCs/>
          <w:iCs/>
        </w:rPr>
      </w:pPr>
    </w:p>
    <w:p w14:paraId="1F2A8F23" w14:textId="7550D298" w:rsidR="00481A9E" w:rsidRPr="009461CC" w:rsidRDefault="00481A9E" w:rsidP="00481A9E">
      <w:pPr>
        <w:spacing w:after="120" w:afterAutospacing="0" w:line="240" w:lineRule="auto"/>
        <w:ind w:firstLine="720"/>
        <w:jc w:val="both"/>
        <w:rPr>
          <w:rFonts w:eastAsia="Times New Roman" w:cs="Times New Roman"/>
          <w:b/>
          <w:szCs w:val="24"/>
        </w:rPr>
      </w:pPr>
      <w:r>
        <w:rPr>
          <w:rFonts w:eastAsia="Times New Roman" w:cs="Times New Roman"/>
          <w:b/>
          <w:bCs/>
          <w:szCs w:val="24"/>
          <w:lang w:val="sl"/>
        </w:rPr>
        <w:t xml:space="preserve">Tveganja in stranski učinki </w:t>
      </w:r>
    </w:p>
    <w:p w14:paraId="3EC1F3BA" w14:textId="77777777" w:rsidR="00481A9E" w:rsidRPr="009461CC" w:rsidRDefault="00481A9E" w:rsidP="00481A9E">
      <w:pPr>
        <w:spacing w:after="120" w:afterAutospacing="0" w:line="240" w:lineRule="auto"/>
        <w:jc w:val="both"/>
        <w:rPr>
          <w:rFonts w:eastAsia="Times New Roman" w:cs="Times New Roman"/>
          <w:szCs w:val="24"/>
        </w:rPr>
      </w:pPr>
      <w:r>
        <w:rPr>
          <w:rFonts w:eastAsia="Times New Roman" w:cs="Times New Roman"/>
          <w:szCs w:val="24"/>
          <w:lang w:val="sl"/>
        </w:rPr>
        <w:t>Možni zapleti lahko med drugim vključujejo naslednje:</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l"/>
        </w:rPr>
        <w:t>embolizacija,</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l"/>
        </w:rPr>
        <w:t>možganska kap,</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l"/>
        </w:rPr>
        <w:t>miokardni infarkt (odvisno od namestitve),</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l"/>
        </w:rPr>
        <w:t>pljučna embolija,</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l"/>
        </w:rPr>
        <w:t>perforacija krvne žile,</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l"/>
        </w:rPr>
        <w:t>ujetje pripomočka,</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l"/>
        </w:rPr>
        <w:t>krvavenje/hemoragija.</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sl"/>
        </w:rPr>
        <w:t>Klinične koristi</w:t>
      </w:r>
    </w:p>
    <w:p w14:paraId="12CF44E5" w14:textId="357D7E57"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sl"/>
        </w:rPr>
        <w:t>Vaskularna zanka Atrieve predstavlja neposredno korist za pacienta, saj omogoča perkutano odstranjevanje in manipulacijo s tujki z manjšimi zapleti in tveganji v primerjavi s kirurškim posegom.</w:t>
      </w:r>
    </w:p>
    <w:p w14:paraId="5240AF40" w14:textId="3E5A2DE2" w:rsidR="00042B91" w:rsidRPr="009461CC" w:rsidRDefault="00BB36B1" w:rsidP="00A4616A">
      <w:pPr>
        <w:spacing w:after="0" w:afterAutospacing="0" w:line="240" w:lineRule="auto"/>
        <w:rPr>
          <w:rFonts w:cs="Times New Roman"/>
          <w:iCs/>
        </w:rPr>
      </w:pPr>
      <w:r>
        <w:rPr>
          <w:rFonts w:cs="Times New Roman"/>
          <w:lang w:val="sl"/>
        </w:rPr>
        <w:t>Trajanje/življenjska doba: prehodno (manj kot 60 minut)</w:t>
      </w:r>
    </w:p>
    <w:p w14:paraId="393C5ED9" w14:textId="77777777" w:rsidR="00E14C97" w:rsidRPr="009461CC" w:rsidRDefault="00E14C97" w:rsidP="00042B91">
      <w:pPr>
        <w:spacing w:after="0" w:afterAutospacing="0" w:line="240" w:lineRule="auto"/>
        <w:rPr>
          <w:rFonts w:cs="Times New Roman"/>
          <w:i/>
          <w:color w:val="FF0000"/>
        </w:rPr>
      </w:pPr>
    </w:p>
    <w:p w14:paraId="09A94B0F" w14:textId="4E664EE0" w:rsidR="00760400" w:rsidRPr="009461CC" w:rsidRDefault="008745ED" w:rsidP="00042B91">
      <w:pPr>
        <w:pStyle w:val="Heading1"/>
        <w:rPr>
          <w:rFonts w:cs="Times New Roman"/>
        </w:rPr>
      </w:pPr>
      <w:bookmarkStart w:id="69" w:name="_Toc222741749"/>
      <w:r>
        <w:rPr>
          <w:rFonts w:cs="Times New Roman"/>
          <w:bCs/>
          <w:lang w:val="sl"/>
        </w:rPr>
        <w:t>Drugi pomembni vidiki varnosti, vključno s povzetkom morebitnih varnostnih korektivnih ukrepov (FSCA, vključno s FSN), če je potrebno</w:t>
      </w:r>
      <w:bookmarkEnd w:id="69"/>
    </w:p>
    <w:p w14:paraId="65E21D1D" w14:textId="58A43005" w:rsidR="004F5057" w:rsidRPr="009461CC" w:rsidRDefault="00FC52C8" w:rsidP="001F48BA">
      <w:pPr>
        <w:rPr>
          <w:rFonts w:cs="Times New Roman"/>
        </w:rPr>
      </w:pPr>
      <w:r>
        <w:rPr>
          <w:rFonts w:cs="Times New Roman"/>
          <w:lang w:val="sl"/>
        </w:rPr>
        <w:t>V obdobju poročanja ni bilo nobenih varnostnih korektivnih ukrepov (FSCA) ali odpoklicev.</w:t>
      </w:r>
    </w:p>
    <w:p w14:paraId="21FC0F42" w14:textId="6F4CDE71" w:rsidR="008745ED" w:rsidRPr="009461CC" w:rsidRDefault="008745ED" w:rsidP="00F67A0E">
      <w:pPr>
        <w:pStyle w:val="Heading1"/>
        <w:numPr>
          <w:ilvl w:val="0"/>
          <w:numId w:val="2"/>
        </w:numPr>
        <w:rPr>
          <w:rFonts w:cs="Times New Roman"/>
        </w:rPr>
      </w:pPr>
      <w:bookmarkStart w:id="70" w:name="_Toc222741750"/>
      <w:r>
        <w:rPr>
          <w:rFonts w:cs="Times New Roman"/>
          <w:bCs/>
          <w:lang w:val="sl"/>
        </w:rPr>
        <w:t>Povzetek klinične ocene in poprodajnega kliničnega spremljanja (PMCF)</w:t>
      </w:r>
      <w:bookmarkEnd w:id="70"/>
    </w:p>
    <w:p w14:paraId="7CA310DE" w14:textId="0ED9D76A" w:rsidR="00DA4404" w:rsidRPr="009461CC" w:rsidRDefault="00DA4404" w:rsidP="00DA4404">
      <w:pPr>
        <w:rPr>
          <w:rFonts w:cs="Times New Roman"/>
        </w:rPr>
      </w:pPr>
      <w:r>
        <w:rPr>
          <w:rFonts w:cs="Times New Roman"/>
          <w:lang w:val="sl"/>
        </w:rPr>
        <w:t>Poročilo o klinični oceni (CER-029 Rev B) potrjuje, da je komplet za vaskularno zanko Atrieve klinično varen in učinkovit za odstranjevanje in manipulacijo tujkov v srčno-žilnem sistemu. Uporabljajo ga predvsem usposobljeni zdravstveni delavci pri minimalno invazivnih posegih.</w:t>
      </w:r>
    </w:p>
    <w:p w14:paraId="065C32D9" w14:textId="36044E92" w:rsidR="00DA4404" w:rsidRPr="009461CC" w:rsidRDefault="00DA4404" w:rsidP="00DA4404">
      <w:pPr>
        <w:rPr>
          <w:rFonts w:cs="Times New Roman"/>
        </w:rPr>
      </w:pPr>
      <w:r>
        <w:rPr>
          <w:rFonts w:cs="Times New Roman"/>
          <w:lang w:val="sl"/>
        </w:rPr>
        <w:lastRenderedPageBreak/>
        <w:t>Vrednotenje, ki temelji na pregledu literature, kliničnih izkušnjah in podatkih po dajanju izdelka na trg, kaže visoke stopnje tehničnega in kliničnega uspeha. Zapleti, kot so krvavitev, embolija, okužba ali alergijske reakcije, so redki in znotraj sprejemljivih kliničnih omejitev.</w:t>
      </w:r>
    </w:p>
    <w:p w14:paraId="0DAD67AD" w14:textId="4FF5EA89" w:rsidR="00DA4404" w:rsidRPr="009461CC" w:rsidRDefault="00DA4404" w:rsidP="00DA4404">
      <w:pPr>
        <w:rPr>
          <w:rFonts w:cs="Times New Roman"/>
        </w:rPr>
      </w:pPr>
      <w:r>
        <w:rPr>
          <w:rFonts w:cs="Times New Roman"/>
          <w:lang w:val="sl"/>
        </w:rPr>
        <w:t>Ugotovljenih ni bilo nobenih novih varnostnih pomislekov ali nepričakovanih tveganj. Pripomoček deluje primerljivo s podobnimi izdelki na trgu in ohranja dosleden profil tveganja in koristi.</w:t>
      </w:r>
    </w:p>
    <w:p w14:paraId="745B2F11" w14:textId="506F1A62" w:rsidR="00257EE2" w:rsidRPr="009461CC" w:rsidRDefault="00DA4404" w:rsidP="00DA4404">
      <w:pPr>
        <w:rPr>
          <w:rFonts w:cs="Times New Roman"/>
          <w:highlight w:val="yellow"/>
        </w:rPr>
      </w:pPr>
      <w:r>
        <w:rPr>
          <w:rFonts w:cs="Times New Roman"/>
          <w:lang w:val="sl"/>
        </w:rPr>
        <w:t>Skratka, zanka Atrieve dokazuje zanesljivo delovanje in dobre varnostne rezultate, kar podpira njeno nadaljnjo uporabo v kliničnih okoljih.</w:t>
      </w:r>
    </w:p>
    <w:p w14:paraId="491E112E" w14:textId="43F380B5" w:rsidR="005A5584" w:rsidRPr="009461CC" w:rsidRDefault="005A5584" w:rsidP="00300E25">
      <w:pPr>
        <w:rPr>
          <w:rFonts w:cs="Times New Roman"/>
        </w:rPr>
      </w:pPr>
      <w:r>
        <w:rPr>
          <w:rFonts w:cs="Times New Roman"/>
          <w:lang w:val="sl"/>
        </w:rPr>
        <w:t>Načrt kliničnega spremljanja po dajanju na trg (PMCFP) za izdelek Atrieve opisuje strukturiran pristop za spremljanje njegove varnosti in učinkovitosti po dajanju na trg. Ti pripomočki razreda III se uporabljajo za odstranjevanje ali manipulacijo tujkov v srčno-žilnem sistemu in so namenjeni za prehodno uporabo.</w:t>
      </w:r>
    </w:p>
    <w:p w14:paraId="72FE8271" w14:textId="5FE4B52E" w:rsidR="00042B91" w:rsidRPr="009461CC" w:rsidRDefault="005A5584" w:rsidP="00A8663C">
      <w:pPr>
        <w:rPr>
          <w:rFonts w:cs="Times New Roman"/>
        </w:rPr>
      </w:pPr>
      <w:r>
        <w:rPr>
          <w:rFonts w:cs="Times New Roman"/>
          <w:lang w:val="sl"/>
        </w:rPr>
        <w:t>Dejavnosti PMCF temeljijo na splošnih metodah, vključno z letnimi pregledi literature, spremljanjem podatkovne baze o neželenih učinkih (npr. MAUDE) in analizo poročil o nadzoru po dajanju na trg. Namen teh prizadevanj je potrditi stalno varnost in učinkovitost, prepoznati nastajajoča tveganja in odkriti uporabo zunaj odobrenih indikacij. Za primerjavo rezultatov se pregledajo tudi klinični podatki iz podobnih pripomočkov.</w:t>
      </w:r>
    </w:p>
    <w:p w14:paraId="33785C59" w14:textId="7AB0634B" w:rsidR="008745ED" w:rsidRPr="009461CC" w:rsidRDefault="008745ED" w:rsidP="00042B91">
      <w:pPr>
        <w:pStyle w:val="Heading1"/>
        <w:rPr>
          <w:rFonts w:cs="Times New Roman"/>
        </w:rPr>
      </w:pPr>
      <w:bookmarkStart w:id="71" w:name="_Toc222741751"/>
      <w:r>
        <w:rPr>
          <w:rFonts w:cs="Times New Roman"/>
          <w:bCs/>
          <w:lang w:val="sl"/>
        </w:rPr>
        <w:t>Povzetek kliničnih podatkov, povezanih z enakovrednim pripomočkom, če je potrebno</w:t>
      </w:r>
      <w:bookmarkEnd w:id="71"/>
      <w:r>
        <w:rPr>
          <w:rFonts w:cs="Times New Roman"/>
          <w:bCs/>
          <w:lang w:val="sl"/>
        </w:rPr>
        <w:t xml:space="preserve"> </w:t>
      </w:r>
    </w:p>
    <w:p w14:paraId="62C65035" w14:textId="2ED3F324" w:rsidR="00B763A0" w:rsidRPr="009461CC" w:rsidRDefault="00F24AE3" w:rsidP="00511B41">
      <w:pPr>
        <w:ind w:firstLine="360"/>
        <w:rPr>
          <w:rFonts w:cs="Times New Roman"/>
        </w:rPr>
      </w:pPr>
      <w:r>
        <w:rPr>
          <w:rFonts w:cs="Times New Roman"/>
          <w:lang w:val="sl"/>
        </w:rPr>
        <w:t>Ta razdelek se ne uporablja (ni na voljo).</w:t>
      </w:r>
    </w:p>
    <w:p w14:paraId="46CE7D79" w14:textId="2B10E133" w:rsidR="008745ED" w:rsidRPr="009461CC" w:rsidRDefault="008745ED" w:rsidP="00042B91">
      <w:pPr>
        <w:pStyle w:val="Heading1"/>
        <w:rPr>
          <w:rFonts w:cs="Times New Roman"/>
        </w:rPr>
      </w:pPr>
      <w:bookmarkStart w:id="72" w:name="_Toc222741752"/>
      <w:r>
        <w:rPr>
          <w:rFonts w:cs="Times New Roman"/>
          <w:bCs/>
          <w:lang w:val="sl"/>
        </w:rPr>
        <w:t>Povzetek kliničnih podatkov iz opravljenih preiskav za pripomoček pred oznako CE, če je potrebno</w:t>
      </w:r>
      <w:bookmarkEnd w:id="72"/>
      <w:r>
        <w:rPr>
          <w:rFonts w:cs="Times New Roman"/>
          <w:bCs/>
          <w:lang w:val="sl"/>
        </w:rPr>
        <w:t xml:space="preserve"> </w:t>
      </w:r>
    </w:p>
    <w:p w14:paraId="27B7D18D" w14:textId="3346219F" w:rsidR="004846A6" w:rsidRPr="009461CC" w:rsidRDefault="00F604C9" w:rsidP="00F24AE3">
      <w:pPr>
        <w:ind w:left="360"/>
        <w:rPr>
          <w:rFonts w:cs="Times New Roman"/>
        </w:rPr>
      </w:pPr>
      <w:bookmarkStart w:id="73" w:name="_Hlk196514030"/>
      <w:r>
        <w:rPr>
          <w:rFonts w:cs="Times New Roman"/>
          <w:lang w:val="sl"/>
        </w:rPr>
        <w:t>Ta razdelek se ne uporablja (ni na voljo).</w:t>
      </w:r>
    </w:p>
    <w:p w14:paraId="7A896071" w14:textId="00061818" w:rsidR="008745ED" w:rsidRPr="009461CC" w:rsidRDefault="008745ED" w:rsidP="00042B91">
      <w:pPr>
        <w:pStyle w:val="Heading1"/>
        <w:rPr>
          <w:rFonts w:cs="Times New Roman"/>
        </w:rPr>
      </w:pPr>
      <w:bookmarkStart w:id="74" w:name="_Toc222741753"/>
      <w:bookmarkEnd w:id="73"/>
      <w:r>
        <w:rPr>
          <w:rFonts w:cs="Times New Roman"/>
          <w:bCs/>
          <w:lang w:val="sl"/>
        </w:rPr>
        <w:t>Povzetek kliničnih podatkov iz drugih virov, če je potrebno</w:t>
      </w:r>
      <w:bookmarkEnd w:id="74"/>
      <w:r>
        <w:rPr>
          <w:rFonts w:cs="Times New Roman"/>
          <w:bCs/>
          <w:lang w:val="sl"/>
        </w:rPr>
        <w:t xml:space="preserve"> </w:t>
      </w:r>
    </w:p>
    <w:p w14:paraId="3F1ED76E" w14:textId="5FADBA51" w:rsidR="006C2B68" w:rsidRPr="009461CC" w:rsidRDefault="0037599D" w:rsidP="004846A6">
      <w:pPr>
        <w:spacing w:before="100" w:beforeAutospacing="1" w:line="240" w:lineRule="auto"/>
        <w:rPr>
          <w:rFonts w:eastAsia="Times New Roman" w:cs="Times New Roman"/>
          <w:szCs w:val="24"/>
        </w:rPr>
      </w:pPr>
      <w:r>
        <w:rPr>
          <w:rFonts w:eastAsia="Times New Roman" w:cs="Times New Roman"/>
          <w:szCs w:val="24"/>
          <w:lang w:val="sl"/>
        </w:rPr>
        <w:t>CER-029 Rev B podpira celovit pregled zunanjih kliničnih podatkov, vključno z naslednjim:</w:t>
      </w:r>
    </w:p>
    <w:p w14:paraId="421058D0" w14:textId="26D1A572" w:rsidR="00FB1FDD" w:rsidRPr="009461CC" w:rsidRDefault="00FC5667" w:rsidP="004846A6">
      <w:pPr>
        <w:spacing w:before="100" w:beforeAutospacing="1" w:line="240" w:lineRule="auto"/>
        <w:rPr>
          <w:rFonts w:cs="Times New Roman"/>
        </w:rPr>
      </w:pPr>
      <w:r>
        <w:rPr>
          <w:rFonts w:cs="Times New Roman"/>
          <w:szCs w:val="24"/>
          <w:lang w:val="sl"/>
        </w:rPr>
        <w:t>Najsodobnejša literatura (SOA): sistematični pregled 579 člankov je odkril 16 ustreznih študij o podobnih pripomočkih in postopkih. Te študije so pokazale visoke stopnje tehničnega uspeha (≥ 91,2 %) in nizke stopnje zapletov (≤ 1,1 %), s čimer so postavile merila za varnost in učinkovitost.</w:t>
      </w:r>
      <w:r>
        <w:rPr>
          <w:rFonts w:cs="Times New Roman"/>
          <w:lang w:val="sl"/>
        </w:rPr>
        <w:t xml:space="preserve"> </w:t>
      </w:r>
    </w:p>
    <w:p w14:paraId="7C6B59FC" w14:textId="77777777" w:rsidR="00FB1FDD" w:rsidRPr="009461CC" w:rsidRDefault="00D23267" w:rsidP="004846A6">
      <w:pPr>
        <w:spacing w:before="100" w:beforeAutospacing="1" w:line="240" w:lineRule="auto"/>
        <w:rPr>
          <w:rFonts w:cs="Times New Roman"/>
        </w:rPr>
      </w:pPr>
      <w:r>
        <w:rPr>
          <w:rFonts w:cs="Times New Roman"/>
          <w:szCs w:val="24"/>
          <w:lang w:val="sl"/>
        </w:rPr>
        <w:t>Literatura o konkurenčnih pripomočkih: osem študij o primerljivih pripomočkih (npr. EN Snare, GooseNeck, CloverSnare) je potrdilo podobne profile varnosti in učinkovitosti, kar je okrepilo status standardne oskrbe z vaskularnimi zankami.</w:t>
      </w:r>
      <w:r>
        <w:rPr>
          <w:rFonts w:cs="Times New Roman"/>
          <w:lang w:val="sl"/>
        </w:rPr>
        <w:t xml:space="preserve"> </w:t>
      </w:r>
    </w:p>
    <w:p w14:paraId="2910073B" w14:textId="4049ACE7" w:rsidR="004846A6" w:rsidRPr="009461CC" w:rsidRDefault="009B4453" w:rsidP="004846A6">
      <w:pPr>
        <w:spacing w:before="100" w:beforeAutospacing="1" w:line="240" w:lineRule="auto"/>
        <w:rPr>
          <w:rFonts w:eastAsia="Times New Roman" w:cs="Times New Roman"/>
          <w:szCs w:val="24"/>
        </w:rPr>
      </w:pPr>
      <w:r>
        <w:rPr>
          <w:rFonts w:eastAsia="Times New Roman" w:cs="Times New Roman"/>
          <w:szCs w:val="24"/>
          <w:lang w:val="sl"/>
        </w:rPr>
        <w:t>Klinične smernice: priporočila strokovnih združenj (npr. SIR, ESC, KDOQI) podpirajo uporabo perkutanih metod odstranjevanja, vključno z zankami, kot prvo izbiro zdravljenja za odstranjevanje tujkov v srčno-žilnem sistemu.</w:t>
      </w:r>
    </w:p>
    <w:p w14:paraId="661EF380" w14:textId="29BB1CA1" w:rsidR="00516D79" w:rsidRPr="009461CC" w:rsidRDefault="00516D79" w:rsidP="004846A6">
      <w:pPr>
        <w:spacing w:before="100" w:beforeAutospacing="1" w:line="240" w:lineRule="auto"/>
        <w:rPr>
          <w:rFonts w:eastAsia="Times New Roman" w:cs="Times New Roman"/>
          <w:szCs w:val="24"/>
        </w:rPr>
      </w:pPr>
      <w:r>
        <w:rPr>
          <w:rFonts w:eastAsia="Times New Roman" w:cs="Times New Roman"/>
          <w:szCs w:val="24"/>
          <w:lang w:val="sl"/>
        </w:rPr>
        <w:lastRenderedPageBreak/>
        <w:t>Literatura o zadevnem pripomočku: trinajst publikacij (vključno s poročili o primerih in retrospektivnimi študijami) o izdelku Atrieve je pokazalo 100-odstotni tehnični uspeh in 94,5-odstotni klinični uspeh z minimalnimi neželenimi učinki. Nekatere meritve učinkovitosti so bile nekoliko slabše od meril SOA, vendar so ostale znotraj sprejemljivih kliničnih razponov.</w:t>
      </w:r>
    </w:p>
    <w:p w14:paraId="66F22352" w14:textId="28F3CCF3"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sl"/>
        </w:rPr>
        <w:t>Poleg tega poročilo vključuje podatke o nadzoru po dajanju na trg (PMS), zbrane prek strukturiranih načrtov nadzora za izdelek Atrieve. To vključuje spremljanje pritožb in neželenih dogodkov v obdobju petih let ter korektivne ukrepe. Kljub velikemu obsegu svetovne prodaje podatki PMS niso razkrili nobenih nastajajočih varnostnih trendov ali nepredvidenih tveganj, kar krepi varnostne profile pripomočkov v resničnih pogojih.</w:t>
      </w:r>
    </w:p>
    <w:p w14:paraId="6527D03E" w14:textId="73944EC6"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sl"/>
        </w:rPr>
        <w:t>Nazadnje pa neklinični podatki, vključno z laboratorijskimi preskusi in ocenami biozdružljivosti, kažejo, da pripomočki izpolnjujejo vse standarde glede zasnove in regulativne standarde. Čeprav za te pripomočke niso bile izvedene nobene klinične raziskave, je bilo to utemeljeno z obsežnimi podatki iz literature, virov po dajanju na trg in uporabe starejših pripomočkov. Na splošno ti različni viri podatkov skupaj podpirajo varnost in učinkovitost pripomočkov v skladu z zahtevami EU MDR.</w:t>
      </w:r>
    </w:p>
    <w:p w14:paraId="0F01E5AD" w14:textId="2BD461FF" w:rsidR="008745ED" w:rsidRPr="009461CC" w:rsidRDefault="008745ED" w:rsidP="00042B91">
      <w:pPr>
        <w:pStyle w:val="Heading1"/>
        <w:rPr>
          <w:rFonts w:cs="Times New Roman"/>
        </w:rPr>
      </w:pPr>
      <w:bookmarkStart w:id="75" w:name="_Toc222741754"/>
      <w:r>
        <w:rPr>
          <w:rFonts w:cs="Times New Roman"/>
          <w:bCs/>
          <w:lang w:val="sl"/>
        </w:rPr>
        <w:t>Splošni povzetek klinične učinkovitosti in varnosti</w:t>
      </w:r>
      <w:bookmarkEnd w:id="75"/>
      <w:r>
        <w:rPr>
          <w:rFonts w:cs="Times New Roman"/>
          <w:bCs/>
          <w:lang w:val="sl"/>
        </w:rPr>
        <w:t xml:space="preserve"> </w:t>
      </w:r>
    </w:p>
    <w:p w14:paraId="7C1B956B" w14:textId="77777777" w:rsidR="009977D7" w:rsidRPr="009461CC" w:rsidRDefault="009977D7" w:rsidP="00D52DF8">
      <w:pPr>
        <w:spacing w:after="0" w:afterAutospacing="0" w:line="240" w:lineRule="auto"/>
        <w:rPr>
          <w:rFonts w:eastAsia="Times New Roman" w:cs="Times New Roman"/>
          <w:iCs/>
          <w:szCs w:val="24"/>
        </w:rPr>
      </w:pPr>
    </w:p>
    <w:p w14:paraId="068544DB" w14:textId="3687A670" w:rsidR="00D52DF8" w:rsidRPr="009461CC" w:rsidRDefault="00D52DF8" w:rsidP="00D52DF8">
      <w:pPr>
        <w:spacing w:after="0" w:afterAutospacing="0" w:line="240" w:lineRule="auto"/>
        <w:rPr>
          <w:rFonts w:eastAsia="Times New Roman" w:cs="Times New Roman"/>
          <w:iCs/>
          <w:szCs w:val="24"/>
        </w:rPr>
      </w:pPr>
      <w:r>
        <w:rPr>
          <w:rFonts w:eastAsia="Times New Roman" w:cs="Times New Roman"/>
          <w:szCs w:val="24"/>
          <w:lang w:val="sl"/>
        </w:rPr>
        <w:t>Na podlagi dokumentov X9585730-0321-EU Rev A in CER-029 Rev B za komplet za vaskularno zanko Atrieve sta splošna klinična učinkovitost in varnostni profil pripomočka ugodna in skladna s pričakovanji za njegovo predvideno uporabo.</w:t>
      </w:r>
    </w:p>
    <w:p w14:paraId="3508FD3D" w14:textId="77777777" w:rsidR="002E59B4" w:rsidRPr="009461CC" w:rsidRDefault="002E59B4" w:rsidP="00D52DF8">
      <w:pPr>
        <w:spacing w:after="0" w:afterAutospacing="0" w:line="240" w:lineRule="auto"/>
        <w:rPr>
          <w:rFonts w:eastAsia="Times New Roman" w:cs="Times New Roman"/>
          <w:iCs/>
          <w:szCs w:val="24"/>
        </w:rPr>
      </w:pPr>
    </w:p>
    <w:p w14:paraId="0A303358" w14:textId="24357A0A" w:rsidR="00C361CA" w:rsidRPr="009461CC" w:rsidRDefault="005C642C" w:rsidP="00C97841">
      <w:pPr>
        <w:spacing w:after="0" w:afterAutospacing="0" w:line="240" w:lineRule="auto"/>
        <w:rPr>
          <w:rFonts w:cs="Times New Roman"/>
        </w:rPr>
      </w:pPr>
      <w:r>
        <w:rPr>
          <w:rFonts w:cs="Times New Roman"/>
          <w:lang w:val="sl"/>
        </w:rPr>
        <w:t xml:space="preserve">Pripomoček je zasnovan za </w:t>
      </w:r>
      <w:r>
        <w:rPr>
          <w:rStyle w:val="Strong"/>
          <w:rFonts w:cs="Times New Roman"/>
          <w:lang w:val="sl"/>
        </w:rPr>
        <w:t>perkutano odstranjevanje in manipulacija tujkov</w:t>
      </w:r>
      <w:r>
        <w:rPr>
          <w:rFonts w:cs="Times New Roman"/>
          <w:lang w:val="sl"/>
        </w:rPr>
        <w:t xml:space="preserve"> v kardiovaskularnem sistemu ali votlem organu. Ključne klinične koristi vključujejo minimalno invazivno odstranitev, zmanjšano tveganje za paciente in nižje stopnje zapletov v primerjavi s kirurškimi alternativami.</w:t>
      </w:r>
    </w:p>
    <w:p w14:paraId="0DE0B963" w14:textId="77777777" w:rsidR="005C642C" w:rsidRPr="009461CC" w:rsidRDefault="005C642C" w:rsidP="00C97841">
      <w:pPr>
        <w:spacing w:after="0" w:afterAutospacing="0" w:line="240" w:lineRule="auto"/>
        <w:rPr>
          <w:rFonts w:eastAsia="Times New Roman" w:cs="Times New Roman"/>
          <w:iCs/>
          <w:szCs w:val="24"/>
        </w:rPr>
      </w:pPr>
    </w:p>
    <w:p w14:paraId="2DA4A118" w14:textId="58FE2B84" w:rsidR="00C97841" w:rsidRPr="009461CC" w:rsidRDefault="00B26297" w:rsidP="00C97841">
      <w:pPr>
        <w:spacing w:after="0" w:afterAutospacing="0" w:line="240" w:lineRule="auto"/>
        <w:rPr>
          <w:rFonts w:eastAsia="Times New Roman" w:cs="Times New Roman"/>
          <w:iCs/>
          <w:szCs w:val="24"/>
        </w:rPr>
      </w:pPr>
      <w:r>
        <w:rPr>
          <w:rFonts w:eastAsia="Times New Roman" w:cs="Times New Roman"/>
          <w:szCs w:val="24"/>
          <w:lang w:val="sl"/>
        </w:rPr>
        <w:t>Klinična ocena opredeljuje naslednje izhodne ukrepe:</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sl"/>
              </w:rPr>
              <w:t>Ukrepi učinkovitosti</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sl"/>
              </w:rPr>
              <w:t>Ukrep</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sl"/>
              </w:rPr>
              <w:t>Definicija</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sl"/>
              </w:rPr>
              <w:t>Tehnična uspešnost</w:t>
            </w:r>
          </w:p>
        </w:tc>
        <w:tc>
          <w:tcPr>
            <w:tcW w:w="3514" w:type="pct"/>
            <w:tcMar>
              <w:top w:w="120" w:type="dxa"/>
              <w:left w:w="180" w:type="dxa"/>
              <w:bottom w:w="105" w:type="dxa"/>
              <w:right w:w="120" w:type="dxa"/>
            </w:tcMar>
            <w:hideMark/>
          </w:tcPr>
          <w:p w14:paraId="55E25C2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sl"/>
              </w:rPr>
              <w:t>Uspešno odstranjevanje/manipulacija tujkov</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sl"/>
              </w:rPr>
              <w:t>Klinični uspeh</w:t>
            </w:r>
          </w:p>
        </w:tc>
        <w:tc>
          <w:tcPr>
            <w:tcW w:w="3514" w:type="pct"/>
            <w:tcMar>
              <w:top w:w="120" w:type="dxa"/>
              <w:left w:w="180" w:type="dxa"/>
              <w:bottom w:w="90" w:type="dxa"/>
              <w:right w:w="120" w:type="dxa"/>
            </w:tcMar>
            <w:hideMark/>
          </w:tcPr>
          <w:p w14:paraId="01FCEBA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sl"/>
              </w:rPr>
              <w:t>Uspešno pridobivanje/manipulacija brez proceduralnih zapletov</w:t>
            </w:r>
          </w:p>
        </w:tc>
      </w:tr>
    </w:tbl>
    <w:p w14:paraId="6CABCDF2" w14:textId="77777777" w:rsidR="004F7F77" w:rsidRPr="009461CC" w:rsidRDefault="004F7F77" w:rsidP="00C97841">
      <w:pPr>
        <w:spacing w:after="0" w:afterAutospacing="0" w:line="240"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1"/>
        <w:gridCol w:w="7649"/>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Pr>
                <w:rFonts w:eastAsia="Times New Roman" w:cs="Times New Roman"/>
                <w:b/>
                <w:bCs/>
                <w:lang w:val="sl"/>
              </w:rPr>
              <w:t>Varnostni ukrepi</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sl"/>
              </w:rPr>
              <w:t>Ukrep</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sl"/>
              </w:rPr>
              <w:t>Definicija</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sl"/>
              </w:rPr>
              <w:t>Postopkovni zapleti</w:t>
            </w:r>
          </w:p>
        </w:tc>
        <w:tc>
          <w:tcPr>
            <w:tcW w:w="0" w:type="auto"/>
            <w:tcMar>
              <w:top w:w="120" w:type="dxa"/>
              <w:left w:w="180" w:type="dxa"/>
              <w:bottom w:w="105" w:type="dxa"/>
              <w:right w:w="120" w:type="dxa"/>
            </w:tcMar>
            <w:hideMark/>
          </w:tcPr>
          <w:p w14:paraId="5EFFAF53"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sl"/>
              </w:rPr>
              <w:t>Vključujejo krvavitev, perforacijo, embolijo, okužbo, alergijsko reakcijo, bolečino</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sl"/>
              </w:rPr>
              <w:lastRenderedPageBreak/>
              <w:t>Splošna stopnja zapletov</w:t>
            </w:r>
          </w:p>
        </w:tc>
        <w:tc>
          <w:tcPr>
            <w:tcW w:w="0" w:type="auto"/>
            <w:tcMar>
              <w:top w:w="120" w:type="dxa"/>
              <w:left w:w="180" w:type="dxa"/>
              <w:bottom w:w="90" w:type="dxa"/>
              <w:right w:w="120" w:type="dxa"/>
            </w:tcMar>
            <w:hideMark/>
          </w:tcPr>
          <w:p w14:paraId="2D2E84BE"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sl"/>
              </w:rPr>
              <w:t>Skupna stopnja vseh neželenih dogodkov med postopkom ali po njem</w:t>
            </w:r>
          </w:p>
        </w:tc>
      </w:tr>
    </w:tbl>
    <w:p w14:paraId="4A64B2C8" w14:textId="77777777" w:rsidR="00607046" w:rsidRPr="009461CC" w:rsidRDefault="00607046" w:rsidP="00C97841">
      <w:pPr>
        <w:spacing w:after="0" w:afterAutospacing="0" w:line="240" w:lineRule="auto"/>
        <w:rPr>
          <w:rFonts w:eastAsia="Times New Roman" w:cs="Times New Roman"/>
          <w:iCs/>
          <w:szCs w:val="24"/>
        </w:rPr>
      </w:pPr>
    </w:p>
    <w:p w14:paraId="10E95C55" w14:textId="35E4246E" w:rsidR="00050F24" w:rsidRPr="009461CC" w:rsidRDefault="00050F24" w:rsidP="00050F24">
      <w:pPr>
        <w:spacing w:after="0" w:afterAutospacing="0" w:line="240" w:lineRule="auto"/>
        <w:rPr>
          <w:rFonts w:eastAsia="Times New Roman" w:cs="Times New Roman"/>
          <w:iCs/>
          <w:szCs w:val="24"/>
        </w:rPr>
      </w:pPr>
      <w:r>
        <w:rPr>
          <w:rFonts w:eastAsia="Times New Roman" w:cs="Times New Roman"/>
          <w:szCs w:val="24"/>
          <w:lang w:val="sl"/>
        </w:rPr>
        <w:t>Povzetek stopenj uspešnosti za ukrepe rezultatov uporabe vaskularne zanke Atrieve:</w:t>
      </w:r>
    </w:p>
    <w:p w14:paraId="5B675D80" w14:textId="77777777" w:rsidR="00EE18FA" w:rsidRPr="009461CC" w:rsidRDefault="00EE18FA" w:rsidP="00050F24">
      <w:pPr>
        <w:spacing w:after="0" w:afterAutospacing="0" w:line="240" w:lineRule="auto"/>
        <w:rPr>
          <w:rFonts w:eastAsia="Times New Roman" w:cs="Times New Roman"/>
          <w:iCs/>
          <w:szCs w:val="24"/>
        </w:rPr>
      </w:pPr>
    </w:p>
    <w:p w14:paraId="6387EAAA" w14:textId="6A98A9F8"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sl"/>
        </w:rPr>
        <w:t>Tehnični uspeh je bil odličen in je znašal 100 %.</w:t>
      </w:r>
    </w:p>
    <w:p w14:paraId="70426807" w14:textId="6A68FCB6"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sl"/>
        </w:rPr>
        <w:t>Klinični uspeh je znašal 94,5 %, kar je nekoliko pod pragom 97,4 %.</w:t>
      </w:r>
    </w:p>
    <w:p w14:paraId="3E9DC071" w14:textId="055EE80D"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sl"/>
        </w:rPr>
        <w:t>Skupna stopnja zapletov, perforacija/poškodba tkiva in klinični uspeh niso izpolnjevali meril sprejemljivosti.</w:t>
      </w:r>
    </w:p>
    <w:p w14:paraId="44EC781B" w14:textId="7DA02325"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sl"/>
        </w:rPr>
        <w:t>Stopnje embolije, bolečine in umrljivosti so znašale 0 % in so izpolnjevale merila.</w:t>
      </w:r>
    </w:p>
    <w:p w14:paraId="05E37DDA" w14:textId="77777777" w:rsidR="00EE18FA" w:rsidRPr="009461CC" w:rsidRDefault="00EE18FA" w:rsidP="00EE18FA">
      <w:pPr>
        <w:pStyle w:val="ListParagraph"/>
        <w:spacing w:after="0" w:afterAutospacing="0" w:line="240" w:lineRule="auto"/>
        <w:rPr>
          <w:rFonts w:eastAsia="Times New Roman" w:cs="Times New Roman"/>
          <w:iCs/>
          <w:szCs w:val="24"/>
        </w:rPr>
      </w:pPr>
    </w:p>
    <w:p w14:paraId="3F2FC7C2" w14:textId="2808A8DE" w:rsidR="00050F24" w:rsidRPr="009461CC" w:rsidRDefault="00050F24" w:rsidP="00EE18FA">
      <w:pPr>
        <w:spacing w:after="0" w:afterAutospacing="0" w:line="240" w:lineRule="auto"/>
        <w:rPr>
          <w:rFonts w:eastAsia="Times New Roman" w:cs="Times New Roman"/>
          <w:iCs/>
          <w:szCs w:val="24"/>
        </w:rPr>
      </w:pPr>
      <w:r>
        <w:rPr>
          <w:rFonts w:eastAsia="Times New Roman" w:cs="Times New Roman"/>
          <w:szCs w:val="24"/>
          <w:lang w:val="sl"/>
        </w:rPr>
        <w:t>Kljub temu, da so nekateri varnostni rezultati presegli pragove, je profil koristi in tveganj ostal ugoden zaradi visokega tehničnega uspeha in zapletov z nizko stopnjo resnosti.</w:t>
      </w:r>
    </w:p>
    <w:p w14:paraId="2F8EAFF0" w14:textId="77777777" w:rsidR="00AA7F1D" w:rsidRPr="009461CC" w:rsidRDefault="00AA7F1D" w:rsidP="00D47200">
      <w:pPr>
        <w:spacing w:after="0" w:afterAutospacing="0" w:line="240" w:lineRule="auto"/>
        <w:rPr>
          <w:rFonts w:eastAsia="Times New Roman" w:cs="Times New Roman"/>
          <w:iCs/>
          <w:szCs w:val="24"/>
        </w:rPr>
      </w:pPr>
    </w:p>
    <w:p w14:paraId="7A0B3597" w14:textId="24A6D6E4" w:rsidR="00D47200" w:rsidRPr="009461CC" w:rsidRDefault="00AA7F1D" w:rsidP="00D47200">
      <w:pPr>
        <w:spacing w:after="0" w:afterAutospacing="0" w:line="240" w:lineRule="auto"/>
        <w:rPr>
          <w:rFonts w:eastAsia="Times New Roman" w:cs="Times New Roman"/>
          <w:iCs/>
          <w:szCs w:val="24"/>
        </w:rPr>
      </w:pPr>
      <w:r>
        <w:rPr>
          <w:rFonts w:eastAsia="Times New Roman" w:cs="Times New Roman"/>
          <w:szCs w:val="24"/>
          <w:lang w:val="sl"/>
        </w:rPr>
        <w:t>Klinične trditve v navodilih za uporabo in trženjskih gradivih</w:t>
      </w:r>
    </w:p>
    <w:p w14:paraId="7DADA029" w14:textId="6C6ECAD3" w:rsidR="001F48BA" w:rsidRPr="009461CC" w:rsidRDefault="00C01A53" w:rsidP="00D52DF8">
      <w:pPr>
        <w:spacing w:after="0" w:afterAutospacing="0" w:line="240" w:lineRule="auto"/>
        <w:rPr>
          <w:rFonts w:cs="Times New Roman"/>
          <w:iCs/>
          <w:szCs w:val="24"/>
        </w:rPr>
      </w:pPr>
      <w:r>
        <w:rPr>
          <w:rFonts w:cs="Times New Roman"/>
          <w:szCs w:val="24"/>
          <w:lang w:val="sl"/>
        </w:rPr>
        <w:t>Klinična ocena podpira naslednje trditve:</w:t>
      </w:r>
    </w:p>
    <w:p w14:paraId="19E8DAE4" w14:textId="77777777" w:rsidR="00EE18FA" w:rsidRPr="009461CC" w:rsidRDefault="00EE18FA" w:rsidP="00D52DF8">
      <w:pPr>
        <w:spacing w:after="0" w:afterAutospacing="0" w:line="240" w:lineRule="auto"/>
        <w:rPr>
          <w:rFonts w:cs="Times New Roman"/>
          <w:iCs/>
          <w:szCs w:val="24"/>
        </w:rPr>
      </w:pPr>
    </w:p>
    <w:p w14:paraId="7925D059" w14:textId="1A5A89D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sl"/>
        </w:rPr>
        <w:t>Perkutano odstranjevanje/manipulacija tujkov – podprto s 100-odstotnim tehničnim uspehom v literaturi.</w:t>
      </w:r>
    </w:p>
    <w:p w14:paraId="3AB6E45D" w14:textId="783809A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sl"/>
        </w:rPr>
        <w:t>Nižje stopnje zapletov kot pri kirurškem posegu – podprto s primerjalno literaturo in najsodobnejšo analizo.</w:t>
      </w:r>
    </w:p>
    <w:p w14:paraId="15638B58" w14:textId="335CFE86"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sl"/>
        </w:rPr>
        <w:t>Uporaba pri dodatnih postopkih (npr. odstranjevanje fibrinske ovojnice, premestitev katetra) – podprto s kliničnimi poročili o primerih in postopkovnimi smernicami.</w:t>
      </w:r>
    </w:p>
    <w:p w14:paraId="351D383E" w14:textId="7EB46C62" w:rsidR="00C01A53"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sl"/>
        </w:rPr>
        <w:t>Varno za uporabo pri odrasli populaciji – podprto s podatki iz spremljanja po dajanju na trg in podatkov v literaturi.</w:t>
      </w:r>
    </w:p>
    <w:p w14:paraId="68D32F33" w14:textId="77777777" w:rsidR="005D424F" w:rsidRPr="009461CC" w:rsidRDefault="005D424F" w:rsidP="005D424F">
      <w:pPr>
        <w:spacing w:after="0" w:afterAutospacing="0" w:line="240" w:lineRule="auto"/>
        <w:rPr>
          <w:rFonts w:cs="Times New Roman"/>
          <w:iCs/>
          <w:szCs w:val="24"/>
        </w:rPr>
      </w:pPr>
    </w:p>
    <w:p w14:paraId="76063689" w14:textId="3006D09D" w:rsidR="005D424F" w:rsidRPr="009461CC" w:rsidRDefault="005D424F" w:rsidP="005D424F">
      <w:pPr>
        <w:spacing w:after="0" w:afterAutospacing="0" w:line="240" w:lineRule="auto"/>
        <w:rPr>
          <w:rFonts w:cs="Times New Roman"/>
          <w:iCs/>
          <w:szCs w:val="24"/>
        </w:rPr>
      </w:pPr>
      <w:r>
        <w:rPr>
          <w:rFonts w:cs="Times New Roman"/>
          <w:szCs w:val="24"/>
          <w:lang w:val="sl"/>
        </w:rPr>
        <w:t>Vaskularne zanke Atrieve kažejo ugoden profil koristi in tveganj, z močno klinično učinkovitostjo in varnostjo, ki jih podpirajo literatura, preskušanja in podatki po dajanju na trg. Izdelki so skladni z regulativnimi standardi in primerni za nadaljnjo klinično uporabo.</w:t>
      </w:r>
    </w:p>
    <w:p w14:paraId="653883C0" w14:textId="77777777" w:rsidR="003859AF" w:rsidRPr="009461CC" w:rsidRDefault="003859AF" w:rsidP="003859AF">
      <w:pPr>
        <w:spacing w:after="0" w:afterAutospacing="0" w:line="240" w:lineRule="auto"/>
        <w:rPr>
          <w:rFonts w:cs="Times New Roman"/>
          <w:iCs/>
          <w:szCs w:val="24"/>
        </w:rPr>
      </w:pPr>
    </w:p>
    <w:p w14:paraId="6DCFA27A" w14:textId="12CF0A2D" w:rsidR="00C91927" w:rsidRPr="009461CC" w:rsidRDefault="008745ED" w:rsidP="00C91927">
      <w:pPr>
        <w:pStyle w:val="Heading1"/>
        <w:rPr>
          <w:rFonts w:cs="Times New Roman"/>
          <w:color w:val="auto"/>
        </w:rPr>
      </w:pPr>
      <w:bookmarkStart w:id="76" w:name="_Toc222741755"/>
      <w:r>
        <w:rPr>
          <w:rFonts w:cs="Times New Roman"/>
          <w:bCs/>
          <w:color w:val="auto"/>
          <w:lang w:val="sl"/>
        </w:rPr>
        <w:t>Tekoče ali načrtovano poprodajno klinično spremljanje</w:t>
      </w:r>
      <w:bookmarkEnd w:id="76"/>
    </w:p>
    <w:p w14:paraId="494CEDC3" w14:textId="10523200" w:rsidR="0094476E" w:rsidRPr="009461CC" w:rsidRDefault="003B4C77" w:rsidP="00C91927">
      <w:pPr>
        <w:spacing w:line="240" w:lineRule="auto"/>
        <w:rPr>
          <w:rFonts w:cs="Times New Roman"/>
          <w:highlight w:val="yellow"/>
        </w:rPr>
      </w:pPr>
      <w:r>
        <w:rPr>
          <w:rFonts w:cs="Times New Roman"/>
          <w:lang w:val="sl"/>
        </w:rPr>
        <w:t>Klinično spremljanje po dajanju na trg za vaskularne zanke Atrieve se izvaja v skladu s standardom PMCFP-029 Rev C in upošteva zahteve dela B Priloge XIV k MDR. Dejavnosti PMCF so zasnovane tako, da proaktivno potrdijo varnost in učinkovitost pripomočka v rutinski klinični praksi, da prepoznajo morebitna nastajajoča tveganja in preverijo, ali je profil koristi in tveganj še vedno sprejemljiv.</w:t>
      </w:r>
    </w:p>
    <w:p w14:paraId="58642C16" w14:textId="276C8BA1" w:rsidR="00E541DE" w:rsidRPr="009461CC" w:rsidRDefault="00E541DE" w:rsidP="00E541DE">
      <w:pPr>
        <w:pStyle w:val="NormalWeb"/>
      </w:pPr>
      <w:r>
        <w:rPr>
          <w:rStyle w:val="Strong"/>
          <w:lang w:val="sl"/>
        </w:rPr>
        <w:t>Tekoče dejavnosti PMCF</w:t>
      </w:r>
      <w:r>
        <w:rPr>
          <w:lang w:val="sl"/>
        </w:rPr>
        <w:br/>
        <w:t>V celotnem življenjskem ciklu pripomočka je načrtovano izvajanje naslednjih neprekinjenih dejavnosti:</w:t>
      </w:r>
    </w:p>
    <w:p w14:paraId="15FC3A69" w14:textId="31C9D895" w:rsidR="00E541DE" w:rsidRPr="009461CC" w:rsidRDefault="00DE3CC0" w:rsidP="00E541DE">
      <w:pPr>
        <w:pStyle w:val="NormalWeb"/>
        <w:numPr>
          <w:ilvl w:val="0"/>
          <w:numId w:val="29"/>
        </w:numPr>
      </w:pPr>
      <w:r>
        <w:rPr>
          <w:rStyle w:val="Strong"/>
          <w:b w:val="0"/>
          <w:bCs w:val="0"/>
          <w:lang w:val="sl"/>
        </w:rPr>
        <w:lastRenderedPageBreak/>
        <w:t>Letni sistematični pregled literature:</w:t>
      </w:r>
      <w:r>
        <w:rPr>
          <w:lang w:val="sl"/>
        </w:rPr>
        <w:t xml:space="preserve"> izveden je strukturiran pregled objavljenih kliničnih dokazov, povezanih z vaskularnimi zankami in primerljivimi pripomočki, da bi ugotovili nove informacije o varnosti, učinkovitosti, kliničnih tehnikah ali nastajajočih tveganjih.</w:t>
      </w:r>
    </w:p>
    <w:p w14:paraId="08598FA3" w14:textId="6BDEE605" w:rsidR="00E541DE" w:rsidRPr="009461CC" w:rsidRDefault="00DE3CC0" w:rsidP="00E541DE">
      <w:pPr>
        <w:pStyle w:val="NormalWeb"/>
        <w:numPr>
          <w:ilvl w:val="0"/>
          <w:numId w:val="29"/>
        </w:numPr>
      </w:pPr>
      <w:r>
        <w:rPr>
          <w:rStyle w:val="Strong"/>
          <w:b w:val="0"/>
          <w:bCs w:val="0"/>
          <w:lang w:val="sl"/>
        </w:rPr>
        <w:t>Letni pregled najsodobnejšega stanja (SOA):</w:t>
      </w:r>
      <w:r>
        <w:rPr>
          <w:lang w:val="sl"/>
        </w:rPr>
        <w:t xml:space="preserve"> izvaja se ocena smernic klinične prakse, mednarodnih standardov in konkurenčnih tehnologij, da se zagotovi stalna usklajenost s trenutno klinično in tehnično prakso.</w:t>
      </w:r>
    </w:p>
    <w:p w14:paraId="6EE80A3F" w14:textId="77777777" w:rsidR="00E541DE" w:rsidRPr="009461CC" w:rsidRDefault="00E541DE" w:rsidP="00E541DE">
      <w:pPr>
        <w:pStyle w:val="NormalWeb"/>
        <w:numPr>
          <w:ilvl w:val="0"/>
          <w:numId w:val="29"/>
        </w:numPr>
      </w:pPr>
      <w:r>
        <w:rPr>
          <w:rStyle w:val="Strong"/>
          <w:b w:val="0"/>
          <w:bCs w:val="0"/>
          <w:lang w:val="sl"/>
        </w:rPr>
        <w:t>Stalni pregled podatkov o pritožbah in neželenih dogodkih:</w:t>
      </w:r>
      <w:r>
        <w:rPr>
          <w:lang w:val="sl"/>
        </w:rPr>
        <w:t xml:space="preserve"> čeprav gre za dejavnost PMS in ne PMCF, se ključne ugotovitve ocenjujejo v okviru procesa PMCF, da se ugotovi, ali je potrebno dodatno klinično spremljanje.</w:t>
      </w:r>
    </w:p>
    <w:p w14:paraId="39597E9A" w14:textId="77777777" w:rsidR="009E1EBB" w:rsidRPr="009461CC" w:rsidRDefault="009E1EBB" w:rsidP="009E1EBB">
      <w:pPr>
        <w:pStyle w:val="NormalWeb"/>
      </w:pPr>
      <w:r>
        <w:rPr>
          <w:rStyle w:val="Strong"/>
          <w:lang w:val="sl"/>
        </w:rPr>
        <w:t>Načrtovane dejavnosti PMCF</w:t>
      </w:r>
      <w:r>
        <w:rPr>
          <w:lang w:val="sl"/>
        </w:rPr>
        <w:br/>
        <w:t>Za zbiranje ciljno usmerjenih dokazov iz resničnega sveta o kompletu za vaskularno zanko Atrieve je načrtovana naslednja dejavnost:</w:t>
      </w:r>
    </w:p>
    <w:p w14:paraId="395AA027" w14:textId="77777777" w:rsidR="009E1EBB" w:rsidRPr="009461CC" w:rsidRDefault="009E1EBB" w:rsidP="009E1EBB">
      <w:pPr>
        <w:pStyle w:val="NormalWeb"/>
        <w:numPr>
          <w:ilvl w:val="0"/>
          <w:numId w:val="32"/>
        </w:numPr>
      </w:pPr>
      <w:r>
        <w:rPr>
          <w:rStyle w:val="Strong"/>
          <w:lang w:val="sl"/>
        </w:rPr>
        <w:t>Anketa za zdravnike PMCF:</w:t>
      </w:r>
      <w:r>
        <w:rPr>
          <w:lang w:val="sl"/>
        </w:rPr>
        <w:br/>
        <w:t>Med kliničnimi uporabniki bo izvedena strukturirana anketa, da se zberejo njihove izkušnje s pripomočkom, oceni njegovo delovanje v rutinski praksi in ugotovijo morebitni opaženi zapleti ali nepričakovani dogodki. Rezultati ankete bodo analizirani in vključeni v poročilo o oceni PMCF. Ugotovitve bodo podlaga za sprejemanje odločitev o potrebi po dodatnih dejavnostih PMCF ali posodobitvah poročila o klinični oceni (CER) in poročila o obvladovanju tveganj (RMR).</w:t>
      </w:r>
    </w:p>
    <w:p w14:paraId="1DED8B40" w14:textId="44E4C95F" w:rsidR="00DE0007" w:rsidRPr="009461CC" w:rsidRDefault="00DE0007" w:rsidP="00DE0007">
      <w:pPr>
        <w:pStyle w:val="NormalWeb"/>
      </w:pPr>
      <w:r>
        <w:rPr>
          <w:rStyle w:val="Strong"/>
          <w:lang w:val="sl"/>
        </w:rPr>
        <w:t>Utemeljitev pristopa PMCF</w:t>
      </w:r>
      <w:r>
        <w:rPr>
          <w:lang w:val="sl"/>
        </w:rPr>
        <w:br/>
        <w:t>Na podlagi trenutne klinične ocene, dokazov iz literature in izkušenj po dajanju izdelka na trg niso bila ugotovljena nobena nova ali nastajajoča tveganja, ki bi zahtevala klinično raziskavo, specifično za posamezen pripomoček. Obstoječe dejavnosti PMCF, letni pregled literature in pregledi SOA, ki jih podpirajo ciljno usmerjene povratne informacije zdravnikov, veljajo za zadostne za potrditev neprekinjene varnosti in delovanja tega dobro uveljavljenega pripomočka razreda III, kompleta za vaskularno zanko Atrieve.</w:t>
      </w:r>
    </w:p>
    <w:p w14:paraId="3DA3C9CA" w14:textId="77777777" w:rsidR="005B4422" w:rsidRPr="009461CC" w:rsidRDefault="005B4422" w:rsidP="005B4422">
      <w:pPr>
        <w:pStyle w:val="NormalWeb"/>
        <w:spacing w:before="0" w:beforeAutospacing="0" w:after="0" w:afterAutospacing="0"/>
      </w:pPr>
      <w:r>
        <w:rPr>
          <w:rStyle w:val="Strong"/>
          <w:lang w:val="sl"/>
        </w:rPr>
        <w:t>Poročilo PMCF</w:t>
      </w:r>
    </w:p>
    <w:p w14:paraId="5C389055" w14:textId="14E4D114" w:rsidR="0094476E" w:rsidRDefault="00B04139" w:rsidP="007002E4">
      <w:pPr>
        <w:pStyle w:val="NormalWeb"/>
        <w:spacing w:before="0" w:beforeAutospacing="0" w:after="0" w:afterAutospacing="0"/>
      </w:pPr>
      <w:r>
        <w:rPr>
          <w:lang w:val="sl"/>
        </w:rPr>
        <w:t>Poročilo PMCF se ustvari v določenih intervalih in kadar koli so na voljo nove informacije, ki lahko vplivajo na profil koristi in tveganj. Vsi rezultati PMCF se po potrebi vključijo v poročilo o klinični oceni (CER), poročilo o obvladovanju tveganj (RMR) in druge poprodajne procese.</w:t>
      </w:r>
    </w:p>
    <w:p w14:paraId="09D946B7" w14:textId="77777777" w:rsidR="007002E4" w:rsidRPr="007002E4" w:rsidRDefault="007002E4" w:rsidP="007002E4">
      <w:pPr>
        <w:pStyle w:val="NormalWeb"/>
        <w:spacing w:before="0" w:beforeAutospacing="0" w:after="0" w:afterAutospacing="0"/>
      </w:pPr>
    </w:p>
    <w:p w14:paraId="748C3FE5" w14:textId="1D19292C" w:rsidR="00760400" w:rsidRPr="009461CC" w:rsidRDefault="00760400" w:rsidP="00F67A0E">
      <w:pPr>
        <w:pStyle w:val="Heading1"/>
        <w:numPr>
          <w:ilvl w:val="0"/>
          <w:numId w:val="2"/>
        </w:numPr>
        <w:rPr>
          <w:rFonts w:cs="Times New Roman"/>
        </w:rPr>
      </w:pPr>
      <w:bookmarkStart w:id="77" w:name="_Toc222741756"/>
      <w:r>
        <w:rPr>
          <w:rFonts w:cs="Times New Roman"/>
          <w:bCs/>
          <w:lang w:val="sl"/>
        </w:rPr>
        <w:t>Možne diagnostične ali terapevtske alternative</w:t>
      </w:r>
      <w:bookmarkEnd w:id="77"/>
      <w:r>
        <w:rPr>
          <w:rFonts w:cs="Times New Roman"/>
          <w:bCs/>
          <w:lang w:val="sl"/>
        </w:rPr>
        <w:t xml:space="preserve"> </w:t>
      </w:r>
    </w:p>
    <w:p w14:paraId="60C316BA" w14:textId="4177FF86" w:rsidR="00042B91" w:rsidRPr="009461CC" w:rsidRDefault="008373C6" w:rsidP="00AB04FB">
      <w:pPr>
        <w:rPr>
          <w:rFonts w:cs="Times New Roman"/>
        </w:rPr>
      </w:pPr>
      <w:r>
        <w:rPr>
          <w:rFonts w:cs="Times New Roman"/>
          <w:lang w:val="sl"/>
        </w:rPr>
        <w:t xml:space="preserve">V skladu s CER-029 Rev B so opredeljene tri glavne alternative za odstranjevanje tujkov (TTV) v kardiovaskularnem sistemu. Konzervativno zdravljenje je priporočljivo za asimptomatske paciente ali paciente z visokim tveganjem za kirurški poseg, pri čemer se pri posegih, ki lahko predstavljajo večja tveganja, izvajalci zanašajo na skrbno spremljanje in slikovno preiskavo. Minimalno invazivne tehnike so prednostni pristop, pri čemer se pentlje zanke, zlasti zanke z gosjim vratom, pogosto uporabljajo tako za standardna kot za kompleksna odstranjevanja. Klešče zagotavljajo natančen oprijem in so primerne za zahtevne primere, kot so zlomljeni ali vgnezdeni pripomočki. Kirurška odstranitev, kot je torakotomija ali sternotomija, je zaradi svoje invazivne narave in večjega tveganja za pacienta zadnja možnost. Na splošno </w:t>
      </w:r>
      <w:r>
        <w:rPr>
          <w:rFonts w:cs="Times New Roman"/>
          <w:lang w:val="sl"/>
        </w:rPr>
        <w:lastRenderedPageBreak/>
        <w:t>endovaskularna odstranitev še naprej predstavlja standard oskrbe, zdravljenje pa je prilagojeno pacientovemu stanju in značilnostim tujka.</w:t>
      </w:r>
    </w:p>
    <w:p w14:paraId="2CDE6FBF" w14:textId="77777777" w:rsidR="00042B91" w:rsidRPr="009461CC" w:rsidRDefault="00042B91" w:rsidP="00F67A0E">
      <w:pPr>
        <w:pStyle w:val="Heading1"/>
        <w:numPr>
          <w:ilvl w:val="0"/>
          <w:numId w:val="2"/>
        </w:numPr>
        <w:rPr>
          <w:rFonts w:cs="Times New Roman"/>
        </w:rPr>
      </w:pPr>
      <w:bookmarkStart w:id="78" w:name="_Toc222741757"/>
      <w:r>
        <w:rPr>
          <w:rFonts w:cs="Times New Roman"/>
          <w:bCs/>
          <w:lang w:val="sl"/>
        </w:rPr>
        <w:t>Predlagani profil in usposabljanje za uporabnike</w:t>
      </w:r>
      <w:bookmarkEnd w:id="78"/>
    </w:p>
    <w:p w14:paraId="35173865" w14:textId="0C72FD3E" w:rsidR="00042B91" w:rsidRPr="009461CC" w:rsidRDefault="00A5239F" w:rsidP="00042B91">
      <w:pPr>
        <w:spacing w:after="0" w:afterAutospacing="0" w:line="240" w:lineRule="auto"/>
        <w:rPr>
          <w:rFonts w:eastAsia="Calibri" w:cs="Times New Roman"/>
          <w:szCs w:val="24"/>
        </w:rPr>
      </w:pPr>
      <w:r>
        <w:rPr>
          <w:rFonts w:eastAsia="Calibri" w:cs="Times New Roman"/>
          <w:szCs w:val="24"/>
          <w:lang w:val="sl"/>
        </w:rPr>
        <w:t>Izdelek je namenjen, da ga uporablja samo zdravstveno osebje, uporablja pa ga lahko le usposobljeno osebje, ki pozna tehniko.</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22741758"/>
      <w:r>
        <w:rPr>
          <w:rFonts w:cs="Times New Roman"/>
          <w:bCs/>
          <w:lang w:val="sl"/>
        </w:rPr>
        <w:t>Harmonizirani standardi/skupne specifikacije</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sl"/>
              </w:rPr>
              <w:t>Argonov datum skladnosti / različica</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sl"/>
              </w:rPr>
              <w:t>Ime norme</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sl"/>
              </w:rPr>
              <w:t>Označevanje</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sl"/>
              </w:rPr>
              <w:t>EN ISO 15223-1:2021</w:t>
            </w:r>
          </w:p>
        </w:tc>
        <w:tc>
          <w:tcPr>
            <w:tcW w:w="3871" w:type="pct"/>
          </w:tcPr>
          <w:p w14:paraId="40A15B1C" w14:textId="77777777" w:rsidR="0094168A" w:rsidRPr="009461CC" w:rsidRDefault="0094168A" w:rsidP="00293453">
            <w:pPr>
              <w:spacing w:after="0" w:afterAutospacing="0"/>
              <w:rPr>
                <w:rFonts w:cs="Times New Roman"/>
                <w:sz w:val="22"/>
              </w:rPr>
            </w:pPr>
            <w:r>
              <w:rPr>
                <w:rFonts w:cs="Times New Roman"/>
                <w:sz w:val="22"/>
                <w:lang w:val="sl"/>
              </w:rPr>
              <w:t xml:space="preserve">Medicinski pripomočki - Simboli, ki se uporabljajo z medicinskimi pripomočki. </w:t>
            </w:r>
          </w:p>
          <w:p w14:paraId="093121E8" w14:textId="77777777" w:rsidR="0094168A" w:rsidRPr="009461CC" w:rsidRDefault="0094168A" w:rsidP="00293453">
            <w:pPr>
              <w:spacing w:after="0" w:afterAutospacing="0"/>
              <w:rPr>
                <w:rFonts w:cs="Times New Roman"/>
                <w:sz w:val="22"/>
              </w:rPr>
            </w:pPr>
            <w:r>
              <w:rPr>
                <w:rFonts w:cs="Times New Roman"/>
                <w:sz w:val="22"/>
                <w:lang w:val="sl"/>
              </w:rPr>
              <w:t xml:space="preserve">oznake, označevanje in informacije, ki jih je treba navesti – 1. del: Splošne zahteve. </w:t>
            </w:r>
          </w:p>
          <w:p w14:paraId="3CEE87DD" w14:textId="77777777" w:rsidR="0094168A" w:rsidRPr="009461CC" w:rsidRDefault="0094168A" w:rsidP="00293453">
            <w:pPr>
              <w:spacing w:after="0" w:afterAutospacing="0"/>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sl"/>
              </w:rPr>
              <w:t>EN ISO 20417:2021</w:t>
            </w:r>
          </w:p>
        </w:tc>
        <w:tc>
          <w:tcPr>
            <w:tcW w:w="3871" w:type="pct"/>
          </w:tcPr>
          <w:p w14:paraId="6EF6F718" w14:textId="77777777" w:rsidR="0094168A" w:rsidRPr="009461CC" w:rsidRDefault="0094168A" w:rsidP="00293453">
            <w:pPr>
              <w:spacing w:after="0" w:afterAutospacing="0"/>
              <w:rPr>
                <w:rFonts w:cs="Times New Roman"/>
                <w:sz w:val="22"/>
              </w:rPr>
            </w:pPr>
            <w:r>
              <w:rPr>
                <w:rFonts w:cs="Times New Roman"/>
                <w:sz w:val="22"/>
                <w:lang w:val="sl"/>
              </w:rPr>
              <w:t>Terminologija, simboli in informacije, ki so priložene medicinskim pripomočkom: Informacije, ki jih proizvajalec priloži medicinskim pripomočkom</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sl"/>
              </w:rPr>
              <w:t>Splošni standardi – Sterilizacija</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sl"/>
              </w:rPr>
              <w:t>ISO 10555-1:2013</w:t>
            </w:r>
          </w:p>
        </w:tc>
        <w:tc>
          <w:tcPr>
            <w:tcW w:w="3871" w:type="pct"/>
          </w:tcPr>
          <w:p w14:paraId="5B0C265F" w14:textId="77777777" w:rsidR="0094168A" w:rsidRPr="009461CC" w:rsidRDefault="0094168A" w:rsidP="00293453">
            <w:pPr>
              <w:spacing w:after="0" w:afterAutospacing="0"/>
              <w:rPr>
                <w:rFonts w:cs="Times New Roman"/>
                <w:sz w:val="22"/>
              </w:rPr>
            </w:pPr>
            <w:r>
              <w:rPr>
                <w:rFonts w:cs="Times New Roman"/>
                <w:sz w:val="22"/>
                <w:lang w:val="sl"/>
              </w:rPr>
              <w:t>Intravaskularni katetri – Sterilni katetri za enkratno uporabo – 1. del: Splošne zahteve</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sl"/>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sl"/>
              </w:rPr>
              <w:t>Sterilizacija medicinskih pripomočkov. Zahteve za medicinske pripomočke, ki morajo biti označeni kot STERILNI. Zahteve za trajno sterilizirane medicinske pripomočke</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sl"/>
              </w:rPr>
              <w:t>EN ISO 11135:2019</w:t>
            </w:r>
          </w:p>
        </w:tc>
        <w:tc>
          <w:tcPr>
            <w:tcW w:w="3871" w:type="pct"/>
          </w:tcPr>
          <w:p w14:paraId="1E9B7BED" w14:textId="77777777" w:rsidR="0094168A" w:rsidRPr="009461CC" w:rsidRDefault="0094168A" w:rsidP="00293453">
            <w:pPr>
              <w:spacing w:after="0" w:afterAutospacing="0"/>
              <w:rPr>
                <w:rFonts w:cs="Times New Roman"/>
                <w:sz w:val="22"/>
              </w:rPr>
            </w:pPr>
            <w:r>
              <w:rPr>
                <w:rFonts w:cs="Times New Roman"/>
                <w:sz w:val="22"/>
                <w:lang w:val="sl"/>
              </w:rPr>
              <w:t>Sterilizacija izdelkov za zdravstveno nego – Etilen oksid – 1. del: Zahteve za razvoj, validacijo in redni nadzor sterilizacijskega postopka za medicinske pripomočke</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sl"/>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9461CC" w:rsidRDefault="0094168A" w:rsidP="00293453">
            <w:pPr>
              <w:spacing w:after="0" w:afterAutospacing="0"/>
              <w:rPr>
                <w:rFonts w:cs="Times New Roman"/>
                <w:sz w:val="22"/>
              </w:rPr>
            </w:pPr>
            <w:r>
              <w:rPr>
                <w:rFonts w:cs="Times New Roman"/>
                <w:sz w:val="22"/>
                <w:lang w:val="sl"/>
              </w:rPr>
              <w:t>Privzem izdelka in enakovrednost postopka za sterilizacijo z etilenoksidom</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sl"/>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sl"/>
              </w:rPr>
              <w:t>Klasifikacija čistoče zraka, čistih prostorov in pripadajočih nadzorovanih okolij. 1. del: Klasifikacija čistoče zraka</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sl"/>
              </w:rPr>
              <w:t>EN ISO 14644-2:2015</w:t>
            </w:r>
          </w:p>
        </w:tc>
        <w:tc>
          <w:tcPr>
            <w:tcW w:w="3871" w:type="pct"/>
          </w:tcPr>
          <w:p w14:paraId="3AA6B4D4" w14:textId="77777777" w:rsidR="0094168A" w:rsidRPr="009461CC" w:rsidRDefault="0094168A" w:rsidP="00293453">
            <w:pPr>
              <w:spacing w:after="0" w:afterAutospacing="0"/>
              <w:rPr>
                <w:rFonts w:cs="Times New Roman"/>
                <w:sz w:val="22"/>
              </w:rPr>
            </w:pPr>
            <w:r>
              <w:rPr>
                <w:rFonts w:cs="Times New Roman"/>
                <w:sz w:val="22"/>
                <w:lang w:val="sl"/>
              </w:rPr>
              <w:t xml:space="preserve">Čisti prostori in pripadajoča nadzorovana okolja - 2. del: Spremljanje za zagotavljanje dokazov o čistih prostorih. </w:t>
            </w:r>
          </w:p>
          <w:p w14:paraId="2873EF60" w14:textId="77777777" w:rsidR="0094168A" w:rsidRPr="009461CC" w:rsidRDefault="0094168A" w:rsidP="00293453">
            <w:pPr>
              <w:spacing w:after="0" w:afterAutospacing="0"/>
              <w:rPr>
                <w:rFonts w:cs="Times New Roman"/>
                <w:sz w:val="22"/>
              </w:rPr>
            </w:pPr>
            <w:r>
              <w:rPr>
                <w:rFonts w:cs="Times New Roman"/>
                <w:sz w:val="22"/>
                <w:lang w:val="sl"/>
              </w:rPr>
              <w:t xml:space="preserve">učinkovitost, povezana s čistočo zraka glede na delce. </w:t>
            </w:r>
          </w:p>
          <w:p w14:paraId="02B2FEDC" w14:textId="77777777" w:rsidR="0094168A" w:rsidRPr="009461CC" w:rsidRDefault="0094168A" w:rsidP="00293453">
            <w:pPr>
              <w:spacing w:after="0" w:afterAutospacing="0"/>
              <w:rPr>
                <w:rFonts w:cs="Times New Roman"/>
                <w:sz w:val="22"/>
              </w:rPr>
            </w:pPr>
            <w:r>
              <w:rPr>
                <w:rFonts w:cs="Times New Roman"/>
                <w:sz w:val="22"/>
                <w:lang w:val="sl"/>
              </w:rPr>
              <w:t>koncentracija</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sl"/>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rPr>
            </w:pPr>
            <w:r>
              <w:rPr>
                <w:rFonts w:eastAsia="Times New Roman" w:cs="Times New Roman"/>
                <w:sz w:val="22"/>
                <w:lang w:val="sl"/>
              </w:rPr>
              <w:t>Sterilizacija medicinskih pripomočkov – mikrobiološke metode – 1. del: določanje vrste in števila mikroorganizmov na izdelkih</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sl"/>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sl"/>
              </w:rPr>
              <w:t>Biološko vrednotenje medicinskih pripomočkov. Ostanki sterilizacije z etilen oksidom</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sl"/>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sl"/>
              </w:rPr>
              <w:t>Test bakterijskih endotoksinov</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sl"/>
              </w:rPr>
              <w:t>Splošni standardi – sistemi kakovosti</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sl"/>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rPr>
            </w:pPr>
            <w:r>
              <w:rPr>
                <w:rFonts w:eastAsia="Times New Roman" w:cs="Times New Roman"/>
                <w:sz w:val="22"/>
                <w:lang w:val="sl"/>
              </w:rPr>
              <w:t>Medicinski pripomočki. Sistemi vodenja kakovosti. Zahteve za regulativne namene</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sl"/>
              </w:rPr>
              <w:t>Upravljanje tveganj</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sl"/>
              </w:rPr>
              <w:t>EN ISO 14971:2019</w:t>
            </w:r>
          </w:p>
        </w:tc>
        <w:tc>
          <w:tcPr>
            <w:tcW w:w="3871" w:type="pct"/>
          </w:tcPr>
          <w:p w14:paraId="4457BE68" w14:textId="77777777" w:rsidR="0094168A" w:rsidRPr="009461CC" w:rsidRDefault="0094168A" w:rsidP="00293453">
            <w:pPr>
              <w:spacing w:after="0" w:afterAutospacing="0"/>
              <w:rPr>
                <w:rFonts w:cs="Times New Roman"/>
                <w:sz w:val="22"/>
              </w:rPr>
            </w:pPr>
            <w:r>
              <w:rPr>
                <w:rFonts w:cs="Times New Roman"/>
                <w:sz w:val="22"/>
                <w:lang w:val="sl"/>
              </w:rPr>
              <w:t>Medicinski pripomočki – uporaba obvladovanja tveganj pri medicinskih pripomočkih</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sl"/>
              </w:rPr>
              <w:t>Biološka varnost</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sl"/>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93453">
            <w:pPr>
              <w:spacing w:after="14" w:afterAutospacing="0"/>
              <w:rPr>
                <w:rFonts w:cs="Times New Roman"/>
                <w:sz w:val="22"/>
              </w:rPr>
            </w:pPr>
            <w:r>
              <w:rPr>
                <w:rFonts w:eastAsia="Arial" w:cs="Times New Roman"/>
                <w:sz w:val="22"/>
                <w:lang w:val="sl"/>
              </w:rPr>
              <w:t xml:space="preserve">Biološko vrednotenje medicinskih pripomočkov - 1. del: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sl"/>
              </w:rPr>
              <w:t xml:space="preserve">Vrednotenje in testiranje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sl"/>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rPr>
            </w:pPr>
            <w:r>
              <w:rPr>
                <w:rFonts w:eastAsia="Arial" w:cs="Times New Roman"/>
                <w:sz w:val="22"/>
                <w:lang w:val="sl"/>
              </w:rPr>
              <w:t xml:space="preserve">Biološko vrednotenje medicinskih pripomočkov – 3. del: Preskusi genotoksičnosti, rakotvornosti in reproduktivne toksičnosti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sl"/>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rPr>
            </w:pPr>
            <w:r>
              <w:rPr>
                <w:rFonts w:eastAsia="Arial" w:cs="Times New Roman"/>
                <w:sz w:val="22"/>
                <w:lang w:val="sl"/>
              </w:rPr>
              <w:t xml:space="preserve">Biološko vrednotenje medicinskih pripomočkov - 4. del: Izbira testov za interakcije s krvjo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sl"/>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rPr>
            </w:pPr>
            <w:r>
              <w:rPr>
                <w:rFonts w:eastAsia="Arial" w:cs="Times New Roman"/>
                <w:sz w:val="22"/>
                <w:lang w:val="sl"/>
              </w:rPr>
              <w:t xml:space="preserve">Biološko vrednotenje medicinskih pripomočkov – 5. del: Testi za citotoksičnost in vitro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sl"/>
              </w:rPr>
              <w:lastRenderedPageBreak/>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rPr>
            </w:pPr>
            <w:r>
              <w:rPr>
                <w:rFonts w:eastAsia="Arial" w:cs="Times New Roman"/>
                <w:sz w:val="22"/>
                <w:lang w:val="sl"/>
              </w:rPr>
              <w:t xml:space="preserve">Biološko vrednotenje medicinskih pripomočkov – 10. del: Testi za draženje in preobčutljivost kože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sl"/>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rPr>
            </w:pPr>
            <w:r>
              <w:rPr>
                <w:rFonts w:eastAsia="Arial" w:cs="Times New Roman"/>
                <w:sz w:val="22"/>
                <w:lang w:val="sl"/>
              </w:rPr>
              <w:t xml:space="preserve">Biološko vrednotenje medicinskih pripomočkov – 11. del: Testi za sistemsko toksičnost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sl"/>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rPr>
            </w:pPr>
            <w:r>
              <w:rPr>
                <w:rFonts w:eastAsia="Arial" w:cs="Times New Roman"/>
                <w:sz w:val="22"/>
                <w:lang w:val="sl"/>
              </w:rPr>
              <w:t xml:space="preserve">Biološko vrednotenje medicinskih pripomočkov – 12. del: Priprava vzorcev in referenčni materiali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sl"/>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rPr>
            </w:pPr>
            <w:r>
              <w:rPr>
                <w:rFonts w:eastAsia="Arial" w:cs="Times New Roman"/>
                <w:sz w:val="22"/>
                <w:lang w:val="sl"/>
              </w:rPr>
              <w:t>Ocena toksikološkega tveganja sestavin medicinskega pripomočka</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sl"/>
              </w:rPr>
              <w:t>Klinična ocena</w:t>
            </w:r>
          </w:p>
        </w:tc>
      </w:tr>
      <w:tr w:rsidR="00586415" w:rsidRPr="009461CC"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sl"/>
              </w:rPr>
              <w:t>MEDDEV 2.7/1 Rev4</w:t>
            </w:r>
          </w:p>
        </w:tc>
        <w:tc>
          <w:tcPr>
            <w:tcW w:w="3871" w:type="pct"/>
          </w:tcPr>
          <w:p w14:paraId="3D1D1121" w14:textId="77777777" w:rsidR="00586415" w:rsidRPr="009461CC" w:rsidRDefault="00586415" w:rsidP="00586415">
            <w:pPr>
              <w:spacing w:after="0" w:afterAutospacing="0"/>
              <w:rPr>
                <w:rFonts w:cs="Times New Roman"/>
                <w:sz w:val="22"/>
              </w:rPr>
            </w:pPr>
            <w:r>
              <w:rPr>
                <w:rFonts w:cs="Times New Roman"/>
                <w:sz w:val="22"/>
                <w:lang w:val="sl"/>
              </w:rPr>
              <w:t>Klinična ocena: Vodnik za proizvajalce in priglašene organe</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sl"/>
              </w:rPr>
              <w:t>Nadzor oblikovanja</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sl"/>
              </w:rPr>
              <w:t>EN ISO 14971</w:t>
            </w:r>
          </w:p>
        </w:tc>
        <w:tc>
          <w:tcPr>
            <w:tcW w:w="3871" w:type="pct"/>
          </w:tcPr>
          <w:p w14:paraId="55771886" w14:textId="77777777" w:rsidR="00586415" w:rsidRPr="009461CC" w:rsidRDefault="00586415" w:rsidP="00586415">
            <w:pPr>
              <w:spacing w:after="0" w:afterAutospacing="0"/>
              <w:rPr>
                <w:rFonts w:cs="Times New Roman"/>
                <w:sz w:val="22"/>
              </w:rPr>
            </w:pPr>
            <w:r>
              <w:rPr>
                <w:rFonts w:cs="Times New Roman"/>
                <w:sz w:val="22"/>
                <w:lang w:val="sl"/>
              </w:rPr>
              <w:t>Medicinski pripomočki – uporaba obvladovanja tveganj pri medicinskih pripomočkih</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rPr>
            </w:pPr>
          </w:p>
        </w:tc>
        <w:tc>
          <w:tcPr>
            <w:tcW w:w="3871" w:type="pct"/>
          </w:tcPr>
          <w:p w14:paraId="20C1E190" w14:textId="77777777" w:rsidR="00586415" w:rsidRPr="009461CC" w:rsidRDefault="00586415" w:rsidP="00586415">
            <w:pPr>
              <w:spacing w:after="0" w:afterAutospacing="0"/>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sl"/>
              </w:rPr>
              <w:t>Uporabnost</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sl"/>
              </w:rPr>
              <w:t>IEC 62366-1:2015 in</w:t>
            </w:r>
          </w:p>
          <w:p w14:paraId="2D964E3D" w14:textId="77777777" w:rsidR="00586415" w:rsidRPr="009461CC" w:rsidRDefault="00586415" w:rsidP="00586415">
            <w:pPr>
              <w:spacing w:after="0" w:afterAutospacing="0"/>
              <w:rPr>
                <w:rFonts w:cs="Times New Roman"/>
                <w:sz w:val="22"/>
              </w:rPr>
            </w:pPr>
            <w:r>
              <w:rPr>
                <w:rFonts w:cs="Times New Roman"/>
                <w:sz w:val="22"/>
                <w:lang w:val="sl"/>
              </w:rPr>
              <w:t>IEC 62366-1:2015/ COR1:2016</w:t>
            </w:r>
          </w:p>
        </w:tc>
        <w:tc>
          <w:tcPr>
            <w:tcW w:w="3871" w:type="pct"/>
          </w:tcPr>
          <w:p w14:paraId="7A444F47" w14:textId="77777777" w:rsidR="00586415" w:rsidRPr="009461CC" w:rsidRDefault="00586415" w:rsidP="00586415">
            <w:pPr>
              <w:spacing w:after="0" w:afterAutospacing="0"/>
              <w:rPr>
                <w:rFonts w:cs="Times New Roman"/>
                <w:sz w:val="22"/>
              </w:rPr>
            </w:pPr>
            <w:r>
              <w:rPr>
                <w:rFonts w:cs="Times New Roman"/>
                <w:sz w:val="22"/>
                <w:lang w:val="sl"/>
              </w:rPr>
              <w:t>Medicinski pripomočki – uporaba inženiringa uporabnosti pri medicinskih pripomočkih</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sl"/>
              </w:rPr>
              <w:t>Embalaža</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sl"/>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rPr>
            </w:pPr>
            <w:r>
              <w:rPr>
                <w:rFonts w:eastAsia="Arial" w:cs="Times New Roman"/>
                <w:sz w:val="22"/>
                <w:lang w:val="sl"/>
              </w:rPr>
              <w:t xml:space="preserve">Embalaža za trajno sterilizirane medicinske pripomočke. 1. del: zahteve za materiale, sterilne pregradne sisteme in sisteme pakiranja.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sl"/>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rPr>
            </w:pPr>
            <w:r>
              <w:rPr>
                <w:rFonts w:eastAsia="Arial" w:cs="Times New Roman"/>
                <w:sz w:val="22"/>
                <w:lang w:val="sl"/>
              </w:rPr>
              <w:t xml:space="preserve">Embalaža za trajno sterilizirane medicinske pripomočke. 2. del: zahteve za validacijo postopkov oblikovanja, tesnjenja in sestavljanja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sl"/>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rPr>
            </w:pPr>
            <w:r>
              <w:rPr>
                <w:rFonts w:eastAsia="Arial" w:cs="Times New Roman"/>
                <w:sz w:val="22"/>
                <w:lang w:val="sl"/>
              </w:rPr>
              <w:t xml:space="preserve">Embalaža – popolne, napolnjene transportne embalaže in enote tovora – priprava za testiranje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sl"/>
                </w:rPr>
                <w:t xml:space="preserve">ASTM D4169 </w:t>
              </w:r>
            </w:hyperlink>
            <w:r>
              <w:rPr>
                <w:rFonts w:eastAsia="Arial" w:cs="Times New Roman"/>
                <w:sz w:val="22"/>
                <w:lang w:val="sl"/>
              </w:rPr>
              <w:t>: 2022</w:t>
            </w:r>
            <w:hyperlink r:id="rId15">
              <w:r>
                <w:rPr>
                  <w:rFonts w:eastAsia="Arial" w:cs="Times New Roman"/>
                  <w:sz w:val="22"/>
                  <w:lang w:val="s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586415">
            <w:pPr>
              <w:spacing w:after="0" w:afterAutospacing="0"/>
              <w:rPr>
                <w:rFonts w:cs="Times New Roman"/>
                <w:sz w:val="22"/>
              </w:rPr>
            </w:pPr>
            <w:r>
              <w:rPr>
                <w:rFonts w:eastAsia="Arial" w:cs="Times New Roman"/>
                <w:sz w:val="22"/>
                <w:lang w:val="sl"/>
              </w:rPr>
              <w:t xml:space="preserve">Standardna praksa za preizkušanje delovanja ladijskih zabojnikov in sistemov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sl"/>
                </w:rPr>
                <w:t xml:space="preserve">ASTM F2096 </w:t>
              </w:r>
            </w:hyperlink>
            <w:hyperlink r:id="rId17">
              <w:r>
                <w:rPr>
                  <w:rFonts w:eastAsia="Arial" w:cs="Times New Roman"/>
                  <w:sz w:val="22"/>
                  <w:lang w:val="sl"/>
                </w:rPr>
                <w:t xml:space="preserve"> – </w:t>
              </w:r>
            </w:hyperlink>
            <w:r>
              <w:rPr>
                <w:rFonts w:eastAsia="Arial" w:cs="Times New Roman"/>
                <w:sz w:val="22"/>
                <w:lang w:val="sl"/>
              </w:rPr>
              <w:t>20</w:t>
            </w:r>
            <w:hyperlink r:id="rId18">
              <w:r>
                <w:rPr>
                  <w:rFonts w:eastAsia="Arial" w:cs="Times New Roman"/>
                  <w:sz w:val="22"/>
                  <w:lang w:val="sl"/>
                </w:rPr>
                <w:t xml:space="preserve">11 (R2019) </w:t>
              </w:r>
            </w:hyperlink>
            <w:hyperlink r:id="rId19">
              <w:r>
                <w:rPr>
                  <w:rFonts w:eastAsia="Arial" w:cs="Times New Roman"/>
                  <w:sz w:val="22"/>
                  <w:lang w:val="s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rPr>
            </w:pPr>
            <w:r>
              <w:rPr>
                <w:rFonts w:eastAsia="Arial" w:cs="Times New Roman"/>
                <w:sz w:val="22"/>
                <w:lang w:val="sl"/>
              </w:rPr>
              <w:t xml:space="preserve">Standardna preskusna metoda za odkrivanje večjih puščanj v </w:t>
            </w:r>
          </w:p>
          <w:p w14:paraId="403EB0FF" w14:textId="77777777" w:rsidR="00586415" w:rsidRPr="009461CC" w:rsidRDefault="00586415" w:rsidP="00586415">
            <w:pPr>
              <w:spacing w:after="16" w:afterAutospacing="0"/>
              <w:rPr>
                <w:rFonts w:cs="Times New Roman"/>
                <w:sz w:val="22"/>
              </w:rPr>
            </w:pPr>
            <w:r>
              <w:rPr>
                <w:rFonts w:eastAsia="Arial" w:cs="Times New Roman"/>
                <w:sz w:val="22"/>
                <w:lang w:val="sl"/>
              </w:rPr>
              <w:t xml:space="preserve">Medicinska embalaža z notranjim tlakom (test z mehurčki)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sl"/>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sl"/>
                </w:rPr>
                <w:t xml:space="preserve">ASTM F1929 </w:t>
              </w:r>
            </w:hyperlink>
            <w:hyperlink r:id="rId21">
              <w:r>
                <w:rPr>
                  <w:rFonts w:eastAsia="Arial" w:cs="Times New Roman"/>
                  <w:sz w:val="22"/>
                  <w:lang w:val="sl"/>
                </w:rPr>
                <w:t xml:space="preserve"> - </w:t>
              </w:r>
            </w:hyperlink>
            <w:hyperlink r:id="rId22">
              <w:r>
                <w:rPr>
                  <w:rFonts w:eastAsia="Arial" w:cs="Times New Roman"/>
                  <w:sz w:val="22"/>
                  <w:lang w:val="sl"/>
                </w:rPr>
                <w:t xml:space="preserve">15 </w:t>
              </w:r>
            </w:hyperlink>
            <w:hyperlink r:id="rId23">
              <w:r>
                <w:rPr>
                  <w:rFonts w:eastAsia="Arial" w:cs="Times New Roman"/>
                  <w:sz w:val="22"/>
                  <w:lang w:val="s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rPr>
            </w:pPr>
            <w:r>
              <w:rPr>
                <w:rFonts w:eastAsia="Arial" w:cs="Times New Roman"/>
                <w:sz w:val="22"/>
                <w:lang w:val="sl"/>
              </w:rPr>
              <w:t xml:space="preserve">Standardna preskusna metoda za odkrivanje puščanja tesnil v poroznih </w:t>
            </w:r>
          </w:p>
          <w:p w14:paraId="1449B41C" w14:textId="77777777" w:rsidR="00586415" w:rsidRPr="009461CC" w:rsidRDefault="00586415" w:rsidP="00586415">
            <w:pPr>
              <w:spacing w:after="0" w:afterAutospacing="0"/>
              <w:rPr>
                <w:rFonts w:cs="Times New Roman"/>
                <w:sz w:val="22"/>
              </w:rPr>
            </w:pPr>
            <w:r>
              <w:rPr>
                <w:rFonts w:eastAsia="Arial" w:cs="Times New Roman"/>
                <w:sz w:val="22"/>
                <w:lang w:val="sl"/>
              </w:rPr>
              <w:t xml:space="preserve">Medicinska embalaža z barvilno penetracijo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sl"/>
                </w:rPr>
                <w:t xml:space="preserve">ASTM F88 / F88M </w:t>
              </w:r>
            </w:hyperlink>
            <w:hyperlink r:id="rId25">
              <w:r>
                <w:rPr>
                  <w:rFonts w:eastAsia="Arial" w:cs="Times New Roman"/>
                  <w:sz w:val="22"/>
                  <w:lang w:val="sl"/>
                </w:rPr>
                <w:t xml:space="preserve"> - </w:t>
              </w:r>
            </w:hyperlink>
            <w:r>
              <w:rPr>
                <w:rFonts w:eastAsia="Arial" w:cs="Times New Roman"/>
                <w:sz w:val="22"/>
                <w:lang w:val="sl"/>
              </w:rPr>
              <w:t>2021</w:t>
            </w:r>
            <w:hyperlink r:id="rId26">
              <w:r>
                <w:rPr>
                  <w:rFonts w:eastAsia="Arial" w:cs="Times New Roman"/>
                  <w:sz w:val="22"/>
                  <w:lang w:val="s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rPr>
            </w:pPr>
            <w:r>
              <w:rPr>
                <w:rFonts w:eastAsia="Arial" w:cs="Times New Roman"/>
                <w:sz w:val="22"/>
                <w:lang w:val="sl"/>
              </w:rPr>
              <w:t xml:space="preserve">Standardna preskusna metoda za tesnilno trdnost fleksibilnih pregradnih materialov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sl"/>
                </w:rPr>
                <w:t xml:space="preserve">ASTM F1980 </w:t>
              </w:r>
            </w:hyperlink>
            <w:hyperlink r:id="rId28">
              <w:r>
                <w:rPr>
                  <w:rFonts w:eastAsia="Arial" w:cs="Times New Roman"/>
                  <w:sz w:val="22"/>
                  <w:lang w:val="sl"/>
                </w:rPr>
                <w:t xml:space="preserve"> - </w:t>
              </w:r>
            </w:hyperlink>
            <w:r>
              <w:rPr>
                <w:rFonts w:eastAsia="Arial" w:cs="Times New Roman"/>
                <w:sz w:val="22"/>
                <w:lang w:val="sl"/>
              </w:rPr>
              <w:t>2021</w:t>
            </w:r>
            <w:hyperlink r:id="rId29">
              <w:r>
                <w:rPr>
                  <w:rFonts w:eastAsia="Arial" w:cs="Times New Roman"/>
                  <w:sz w:val="22"/>
                  <w:lang w:val="sl"/>
                </w:rPr>
                <w:t xml:space="preserve"> </w:t>
              </w:r>
            </w:hyperlink>
            <w:hyperlink r:id="rId30">
              <w:r>
                <w:rPr>
                  <w:rFonts w:eastAsia="Arial" w:cs="Times New Roman"/>
                  <w:sz w:val="22"/>
                  <w:lang w:val="sl"/>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rPr>
            </w:pPr>
            <w:r>
              <w:rPr>
                <w:rFonts w:eastAsia="Arial" w:cs="Times New Roman"/>
                <w:sz w:val="22"/>
                <w:lang w:val="sl"/>
              </w:rPr>
              <w:t xml:space="preserve">Standardni vodnik za pospešeno staranje sterilnih pregradnih sistemov za medicinske pripomočke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sl"/>
              </w:rPr>
              <w:t>Poprodajno klinično spremljanje</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sl"/>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sl"/>
              </w:rPr>
              <w:t>Študije poprodajnega kliničnega spremljanja</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sl"/>
              </w:rPr>
              <w:t>Vigilanca</w:t>
            </w:r>
          </w:p>
        </w:tc>
      </w:tr>
      <w:tr w:rsidR="00586415" w:rsidRPr="009461CC"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sl"/>
              </w:rPr>
              <w:t>MEDDEV 2.12/1 Rev8</w:t>
            </w:r>
          </w:p>
        </w:tc>
        <w:tc>
          <w:tcPr>
            <w:tcW w:w="3871" w:type="pct"/>
          </w:tcPr>
          <w:p w14:paraId="1F13D90E" w14:textId="77777777" w:rsidR="00586415" w:rsidRPr="009461CC" w:rsidRDefault="00586415" w:rsidP="00586415">
            <w:pPr>
              <w:spacing w:after="0" w:afterAutospacing="0"/>
              <w:rPr>
                <w:rFonts w:cs="Times New Roman"/>
                <w:sz w:val="22"/>
              </w:rPr>
            </w:pPr>
            <w:r>
              <w:rPr>
                <w:rFonts w:cs="Times New Roman"/>
                <w:sz w:val="22"/>
                <w:lang w:val="sl"/>
              </w:rPr>
              <w:t>Smernice za sistem vigilance medicinskih pripomočkov</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759"/>
      <w:r>
        <w:rPr>
          <w:rFonts w:cs="Times New Roman"/>
          <w:bCs/>
          <w:lang w:val="sl"/>
        </w:rPr>
        <w:t>Zgodovina revizij</w:t>
      </w:r>
      <w:bookmarkEnd w:id="80"/>
      <w:bookmarkEnd w:id="81"/>
    </w:p>
    <w:tbl>
      <w:tblPr>
        <w:tblStyle w:val="TableGrid"/>
        <w:tblW w:w="5000" w:type="pct"/>
        <w:tblLook w:val="04A0" w:firstRow="1" w:lastRow="0" w:firstColumn="1" w:lastColumn="0" w:noHBand="0" w:noVBand="1"/>
      </w:tblPr>
      <w:tblGrid>
        <w:gridCol w:w="1199"/>
        <w:gridCol w:w="1506"/>
        <w:gridCol w:w="4819"/>
        <w:gridCol w:w="2906"/>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sl"/>
              </w:rPr>
              <w:t>Revizija</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sl"/>
              </w:rPr>
              <w:t>Datum izdaje</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sl"/>
              </w:rPr>
              <w:t>Spremeni opis</w:t>
            </w:r>
          </w:p>
        </w:tc>
        <w:tc>
          <w:tcPr>
            <w:tcW w:w="1393" w:type="pct"/>
          </w:tcPr>
          <w:p w14:paraId="3C9FD99C" w14:textId="77777777" w:rsidR="00601F87" w:rsidRPr="009461CC" w:rsidRDefault="00601F87" w:rsidP="00293453">
            <w:pPr>
              <w:spacing w:after="0" w:afterAutospacing="0"/>
              <w:rPr>
                <w:rFonts w:cs="Times New Roman"/>
                <w:b/>
                <w:sz w:val="22"/>
              </w:rPr>
            </w:pPr>
            <w:r>
              <w:rPr>
                <w:rFonts w:cs="Times New Roman"/>
                <w:b/>
                <w:bCs/>
                <w:sz w:val="22"/>
                <w:lang w:val="sl"/>
              </w:rPr>
              <w:t>Ali je revizijo odobril priglašeni organ?</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sl"/>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sl"/>
              </w:rPr>
              <w:t>22. maj 2022</w:t>
            </w:r>
          </w:p>
        </w:tc>
        <w:tc>
          <w:tcPr>
            <w:tcW w:w="2310" w:type="pct"/>
          </w:tcPr>
          <w:p w14:paraId="0B577D70" w14:textId="77777777" w:rsidR="00601F87" w:rsidRPr="009461CC" w:rsidRDefault="00601F87" w:rsidP="00293453">
            <w:pPr>
              <w:spacing w:after="0" w:afterAutospacing="0"/>
              <w:rPr>
                <w:rFonts w:cs="Times New Roman"/>
                <w:sz w:val="22"/>
              </w:rPr>
            </w:pPr>
            <w:r>
              <w:rPr>
                <w:rFonts w:cs="Times New Roman"/>
                <w:sz w:val="22"/>
                <w:lang w:val="sl"/>
              </w:rPr>
              <w:t>Začetna interna izdaja – Ni potrjeno s strani BSI</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Pr>
                    <w:rFonts w:ascii="Segoe UI Symbol" w:eastAsia="MS Gothic" w:hAnsi="Segoe UI Symbol" w:cs="Segoe UI Symbol"/>
                    <w:sz w:val="22"/>
                    <w:lang w:val="sl"/>
                  </w:rPr>
                  <w:t>☒</w:t>
                </w:r>
              </w:sdtContent>
            </w:sdt>
            <w:r>
              <w:rPr>
                <w:rFonts w:eastAsia="MS Gothic"/>
                <w:sz w:val="22"/>
                <w:lang w:val="sl"/>
              </w:rPr>
              <w:t xml:space="preserve"> Samo za interno uporabo</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sl"/>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sl"/>
              </w:rPr>
              <w:t xml:space="preserve">15. december 2025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Pr>
                <w:rFonts w:cs="Times New Roman"/>
                <w:sz w:val="22"/>
                <w:lang w:val="sl"/>
              </w:rPr>
              <w:t>Prvotna predložitev BSI v pregled</w:t>
            </w:r>
          </w:p>
          <w:p w14:paraId="17842BBC" w14:textId="53FA9776" w:rsidR="00601F87" w:rsidRPr="009461CC" w:rsidRDefault="00601F87" w:rsidP="00293453">
            <w:pPr>
              <w:spacing w:after="0" w:afterAutospacing="0"/>
              <w:rPr>
                <w:rFonts w:cs="Times New Roman"/>
                <w:sz w:val="22"/>
              </w:rPr>
            </w:pPr>
            <w:r>
              <w:rPr>
                <w:rFonts w:cs="Times New Roman"/>
                <w:sz w:val="22"/>
                <w:lang w:val="sl"/>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Pr>
                    <w:rFonts w:ascii="Segoe UI Symbol" w:eastAsia="MS Gothic" w:hAnsi="Segoe UI Symbol" w:cs="Segoe UI Symbol"/>
                    <w:sz w:val="22"/>
                    <w:lang w:val="sl"/>
                  </w:rPr>
                  <w:t>☒</w:t>
                </w:r>
              </w:sdtContent>
            </w:sdt>
            <w:r>
              <w:rPr>
                <w:rFonts w:eastAsia="MS Gothic"/>
                <w:sz w:val="22"/>
                <w:lang w:val="sl"/>
              </w:rPr>
              <w:t xml:space="preserve"> Da </w:t>
            </w:r>
          </w:p>
          <w:p w14:paraId="52EB2E13" w14:textId="77777777" w:rsidR="006D6EA3" w:rsidRPr="009461CC" w:rsidRDefault="006D6EA3" w:rsidP="006D6EA3">
            <w:pPr>
              <w:spacing w:after="0" w:afterAutospacing="0"/>
              <w:rPr>
                <w:rFonts w:cs="Times New Roman"/>
                <w:sz w:val="22"/>
              </w:rPr>
            </w:pPr>
            <w:r>
              <w:rPr>
                <w:rFonts w:cs="Times New Roman"/>
                <w:sz w:val="22"/>
                <w:lang w:val="sl"/>
              </w:rPr>
              <w:t xml:space="preserve">Jezik preverjanja: </w:t>
            </w:r>
          </w:p>
          <w:p w14:paraId="293F45BE" w14:textId="789551FE" w:rsidR="00CA46B0" w:rsidRPr="009461CC" w:rsidRDefault="006D6EA3" w:rsidP="006D6EA3">
            <w:pPr>
              <w:spacing w:after="0" w:afterAutospacing="0"/>
              <w:rPr>
                <w:rFonts w:cs="Times New Roman"/>
                <w:sz w:val="22"/>
              </w:rPr>
            </w:pPr>
            <w:r>
              <w:rPr>
                <w:rFonts w:cs="Times New Roman"/>
                <w:sz w:val="22"/>
                <w:lang w:val="sl"/>
              </w:rPr>
              <w:t>Slovenščina</w:t>
            </w:r>
          </w:p>
          <w:p w14:paraId="2C6B2388" w14:textId="23538238" w:rsidR="00601F87" w:rsidRPr="009461CC" w:rsidRDefault="006D6EA3" w:rsidP="006D6EA3">
            <w:pPr>
              <w:spacing w:after="0" w:afterAutospacing="0"/>
              <w:rPr>
                <w:rFonts w:cs="Times New Roman"/>
                <w:sz w:val="22"/>
                <w:highlight w:val="yellow"/>
              </w:rPr>
            </w:pPr>
            <w:r>
              <w:rPr>
                <w:rFonts w:ascii="Segoe UI Symbol" w:hAnsi="Segoe UI Symbol"/>
                <w:sz w:val="22"/>
                <w:lang w:val="sl"/>
              </w:rPr>
              <w:lastRenderedPageBreak/>
              <w:t>☐</w:t>
            </w:r>
            <w:r>
              <w:rPr>
                <w:sz w:val="22"/>
                <w:lang w:val="sl"/>
              </w:rPr>
              <w:t xml:space="preserve"> Ne (velja samo za razred IIa ali nekatere pripomočke IIb, za katere priglašeni organ še ni odobril SSCP)</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4C95" w14:textId="77777777" w:rsidR="00D87BA4" w:rsidRDefault="00D87BA4" w:rsidP="009855C3">
      <w:r>
        <w:separator/>
      </w:r>
    </w:p>
  </w:endnote>
  <w:endnote w:type="continuationSeparator" w:id="0">
    <w:p w14:paraId="06586C7B" w14:textId="77777777" w:rsidR="00D87BA4" w:rsidRDefault="00D87BA4"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F44E82" w:rsidRDefault="003036AD" w:rsidP="009855C3">
    <w:pPr>
      <w:pStyle w:val="Footer"/>
      <w:rPr>
        <w:szCs w:val="24"/>
      </w:rPr>
    </w:pPr>
    <w:r>
      <w:rPr>
        <w:b/>
        <w:bCs/>
        <w:sz w:val="18"/>
        <w:szCs w:val="18"/>
        <w:lang w:val="sl"/>
      </w:rPr>
      <w:t xml:space="preserve">CAQ-QA-025-F1 </w:t>
    </w:r>
    <w:r>
      <w:rPr>
        <w:b/>
        <w:bCs/>
        <w:sz w:val="18"/>
        <w:szCs w:val="18"/>
        <w:lang w:val="sl"/>
      </w:rPr>
      <w:t>Rev G: Povzetek o varnosti in klinični učinkovitosti (SSCP)</w:t>
    </w:r>
    <w:r>
      <w:rPr>
        <w:lang w:val="sl"/>
      </w:rPr>
      <w:t xml:space="preserve"> </w:t>
    </w:r>
    <w:r>
      <w:rPr>
        <w:lang w:val="sl"/>
      </w:rPr>
      <w:tab/>
      <w:t xml:space="preserve">Stran </w:t>
    </w:r>
    <w:r>
      <w:rPr>
        <w:lang w:val="sl"/>
      </w:rPr>
      <w:fldChar w:fldCharType="begin"/>
    </w:r>
    <w:r>
      <w:rPr>
        <w:lang w:val="sl"/>
      </w:rPr>
      <w:instrText xml:space="preserve"> PAGE  \* Arabic </w:instrText>
    </w:r>
    <w:r>
      <w:rPr>
        <w:lang w:val="sl"/>
      </w:rPr>
      <w:fldChar w:fldCharType="separate"/>
    </w:r>
    <w:r>
      <w:rPr>
        <w:lang w:val="sl"/>
      </w:rPr>
      <w:t>0</w:t>
    </w:r>
    <w:r>
      <w:rPr>
        <w:lang w:val="sl"/>
      </w:rPr>
      <w:fldChar w:fldCharType="end"/>
    </w:r>
    <w:r>
      <w:rPr>
        <w:lang w:val="sl"/>
      </w:rPr>
      <w:t xml:space="preserve"> od </w:t>
    </w:r>
    <w:r>
      <w:fldChar w:fldCharType="begin"/>
    </w:r>
    <w:r>
      <w:instrText xml:space="preserve"> NUMPAGES  </w:instrText>
    </w:r>
    <w:r>
      <w:fldChar w:fldCharType="separate"/>
    </w:r>
    <w:r>
      <w:rPr>
        <w:lang w:val="sl"/>
      </w:rPr>
      <w:t>12</w:t>
    </w:r>
    <w:r>
      <w:rPr>
        <w:lang w:val="sl"/>
      </w:rPr>
      <w:fldChar w:fldCharType="end"/>
    </w:r>
    <w:r>
      <w:rPr>
        <w:lang w:val="sl"/>
      </w:rPr>
      <w:t xml:space="preserve">  </w:t>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9C7F" w14:textId="77777777" w:rsidR="00D87BA4" w:rsidRDefault="00D87BA4" w:rsidP="009855C3">
      <w:r>
        <w:separator/>
      </w:r>
    </w:p>
  </w:footnote>
  <w:footnote w:type="continuationSeparator" w:id="0">
    <w:p w14:paraId="49B55907" w14:textId="77777777" w:rsidR="00D87BA4" w:rsidRDefault="00D87BA4"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A376FC" w14:paraId="7E46E4C7" w14:textId="77777777" w:rsidTr="00B62140">
      <w:tc>
        <w:tcPr>
          <w:tcW w:w="3080" w:type="dxa"/>
        </w:tcPr>
        <w:p w14:paraId="184F2588" w14:textId="6EABB2E0" w:rsidR="00B62140" w:rsidRDefault="00B62140" w:rsidP="00B62140">
          <w:pPr>
            <w:pStyle w:val="Header"/>
            <w:jc w:val="left"/>
          </w:pPr>
          <w:r>
            <w:rPr>
              <w:noProof/>
              <w:lang w:val="sl"/>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A376FC" w:rsidRDefault="005450DC" w:rsidP="005450DC">
          <w:pPr>
            <w:spacing w:after="0" w:afterAutospacing="0"/>
            <w:rPr>
              <w:rFonts w:ascii="Arial" w:hAnsi="Arial" w:cs="Arial"/>
              <w:b/>
              <w:bCs/>
              <w:sz w:val="28"/>
              <w:szCs w:val="28"/>
              <w:lang w:val="it-IT"/>
            </w:rPr>
          </w:pPr>
          <w:r>
            <w:rPr>
              <w:rFonts w:ascii="Arial" w:hAnsi="Arial" w:cs="Arial"/>
              <w:b/>
              <w:bCs/>
              <w:sz w:val="28"/>
              <w:szCs w:val="28"/>
              <w:lang w:val="sl"/>
            </w:rPr>
            <w:t>Povzetek o varnosti in klinični učinkovitosti (SSCP)</w:t>
          </w:r>
        </w:p>
        <w:p w14:paraId="3BB3B2B1" w14:textId="713D45C2" w:rsidR="009F5769" w:rsidRPr="00A376FC" w:rsidRDefault="009F5769" w:rsidP="009F5769">
          <w:pPr>
            <w:spacing w:after="0" w:afterAutospacing="0"/>
            <w:rPr>
              <w:rFonts w:ascii="Arial" w:hAnsi="Arial" w:cs="Arial"/>
              <w:sz w:val="18"/>
              <w:szCs w:val="18"/>
              <w:lang w:val="it-IT"/>
            </w:rPr>
          </w:pPr>
          <w:r>
            <w:rPr>
              <w:rFonts w:ascii="Arial" w:hAnsi="Arial" w:cs="Arial"/>
              <w:b/>
              <w:bCs/>
              <w:sz w:val="18"/>
              <w:szCs w:val="18"/>
              <w:lang w:val="sl"/>
            </w:rPr>
            <w:t xml:space="preserve">SSCP-0006: </w:t>
          </w:r>
          <w:bookmarkStart w:id="82" w:name="_Hlk196721157"/>
          <w:r w:rsidR="004F3605">
            <w:rPr>
              <w:rFonts w:ascii="Arial" w:hAnsi="Arial" w:cs="Arial"/>
              <w:sz w:val="18"/>
              <w:szCs w:val="18"/>
              <w:lang w:val="sl"/>
            </w:rPr>
            <w:t>K</w:t>
          </w:r>
          <w:r>
            <w:rPr>
              <w:rFonts w:ascii="Arial" w:hAnsi="Arial" w:cs="Arial"/>
              <w:sz w:val="18"/>
              <w:szCs w:val="18"/>
              <w:lang w:val="sl"/>
            </w:rPr>
            <w:t>omplet za vaskularno zanko</w:t>
          </w:r>
          <w:bookmarkEnd w:id="82"/>
        </w:p>
        <w:p w14:paraId="32066318" w14:textId="5996CDC6" w:rsidR="005450DC" w:rsidRPr="00A376FC" w:rsidRDefault="005450DC" w:rsidP="005450DC">
          <w:pPr>
            <w:spacing w:after="0" w:afterAutospacing="0"/>
            <w:rPr>
              <w:rFonts w:ascii="Arial" w:hAnsi="Arial" w:cs="Arial"/>
              <w:sz w:val="18"/>
              <w:szCs w:val="18"/>
              <w:lang w:val="it-IT"/>
            </w:rPr>
          </w:pPr>
          <w:r>
            <w:rPr>
              <w:rFonts w:ascii="Arial" w:hAnsi="Arial" w:cs="Arial"/>
              <w:sz w:val="18"/>
              <w:szCs w:val="18"/>
              <w:lang w:val="sl"/>
            </w:rPr>
            <w:t>Revizija: B</w:t>
          </w:r>
        </w:p>
        <w:p w14:paraId="2F5F8390" w14:textId="0ABFBBD1" w:rsidR="005450DC" w:rsidRPr="00A376FC" w:rsidRDefault="005450DC" w:rsidP="005450DC">
          <w:pPr>
            <w:pStyle w:val="Header"/>
            <w:jc w:val="left"/>
            <w:rPr>
              <w:rFonts w:ascii="Arial" w:hAnsi="Arial" w:cs="Arial"/>
              <w:sz w:val="18"/>
              <w:lang w:val="it-IT"/>
            </w:rPr>
          </w:pPr>
          <w:r>
            <w:rPr>
              <w:rFonts w:ascii="Calibri" w:eastAsiaTheme="minorHAnsi" w:hAnsi="Calibri" w:cs="Calibri"/>
              <w:sz w:val="18"/>
              <w:szCs w:val="18"/>
              <w:lang w:val="sl"/>
            </w:rPr>
            <w:t>Lokacija družbe Argon: Vse lokacije</w:t>
          </w:r>
        </w:p>
      </w:tc>
    </w:tr>
  </w:tbl>
  <w:p w14:paraId="0BD58B4F" w14:textId="7DA38D57" w:rsidR="00B62140" w:rsidRPr="00A376FC" w:rsidRDefault="00B62140" w:rsidP="00B62140">
    <w:pPr>
      <w:pStyle w:val="Header"/>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605"/>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5BB8"/>
    <w:rsid w:val="007263BF"/>
    <w:rsid w:val="0073263C"/>
    <w:rsid w:val="007349B0"/>
    <w:rsid w:val="00734E3B"/>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0532"/>
    <w:rsid w:val="008C2DA2"/>
    <w:rsid w:val="008C5C2C"/>
    <w:rsid w:val="008C7623"/>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376FC"/>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1913"/>
    <w:rsid w:val="00BD4F54"/>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87BA4"/>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2.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4489</Words>
  <Characters>25590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4</cp:revision>
  <cp:lastPrinted>2026-02-23T12:22:00Z</cp:lastPrinted>
  <dcterms:created xsi:type="dcterms:W3CDTF">2026-02-23T12:22:00Z</dcterms:created>
  <dcterms:modified xsi:type="dcterms:W3CDTF">2026-02-25T22:11:00Z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