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9461CC" w:rsidRDefault="0005411A" w:rsidP="00042B91">
      <w:pPr>
        <w:pStyle w:val="BodyText3"/>
        <w:spacing w:after="0" w:afterAutospacing="0"/>
        <w:rPr>
          <w:sz w:val="24"/>
        </w:rPr>
      </w:pPr>
    </w:p>
    <w:p w14:paraId="2D72A510" w14:textId="58A5ED92" w:rsidR="0005411A" w:rsidRPr="009461CC" w:rsidRDefault="00E91403" w:rsidP="00042B91">
      <w:pPr>
        <w:pStyle w:val="BodyText3"/>
        <w:spacing w:after="0" w:afterAutospacing="0"/>
      </w:pPr>
      <w:r>
        <w:rPr>
          <w:bCs/>
          <w:noProof/>
          <w:lang w:val="es-ES"/>
        </w:rPr>
        <mc:AlternateContent>
          <mc:Choice Requires="wps">
            <w:drawing>
              <wp:anchor distT="0" distB="0" distL="114300" distR="114300" simplePos="0" relativeHeight="251659264" behindDoc="0" locked="0" layoutInCell="1" allowOverlap="1" wp14:anchorId="6FC0C8B7" wp14:editId="6DA47034">
                <wp:simplePos x="0" y="0"/>
                <wp:positionH relativeFrom="column">
                  <wp:posOffset>-190500</wp:posOffset>
                </wp:positionH>
                <wp:positionV relativeFrom="paragraph">
                  <wp:posOffset>71755</wp:posOffset>
                </wp:positionV>
                <wp:extent cx="6448425" cy="1209675"/>
                <wp:effectExtent l="19050" t="19050" r="4762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09675"/>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E91403" w:rsidRDefault="006F0810" w:rsidP="006D00F2">
                            <w:pPr>
                              <w:pStyle w:val="Heading7"/>
                              <w:spacing w:after="0" w:afterAutospacing="0"/>
                              <w:rPr>
                                <w:sz w:val="32"/>
                                <w:szCs w:val="32"/>
                              </w:rPr>
                            </w:pPr>
                            <w:r>
                              <w:rPr>
                                <w:bCs/>
                                <w:sz w:val="32"/>
                                <w:szCs w:val="32"/>
                                <w:lang w:val="es-ES"/>
                              </w:rPr>
                              <w:t>RESUMEN DE SEGURIDAD Y RENDIMIENTO CLÍNICO (SSCP)</w:t>
                            </w:r>
                          </w:p>
                          <w:p w14:paraId="0E1996B2" w14:textId="77777777" w:rsidR="005D4A52" w:rsidRDefault="005D4A52" w:rsidP="006D00F2">
                            <w:pPr>
                              <w:pStyle w:val="Heading7"/>
                              <w:spacing w:after="0" w:afterAutospacing="0"/>
                              <w:rPr>
                                <w:sz w:val="32"/>
                                <w:szCs w:val="32"/>
                              </w:rPr>
                            </w:pPr>
                            <w:r>
                              <w:rPr>
                                <w:bCs/>
                                <w:sz w:val="32"/>
                                <w:szCs w:val="32"/>
                                <w:lang w:val="es-ES"/>
                              </w:rPr>
                              <w:t>SSCP-0006</w:t>
                            </w:r>
                          </w:p>
                          <w:p w14:paraId="06B6F153" w14:textId="72F11D73" w:rsidR="005D4A52" w:rsidRDefault="00F1569C" w:rsidP="006D00F2">
                            <w:pPr>
                              <w:pStyle w:val="Heading7"/>
                              <w:spacing w:after="0" w:afterAutospacing="0"/>
                              <w:rPr>
                                <w:sz w:val="32"/>
                                <w:szCs w:val="32"/>
                              </w:rPr>
                            </w:pPr>
                            <w:r>
                              <w:rPr>
                                <w:bCs/>
                                <w:sz w:val="32"/>
                                <w:szCs w:val="32"/>
                                <w:lang w:val="es-ES"/>
                              </w:rPr>
                              <w:t>Kit Atrieve Vascular Snare</w:t>
                            </w:r>
                            <w:r>
                              <w:rPr>
                                <w:bCs/>
                                <w:sz w:val="32"/>
                                <w:szCs w:val="32"/>
                                <w:vertAlign w:val="superscript"/>
                                <w:lang w:val="es-ES"/>
                              </w:rPr>
                              <w:t>TM</w:t>
                            </w:r>
                          </w:p>
                          <w:p w14:paraId="3354BBA5" w14:textId="08AF297F" w:rsidR="005D4A52" w:rsidRPr="005B469C" w:rsidRDefault="005D4A52" w:rsidP="006D00F2">
                            <w:pPr>
                              <w:spacing w:after="0" w:afterAutospacing="0"/>
                              <w:jc w:val="center"/>
                              <w:rPr>
                                <w:b/>
                                <w:bCs/>
                                <w:sz w:val="32"/>
                                <w:szCs w:val="32"/>
                              </w:rPr>
                            </w:pPr>
                            <w:r>
                              <w:rPr>
                                <w:b/>
                                <w:bCs/>
                                <w:sz w:val="32"/>
                                <w:szCs w:val="32"/>
                                <w:lang w:val="es-ES"/>
                              </w:rPr>
                              <w:t>DHF-82248</w:t>
                            </w:r>
                          </w:p>
                          <w:p w14:paraId="3CF39942" w14:textId="77777777" w:rsidR="0005411A" w:rsidRPr="00267292" w:rsidRDefault="0005411A" w:rsidP="009855C3"/>
                          <w:p w14:paraId="684B57C2" w14:textId="77777777" w:rsidR="0005411A" w:rsidRPr="00267292" w:rsidRDefault="0005411A" w:rsidP="009855C3">
                            <w:r>
                              <w:rPr>
                                <w:lang w:val="es-ES"/>
                              </w:rPr>
                              <w:t>[FECHA]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pt;margin-top:5.65pt;width:507.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" strokeweight="4.5pt">
                <v:stroke linestyle="thinThick"/>
                <v:textbox>
                  <w:txbxContent>
                    <w:p w14:paraId="488C1F47" w14:textId="77777777" w:rsidR="0005411A" w:rsidRPr="00E91403" w:rsidRDefault="006F0810" w:rsidP="006D00F2">
                      <w:pPr>
                        <w:pStyle w:val="Heading7"/>
                        <w:spacing w:after="0" w:afterAutospacing="0"/>
                        <w:rPr>
                          <w:sz w:val="32"/>
                          <w:szCs w:val="32"/>
                        </w:rPr>
                      </w:pPr>
                      <w:r>
                        <w:rPr>
                          <w:bCs/>
                          <w:sz w:val="32"/>
                          <w:szCs w:val="32"/>
                          <w:lang w:val="es-ES"/>
                        </w:rPr>
                        <w:t>RESUMEN DE SEGURIDAD Y RENDIMIENTO CLÍNICO (SSCP)</w:t>
                      </w:r>
                    </w:p>
                    <w:p w14:paraId="0E1996B2" w14:textId="77777777" w:rsidR="005D4A52" w:rsidRDefault="005D4A52" w:rsidP="006D00F2">
                      <w:pPr>
                        <w:pStyle w:val="Heading7"/>
                        <w:spacing w:after="0" w:afterAutospacing="0"/>
                        <w:rPr>
                          <w:sz w:val="32"/>
                          <w:szCs w:val="32"/>
                        </w:rPr>
                      </w:pPr>
                      <w:r>
                        <w:rPr>
                          <w:bCs/>
                          <w:sz w:val="32"/>
                          <w:szCs w:val="32"/>
                          <w:lang w:val="es-ES"/>
                        </w:rPr>
                        <w:t>SSCP-0006</w:t>
                      </w:r>
                    </w:p>
                    <w:p w14:paraId="06B6F153" w14:textId="72F11D73" w:rsidR="005D4A52" w:rsidRDefault="00F1569C" w:rsidP="006D00F2">
                      <w:pPr>
                        <w:pStyle w:val="Heading7"/>
                        <w:spacing w:after="0" w:afterAutospacing="0"/>
                        <w:rPr>
                          <w:sz w:val="32"/>
                          <w:szCs w:val="32"/>
                        </w:rPr>
                      </w:pPr>
                      <w:r>
                        <w:rPr>
                          <w:bCs/>
                          <w:sz w:val="32"/>
                          <w:szCs w:val="32"/>
                          <w:lang w:val="es-ES"/>
                        </w:rPr>
                        <w:t>Kit Atrieve Vascular Snare</w:t>
                      </w:r>
                      <w:r>
                        <w:rPr>
                          <w:bCs/>
                          <w:sz w:val="32"/>
                          <w:szCs w:val="32"/>
                          <w:vertAlign w:val="superscript"/>
                          <w:lang w:val="es-ES"/>
                        </w:rPr>
                        <w:t>TM</w:t>
                      </w:r>
                    </w:p>
                    <w:p w14:paraId="3354BBA5" w14:textId="08AF297F" w:rsidR="005D4A52" w:rsidRPr="005B469C" w:rsidRDefault="005D4A52" w:rsidP="006D00F2">
                      <w:pPr>
                        <w:spacing w:after="0" w:afterAutospacing="0"/>
                        <w:jc w:val="center"/>
                        <w:rPr>
                          <w:b/>
                          <w:bCs/>
                          <w:sz w:val="32"/>
                          <w:szCs w:val="32"/>
                        </w:rPr>
                      </w:pPr>
                      <w:r>
                        <w:rPr>
                          <w:b/>
                          <w:bCs/>
                          <w:sz w:val="32"/>
                          <w:szCs w:val="32"/>
                          <w:lang w:val="es-ES"/>
                        </w:rPr>
                        <w:t>DHF-82248</w:t>
                      </w:r>
                    </w:p>
                    <w:p w14:paraId="3CF39942" w14:textId="77777777" w:rsidR="0005411A" w:rsidRPr="00267292" w:rsidRDefault="0005411A" w:rsidP="009855C3"/>
                    <w:p w14:paraId="684B57C2" w14:textId="77777777" w:rsidR="0005411A" w:rsidRPr="00267292" w:rsidRDefault="0005411A" w:rsidP="009855C3">
                      <w:r>
                        <w:rPr>
                          <w:lang w:val="es-ES"/>
                        </w:rPr>
                        <w:t>[FECHA]</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es-ES"/>
        </w:rPr>
        <w:t>Para su publicación en Eudamed</w:t>
      </w:r>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36"/>
        <w:gridCol w:w="1643"/>
        <w:gridCol w:w="6970"/>
      </w:tblGrid>
      <w:tr w:rsidR="00E91403" w:rsidRPr="009461CC"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es-ES"/>
              </w:rPr>
              <w:t>FUNCIÓN</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es-ES"/>
              </w:rPr>
              <w:t>DEPT.</w:t>
            </w:r>
          </w:p>
        </w:tc>
        <w:tc>
          <w:tcPr>
            <w:tcW w:w="7519"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Pr>
                <w:rFonts w:cs="Times New Roman"/>
                <w:b/>
                <w:bCs/>
                <w:szCs w:val="24"/>
                <w:lang w:val="es-ES"/>
              </w:rPr>
              <w:t>NOMBRE/TÍTULO</w:t>
            </w:r>
          </w:p>
        </w:tc>
      </w:tr>
      <w:tr w:rsidR="006E0847" w:rsidRPr="007B7064" w14:paraId="45F6CF0D" w14:textId="77777777" w:rsidTr="008E1D43">
        <w:trPr>
          <w:trHeight w:val="582"/>
        </w:trPr>
        <w:tc>
          <w:tcPr>
            <w:tcW w:w="1125"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Pr>
                <w:rFonts w:cs="Times New Roman"/>
                <w:b/>
                <w:bCs/>
                <w:szCs w:val="24"/>
                <w:lang w:val="es-ES"/>
              </w:rPr>
              <w:t>Redactado por</w:t>
            </w:r>
          </w:p>
        </w:tc>
        <w:tc>
          <w:tcPr>
            <w:tcW w:w="1305" w:type="dxa"/>
            <w:tcBorders>
              <w:top w:val="double" w:sz="4" w:space="0" w:color="auto"/>
            </w:tcBorders>
          </w:tcPr>
          <w:p w14:paraId="51D1E08B" w14:textId="5374772E" w:rsidR="006E0847" w:rsidRPr="009461CC" w:rsidRDefault="006E0847" w:rsidP="006E0847">
            <w:pPr>
              <w:jc w:val="center"/>
              <w:rPr>
                <w:rFonts w:cs="Times New Roman"/>
                <w:szCs w:val="24"/>
              </w:rPr>
            </w:pPr>
            <w:r>
              <w:rPr>
                <w:rFonts w:cs="Times New Roman"/>
                <w:szCs w:val="24"/>
                <w:lang w:val="es-ES"/>
              </w:rPr>
              <w:t>Asuntos reglamentarios</w:t>
            </w:r>
          </w:p>
        </w:tc>
        <w:tc>
          <w:tcPr>
            <w:tcW w:w="7519" w:type="dxa"/>
            <w:tcBorders>
              <w:top w:val="double" w:sz="4" w:space="0" w:color="auto"/>
            </w:tcBorders>
          </w:tcPr>
          <w:p w14:paraId="360D10DB" w14:textId="77777777" w:rsidR="006E0847" w:rsidRPr="007B7064" w:rsidRDefault="006E0847" w:rsidP="006E0847">
            <w:pPr>
              <w:spacing w:after="0" w:afterAutospacing="0"/>
              <w:jc w:val="center"/>
              <w:rPr>
                <w:rFonts w:cs="Times New Roman"/>
                <w:szCs w:val="24"/>
                <w:lang w:val="it-IT"/>
              </w:rPr>
            </w:pPr>
            <w:r>
              <w:rPr>
                <w:rFonts w:cs="Times New Roman"/>
                <w:szCs w:val="24"/>
                <w:lang w:val="es-ES"/>
              </w:rPr>
              <w:t>Nadira Lotus</w:t>
            </w:r>
          </w:p>
          <w:p w14:paraId="7BA00BEF" w14:textId="2E4C5FAD" w:rsidR="006E0847" w:rsidRPr="007B7064" w:rsidRDefault="006E0847" w:rsidP="006E0847">
            <w:pPr>
              <w:jc w:val="center"/>
              <w:rPr>
                <w:rFonts w:cs="Times New Roman"/>
                <w:szCs w:val="24"/>
                <w:lang w:val="it-IT"/>
              </w:rPr>
            </w:pPr>
            <w:r>
              <w:rPr>
                <w:rFonts w:cs="Times New Roman"/>
                <w:szCs w:val="24"/>
                <w:lang w:val="es-ES"/>
              </w:rPr>
              <w:t>Directora de vigilancia poscomercialización</w:t>
            </w:r>
          </w:p>
        </w:tc>
      </w:tr>
    </w:tbl>
    <w:p w14:paraId="45EA3393" w14:textId="77777777" w:rsidR="00E91403" w:rsidRPr="007B7064" w:rsidRDefault="00E91403" w:rsidP="00E91403">
      <w:pPr>
        <w:jc w:val="center"/>
        <w:rPr>
          <w:rFonts w:cs="Times New Roman"/>
          <w:b/>
          <w:lang w:val="it-IT"/>
        </w:rPr>
      </w:pPr>
    </w:p>
    <w:p w14:paraId="3ADE6C89" w14:textId="0496458B" w:rsidR="00E91403" w:rsidRPr="007B7064" w:rsidRDefault="00E91403" w:rsidP="00E91403">
      <w:pPr>
        <w:tabs>
          <w:tab w:val="center" w:pos="5220"/>
          <w:tab w:val="right" w:pos="10440"/>
        </w:tabs>
        <w:rPr>
          <w:rFonts w:cs="Times New Roman"/>
          <w:b/>
          <w:lang w:val="it-IT"/>
        </w:rPr>
      </w:pPr>
      <w:r>
        <w:rPr>
          <w:rFonts w:cs="Times New Roman"/>
          <w:lang w:val="es-ES"/>
        </w:rPr>
        <w:tab/>
      </w:r>
      <w:r>
        <w:rPr>
          <w:rFonts w:cs="Times New Roman"/>
          <w:b/>
          <w:bCs/>
          <w:lang w:val="es-ES"/>
        </w:rPr>
        <w:t>Matriz de aprobación de firmas</w:t>
      </w:r>
      <w:r>
        <w:rPr>
          <w:rFonts w:cs="Times New Roman"/>
          <w:lang w:val="es-ES"/>
        </w:rPr>
        <w:tab/>
      </w:r>
    </w:p>
    <w:p w14:paraId="01F684E3" w14:textId="77777777" w:rsidR="00E91403" w:rsidRPr="007B7064" w:rsidRDefault="00E91403" w:rsidP="00E91403">
      <w:pPr>
        <w:spacing w:after="60"/>
        <w:ind w:right="274"/>
        <w:rPr>
          <w:rFonts w:cs="Times New Roman"/>
          <w:sz w:val="20"/>
          <w:szCs w:val="20"/>
          <w:lang w:val="it-IT"/>
        </w:rPr>
      </w:pPr>
      <w:r>
        <w:rPr>
          <w:rFonts w:cs="Times New Roman"/>
          <w:sz w:val="20"/>
          <w:szCs w:val="20"/>
          <w:lang w:val="es-ES"/>
        </w:rPr>
        <w:t>Este documento debe ser revisado y aprobado por todas las personas que se enumeran a continuación o sus representantes autorizados.</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30"/>
        <w:gridCol w:w="1723"/>
        <w:gridCol w:w="6796"/>
      </w:tblGrid>
      <w:tr w:rsidR="00E91403" w:rsidRPr="009461CC"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es-ES"/>
              </w:rPr>
              <w:t>FUNCIÓN</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es-ES"/>
              </w:rPr>
              <w:t>DEPT.</w:t>
            </w:r>
          </w:p>
        </w:tc>
        <w:tc>
          <w:tcPr>
            <w:tcW w:w="7519"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Pr>
                <w:rFonts w:cs="Times New Roman"/>
                <w:b/>
                <w:bCs/>
                <w:szCs w:val="24"/>
                <w:lang w:val="es-ES"/>
              </w:rPr>
              <w:t>NOMBRE/TÍTULO</w:t>
            </w:r>
          </w:p>
        </w:tc>
      </w:tr>
      <w:tr w:rsidR="00386F47" w:rsidRPr="009461CC"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es-ES"/>
              </w:rPr>
              <w:t>Aprobación</w:t>
            </w:r>
          </w:p>
        </w:tc>
        <w:tc>
          <w:tcPr>
            <w:tcW w:w="1305" w:type="dxa"/>
            <w:vAlign w:val="center"/>
          </w:tcPr>
          <w:p w14:paraId="4B304E07" w14:textId="2D98EABD" w:rsidR="00386F47" w:rsidRPr="009461CC" w:rsidRDefault="00386F47" w:rsidP="00386F47">
            <w:pPr>
              <w:jc w:val="center"/>
              <w:rPr>
                <w:rFonts w:cs="Times New Roman"/>
                <w:szCs w:val="24"/>
              </w:rPr>
            </w:pPr>
            <w:r>
              <w:rPr>
                <w:rFonts w:cs="Times New Roman"/>
                <w:szCs w:val="24"/>
                <w:lang w:val="es-ES"/>
              </w:rPr>
              <w:t>Asuntos clínicos</w:t>
            </w:r>
          </w:p>
        </w:tc>
        <w:tc>
          <w:tcPr>
            <w:tcW w:w="7519" w:type="dxa"/>
            <w:vAlign w:val="center"/>
          </w:tcPr>
          <w:p w14:paraId="613876EC" w14:textId="77777777" w:rsidR="00386F47" w:rsidRPr="009461CC" w:rsidRDefault="00386F47" w:rsidP="00386F47">
            <w:pPr>
              <w:spacing w:after="0" w:afterAutospacing="0"/>
              <w:jc w:val="center"/>
              <w:rPr>
                <w:rFonts w:cs="Times New Roman"/>
                <w:szCs w:val="24"/>
              </w:rPr>
            </w:pPr>
            <w:r>
              <w:rPr>
                <w:rFonts w:cs="Times New Roman"/>
                <w:szCs w:val="24"/>
                <w:lang w:val="es-ES"/>
              </w:rPr>
              <w:t>Daniel Carr</w:t>
            </w:r>
          </w:p>
          <w:p w14:paraId="172E4813" w14:textId="2E4F9175" w:rsidR="00386F47" w:rsidRPr="009461CC" w:rsidRDefault="00E03D31" w:rsidP="00386F47">
            <w:pPr>
              <w:jc w:val="center"/>
              <w:rPr>
                <w:rFonts w:cs="Times New Roman"/>
                <w:szCs w:val="24"/>
              </w:rPr>
            </w:pPr>
            <w:r>
              <w:rPr>
                <w:rFonts w:cs="Times New Roman"/>
                <w:szCs w:val="24"/>
                <w:lang w:val="es-ES"/>
              </w:rPr>
              <w:t>Director sénior de asuntos clínicos</w:t>
            </w:r>
          </w:p>
        </w:tc>
      </w:tr>
      <w:tr w:rsidR="00386F47" w:rsidRPr="009461CC"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es-ES"/>
              </w:rPr>
              <w:t>Aprobación</w:t>
            </w:r>
          </w:p>
        </w:tc>
        <w:tc>
          <w:tcPr>
            <w:tcW w:w="1305" w:type="dxa"/>
            <w:vAlign w:val="center"/>
          </w:tcPr>
          <w:p w14:paraId="4887D925" w14:textId="1B032CD4" w:rsidR="00386F47" w:rsidRPr="009461CC" w:rsidRDefault="00386F47" w:rsidP="00386F47">
            <w:pPr>
              <w:jc w:val="center"/>
              <w:rPr>
                <w:rFonts w:cs="Times New Roman"/>
                <w:szCs w:val="24"/>
              </w:rPr>
            </w:pPr>
            <w:r>
              <w:rPr>
                <w:rFonts w:cs="Times New Roman"/>
                <w:szCs w:val="24"/>
                <w:lang w:val="es-ES"/>
              </w:rPr>
              <w:t xml:space="preserve">Calidad </w:t>
            </w:r>
          </w:p>
        </w:tc>
        <w:tc>
          <w:tcPr>
            <w:tcW w:w="7519" w:type="dxa"/>
            <w:vAlign w:val="center"/>
          </w:tcPr>
          <w:p w14:paraId="3D954801" w14:textId="77777777" w:rsidR="00F07DD1" w:rsidRDefault="00F07DD1" w:rsidP="004065D7">
            <w:pPr>
              <w:spacing w:after="0" w:afterAutospacing="0"/>
              <w:jc w:val="center"/>
              <w:rPr>
                <w:rFonts w:cs="Times New Roman"/>
                <w:szCs w:val="24"/>
              </w:rPr>
            </w:pPr>
            <w:r>
              <w:rPr>
                <w:rFonts w:cs="Times New Roman"/>
                <w:szCs w:val="24"/>
                <w:lang w:val="es-ES"/>
              </w:rPr>
              <w:t xml:space="preserve">James Stephens </w:t>
            </w:r>
          </w:p>
          <w:p w14:paraId="1EA24645" w14:textId="5BC698A1" w:rsidR="00386F47" w:rsidRPr="009461CC" w:rsidRDefault="00547353" w:rsidP="004065D7">
            <w:pPr>
              <w:spacing w:after="0" w:afterAutospacing="0"/>
              <w:jc w:val="center"/>
              <w:rPr>
                <w:rFonts w:cs="Times New Roman"/>
                <w:szCs w:val="24"/>
              </w:rPr>
            </w:pPr>
            <w:r>
              <w:rPr>
                <w:rFonts w:cs="Times New Roman"/>
                <w:szCs w:val="24"/>
                <w:lang w:val="es-ES"/>
              </w:rPr>
              <w:t>Director sénior de Operaciones de Calidad</w:t>
            </w:r>
          </w:p>
        </w:tc>
      </w:tr>
      <w:tr w:rsidR="00386F47" w:rsidRPr="007B7064"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es-ES"/>
              </w:rPr>
              <w:t>Aprobación</w:t>
            </w:r>
          </w:p>
        </w:tc>
        <w:tc>
          <w:tcPr>
            <w:tcW w:w="1305" w:type="dxa"/>
            <w:vAlign w:val="center"/>
          </w:tcPr>
          <w:p w14:paraId="25EABF73" w14:textId="63DB84E6" w:rsidR="00386F47" w:rsidRPr="009461CC" w:rsidRDefault="00386F47" w:rsidP="00386F47">
            <w:pPr>
              <w:jc w:val="center"/>
              <w:rPr>
                <w:rFonts w:cs="Times New Roman"/>
                <w:szCs w:val="24"/>
              </w:rPr>
            </w:pPr>
            <w:r>
              <w:rPr>
                <w:rFonts w:cs="Times New Roman"/>
                <w:szCs w:val="24"/>
                <w:lang w:val="es-ES"/>
              </w:rPr>
              <w:t xml:space="preserve">Asuntos Reglamentarios </w:t>
            </w:r>
          </w:p>
        </w:tc>
        <w:tc>
          <w:tcPr>
            <w:tcW w:w="7519" w:type="dxa"/>
            <w:vAlign w:val="center"/>
          </w:tcPr>
          <w:p w14:paraId="7676555E" w14:textId="77777777" w:rsidR="00386F47" w:rsidRPr="007B7064" w:rsidRDefault="00386F47" w:rsidP="00386F47">
            <w:pPr>
              <w:spacing w:after="0" w:afterAutospacing="0" w:line="240" w:lineRule="auto"/>
              <w:jc w:val="center"/>
              <w:rPr>
                <w:rFonts w:eastAsia="Times New Roman" w:cs="Times New Roman"/>
                <w:color w:val="000000" w:themeColor="text1"/>
                <w:szCs w:val="24"/>
                <w:lang w:val="it-IT"/>
              </w:rPr>
            </w:pPr>
            <w:r>
              <w:rPr>
                <w:rFonts w:eastAsia="Times New Roman" w:cs="Times New Roman"/>
                <w:color w:val="000000" w:themeColor="text1"/>
                <w:szCs w:val="24"/>
                <w:lang w:val="es-ES"/>
              </w:rPr>
              <w:t>Scott Bishop</w:t>
            </w:r>
          </w:p>
          <w:p w14:paraId="39BF7685" w14:textId="4DD9DE97" w:rsidR="00386F47" w:rsidRPr="007B7064" w:rsidRDefault="00E950A1" w:rsidP="00386F47">
            <w:pPr>
              <w:jc w:val="center"/>
              <w:rPr>
                <w:rFonts w:cs="Times New Roman"/>
                <w:szCs w:val="24"/>
                <w:lang w:val="it-IT"/>
              </w:rPr>
            </w:pPr>
            <w:r>
              <w:rPr>
                <w:rFonts w:eastAsia="Times New Roman" w:cs="Times New Roman"/>
                <w:color w:val="000000" w:themeColor="text1"/>
                <w:szCs w:val="24"/>
                <w:lang w:val="es-ES"/>
              </w:rPr>
              <w:t>Vicepresidente de Asuntos Reglamentarios y Garantía de Calidad Global</w:t>
            </w:r>
          </w:p>
        </w:tc>
      </w:tr>
    </w:tbl>
    <w:p w14:paraId="51DA0A01" w14:textId="5402C604" w:rsidR="00E91403" w:rsidRPr="009461CC" w:rsidRDefault="00E91403" w:rsidP="00E91403">
      <w:pPr>
        <w:jc w:val="center"/>
        <w:rPr>
          <w:rFonts w:cs="Times New Roman"/>
          <w:b/>
        </w:rPr>
      </w:pPr>
      <w:r>
        <w:rPr>
          <w:rFonts w:cs="Times New Roman"/>
          <w:b/>
          <w:bCs/>
          <w:lang w:val="es-ES"/>
        </w:rPr>
        <w:t>Historial de revisiones</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7"/>
        <w:gridCol w:w="1310"/>
        <w:gridCol w:w="1190"/>
        <w:gridCol w:w="4322"/>
        <w:gridCol w:w="1758"/>
      </w:tblGrid>
      <w:tr w:rsidR="00E91403" w:rsidRPr="007B7064" w14:paraId="38F29FD4" w14:textId="77777777" w:rsidTr="00740900">
        <w:tc>
          <w:tcPr>
            <w:tcW w:w="1214"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es-ES"/>
              </w:rPr>
              <w:t>Revisión</w:t>
            </w:r>
          </w:p>
        </w:tc>
        <w:tc>
          <w:tcPr>
            <w:tcW w:w="1128"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es-ES"/>
              </w:rPr>
              <w:t>Fecha</w:t>
            </w:r>
          </w:p>
        </w:tc>
        <w:tc>
          <w:tcPr>
            <w:tcW w:w="1150"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es-ES"/>
              </w:rPr>
              <w:t>Secciones</w:t>
            </w:r>
          </w:p>
        </w:tc>
        <w:tc>
          <w:tcPr>
            <w:tcW w:w="4496"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es-ES"/>
              </w:rPr>
              <w:t>Descripción de las revisiones</w:t>
            </w:r>
          </w:p>
        </w:tc>
        <w:tc>
          <w:tcPr>
            <w:tcW w:w="1799" w:type="dxa"/>
            <w:tcBorders>
              <w:top w:val="single" w:sz="18" w:space="0" w:color="auto"/>
              <w:bottom w:val="double" w:sz="4" w:space="0" w:color="auto"/>
            </w:tcBorders>
            <w:shd w:val="clear" w:color="auto" w:fill="E0E0E0"/>
          </w:tcPr>
          <w:p w14:paraId="332F4EE6" w14:textId="77777777" w:rsidR="00E91403" w:rsidRPr="007B7064" w:rsidRDefault="00E91403" w:rsidP="00842611">
            <w:pPr>
              <w:tabs>
                <w:tab w:val="left" w:pos="465"/>
              </w:tabs>
              <w:jc w:val="center"/>
              <w:rPr>
                <w:rFonts w:cs="Times New Roman"/>
                <w:b/>
                <w:szCs w:val="24"/>
                <w:lang w:val="it-IT"/>
              </w:rPr>
            </w:pPr>
            <w:r>
              <w:rPr>
                <w:rFonts w:cs="Times New Roman"/>
                <w:b/>
                <w:bCs/>
                <w:szCs w:val="24"/>
                <w:lang w:val="es-ES"/>
              </w:rPr>
              <w:t>N.º de solicitud de cambio</w:t>
            </w:r>
          </w:p>
        </w:tc>
      </w:tr>
      <w:tr w:rsidR="00740900" w:rsidRPr="009461CC" w14:paraId="47D66140" w14:textId="77777777" w:rsidTr="00740900">
        <w:tc>
          <w:tcPr>
            <w:tcW w:w="1214"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es-ES"/>
              </w:rPr>
              <w:t>A</w:t>
            </w:r>
          </w:p>
        </w:tc>
        <w:tc>
          <w:tcPr>
            <w:tcW w:w="1128"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es-ES"/>
              </w:rPr>
              <w:t>22/05/2022</w:t>
            </w:r>
          </w:p>
        </w:tc>
        <w:tc>
          <w:tcPr>
            <w:tcW w:w="1150"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es-ES"/>
              </w:rPr>
              <w:t>Todas</w:t>
            </w:r>
          </w:p>
        </w:tc>
        <w:tc>
          <w:tcPr>
            <w:tcW w:w="4496" w:type="dxa"/>
            <w:tcBorders>
              <w:top w:val="double" w:sz="4" w:space="0" w:color="auto"/>
              <w:bottom w:val="single" w:sz="4" w:space="0" w:color="auto"/>
            </w:tcBorders>
          </w:tcPr>
          <w:p w14:paraId="3973A2E3" w14:textId="3D8B33BA" w:rsidR="00740900" w:rsidRPr="00E705B9" w:rsidRDefault="00740900" w:rsidP="00740900">
            <w:pPr>
              <w:rPr>
                <w:rFonts w:cs="Times New Roman"/>
                <w:szCs w:val="24"/>
                <w:lang w:val="it-IT"/>
              </w:rPr>
            </w:pPr>
            <w:r>
              <w:rPr>
                <w:rFonts w:cs="Times New Roman"/>
                <w:szCs w:val="24"/>
                <w:lang w:val="es-ES"/>
              </w:rPr>
              <w:t>Informe inicial solo para uso interno</w:t>
            </w:r>
          </w:p>
        </w:tc>
        <w:tc>
          <w:tcPr>
            <w:tcW w:w="1799"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es-ES"/>
              </w:rPr>
              <w:t>No aplicable</w:t>
            </w:r>
          </w:p>
        </w:tc>
      </w:tr>
      <w:tr w:rsidR="00923982" w:rsidRPr="009461CC" w14:paraId="495D8A1C" w14:textId="77777777" w:rsidTr="00740900">
        <w:tc>
          <w:tcPr>
            <w:tcW w:w="1214"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es-ES"/>
              </w:rPr>
              <w:t>B</w:t>
            </w:r>
          </w:p>
        </w:tc>
        <w:tc>
          <w:tcPr>
            <w:tcW w:w="1128"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es-ES"/>
              </w:rPr>
              <w:t>15/12/2025</w:t>
            </w:r>
          </w:p>
        </w:tc>
        <w:tc>
          <w:tcPr>
            <w:tcW w:w="1150"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es-ES"/>
              </w:rPr>
              <w:t>Todas</w:t>
            </w:r>
          </w:p>
        </w:tc>
        <w:tc>
          <w:tcPr>
            <w:tcW w:w="4496" w:type="dxa"/>
            <w:tcBorders>
              <w:top w:val="single" w:sz="4" w:space="0" w:color="auto"/>
              <w:bottom w:val="single" w:sz="12" w:space="0" w:color="auto"/>
            </w:tcBorders>
          </w:tcPr>
          <w:p w14:paraId="3D913A75" w14:textId="09B5D375" w:rsidR="00923982" w:rsidRPr="009461CC" w:rsidRDefault="0080432B" w:rsidP="00923982">
            <w:pPr>
              <w:rPr>
                <w:rFonts w:cs="Times New Roman"/>
                <w:szCs w:val="24"/>
              </w:rPr>
            </w:pPr>
            <w:r>
              <w:rPr>
                <w:rFonts w:cs="Times New Roman"/>
                <w:szCs w:val="24"/>
                <w:lang w:val="es-ES"/>
              </w:rPr>
              <w:t>Presentación del MDR de la UE</w:t>
            </w:r>
          </w:p>
        </w:tc>
        <w:tc>
          <w:tcPr>
            <w:tcW w:w="1799"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es-ES"/>
              </w:rPr>
              <w:t>07919</w:t>
            </w:r>
          </w:p>
        </w:tc>
      </w:tr>
    </w:tbl>
    <w:p w14:paraId="5C951A98" w14:textId="6A651DC3" w:rsidR="0005411A" w:rsidRPr="009461CC" w:rsidRDefault="00E91403" w:rsidP="00E91403">
      <w:pPr>
        <w:jc w:val="center"/>
        <w:rPr>
          <w:rFonts w:cs="Times New Roman"/>
        </w:rPr>
      </w:pPr>
      <w:r>
        <w:rPr>
          <w:rFonts w:cs="Times New Roman"/>
          <w:i/>
          <w:iCs/>
          <w:lang w:val="es-ES"/>
        </w:rPr>
        <w:t>Nota: Las aprobaciones se registrarán a través de la solicitud de cambio asociada.</w:t>
      </w:r>
    </w:p>
    <w:p w14:paraId="700C8B5F" w14:textId="34A53550" w:rsidR="006F0810" w:rsidRPr="009461CC" w:rsidRDefault="0005411A" w:rsidP="00042B91">
      <w:pPr>
        <w:spacing w:after="0" w:afterAutospacing="0" w:line="240" w:lineRule="auto"/>
        <w:rPr>
          <w:rFonts w:cs="Times New Roman"/>
        </w:rPr>
      </w:pPr>
      <w:r>
        <w:rPr>
          <w:rFonts w:cs="Times New Roman"/>
          <w:szCs w:val="24"/>
          <w:lang w:val="es-ES"/>
        </w:rPr>
        <w:br w:type="page"/>
      </w:r>
      <w:r>
        <w:rPr>
          <w:rFonts w:cs="Times New Roman"/>
          <w:lang w:val="es-ES"/>
        </w:rPr>
        <w:lastRenderedPageBreak/>
        <w:t>Índice</w:t>
      </w:r>
    </w:p>
    <w:p w14:paraId="50B4867A" w14:textId="3B4744DB" w:rsidR="007B7064" w:rsidRDefault="006F0810">
      <w:pPr>
        <w:pStyle w:val="TOC1"/>
        <w:rPr>
          <w:rFonts w:asciiTheme="minorHAnsi" w:eastAsiaTheme="minorEastAsia" w:hAnsiTheme="minorHAnsi" w:cstheme="minorBidi"/>
          <w:noProof/>
          <w:kern w:val="2"/>
          <w:lang w:val="en-RS" w:eastAsia="zh-CN"/>
          <w14:ligatures w14:val="standardContextual"/>
        </w:rPr>
      </w:pPr>
      <w:r>
        <w:rPr>
          <w:lang w:val="es-ES"/>
        </w:rPr>
        <w:fldChar w:fldCharType="begin"/>
      </w:r>
      <w:r>
        <w:instrText xml:space="preserve"> TOC \o "1-3" \h \z \u </w:instrText>
      </w:r>
      <w:r>
        <w:fldChar w:fldCharType="separate"/>
      </w:r>
      <w:hyperlink w:anchor="_Toc222741760" w:history="1">
        <w:r w:rsidR="007B7064" w:rsidRPr="00E5524D">
          <w:rPr>
            <w:rStyle w:val="Hyperlink"/>
            <w:noProof/>
          </w:rPr>
          <w:t>1.</w:t>
        </w:r>
        <w:r w:rsidR="007B7064">
          <w:rPr>
            <w:rFonts w:asciiTheme="minorHAnsi" w:eastAsiaTheme="minorEastAsia" w:hAnsiTheme="minorHAnsi" w:cstheme="minorBidi"/>
            <w:noProof/>
            <w:kern w:val="2"/>
            <w:lang w:val="en-RS" w:eastAsia="zh-CN"/>
            <w14:ligatures w14:val="standardContextual"/>
          </w:rPr>
          <w:tab/>
        </w:r>
        <w:r w:rsidR="007B7064" w:rsidRPr="00E5524D">
          <w:rPr>
            <w:rStyle w:val="Hyperlink"/>
            <w:bCs/>
            <w:noProof/>
            <w:lang w:val="es-ES"/>
          </w:rPr>
          <w:t>Ámbito de este resumen de seguridad y rendimiento clínico (SSCP):</w:t>
        </w:r>
        <w:r w:rsidR="007B7064">
          <w:rPr>
            <w:noProof/>
            <w:webHidden/>
          </w:rPr>
          <w:tab/>
        </w:r>
        <w:r w:rsidR="007B7064">
          <w:rPr>
            <w:noProof/>
            <w:webHidden/>
          </w:rPr>
          <w:fldChar w:fldCharType="begin"/>
        </w:r>
        <w:r w:rsidR="007B7064">
          <w:rPr>
            <w:noProof/>
            <w:webHidden/>
          </w:rPr>
          <w:instrText xml:space="preserve"> PAGEREF _Toc222741760 \h </w:instrText>
        </w:r>
        <w:r w:rsidR="007B7064">
          <w:rPr>
            <w:noProof/>
            <w:webHidden/>
          </w:rPr>
        </w:r>
        <w:r w:rsidR="007B7064">
          <w:rPr>
            <w:noProof/>
            <w:webHidden/>
          </w:rPr>
          <w:fldChar w:fldCharType="separate"/>
        </w:r>
        <w:r w:rsidR="00E705B9">
          <w:rPr>
            <w:noProof/>
            <w:webHidden/>
          </w:rPr>
          <w:t>3</w:t>
        </w:r>
        <w:r w:rsidR="007B7064">
          <w:rPr>
            <w:noProof/>
            <w:webHidden/>
          </w:rPr>
          <w:fldChar w:fldCharType="end"/>
        </w:r>
      </w:hyperlink>
    </w:p>
    <w:p w14:paraId="3897CC90" w14:textId="1E86623B"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61" w:history="1">
        <w:r w:rsidRPr="00E5524D">
          <w:rPr>
            <w:rStyle w:val="Hyperlink"/>
            <w:noProof/>
          </w:rPr>
          <w:t>1.1.</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Nombre comercial del dispositivo:</w:t>
        </w:r>
        <w:r>
          <w:rPr>
            <w:noProof/>
            <w:webHidden/>
          </w:rPr>
          <w:tab/>
        </w:r>
        <w:r>
          <w:rPr>
            <w:noProof/>
            <w:webHidden/>
          </w:rPr>
          <w:fldChar w:fldCharType="begin"/>
        </w:r>
        <w:r>
          <w:rPr>
            <w:noProof/>
            <w:webHidden/>
          </w:rPr>
          <w:instrText xml:space="preserve"> PAGEREF _Toc222741761 \h </w:instrText>
        </w:r>
        <w:r>
          <w:rPr>
            <w:noProof/>
            <w:webHidden/>
          </w:rPr>
        </w:r>
        <w:r>
          <w:rPr>
            <w:noProof/>
            <w:webHidden/>
          </w:rPr>
          <w:fldChar w:fldCharType="separate"/>
        </w:r>
        <w:r w:rsidR="00E705B9">
          <w:rPr>
            <w:noProof/>
            <w:webHidden/>
          </w:rPr>
          <w:t>3</w:t>
        </w:r>
        <w:r>
          <w:rPr>
            <w:noProof/>
            <w:webHidden/>
          </w:rPr>
          <w:fldChar w:fldCharType="end"/>
        </w:r>
      </w:hyperlink>
    </w:p>
    <w:p w14:paraId="328F8CC6" w14:textId="716A0428"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62" w:history="1">
        <w:r w:rsidRPr="00E5524D">
          <w:rPr>
            <w:rStyle w:val="Hyperlink"/>
            <w:noProof/>
          </w:rPr>
          <w:t>1.2.</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Descripción del dispositivo, UDI-DI básico y clasificación de la UE:</w:t>
        </w:r>
        <w:r>
          <w:rPr>
            <w:noProof/>
            <w:webHidden/>
          </w:rPr>
          <w:tab/>
        </w:r>
        <w:r>
          <w:rPr>
            <w:noProof/>
            <w:webHidden/>
          </w:rPr>
          <w:fldChar w:fldCharType="begin"/>
        </w:r>
        <w:r>
          <w:rPr>
            <w:noProof/>
            <w:webHidden/>
          </w:rPr>
          <w:instrText xml:space="preserve"> PAGEREF _Toc222741762 \h </w:instrText>
        </w:r>
        <w:r>
          <w:rPr>
            <w:noProof/>
            <w:webHidden/>
          </w:rPr>
        </w:r>
        <w:r>
          <w:rPr>
            <w:noProof/>
            <w:webHidden/>
          </w:rPr>
          <w:fldChar w:fldCharType="separate"/>
        </w:r>
        <w:r w:rsidR="00E705B9">
          <w:rPr>
            <w:noProof/>
            <w:webHidden/>
          </w:rPr>
          <w:t>3</w:t>
        </w:r>
        <w:r>
          <w:rPr>
            <w:noProof/>
            <w:webHidden/>
          </w:rPr>
          <w:fldChar w:fldCharType="end"/>
        </w:r>
      </w:hyperlink>
    </w:p>
    <w:p w14:paraId="48186750" w14:textId="0F536F4A"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63" w:history="1">
        <w:r w:rsidRPr="00E5524D">
          <w:rPr>
            <w:rStyle w:val="Hyperlink"/>
            <w:noProof/>
          </w:rPr>
          <w:t>1.3.</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Año en que se emitió el primer certificado (CE) que cubre el dispositivo:</w:t>
        </w:r>
        <w:r>
          <w:rPr>
            <w:noProof/>
            <w:webHidden/>
          </w:rPr>
          <w:tab/>
        </w:r>
        <w:r>
          <w:rPr>
            <w:noProof/>
            <w:webHidden/>
          </w:rPr>
          <w:fldChar w:fldCharType="begin"/>
        </w:r>
        <w:r>
          <w:rPr>
            <w:noProof/>
            <w:webHidden/>
          </w:rPr>
          <w:instrText xml:space="preserve"> PAGEREF _Toc222741763 \h </w:instrText>
        </w:r>
        <w:r>
          <w:rPr>
            <w:noProof/>
            <w:webHidden/>
          </w:rPr>
        </w:r>
        <w:r>
          <w:rPr>
            <w:noProof/>
            <w:webHidden/>
          </w:rPr>
          <w:fldChar w:fldCharType="separate"/>
        </w:r>
        <w:r w:rsidR="00E705B9">
          <w:rPr>
            <w:noProof/>
            <w:webHidden/>
          </w:rPr>
          <w:t>3</w:t>
        </w:r>
        <w:r>
          <w:rPr>
            <w:noProof/>
            <w:webHidden/>
          </w:rPr>
          <w:fldChar w:fldCharType="end"/>
        </w:r>
      </w:hyperlink>
    </w:p>
    <w:p w14:paraId="6B404AAA" w14:textId="6E4137CE"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64" w:history="1">
        <w:r w:rsidRPr="00E5524D">
          <w:rPr>
            <w:rStyle w:val="Hyperlink"/>
            <w:noProof/>
          </w:rPr>
          <w:t>1.4.</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Nombre, dirección y SRN del fabricante:</w:t>
        </w:r>
        <w:r>
          <w:rPr>
            <w:noProof/>
            <w:webHidden/>
          </w:rPr>
          <w:tab/>
        </w:r>
        <w:r>
          <w:rPr>
            <w:noProof/>
            <w:webHidden/>
          </w:rPr>
          <w:fldChar w:fldCharType="begin"/>
        </w:r>
        <w:r>
          <w:rPr>
            <w:noProof/>
            <w:webHidden/>
          </w:rPr>
          <w:instrText xml:space="preserve"> PAGEREF _Toc222741764 \h </w:instrText>
        </w:r>
        <w:r>
          <w:rPr>
            <w:noProof/>
            <w:webHidden/>
          </w:rPr>
        </w:r>
        <w:r>
          <w:rPr>
            <w:noProof/>
            <w:webHidden/>
          </w:rPr>
          <w:fldChar w:fldCharType="separate"/>
        </w:r>
        <w:r w:rsidR="00E705B9">
          <w:rPr>
            <w:noProof/>
            <w:webHidden/>
          </w:rPr>
          <w:t>4</w:t>
        </w:r>
        <w:r>
          <w:rPr>
            <w:noProof/>
            <w:webHidden/>
          </w:rPr>
          <w:fldChar w:fldCharType="end"/>
        </w:r>
      </w:hyperlink>
    </w:p>
    <w:p w14:paraId="1C7D5D76" w14:textId="3BA871A9"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65" w:history="1">
        <w:r w:rsidRPr="00E5524D">
          <w:rPr>
            <w:rStyle w:val="Hyperlink"/>
            <w:noProof/>
          </w:rPr>
          <w:t>1.5.</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Nombre y SRN del representante autorizado:</w:t>
        </w:r>
        <w:r>
          <w:rPr>
            <w:noProof/>
            <w:webHidden/>
          </w:rPr>
          <w:tab/>
        </w:r>
        <w:r>
          <w:rPr>
            <w:noProof/>
            <w:webHidden/>
          </w:rPr>
          <w:fldChar w:fldCharType="begin"/>
        </w:r>
        <w:r>
          <w:rPr>
            <w:noProof/>
            <w:webHidden/>
          </w:rPr>
          <w:instrText xml:space="preserve"> PAGEREF _Toc222741765 \h </w:instrText>
        </w:r>
        <w:r>
          <w:rPr>
            <w:noProof/>
            <w:webHidden/>
          </w:rPr>
        </w:r>
        <w:r>
          <w:rPr>
            <w:noProof/>
            <w:webHidden/>
          </w:rPr>
          <w:fldChar w:fldCharType="separate"/>
        </w:r>
        <w:r w:rsidR="00E705B9">
          <w:rPr>
            <w:noProof/>
            <w:webHidden/>
          </w:rPr>
          <w:t>4</w:t>
        </w:r>
        <w:r>
          <w:rPr>
            <w:noProof/>
            <w:webHidden/>
          </w:rPr>
          <w:fldChar w:fldCharType="end"/>
        </w:r>
      </w:hyperlink>
    </w:p>
    <w:p w14:paraId="10773B88" w14:textId="23CE874A"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66" w:history="1">
        <w:r w:rsidRPr="00E5524D">
          <w:rPr>
            <w:rStyle w:val="Hyperlink"/>
            <w:noProof/>
          </w:rPr>
          <w:t>1.6.</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Nombre y número de identificación único del organismo notificado:</w:t>
        </w:r>
        <w:r>
          <w:rPr>
            <w:noProof/>
            <w:webHidden/>
          </w:rPr>
          <w:tab/>
        </w:r>
        <w:r>
          <w:rPr>
            <w:noProof/>
            <w:webHidden/>
          </w:rPr>
          <w:fldChar w:fldCharType="begin"/>
        </w:r>
        <w:r>
          <w:rPr>
            <w:noProof/>
            <w:webHidden/>
          </w:rPr>
          <w:instrText xml:space="preserve"> PAGEREF _Toc222741766 \h </w:instrText>
        </w:r>
        <w:r>
          <w:rPr>
            <w:noProof/>
            <w:webHidden/>
          </w:rPr>
        </w:r>
        <w:r>
          <w:rPr>
            <w:noProof/>
            <w:webHidden/>
          </w:rPr>
          <w:fldChar w:fldCharType="separate"/>
        </w:r>
        <w:r w:rsidR="00E705B9">
          <w:rPr>
            <w:noProof/>
            <w:webHidden/>
          </w:rPr>
          <w:t>4</w:t>
        </w:r>
        <w:r>
          <w:rPr>
            <w:noProof/>
            <w:webHidden/>
          </w:rPr>
          <w:fldChar w:fldCharType="end"/>
        </w:r>
      </w:hyperlink>
    </w:p>
    <w:p w14:paraId="493384B5" w14:textId="4F4825A6"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67" w:history="1">
        <w:r w:rsidRPr="00E5524D">
          <w:rPr>
            <w:rStyle w:val="Hyperlink"/>
            <w:noProof/>
          </w:rPr>
          <w:t>2.</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Uso previsto/Finalidad prevista del dispositivo</w:t>
        </w:r>
        <w:r>
          <w:rPr>
            <w:noProof/>
            <w:webHidden/>
          </w:rPr>
          <w:tab/>
        </w:r>
        <w:r>
          <w:rPr>
            <w:noProof/>
            <w:webHidden/>
          </w:rPr>
          <w:fldChar w:fldCharType="begin"/>
        </w:r>
        <w:r>
          <w:rPr>
            <w:noProof/>
            <w:webHidden/>
          </w:rPr>
          <w:instrText xml:space="preserve"> PAGEREF _Toc222741767 \h </w:instrText>
        </w:r>
        <w:r>
          <w:rPr>
            <w:noProof/>
            <w:webHidden/>
          </w:rPr>
        </w:r>
        <w:r>
          <w:rPr>
            <w:noProof/>
            <w:webHidden/>
          </w:rPr>
          <w:fldChar w:fldCharType="separate"/>
        </w:r>
        <w:r w:rsidR="00E705B9">
          <w:rPr>
            <w:noProof/>
            <w:webHidden/>
          </w:rPr>
          <w:t>4</w:t>
        </w:r>
        <w:r>
          <w:rPr>
            <w:noProof/>
            <w:webHidden/>
          </w:rPr>
          <w:fldChar w:fldCharType="end"/>
        </w:r>
      </w:hyperlink>
    </w:p>
    <w:p w14:paraId="5876E55A" w14:textId="2DFD2BC3"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68" w:history="1">
        <w:r w:rsidRPr="00E5524D">
          <w:rPr>
            <w:rStyle w:val="Hyperlink"/>
            <w:noProof/>
          </w:rPr>
          <w:t>2.1.</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Uso previsto/Finalidad prevista</w:t>
        </w:r>
        <w:r>
          <w:rPr>
            <w:noProof/>
            <w:webHidden/>
          </w:rPr>
          <w:tab/>
        </w:r>
        <w:r>
          <w:rPr>
            <w:noProof/>
            <w:webHidden/>
          </w:rPr>
          <w:fldChar w:fldCharType="begin"/>
        </w:r>
        <w:r>
          <w:rPr>
            <w:noProof/>
            <w:webHidden/>
          </w:rPr>
          <w:instrText xml:space="preserve"> PAGEREF _Toc222741768 \h </w:instrText>
        </w:r>
        <w:r>
          <w:rPr>
            <w:noProof/>
            <w:webHidden/>
          </w:rPr>
        </w:r>
        <w:r>
          <w:rPr>
            <w:noProof/>
            <w:webHidden/>
          </w:rPr>
          <w:fldChar w:fldCharType="separate"/>
        </w:r>
        <w:r w:rsidR="00E705B9">
          <w:rPr>
            <w:noProof/>
            <w:webHidden/>
          </w:rPr>
          <w:t>5</w:t>
        </w:r>
        <w:r>
          <w:rPr>
            <w:noProof/>
            <w:webHidden/>
          </w:rPr>
          <w:fldChar w:fldCharType="end"/>
        </w:r>
      </w:hyperlink>
    </w:p>
    <w:p w14:paraId="6449801D" w14:textId="518D12CA"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69" w:history="1">
        <w:r w:rsidRPr="00E5524D">
          <w:rPr>
            <w:rStyle w:val="Hyperlink"/>
            <w:noProof/>
          </w:rPr>
          <w:t>2.2.</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Indicaciones de uso</w:t>
        </w:r>
        <w:r>
          <w:rPr>
            <w:noProof/>
            <w:webHidden/>
          </w:rPr>
          <w:tab/>
        </w:r>
        <w:r>
          <w:rPr>
            <w:noProof/>
            <w:webHidden/>
          </w:rPr>
          <w:fldChar w:fldCharType="begin"/>
        </w:r>
        <w:r>
          <w:rPr>
            <w:noProof/>
            <w:webHidden/>
          </w:rPr>
          <w:instrText xml:space="preserve"> PAGEREF _Toc222741769 \h </w:instrText>
        </w:r>
        <w:r>
          <w:rPr>
            <w:noProof/>
            <w:webHidden/>
          </w:rPr>
        </w:r>
        <w:r>
          <w:rPr>
            <w:noProof/>
            <w:webHidden/>
          </w:rPr>
          <w:fldChar w:fldCharType="separate"/>
        </w:r>
        <w:r w:rsidR="00E705B9">
          <w:rPr>
            <w:noProof/>
            <w:webHidden/>
          </w:rPr>
          <w:t>5</w:t>
        </w:r>
        <w:r>
          <w:rPr>
            <w:noProof/>
            <w:webHidden/>
          </w:rPr>
          <w:fldChar w:fldCharType="end"/>
        </w:r>
      </w:hyperlink>
    </w:p>
    <w:p w14:paraId="72C4D13E" w14:textId="7AE87293"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70" w:history="1">
        <w:r w:rsidRPr="00E5524D">
          <w:rPr>
            <w:rStyle w:val="Hyperlink"/>
            <w:noProof/>
          </w:rPr>
          <w:t>2.3.</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Población diana</w:t>
        </w:r>
        <w:r>
          <w:rPr>
            <w:noProof/>
            <w:webHidden/>
          </w:rPr>
          <w:tab/>
        </w:r>
        <w:r>
          <w:rPr>
            <w:noProof/>
            <w:webHidden/>
          </w:rPr>
          <w:fldChar w:fldCharType="begin"/>
        </w:r>
        <w:r>
          <w:rPr>
            <w:noProof/>
            <w:webHidden/>
          </w:rPr>
          <w:instrText xml:space="preserve"> PAGEREF _Toc222741770 \h </w:instrText>
        </w:r>
        <w:r>
          <w:rPr>
            <w:noProof/>
            <w:webHidden/>
          </w:rPr>
        </w:r>
        <w:r>
          <w:rPr>
            <w:noProof/>
            <w:webHidden/>
          </w:rPr>
          <w:fldChar w:fldCharType="separate"/>
        </w:r>
        <w:r w:rsidR="00E705B9">
          <w:rPr>
            <w:noProof/>
            <w:webHidden/>
          </w:rPr>
          <w:t>5</w:t>
        </w:r>
        <w:r>
          <w:rPr>
            <w:noProof/>
            <w:webHidden/>
          </w:rPr>
          <w:fldChar w:fldCharType="end"/>
        </w:r>
      </w:hyperlink>
    </w:p>
    <w:p w14:paraId="039C2945" w14:textId="562866BF"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71" w:history="1">
        <w:r w:rsidRPr="00E5524D">
          <w:rPr>
            <w:rStyle w:val="Hyperlink"/>
            <w:noProof/>
          </w:rPr>
          <w:t>2.4.</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Contraindicaciones</w:t>
        </w:r>
        <w:r>
          <w:rPr>
            <w:noProof/>
            <w:webHidden/>
          </w:rPr>
          <w:tab/>
        </w:r>
        <w:r>
          <w:rPr>
            <w:noProof/>
            <w:webHidden/>
          </w:rPr>
          <w:fldChar w:fldCharType="begin"/>
        </w:r>
        <w:r>
          <w:rPr>
            <w:noProof/>
            <w:webHidden/>
          </w:rPr>
          <w:instrText xml:space="preserve"> PAGEREF _Toc222741771 \h </w:instrText>
        </w:r>
        <w:r>
          <w:rPr>
            <w:noProof/>
            <w:webHidden/>
          </w:rPr>
        </w:r>
        <w:r>
          <w:rPr>
            <w:noProof/>
            <w:webHidden/>
          </w:rPr>
          <w:fldChar w:fldCharType="separate"/>
        </w:r>
        <w:r w:rsidR="00E705B9">
          <w:rPr>
            <w:noProof/>
            <w:webHidden/>
          </w:rPr>
          <w:t>5</w:t>
        </w:r>
        <w:r>
          <w:rPr>
            <w:noProof/>
            <w:webHidden/>
          </w:rPr>
          <w:fldChar w:fldCharType="end"/>
        </w:r>
      </w:hyperlink>
    </w:p>
    <w:p w14:paraId="18E7E534" w14:textId="3339B838"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72" w:history="1">
        <w:r w:rsidRPr="00E5524D">
          <w:rPr>
            <w:rStyle w:val="Hyperlink"/>
            <w:noProof/>
          </w:rPr>
          <w:t>3.</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Descripción del dispositivo</w:t>
        </w:r>
        <w:r>
          <w:rPr>
            <w:noProof/>
            <w:webHidden/>
          </w:rPr>
          <w:tab/>
        </w:r>
        <w:r>
          <w:rPr>
            <w:noProof/>
            <w:webHidden/>
          </w:rPr>
          <w:fldChar w:fldCharType="begin"/>
        </w:r>
        <w:r>
          <w:rPr>
            <w:noProof/>
            <w:webHidden/>
          </w:rPr>
          <w:instrText xml:space="preserve"> PAGEREF _Toc222741772 \h </w:instrText>
        </w:r>
        <w:r>
          <w:rPr>
            <w:noProof/>
            <w:webHidden/>
          </w:rPr>
        </w:r>
        <w:r>
          <w:rPr>
            <w:noProof/>
            <w:webHidden/>
          </w:rPr>
          <w:fldChar w:fldCharType="separate"/>
        </w:r>
        <w:r w:rsidR="00E705B9">
          <w:rPr>
            <w:noProof/>
            <w:webHidden/>
          </w:rPr>
          <w:t>5</w:t>
        </w:r>
        <w:r>
          <w:rPr>
            <w:noProof/>
            <w:webHidden/>
          </w:rPr>
          <w:fldChar w:fldCharType="end"/>
        </w:r>
      </w:hyperlink>
    </w:p>
    <w:p w14:paraId="1350CB05" w14:textId="345FCF4F"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73" w:history="1">
        <w:r w:rsidRPr="00E5524D">
          <w:rPr>
            <w:rStyle w:val="Hyperlink"/>
            <w:noProof/>
          </w:rPr>
          <w:t>3.1.</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Descripción del dispositivo</w:t>
        </w:r>
        <w:r>
          <w:rPr>
            <w:noProof/>
            <w:webHidden/>
          </w:rPr>
          <w:tab/>
        </w:r>
        <w:r>
          <w:rPr>
            <w:noProof/>
            <w:webHidden/>
          </w:rPr>
          <w:fldChar w:fldCharType="begin"/>
        </w:r>
        <w:r>
          <w:rPr>
            <w:noProof/>
            <w:webHidden/>
          </w:rPr>
          <w:instrText xml:space="preserve"> PAGEREF _Toc222741773 \h </w:instrText>
        </w:r>
        <w:r>
          <w:rPr>
            <w:noProof/>
            <w:webHidden/>
          </w:rPr>
        </w:r>
        <w:r>
          <w:rPr>
            <w:noProof/>
            <w:webHidden/>
          </w:rPr>
          <w:fldChar w:fldCharType="separate"/>
        </w:r>
        <w:r w:rsidR="00E705B9">
          <w:rPr>
            <w:noProof/>
            <w:webHidden/>
          </w:rPr>
          <w:t>5</w:t>
        </w:r>
        <w:r>
          <w:rPr>
            <w:noProof/>
            <w:webHidden/>
          </w:rPr>
          <w:fldChar w:fldCharType="end"/>
        </w:r>
      </w:hyperlink>
    </w:p>
    <w:p w14:paraId="1D892B1A" w14:textId="69AA9247"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74" w:history="1">
        <w:r w:rsidRPr="00E5524D">
          <w:rPr>
            <w:rStyle w:val="Hyperlink"/>
            <w:noProof/>
          </w:rPr>
          <w:t>3.2.</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Variantes anteriores y diferencias</w:t>
        </w:r>
        <w:r>
          <w:rPr>
            <w:noProof/>
            <w:webHidden/>
          </w:rPr>
          <w:tab/>
        </w:r>
        <w:r>
          <w:rPr>
            <w:noProof/>
            <w:webHidden/>
          </w:rPr>
          <w:fldChar w:fldCharType="begin"/>
        </w:r>
        <w:r>
          <w:rPr>
            <w:noProof/>
            <w:webHidden/>
          </w:rPr>
          <w:instrText xml:space="preserve"> PAGEREF _Toc222741774 \h </w:instrText>
        </w:r>
        <w:r>
          <w:rPr>
            <w:noProof/>
            <w:webHidden/>
          </w:rPr>
        </w:r>
        <w:r>
          <w:rPr>
            <w:noProof/>
            <w:webHidden/>
          </w:rPr>
          <w:fldChar w:fldCharType="separate"/>
        </w:r>
        <w:r w:rsidR="00E705B9">
          <w:rPr>
            <w:noProof/>
            <w:webHidden/>
          </w:rPr>
          <w:t>6</w:t>
        </w:r>
        <w:r>
          <w:rPr>
            <w:noProof/>
            <w:webHidden/>
          </w:rPr>
          <w:fldChar w:fldCharType="end"/>
        </w:r>
      </w:hyperlink>
    </w:p>
    <w:p w14:paraId="32474556" w14:textId="43427464"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75" w:history="1">
        <w:r w:rsidRPr="00E5524D">
          <w:rPr>
            <w:rStyle w:val="Hyperlink"/>
            <w:noProof/>
          </w:rPr>
          <w:t>3.3.</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Accesorios, dispositivos compatibles y otros productos que se pueden combinar</w:t>
        </w:r>
        <w:r>
          <w:rPr>
            <w:noProof/>
            <w:webHidden/>
          </w:rPr>
          <w:tab/>
        </w:r>
        <w:r>
          <w:rPr>
            <w:noProof/>
            <w:webHidden/>
          </w:rPr>
          <w:fldChar w:fldCharType="begin"/>
        </w:r>
        <w:r>
          <w:rPr>
            <w:noProof/>
            <w:webHidden/>
          </w:rPr>
          <w:instrText xml:space="preserve"> PAGEREF _Toc222741775 \h </w:instrText>
        </w:r>
        <w:r>
          <w:rPr>
            <w:noProof/>
            <w:webHidden/>
          </w:rPr>
        </w:r>
        <w:r>
          <w:rPr>
            <w:noProof/>
            <w:webHidden/>
          </w:rPr>
          <w:fldChar w:fldCharType="separate"/>
        </w:r>
        <w:r w:rsidR="00E705B9">
          <w:rPr>
            <w:noProof/>
            <w:webHidden/>
          </w:rPr>
          <w:t>6</w:t>
        </w:r>
        <w:r>
          <w:rPr>
            <w:noProof/>
            <w:webHidden/>
          </w:rPr>
          <w:fldChar w:fldCharType="end"/>
        </w:r>
      </w:hyperlink>
    </w:p>
    <w:p w14:paraId="733BB341" w14:textId="032F197E"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76" w:history="1">
        <w:r w:rsidRPr="00E5524D">
          <w:rPr>
            <w:rStyle w:val="Hyperlink"/>
            <w:noProof/>
          </w:rPr>
          <w:t>4.</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Riesgos y advertencias</w:t>
        </w:r>
        <w:r>
          <w:rPr>
            <w:noProof/>
            <w:webHidden/>
          </w:rPr>
          <w:tab/>
        </w:r>
        <w:r>
          <w:rPr>
            <w:noProof/>
            <w:webHidden/>
          </w:rPr>
          <w:fldChar w:fldCharType="begin"/>
        </w:r>
        <w:r>
          <w:rPr>
            <w:noProof/>
            <w:webHidden/>
          </w:rPr>
          <w:instrText xml:space="preserve"> PAGEREF _Toc222741776 \h </w:instrText>
        </w:r>
        <w:r>
          <w:rPr>
            <w:noProof/>
            <w:webHidden/>
          </w:rPr>
        </w:r>
        <w:r>
          <w:rPr>
            <w:noProof/>
            <w:webHidden/>
          </w:rPr>
          <w:fldChar w:fldCharType="separate"/>
        </w:r>
        <w:r w:rsidR="00E705B9">
          <w:rPr>
            <w:noProof/>
            <w:webHidden/>
          </w:rPr>
          <w:t>6</w:t>
        </w:r>
        <w:r>
          <w:rPr>
            <w:noProof/>
            <w:webHidden/>
          </w:rPr>
          <w:fldChar w:fldCharType="end"/>
        </w:r>
      </w:hyperlink>
    </w:p>
    <w:p w14:paraId="5458BB99" w14:textId="117F120A"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77" w:history="1">
        <w:r w:rsidRPr="00E5524D">
          <w:rPr>
            <w:rStyle w:val="Hyperlink"/>
            <w:noProof/>
          </w:rPr>
          <w:t>4.1.</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Riesgos residuales y efectos secundarios adversos</w:t>
        </w:r>
        <w:r>
          <w:rPr>
            <w:noProof/>
            <w:webHidden/>
          </w:rPr>
          <w:tab/>
        </w:r>
        <w:r>
          <w:rPr>
            <w:noProof/>
            <w:webHidden/>
          </w:rPr>
          <w:fldChar w:fldCharType="begin"/>
        </w:r>
        <w:r>
          <w:rPr>
            <w:noProof/>
            <w:webHidden/>
          </w:rPr>
          <w:instrText xml:space="preserve"> PAGEREF _Toc222741777 \h </w:instrText>
        </w:r>
        <w:r>
          <w:rPr>
            <w:noProof/>
            <w:webHidden/>
          </w:rPr>
        </w:r>
        <w:r>
          <w:rPr>
            <w:noProof/>
            <w:webHidden/>
          </w:rPr>
          <w:fldChar w:fldCharType="separate"/>
        </w:r>
        <w:r w:rsidR="00E705B9">
          <w:rPr>
            <w:noProof/>
            <w:webHidden/>
          </w:rPr>
          <w:t>6</w:t>
        </w:r>
        <w:r>
          <w:rPr>
            <w:noProof/>
            <w:webHidden/>
          </w:rPr>
          <w:fldChar w:fldCharType="end"/>
        </w:r>
      </w:hyperlink>
    </w:p>
    <w:p w14:paraId="6B21C781" w14:textId="08B4CC00"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78" w:history="1">
        <w:r w:rsidRPr="00E5524D">
          <w:rPr>
            <w:rStyle w:val="Hyperlink"/>
            <w:noProof/>
          </w:rPr>
          <w:t>4.2.</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Advertencias y precauciones</w:t>
        </w:r>
        <w:r>
          <w:rPr>
            <w:noProof/>
            <w:webHidden/>
          </w:rPr>
          <w:tab/>
        </w:r>
        <w:r>
          <w:rPr>
            <w:noProof/>
            <w:webHidden/>
          </w:rPr>
          <w:fldChar w:fldCharType="begin"/>
        </w:r>
        <w:r>
          <w:rPr>
            <w:noProof/>
            <w:webHidden/>
          </w:rPr>
          <w:instrText xml:space="preserve"> PAGEREF _Toc222741778 \h </w:instrText>
        </w:r>
        <w:r>
          <w:rPr>
            <w:noProof/>
            <w:webHidden/>
          </w:rPr>
        </w:r>
        <w:r>
          <w:rPr>
            <w:noProof/>
            <w:webHidden/>
          </w:rPr>
          <w:fldChar w:fldCharType="separate"/>
        </w:r>
        <w:r w:rsidR="00E705B9">
          <w:rPr>
            <w:noProof/>
            <w:webHidden/>
          </w:rPr>
          <w:t>6</w:t>
        </w:r>
        <w:r>
          <w:rPr>
            <w:noProof/>
            <w:webHidden/>
          </w:rPr>
          <w:fldChar w:fldCharType="end"/>
        </w:r>
      </w:hyperlink>
    </w:p>
    <w:p w14:paraId="09EF816C" w14:textId="542960A6"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79" w:history="1">
        <w:r w:rsidRPr="00E5524D">
          <w:rPr>
            <w:rStyle w:val="Hyperlink"/>
            <w:noProof/>
          </w:rPr>
          <w:t>4.3.</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Otros aspectos relevantes de seguridad, incluido un resumen sobre cualquier acción correctiva de seguridad (FSCA, por sus siglas en inglés) y la nota de seguridad (FSN, por sus siglas en inglés), si corresponde.</w:t>
        </w:r>
        <w:r>
          <w:rPr>
            <w:noProof/>
            <w:webHidden/>
          </w:rPr>
          <w:tab/>
        </w:r>
        <w:r>
          <w:rPr>
            <w:noProof/>
            <w:webHidden/>
          </w:rPr>
          <w:fldChar w:fldCharType="begin"/>
        </w:r>
        <w:r>
          <w:rPr>
            <w:noProof/>
            <w:webHidden/>
          </w:rPr>
          <w:instrText xml:space="preserve"> PAGEREF _Toc222741779 \h </w:instrText>
        </w:r>
        <w:r>
          <w:rPr>
            <w:noProof/>
            <w:webHidden/>
          </w:rPr>
        </w:r>
        <w:r>
          <w:rPr>
            <w:noProof/>
            <w:webHidden/>
          </w:rPr>
          <w:fldChar w:fldCharType="separate"/>
        </w:r>
        <w:r w:rsidR="00E705B9">
          <w:rPr>
            <w:noProof/>
            <w:webHidden/>
          </w:rPr>
          <w:t>7</w:t>
        </w:r>
        <w:r>
          <w:rPr>
            <w:noProof/>
            <w:webHidden/>
          </w:rPr>
          <w:fldChar w:fldCharType="end"/>
        </w:r>
      </w:hyperlink>
    </w:p>
    <w:p w14:paraId="4444D2BE" w14:textId="5390FA29"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80" w:history="1">
        <w:r w:rsidRPr="00E5524D">
          <w:rPr>
            <w:rStyle w:val="Hyperlink"/>
            <w:noProof/>
          </w:rPr>
          <w:t>5.</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Resumen de evaluación clínica y seguimiento clínico poscomercialización (PMCF, por sus siglas en inglés)</w:t>
        </w:r>
        <w:r>
          <w:rPr>
            <w:noProof/>
            <w:webHidden/>
          </w:rPr>
          <w:tab/>
        </w:r>
        <w:r>
          <w:rPr>
            <w:noProof/>
            <w:webHidden/>
          </w:rPr>
          <w:fldChar w:fldCharType="begin"/>
        </w:r>
        <w:r>
          <w:rPr>
            <w:noProof/>
            <w:webHidden/>
          </w:rPr>
          <w:instrText xml:space="preserve"> PAGEREF _Toc222741780 \h </w:instrText>
        </w:r>
        <w:r>
          <w:rPr>
            <w:noProof/>
            <w:webHidden/>
          </w:rPr>
        </w:r>
        <w:r>
          <w:rPr>
            <w:noProof/>
            <w:webHidden/>
          </w:rPr>
          <w:fldChar w:fldCharType="separate"/>
        </w:r>
        <w:r w:rsidR="00E705B9">
          <w:rPr>
            <w:noProof/>
            <w:webHidden/>
          </w:rPr>
          <w:t>8</w:t>
        </w:r>
        <w:r>
          <w:rPr>
            <w:noProof/>
            <w:webHidden/>
          </w:rPr>
          <w:fldChar w:fldCharType="end"/>
        </w:r>
      </w:hyperlink>
    </w:p>
    <w:p w14:paraId="1F5599F1" w14:textId="7187E72B"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81" w:history="1">
        <w:r w:rsidRPr="00E5524D">
          <w:rPr>
            <w:rStyle w:val="Hyperlink"/>
            <w:noProof/>
          </w:rPr>
          <w:t>5.1.</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Resumen de los datos clínicos relativos a un dispositivo equivalente, si corresponde</w:t>
        </w:r>
        <w:r>
          <w:rPr>
            <w:noProof/>
            <w:webHidden/>
          </w:rPr>
          <w:tab/>
        </w:r>
        <w:r>
          <w:rPr>
            <w:noProof/>
            <w:webHidden/>
          </w:rPr>
          <w:fldChar w:fldCharType="begin"/>
        </w:r>
        <w:r>
          <w:rPr>
            <w:noProof/>
            <w:webHidden/>
          </w:rPr>
          <w:instrText xml:space="preserve"> PAGEREF _Toc222741781 \h </w:instrText>
        </w:r>
        <w:r>
          <w:rPr>
            <w:noProof/>
            <w:webHidden/>
          </w:rPr>
        </w:r>
        <w:r>
          <w:rPr>
            <w:noProof/>
            <w:webHidden/>
          </w:rPr>
          <w:fldChar w:fldCharType="separate"/>
        </w:r>
        <w:r w:rsidR="00E705B9">
          <w:rPr>
            <w:noProof/>
            <w:webHidden/>
          </w:rPr>
          <w:t>8</w:t>
        </w:r>
        <w:r>
          <w:rPr>
            <w:noProof/>
            <w:webHidden/>
          </w:rPr>
          <w:fldChar w:fldCharType="end"/>
        </w:r>
      </w:hyperlink>
    </w:p>
    <w:p w14:paraId="31FF8100" w14:textId="24E32C2E"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82" w:history="1">
        <w:r w:rsidRPr="00E5524D">
          <w:rPr>
            <w:rStyle w:val="Hyperlink"/>
            <w:noProof/>
          </w:rPr>
          <w:t>5.2.</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Resumen de los datos clínicos de las investigaciones realizadas sobre el dispositivo antes del marcado CE, si corresponde</w:t>
        </w:r>
        <w:r>
          <w:rPr>
            <w:noProof/>
            <w:webHidden/>
          </w:rPr>
          <w:tab/>
        </w:r>
        <w:r>
          <w:rPr>
            <w:noProof/>
            <w:webHidden/>
          </w:rPr>
          <w:fldChar w:fldCharType="begin"/>
        </w:r>
        <w:r>
          <w:rPr>
            <w:noProof/>
            <w:webHidden/>
          </w:rPr>
          <w:instrText xml:space="preserve"> PAGEREF _Toc222741782 \h </w:instrText>
        </w:r>
        <w:r>
          <w:rPr>
            <w:noProof/>
            <w:webHidden/>
          </w:rPr>
        </w:r>
        <w:r>
          <w:rPr>
            <w:noProof/>
            <w:webHidden/>
          </w:rPr>
          <w:fldChar w:fldCharType="separate"/>
        </w:r>
        <w:r w:rsidR="00E705B9">
          <w:rPr>
            <w:noProof/>
            <w:webHidden/>
          </w:rPr>
          <w:t>8</w:t>
        </w:r>
        <w:r>
          <w:rPr>
            <w:noProof/>
            <w:webHidden/>
          </w:rPr>
          <w:fldChar w:fldCharType="end"/>
        </w:r>
      </w:hyperlink>
    </w:p>
    <w:p w14:paraId="3204BDA9" w14:textId="5D3114DF"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83" w:history="1">
        <w:r w:rsidRPr="00E5524D">
          <w:rPr>
            <w:rStyle w:val="Hyperlink"/>
            <w:noProof/>
          </w:rPr>
          <w:t>5.3.</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Resumen de datos clínicos de otras fuentes, si corresponde</w:t>
        </w:r>
        <w:r>
          <w:rPr>
            <w:noProof/>
            <w:webHidden/>
          </w:rPr>
          <w:tab/>
        </w:r>
        <w:r>
          <w:rPr>
            <w:noProof/>
            <w:webHidden/>
          </w:rPr>
          <w:fldChar w:fldCharType="begin"/>
        </w:r>
        <w:r>
          <w:rPr>
            <w:noProof/>
            <w:webHidden/>
          </w:rPr>
          <w:instrText xml:space="preserve"> PAGEREF _Toc222741783 \h </w:instrText>
        </w:r>
        <w:r>
          <w:rPr>
            <w:noProof/>
            <w:webHidden/>
          </w:rPr>
        </w:r>
        <w:r>
          <w:rPr>
            <w:noProof/>
            <w:webHidden/>
          </w:rPr>
          <w:fldChar w:fldCharType="separate"/>
        </w:r>
        <w:r w:rsidR="00E705B9">
          <w:rPr>
            <w:noProof/>
            <w:webHidden/>
          </w:rPr>
          <w:t>8</w:t>
        </w:r>
        <w:r>
          <w:rPr>
            <w:noProof/>
            <w:webHidden/>
          </w:rPr>
          <w:fldChar w:fldCharType="end"/>
        </w:r>
      </w:hyperlink>
    </w:p>
    <w:p w14:paraId="7AECBC01" w14:textId="3137CD21"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84" w:history="1">
        <w:r w:rsidRPr="00E5524D">
          <w:rPr>
            <w:rStyle w:val="Hyperlink"/>
            <w:noProof/>
          </w:rPr>
          <w:t>5.4.</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Resumen general del rendimiento clínico y la seguridad</w:t>
        </w:r>
        <w:r>
          <w:rPr>
            <w:noProof/>
            <w:webHidden/>
          </w:rPr>
          <w:tab/>
        </w:r>
        <w:r>
          <w:rPr>
            <w:noProof/>
            <w:webHidden/>
          </w:rPr>
          <w:fldChar w:fldCharType="begin"/>
        </w:r>
        <w:r>
          <w:rPr>
            <w:noProof/>
            <w:webHidden/>
          </w:rPr>
          <w:instrText xml:space="preserve"> PAGEREF _Toc222741784 \h </w:instrText>
        </w:r>
        <w:r>
          <w:rPr>
            <w:noProof/>
            <w:webHidden/>
          </w:rPr>
        </w:r>
        <w:r>
          <w:rPr>
            <w:noProof/>
            <w:webHidden/>
          </w:rPr>
          <w:fldChar w:fldCharType="separate"/>
        </w:r>
        <w:r w:rsidR="00E705B9">
          <w:rPr>
            <w:noProof/>
            <w:webHidden/>
          </w:rPr>
          <w:t>9</w:t>
        </w:r>
        <w:r>
          <w:rPr>
            <w:noProof/>
            <w:webHidden/>
          </w:rPr>
          <w:fldChar w:fldCharType="end"/>
        </w:r>
      </w:hyperlink>
    </w:p>
    <w:p w14:paraId="66F57ABB" w14:textId="5D253F40"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85" w:history="1">
        <w:r w:rsidRPr="00E5524D">
          <w:rPr>
            <w:rStyle w:val="Hyperlink"/>
            <w:noProof/>
          </w:rPr>
          <w:t>5.5.</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Seguimiento clínico poscomercialización en curso o previsto</w:t>
        </w:r>
        <w:r>
          <w:rPr>
            <w:noProof/>
            <w:webHidden/>
          </w:rPr>
          <w:tab/>
        </w:r>
        <w:r>
          <w:rPr>
            <w:noProof/>
            <w:webHidden/>
          </w:rPr>
          <w:fldChar w:fldCharType="begin"/>
        </w:r>
        <w:r>
          <w:rPr>
            <w:noProof/>
            <w:webHidden/>
          </w:rPr>
          <w:instrText xml:space="preserve"> PAGEREF _Toc222741785 \h </w:instrText>
        </w:r>
        <w:r>
          <w:rPr>
            <w:noProof/>
            <w:webHidden/>
          </w:rPr>
        </w:r>
        <w:r>
          <w:rPr>
            <w:noProof/>
            <w:webHidden/>
          </w:rPr>
          <w:fldChar w:fldCharType="separate"/>
        </w:r>
        <w:r w:rsidR="00E705B9">
          <w:rPr>
            <w:noProof/>
            <w:webHidden/>
          </w:rPr>
          <w:t>11</w:t>
        </w:r>
        <w:r>
          <w:rPr>
            <w:noProof/>
            <w:webHidden/>
          </w:rPr>
          <w:fldChar w:fldCharType="end"/>
        </w:r>
      </w:hyperlink>
    </w:p>
    <w:p w14:paraId="72724840" w14:textId="6A236380"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86" w:history="1">
        <w:r w:rsidRPr="00E5524D">
          <w:rPr>
            <w:rStyle w:val="Hyperlink"/>
            <w:noProof/>
          </w:rPr>
          <w:t>6.</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Posibles alternativas diagnósticas o de tratamiento</w:t>
        </w:r>
        <w:r>
          <w:rPr>
            <w:noProof/>
            <w:webHidden/>
          </w:rPr>
          <w:tab/>
        </w:r>
        <w:r>
          <w:rPr>
            <w:noProof/>
            <w:webHidden/>
          </w:rPr>
          <w:fldChar w:fldCharType="begin"/>
        </w:r>
        <w:r>
          <w:rPr>
            <w:noProof/>
            <w:webHidden/>
          </w:rPr>
          <w:instrText xml:space="preserve"> PAGEREF _Toc222741786 \h </w:instrText>
        </w:r>
        <w:r>
          <w:rPr>
            <w:noProof/>
            <w:webHidden/>
          </w:rPr>
        </w:r>
        <w:r>
          <w:rPr>
            <w:noProof/>
            <w:webHidden/>
          </w:rPr>
          <w:fldChar w:fldCharType="separate"/>
        </w:r>
        <w:r w:rsidR="00E705B9">
          <w:rPr>
            <w:noProof/>
            <w:webHidden/>
          </w:rPr>
          <w:t>12</w:t>
        </w:r>
        <w:r>
          <w:rPr>
            <w:noProof/>
            <w:webHidden/>
          </w:rPr>
          <w:fldChar w:fldCharType="end"/>
        </w:r>
      </w:hyperlink>
    </w:p>
    <w:p w14:paraId="254AA3CE" w14:textId="0B1FAF05"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87" w:history="1">
        <w:r w:rsidRPr="00E5524D">
          <w:rPr>
            <w:rStyle w:val="Hyperlink"/>
            <w:noProof/>
          </w:rPr>
          <w:t>7.</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Perfil y formación recomendados para los usuarios</w:t>
        </w:r>
        <w:r>
          <w:rPr>
            <w:noProof/>
            <w:webHidden/>
          </w:rPr>
          <w:tab/>
        </w:r>
        <w:r>
          <w:rPr>
            <w:noProof/>
            <w:webHidden/>
          </w:rPr>
          <w:fldChar w:fldCharType="begin"/>
        </w:r>
        <w:r>
          <w:rPr>
            <w:noProof/>
            <w:webHidden/>
          </w:rPr>
          <w:instrText xml:space="preserve"> PAGEREF _Toc222741787 \h </w:instrText>
        </w:r>
        <w:r>
          <w:rPr>
            <w:noProof/>
            <w:webHidden/>
          </w:rPr>
        </w:r>
        <w:r>
          <w:rPr>
            <w:noProof/>
            <w:webHidden/>
          </w:rPr>
          <w:fldChar w:fldCharType="separate"/>
        </w:r>
        <w:r w:rsidR="00E705B9">
          <w:rPr>
            <w:noProof/>
            <w:webHidden/>
          </w:rPr>
          <w:t>12</w:t>
        </w:r>
        <w:r>
          <w:rPr>
            <w:noProof/>
            <w:webHidden/>
          </w:rPr>
          <w:fldChar w:fldCharType="end"/>
        </w:r>
      </w:hyperlink>
    </w:p>
    <w:p w14:paraId="3B7AE689" w14:textId="20EC283A"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88" w:history="1">
        <w:r w:rsidRPr="00E5524D">
          <w:rPr>
            <w:rStyle w:val="Hyperlink"/>
            <w:noProof/>
          </w:rPr>
          <w:t>8.</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Normas armonizadas/Especificaciones comunes</w:t>
        </w:r>
        <w:r>
          <w:rPr>
            <w:noProof/>
            <w:webHidden/>
          </w:rPr>
          <w:tab/>
        </w:r>
        <w:r>
          <w:rPr>
            <w:noProof/>
            <w:webHidden/>
          </w:rPr>
          <w:fldChar w:fldCharType="begin"/>
        </w:r>
        <w:r>
          <w:rPr>
            <w:noProof/>
            <w:webHidden/>
          </w:rPr>
          <w:instrText xml:space="preserve"> PAGEREF _Toc222741788 \h </w:instrText>
        </w:r>
        <w:r>
          <w:rPr>
            <w:noProof/>
            <w:webHidden/>
          </w:rPr>
        </w:r>
        <w:r>
          <w:rPr>
            <w:noProof/>
            <w:webHidden/>
          </w:rPr>
          <w:fldChar w:fldCharType="separate"/>
        </w:r>
        <w:r w:rsidR="00E705B9">
          <w:rPr>
            <w:noProof/>
            <w:webHidden/>
          </w:rPr>
          <w:t>12</w:t>
        </w:r>
        <w:r>
          <w:rPr>
            <w:noProof/>
            <w:webHidden/>
          </w:rPr>
          <w:fldChar w:fldCharType="end"/>
        </w:r>
      </w:hyperlink>
    </w:p>
    <w:p w14:paraId="74EAE14B" w14:textId="2E4D1382" w:rsidR="007B7064" w:rsidRDefault="007B7064">
      <w:pPr>
        <w:pStyle w:val="TOC1"/>
        <w:rPr>
          <w:rFonts w:asciiTheme="minorHAnsi" w:eastAsiaTheme="minorEastAsia" w:hAnsiTheme="minorHAnsi" w:cstheme="minorBidi"/>
          <w:noProof/>
          <w:kern w:val="2"/>
          <w:lang w:val="en-RS" w:eastAsia="zh-CN"/>
          <w14:ligatures w14:val="standardContextual"/>
        </w:rPr>
      </w:pPr>
      <w:hyperlink w:anchor="_Toc222741789" w:history="1">
        <w:r w:rsidRPr="00E5524D">
          <w:rPr>
            <w:rStyle w:val="Hyperlink"/>
            <w:noProof/>
          </w:rPr>
          <w:t>9.</w:t>
        </w:r>
        <w:r>
          <w:rPr>
            <w:rFonts w:asciiTheme="minorHAnsi" w:eastAsiaTheme="minorEastAsia" w:hAnsiTheme="minorHAnsi" w:cstheme="minorBidi"/>
            <w:noProof/>
            <w:kern w:val="2"/>
            <w:lang w:val="en-RS" w:eastAsia="zh-CN"/>
            <w14:ligatures w14:val="standardContextual"/>
          </w:rPr>
          <w:tab/>
        </w:r>
        <w:r w:rsidRPr="00E5524D">
          <w:rPr>
            <w:rStyle w:val="Hyperlink"/>
            <w:bCs/>
            <w:noProof/>
            <w:lang w:val="es-ES"/>
          </w:rPr>
          <w:t>Historial de revisiones</w:t>
        </w:r>
        <w:r>
          <w:rPr>
            <w:noProof/>
            <w:webHidden/>
          </w:rPr>
          <w:tab/>
        </w:r>
        <w:r>
          <w:rPr>
            <w:noProof/>
            <w:webHidden/>
          </w:rPr>
          <w:fldChar w:fldCharType="begin"/>
        </w:r>
        <w:r>
          <w:rPr>
            <w:noProof/>
            <w:webHidden/>
          </w:rPr>
          <w:instrText xml:space="preserve"> PAGEREF _Toc222741789 \h </w:instrText>
        </w:r>
        <w:r>
          <w:rPr>
            <w:noProof/>
            <w:webHidden/>
          </w:rPr>
        </w:r>
        <w:r>
          <w:rPr>
            <w:noProof/>
            <w:webHidden/>
          </w:rPr>
          <w:fldChar w:fldCharType="separate"/>
        </w:r>
        <w:r w:rsidR="00E705B9">
          <w:rPr>
            <w:noProof/>
            <w:webHidden/>
          </w:rPr>
          <w:t>14</w:t>
        </w:r>
        <w:r>
          <w:rPr>
            <w:noProof/>
            <w:webHidden/>
          </w:rPr>
          <w:fldChar w:fldCharType="end"/>
        </w:r>
      </w:hyperlink>
    </w:p>
    <w:p w14:paraId="29D6E5E3" w14:textId="71D1FE0B"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es-ES"/>
        </w:rPr>
        <w:br w:type="page"/>
      </w:r>
    </w:p>
    <w:p w14:paraId="453DC774" w14:textId="77777777" w:rsidR="00221CEF" w:rsidRPr="009461CC" w:rsidRDefault="00221CEF" w:rsidP="00042B91">
      <w:pPr>
        <w:pStyle w:val="Heading7"/>
        <w:spacing w:after="0" w:afterAutospacing="0"/>
      </w:pPr>
      <w:r>
        <w:rPr>
          <w:bCs/>
          <w:lang w:val="es-ES"/>
        </w:rPr>
        <w:lastRenderedPageBreak/>
        <w:t>Resumen de seguridad y rendimiento clínico</w:t>
      </w:r>
    </w:p>
    <w:p w14:paraId="2D567C3A" w14:textId="4D6B7954" w:rsidR="00221CEF" w:rsidRPr="009461CC" w:rsidRDefault="00221CEF" w:rsidP="00042B91">
      <w:pPr>
        <w:spacing w:after="0" w:afterAutospacing="0" w:line="240" w:lineRule="auto"/>
        <w:rPr>
          <w:rFonts w:cs="Times New Roman"/>
        </w:rPr>
      </w:pPr>
      <w:r>
        <w:rPr>
          <w:rFonts w:cs="Times New Roman"/>
          <w:lang w:val="es-ES"/>
        </w:rPr>
        <w:t>Este resumen de seguridad y rendimiento clínico (SSCP, por sus siglas en inglés) pretende proporcionar acceso público a un resumen actualizado de los principales aspectos de la seguridad y el rendimiento clínico del dispositivo.</w:t>
      </w:r>
    </w:p>
    <w:p w14:paraId="549AF428" w14:textId="35F6904C" w:rsidR="00221CEF" w:rsidRPr="009461CC" w:rsidRDefault="00221CEF" w:rsidP="00042B91">
      <w:pPr>
        <w:spacing w:after="0" w:afterAutospacing="0" w:line="240" w:lineRule="auto"/>
        <w:rPr>
          <w:rFonts w:cs="Times New Roman"/>
        </w:rPr>
      </w:pPr>
      <w:r>
        <w:rPr>
          <w:rFonts w:cs="Times New Roman"/>
          <w:lang w:val="es-ES"/>
        </w:rPr>
        <w:t>El SSCP no está destinado a reemplazar las instrucciones de uso como documento principal para garantizar el uso seguro del dispositivo, ni a proporcionar sugerencias de diagnóstico o terapéuticas a los usuarios o pacientes a los que va dirigido.</w:t>
      </w:r>
    </w:p>
    <w:p w14:paraId="6E1D4297" w14:textId="77777777" w:rsidR="00042B91" w:rsidRPr="009461CC" w:rsidRDefault="00042B91" w:rsidP="00042B91">
      <w:pPr>
        <w:spacing w:after="0" w:afterAutospacing="0" w:line="240" w:lineRule="auto"/>
        <w:rPr>
          <w:rFonts w:cs="Times New Roman"/>
        </w:rPr>
      </w:pPr>
    </w:p>
    <w:p w14:paraId="57958E5A" w14:textId="739089BF" w:rsidR="00221CEF" w:rsidRPr="009461CC" w:rsidRDefault="00221CEF" w:rsidP="00042B91">
      <w:pPr>
        <w:spacing w:after="0" w:afterAutospacing="0" w:line="240" w:lineRule="auto"/>
        <w:rPr>
          <w:rFonts w:cs="Times New Roman"/>
        </w:rPr>
      </w:pPr>
      <w:r>
        <w:rPr>
          <w:rFonts w:cs="Times New Roman"/>
          <w:lang w:val="es-ES"/>
        </w:rPr>
        <w:t>La siguiente información está destinada a los usuarios/profesionales sanitarios.</w:t>
      </w:r>
    </w:p>
    <w:p w14:paraId="18A77BED" w14:textId="77777777" w:rsidR="00042B91" w:rsidRPr="009461CC" w:rsidRDefault="00042B91" w:rsidP="00042B91">
      <w:pPr>
        <w:spacing w:after="0" w:afterAutospacing="0" w:line="240" w:lineRule="auto"/>
        <w:rPr>
          <w:rFonts w:cs="Times New Roman"/>
        </w:rPr>
      </w:pPr>
    </w:p>
    <w:p w14:paraId="6E5276B4" w14:textId="2AFD9220" w:rsidR="00042B91" w:rsidRPr="009461CC" w:rsidRDefault="006F0810" w:rsidP="00F67A0E">
      <w:pPr>
        <w:pStyle w:val="Heading1"/>
        <w:numPr>
          <w:ilvl w:val="0"/>
          <w:numId w:val="2"/>
        </w:numPr>
        <w:rPr>
          <w:rFonts w:cs="Times New Roman"/>
        </w:rPr>
      </w:pPr>
      <w:bookmarkStart w:id="0" w:name="_Toc222741760"/>
      <w:r>
        <w:rPr>
          <w:rFonts w:cs="Times New Roman"/>
          <w:bCs/>
          <w:lang w:val="es-ES"/>
        </w:rPr>
        <w:t>Ámbito de este resumen de seguridad y rendimiento clínico (SSCP):</w:t>
      </w:r>
      <w:bookmarkEnd w:id="0"/>
    </w:p>
    <w:p w14:paraId="5CDBAEA3" w14:textId="77777777" w:rsidR="00042B91" w:rsidRPr="009461CC" w:rsidRDefault="00042B91" w:rsidP="00042B91">
      <w:pPr>
        <w:spacing w:after="0" w:afterAutospacing="0" w:line="240" w:lineRule="auto"/>
        <w:rPr>
          <w:rFonts w:cs="Times New Roman"/>
        </w:rPr>
      </w:pPr>
    </w:p>
    <w:p w14:paraId="45E5BCB2" w14:textId="6E901CD2" w:rsidR="00AA2E04" w:rsidRPr="009461CC" w:rsidRDefault="00221CEF" w:rsidP="00042B91">
      <w:pPr>
        <w:pStyle w:val="Heading1"/>
        <w:rPr>
          <w:rFonts w:cs="Times New Roman"/>
        </w:rPr>
      </w:pPr>
      <w:bookmarkStart w:id="1" w:name="_Toc222741761"/>
      <w:r>
        <w:rPr>
          <w:rFonts w:cs="Times New Roman"/>
          <w:bCs/>
          <w:lang w:val="es-ES"/>
        </w:rPr>
        <w:t>Nombre comercial del dispositivo:</w:t>
      </w:r>
      <w:bookmarkEnd w:id="1"/>
      <w:r>
        <w:rPr>
          <w:rFonts w:cs="Times New Roman"/>
          <w:bCs/>
          <w:lang w:val="es-ES"/>
        </w:rPr>
        <w:t xml:space="preserve"> </w:t>
      </w:r>
    </w:p>
    <w:p w14:paraId="29AE9E59" w14:textId="5B8D3A96" w:rsidR="00042B91" w:rsidRPr="009461CC" w:rsidRDefault="00982459" w:rsidP="001E6921">
      <w:pPr>
        <w:spacing w:after="0" w:afterAutospacing="0" w:line="240" w:lineRule="auto"/>
        <w:ind w:left="792"/>
        <w:rPr>
          <w:rFonts w:cs="Times New Roman"/>
        </w:rPr>
      </w:pPr>
      <w:r>
        <w:rPr>
          <w:rFonts w:cs="Times New Roman"/>
          <w:lang w:val="es-ES"/>
        </w:rPr>
        <w:t>Kit Atrieve Vascular Snare</w:t>
      </w:r>
    </w:p>
    <w:p w14:paraId="6E4554A3" w14:textId="77777777" w:rsidR="00982459" w:rsidRPr="009461CC" w:rsidRDefault="00982459" w:rsidP="00042B91">
      <w:pPr>
        <w:spacing w:after="0" w:afterAutospacing="0" w:line="240" w:lineRule="auto"/>
        <w:rPr>
          <w:rFonts w:cs="Times New Roman"/>
        </w:rPr>
      </w:pPr>
    </w:p>
    <w:p w14:paraId="7E6E8DB0" w14:textId="23280863" w:rsidR="00221CEF" w:rsidRPr="009461CC" w:rsidRDefault="00221CEF" w:rsidP="00042B91">
      <w:pPr>
        <w:pStyle w:val="Heading1"/>
        <w:rPr>
          <w:rFonts w:cs="Times New Roman"/>
        </w:rPr>
      </w:pPr>
      <w:bookmarkStart w:id="2" w:name="_Toc222741762"/>
      <w:r>
        <w:rPr>
          <w:rFonts w:cs="Times New Roman"/>
          <w:bCs/>
          <w:lang w:val="es-ES"/>
        </w:rPr>
        <w:t>Descripción del dispositivo, UDI-DI básico y clasificación de la UE:</w:t>
      </w:r>
      <w:bookmarkEnd w:id="2"/>
    </w:p>
    <w:tbl>
      <w:tblPr>
        <w:tblStyle w:val="TableGrid"/>
        <w:tblW w:w="0" w:type="auto"/>
        <w:tblLook w:val="04A0" w:firstRow="1" w:lastRow="0" w:firstColumn="1" w:lastColumn="0" w:noHBand="0" w:noVBand="1"/>
      </w:tblPr>
      <w:tblGrid>
        <w:gridCol w:w="3795"/>
        <w:gridCol w:w="1603"/>
        <w:gridCol w:w="1350"/>
        <w:gridCol w:w="1266"/>
        <w:gridCol w:w="2416"/>
      </w:tblGrid>
      <w:tr w:rsidR="006266F5" w:rsidRPr="009461CC" w14:paraId="77A15E5D" w14:textId="77777777" w:rsidTr="00536EDE">
        <w:tc>
          <w:tcPr>
            <w:tcW w:w="3795" w:type="dxa"/>
            <w:shd w:val="clear" w:color="auto" w:fill="E7E6E6" w:themeFill="background2"/>
          </w:tcPr>
          <w:p w14:paraId="6089AC65" w14:textId="5ACA6E64" w:rsidR="006266F5" w:rsidRPr="009461CC" w:rsidRDefault="006266F5" w:rsidP="0015690A">
            <w:pPr>
              <w:jc w:val="center"/>
              <w:rPr>
                <w:rFonts w:cs="Times New Roman"/>
                <w:b/>
                <w:bCs/>
              </w:rPr>
            </w:pPr>
            <w:r>
              <w:rPr>
                <w:rFonts w:cs="Times New Roman"/>
                <w:b/>
                <w:bCs/>
                <w:lang w:val="es-ES"/>
              </w:rPr>
              <w:t>Nombre y descripción del dispositivo</w:t>
            </w:r>
          </w:p>
        </w:tc>
        <w:tc>
          <w:tcPr>
            <w:tcW w:w="1603"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b/>
                <w:bCs/>
                <w:lang w:val="es-ES"/>
              </w:rPr>
              <w:t>Clasificación</w:t>
            </w:r>
          </w:p>
        </w:tc>
        <w:tc>
          <w:tcPr>
            <w:tcW w:w="1350"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es-ES"/>
              </w:rPr>
              <w:t>Código GMDN</w:t>
            </w:r>
          </w:p>
        </w:tc>
        <w:tc>
          <w:tcPr>
            <w:tcW w:w="1266"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es-ES"/>
              </w:rPr>
              <w:t>EMDN</w:t>
            </w:r>
          </w:p>
        </w:tc>
        <w:tc>
          <w:tcPr>
            <w:tcW w:w="2416"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es-ES"/>
              </w:rPr>
              <w:t>UDI-DI básico</w:t>
            </w:r>
          </w:p>
        </w:tc>
      </w:tr>
      <w:tr w:rsidR="006266F5" w:rsidRPr="009461CC" w14:paraId="72288A12" w14:textId="77777777" w:rsidTr="006266F5">
        <w:tc>
          <w:tcPr>
            <w:tcW w:w="3795" w:type="dxa"/>
          </w:tcPr>
          <w:p w14:paraId="04AE147E" w14:textId="07005FC5" w:rsidR="006266F5" w:rsidRPr="009461CC" w:rsidRDefault="006266F5" w:rsidP="005B3E76">
            <w:pPr>
              <w:rPr>
                <w:rFonts w:cs="Times New Roman"/>
              </w:rPr>
            </w:pPr>
            <w:r>
              <w:rPr>
                <w:rFonts w:cs="Times New Roman"/>
                <w:lang w:val="es-ES"/>
              </w:rPr>
              <w:t>Kit Atrieve Vascular Snare™, asa de 6-10 mm de diámetro x 120 cm, catéter de 6 F x 100 cm</w:t>
            </w:r>
          </w:p>
        </w:tc>
        <w:tc>
          <w:tcPr>
            <w:tcW w:w="1603" w:type="dxa"/>
            <w:vMerge w:val="restart"/>
          </w:tcPr>
          <w:p w14:paraId="016CD4E1" w14:textId="205743A9" w:rsidR="006266F5" w:rsidRPr="009461CC" w:rsidRDefault="00BA7D3E" w:rsidP="00D24167">
            <w:pPr>
              <w:jc w:val="center"/>
              <w:rPr>
                <w:rFonts w:cs="Times New Roman"/>
              </w:rPr>
            </w:pPr>
            <w:r>
              <w:rPr>
                <w:rFonts w:cs="Times New Roman"/>
                <w:lang w:val="es-ES"/>
              </w:rPr>
              <w:t>Clase III</w:t>
            </w:r>
          </w:p>
        </w:tc>
        <w:tc>
          <w:tcPr>
            <w:tcW w:w="1350" w:type="dxa"/>
            <w:vMerge w:val="restart"/>
          </w:tcPr>
          <w:p w14:paraId="2554DF3F" w14:textId="217E32BA" w:rsidR="006266F5" w:rsidRPr="009461CC" w:rsidRDefault="006266F5" w:rsidP="00D24167">
            <w:pPr>
              <w:jc w:val="center"/>
              <w:rPr>
                <w:rFonts w:cs="Times New Roman"/>
              </w:rPr>
            </w:pPr>
            <w:r>
              <w:rPr>
                <w:rFonts w:cs="Times New Roman"/>
                <w:lang w:val="es-ES"/>
              </w:rPr>
              <w:t>17927</w:t>
            </w:r>
          </w:p>
        </w:tc>
        <w:tc>
          <w:tcPr>
            <w:tcW w:w="1266" w:type="dxa"/>
            <w:vMerge w:val="restart"/>
          </w:tcPr>
          <w:p w14:paraId="44053393" w14:textId="5F7E5816" w:rsidR="006266F5" w:rsidRPr="009461CC" w:rsidRDefault="006266F5" w:rsidP="00D24167">
            <w:pPr>
              <w:jc w:val="center"/>
              <w:rPr>
                <w:rFonts w:cs="Times New Roman"/>
              </w:rPr>
            </w:pPr>
            <w:r>
              <w:rPr>
                <w:rFonts w:cs="Times New Roman"/>
                <w:lang w:val="es-ES"/>
              </w:rPr>
              <w:t>C019005</w:t>
            </w:r>
          </w:p>
        </w:tc>
        <w:tc>
          <w:tcPr>
            <w:tcW w:w="2416" w:type="dxa"/>
            <w:vMerge w:val="restart"/>
          </w:tcPr>
          <w:p w14:paraId="16987761" w14:textId="1464A232" w:rsidR="006266F5" w:rsidRPr="009461CC" w:rsidRDefault="006266F5" w:rsidP="00D24167">
            <w:pPr>
              <w:jc w:val="center"/>
              <w:rPr>
                <w:rFonts w:cs="Times New Roman"/>
              </w:rPr>
            </w:pPr>
            <w:r>
              <w:rPr>
                <w:rFonts w:cs="Times New Roman"/>
                <w:lang w:val="es-ES"/>
              </w:rPr>
              <w:t>088633329000132</w:t>
            </w:r>
          </w:p>
        </w:tc>
      </w:tr>
      <w:tr w:rsidR="006266F5" w:rsidRPr="009461CC" w14:paraId="674985B4" w14:textId="77777777" w:rsidTr="006266F5">
        <w:tc>
          <w:tcPr>
            <w:tcW w:w="3795" w:type="dxa"/>
          </w:tcPr>
          <w:p w14:paraId="1845B978" w14:textId="3466CA48" w:rsidR="006266F5" w:rsidRPr="009461CC" w:rsidRDefault="006266F5" w:rsidP="005B3E76">
            <w:pPr>
              <w:rPr>
                <w:rFonts w:cs="Times New Roman"/>
              </w:rPr>
            </w:pPr>
            <w:r>
              <w:rPr>
                <w:rFonts w:cs="Times New Roman"/>
                <w:lang w:val="es-ES"/>
              </w:rPr>
              <w:t xml:space="preserve">Kit Atrieve Vascular Snare™, asa de 9-15 mm de diámetro x 120 cm, catéter de 6 F x 100 cm </w:t>
            </w:r>
          </w:p>
        </w:tc>
        <w:tc>
          <w:tcPr>
            <w:tcW w:w="1603" w:type="dxa"/>
            <w:vMerge/>
          </w:tcPr>
          <w:p w14:paraId="0F2DCD20" w14:textId="77777777" w:rsidR="006266F5" w:rsidRPr="009461CC" w:rsidRDefault="006266F5" w:rsidP="005B3E76">
            <w:pPr>
              <w:rPr>
                <w:rFonts w:cs="Times New Roman"/>
              </w:rPr>
            </w:pPr>
          </w:p>
        </w:tc>
        <w:tc>
          <w:tcPr>
            <w:tcW w:w="1350" w:type="dxa"/>
            <w:vMerge/>
          </w:tcPr>
          <w:p w14:paraId="45E8FDD8" w14:textId="4AADF8C7" w:rsidR="006266F5" w:rsidRPr="009461CC" w:rsidRDefault="006266F5" w:rsidP="005B3E76">
            <w:pPr>
              <w:rPr>
                <w:rFonts w:cs="Times New Roman"/>
              </w:rPr>
            </w:pPr>
          </w:p>
        </w:tc>
        <w:tc>
          <w:tcPr>
            <w:tcW w:w="1266" w:type="dxa"/>
            <w:vMerge/>
          </w:tcPr>
          <w:p w14:paraId="165F2BBA" w14:textId="77777777" w:rsidR="006266F5" w:rsidRPr="009461CC" w:rsidRDefault="006266F5" w:rsidP="005B3E76">
            <w:pPr>
              <w:rPr>
                <w:rFonts w:cs="Times New Roman"/>
              </w:rPr>
            </w:pPr>
          </w:p>
        </w:tc>
        <w:tc>
          <w:tcPr>
            <w:tcW w:w="2416" w:type="dxa"/>
            <w:vMerge/>
          </w:tcPr>
          <w:p w14:paraId="5C1D3365" w14:textId="77777777" w:rsidR="006266F5" w:rsidRPr="009461CC" w:rsidRDefault="006266F5" w:rsidP="005B3E76">
            <w:pPr>
              <w:rPr>
                <w:rFonts w:cs="Times New Roman"/>
              </w:rPr>
            </w:pPr>
          </w:p>
        </w:tc>
      </w:tr>
      <w:tr w:rsidR="006266F5" w:rsidRPr="009461CC" w14:paraId="1B0B0E25" w14:textId="77777777" w:rsidTr="006266F5">
        <w:tc>
          <w:tcPr>
            <w:tcW w:w="3795" w:type="dxa"/>
          </w:tcPr>
          <w:p w14:paraId="0A9B2655" w14:textId="666AEB18" w:rsidR="006266F5" w:rsidRPr="009461CC" w:rsidRDefault="006266F5" w:rsidP="005B3E76">
            <w:pPr>
              <w:rPr>
                <w:rFonts w:cs="Times New Roman"/>
              </w:rPr>
            </w:pPr>
            <w:r>
              <w:rPr>
                <w:rFonts w:cs="Times New Roman"/>
                <w:lang w:val="es-ES"/>
              </w:rPr>
              <w:t xml:space="preserve">Kit Atrieve Vascular Snare™, asa de 12-20 mm de diámetro x 120 cm, catéter de 6 F x 100 cm </w:t>
            </w:r>
          </w:p>
        </w:tc>
        <w:tc>
          <w:tcPr>
            <w:tcW w:w="1603" w:type="dxa"/>
            <w:vMerge/>
          </w:tcPr>
          <w:p w14:paraId="4F42F09B" w14:textId="77777777" w:rsidR="006266F5" w:rsidRPr="009461CC" w:rsidRDefault="006266F5" w:rsidP="005B3E76">
            <w:pPr>
              <w:rPr>
                <w:rFonts w:cs="Times New Roman"/>
              </w:rPr>
            </w:pPr>
          </w:p>
        </w:tc>
        <w:tc>
          <w:tcPr>
            <w:tcW w:w="1350" w:type="dxa"/>
            <w:vMerge/>
          </w:tcPr>
          <w:p w14:paraId="7D1A397B" w14:textId="2F1838AC" w:rsidR="006266F5" w:rsidRPr="009461CC" w:rsidRDefault="006266F5" w:rsidP="005B3E76">
            <w:pPr>
              <w:rPr>
                <w:rFonts w:cs="Times New Roman"/>
              </w:rPr>
            </w:pPr>
          </w:p>
        </w:tc>
        <w:tc>
          <w:tcPr>
            <w:tcW w:w="1266" w:type="dxa"/>
            <w:vMerge/>
          </w:tcPr>
          <w:p w14:paraId="721C2322" w14:textId="77777777" w:rsidR="006266F5" w:rsidRPr="009461CC" w:rsidRDefault="006266F5" w:rsidP="005B3E76">
            <w:pPr>
              <w:rPr>
                <w:rFonts w:cs="Times New Roman"/>
              </w:rPr>
            </w:pPr>
          </w:p>
        </w:tc>
        <w:tc>
          <w:tcPr>
            <w:tcW w:w="2416" w:type="dxa"/>
            <w:vMerge/>
          </w:tcPr>
          <w:p w14:paraId="3C7CCE81" w14:textId="77777777" w:rsidR="006266F5" w:rsidRPr="009461CC" w:rsidRDefault="006266F5" w:rsidP="005B3E76">
            <w:pPr>
              <w:rPr>
                <w:rFonts w:cs="Times New Roman"/>
              </w:rPr>
            </w:pPr>
          </w:p>
        </w:tc>
      </w:tr>
      <w:tr w:rsidR="006266F5" w:rsidRPr="009461CC" w14:paraId="06B07953" w14:textId="77777777" w:rsidTr="006266F5">
        <w:tc>
          <w:tcPr>
            <w:tcW w:w="3795" w:type="dxa"/>
          </w:tcPr>
          <w:p w14:paraId="122A6EC5" w14:textId="2EC9E7BD" w:rsidR="006266F5" w:rsidRPr="009461CC" w:rsidRDefault="006266F5" w:rsidP="005B3E76">
            <w:pPr>
              <w:rPr>
                <w:rFonts w:cs="Times New Roman"/>
              </w:rPr>
            </w:pPr>
            <w:r>
              <w:rPr>
                <w:rFonts w:cs="Times New Roman"/>
                <w:lang w:val="es-ES"/>
              </w:rPr>
              <w:t xml:space="preserve">Kit Atrieve Vascular Snare™, asa de 18-30 mm de diámetro x 120 cm, catéter de 7 F x 100 cm </w:t>
            </w:r>
          </w:p>
        </w:tc>
        <w:tc>
          <w:tcPr>
            <w:tcW w:w="1603" w:type="dxa"/>
            <w:vMerge/>
          </w:tcPr>
          <w:p w14:paraId="1913C875" w14:textId="77777777" w:rsidR="006266F5" w:rsidRPr="009461CC" w:rsidRDefault="006266F5" w:rsidP="005B3E76">
            <w:pPr>
              <w:rPr>
                <w:rFonts w:cs="Times New Roman"/>
              </w:rPr>
            </w:pPr>
          </w:p>
        </w:tc>
        <w:tc>
          <w:tcPr>
            <w:tcW w:w="1350" w:type="dxa"/>
            <w:vMerge/>
          </w:tcPr>
          <w:p w14:paraId="00E8406E" w14:textId="7131A855" w:rsidR="006266F5" w:rsidRPr="009461CC" w:rsidRDefault="006266F5" w:rsidP="005B3E76">
            <w:pPr>
              <w:rPr>
                <w:rFonts w:cs="Times New Roman"/>
              </w:rPr>
            </w:pPr>
          </w:p>
        </w:tc>
        <w:tc>
          <w:tcPr>
            <w:tcW w:w="1266" w:type="dxa"/>
            <w:vMerge/>
          </w:tcPr>
          <w:p w14:paraId="68FC6CAA" w14:textId="77777777" w:rsidR="006266F5" w:rsidRPr="009461CC" w:rsidRDefault="006266F5" w:rsidP="005B3E76">
            <w:pPr>
              <w:rPr>
                <w:rFonts w:cs="Times New Roman"/>
              </w:rPr>
            </w:pPr>
          </w:p>
        </w:tc>
        <w:tc>
          <w:tcPr>
            <w:tcW w:w="2416" w:type="dxa"/>
            <w:vMerge/>
          </w:tcPr>
          <w:p w14:paraId="36E19225" w14:textId="77777777" w:rsidR="006266F5" w:rsidRPr="009461CC" w:rsidRDefault="006266F5" w:rsidP="005B3E76">
            <w:pPr>
              <w:rPr>
                <w:rFonts w:cs="Times New Roman"/>
              </w:rPr>
            </w:pPr>
          </w:p>
        </w:tc>
      </w:tr>
      <w:tr w:rsidR="006266F5" w:rsidRPr="009461CC" w14:paraId="70E2EDC2" w14:textId="77777777" w:rsidTr="006266F5">
        <w:tc>
          <w:tcPr>
            <w:tcW w:w="3795" w:type="dxa"/>
          </w:tcPr>
          <w:p w14:paraId="3B2B1D80" w14:textId="12CC0658" w:rsidR="006266F5" w:rsidRPr="009461CC" w:rsidRDefault="006266F5" w:rsidP="005B3E76">
            <w:pPr>
              <w:rPr>
                <w:rFonts w:cs="Times New Roman"/>
              </w:rPr>
            </w:pPr>
            <w:r>
              <w:rPr>
                <w:rFonts w:cs="Times New Roman"/>
                <w:lang w:val="es-ES"/>
              </w:rPr>
              <w:t>Kit Atrieve Vascular Snare™, asa de 27-45 mm de diámetro x 120 cm, catéter de 7 F x 100 cm</w:t>
            </w:r>
          </w:p>
        </w:tc>
        <w:tc>
          <w:tcPr>
            <w:tcW w:w="1603" w:type="dxa"/>
            <w:vMerge/>
          </w:tcPr>
          <w:p w14:paraId="5D298385" w14:textId="77777777" w:rsidR="006266F5" w:rsidRPr="009461CC" w:rsidRDefault="006266F5" w:rsidP="005B3E76">
            <w:pPr>
              <w:rPr>
                <w:rFonts w:cs="Times New Roman"/>
              </w:rPr>
            </w:pPr>
          </w:p>
        </w:tc>
        <w:tc>
          <w:tcPr>
            <w:tcW w:w="1350" w:type="dxa"/>
            <w:vMerge/>
          </w:tcPr>
          <w:p w14:paraId="001781C2" w14:textId="46419622" w:rsidR="006266F5" w:rsidRPr="009461CC" w:rsidRDefault="006266F5" w:rsidP="005B3E76">
            <w:pPr>
              <w:rPr>
                <w:rFonts w:cs="Times New Roman"/>
              </w:rPr>
            </w:pPr>
          </w:p>
        </w:tc>
        <w:tc>
          <w:tcPr>
            <w:tcW w:w="1266" w:type="dxa"/>
            <w:vMerge/>
          </w:tcPr>
          <w:p w14:paraId="20D9A32E" w14:textId="77777777" w:rsidR="006266F5" w:rsidRPr="009461CC" w:rsidRDefault="006266F5" w:rsidP="005B3E76">
            <w:pPr>
              <w:rPr>
                <w:rFonts w:cs="Times New Roman"/>
              </w:rPr>
            </w:pPr>
          </w:p>
        </w:tc>
        <w:tc>
          <w:tcPr>
            <w:tcW w:w="2416" w:type="dxa"/>
            <w:vMerge/>
          </w:tcPr>
          <w:p w14:paraId="5855DBED" w14:textId="77777777" w:rsidR="006266F5" w:rsidRPr="009461CC" w:rsidRDefault="006266F5" w:rsidP="005B3E76">
            <w:pPr>
              <w:rPr>
                <w:rFonts w:cs="Times New Roman"/>
              </w:rPr>
            </w:pPr>
          </w:p>
        </w:tc>
      </w:tr>
      <w:tr w:rsidR="006266F5" w:rsidRPr="009461CC" w14:paraId="7E3403A6" w14:textId="77777777" w:rsidTr="006266F5">
        <w:tc>
          <w:tcPr>
            <w:tcW w:w="3795" w:type="dxa"/>
          </w:tcPr>
          <w:p w14:paraId="675708BF" w14:textId="381C18CA" w:rsidR="006266F5" w:rsidRPr="009461CC" w:rsidRDefault="006266F5" w:rsidP="005B3E76">
            <w:pPr>
              <w:rPr>
                <w:rFonts w:cs="Times New Roman"/>
              </w:rPr>
            </w:pPr>
            <w:r>
              <w:rPr>
                <w:rFonts w:cs="Times New Roman"/>
                <w:lang w:val="es-ES"/>
              </w:rPr>
              <w:t xml:space="preserve">Kit Atrieve Vascular Snare™, asa de 2-4 mm de diámetro x 175 cm, catéter de 3,2 F x 150 cm </w:t>
            </w:r>
          </w:p>
        </w:tc>
        <w:tc>
          <w:tcPr>
            <w:tcW w:w="1603" w:type="dxa"/>
            <w:vMerge/>
          </w:tcPr>
          <w:p w14:paraId="4005AAE7" w14:textId="77777777" w:rsidR="006266F5" w:rsidRPr="009461CC" w:rsidRDefault="006266F5" w:rsidP="005B3E76">
            <w:pPr>
              <w:rPr>
                <w:rFonts w:cs="Times New Roman"/>
              </w:rPr>
            </w:pPr>
          </w:p>
        </w:tc>
        <w:tc>
          <w:tcPr>
            <w:tcW w:w="1350" w:type="dxa"/>
            <w:vMerge/>
          </w:tcPr>
          <w:p w14:paraId="10F77F80" w14:textId="1EEE88E0" w:rsidR="006266F5" w:rsidRPr="009461CC" w:rsidRDefault="006266F5" w:rsidP="005B3E76">
            <w:pPr>
              <w:rPr>
                <w:rFonts w:cs="Times New Roman"/>
              </w:rPr>
            </w:pPr>
          </w:p>
        </w:tc>
        <w:tc>
          <w:tcPr>
            <w:tcW w:w="1266" w:type="dxa"/>
            <w:vMerge/>
          </w:tcPr>
          <w:p w14:paraId="01E30B80" w14:textId="77777777" w:rsidR="006266F5" w:rsidRPr="009461CC" w:rsidRDefault="006266F5" w:rsidP="005B3E76">
            <w:pPr>
              <w:rPr>
                <w:rFonts w:cs="Times New Roman"/>
              </w:rPr>
            </w:pPr>
          </w:p>
        </w:tc>
        <w:tc>
          <w:tcPr>
            <w:tcW w:w="2416" w:type="dxa"/>
            <w:vMerge/>
          </w:tcPr>
          <w:p w14:paraId="7E3CD13D" w14:textId="77777777" w:rsidR="006266F5" w:rsidRPr="009461CC" w:rsidRDefault="006266F5" w:rsidP="005B3E76">
            <w:pPr>
              <w:rPr>
                <w:rFonts w:cs="Times New Roman"/>
              </w:rPr>
            </w:pPr>
          </w:p>
        </w:tc>
      </w:tr>
      <w:tr w:rsidR="006266F5" w:rsidRPr="009461CC" w14:paraId="163BEE28" w14:textId="77777777" w:rsidTr="006266F5">
        <w:tc>
          <w:tcPr>
            <w:tcW w:w="3795" w:type="dxa"/>
          </w:tcPr>
          <w:p w14:paraId="2C7CFD34" w14:textId="28EFC76A" w:rsidR="006266F5" w:rsidRPr="009461CC" w:rsidRDefault="006266F5" w:rsidP="005B3E76">
            <w:pPr>
              <w:rPr>
                <w:rFonts w:cs="Times New Roman"/>
              </w:rPr>
            </w:pPr>
            <w:r>
              <w:rPr>
                <w:rFonts w:cs="Times New Roman"/>
                <w:lang w:val="es-ES"/>
              </w:rPr>
              <w:t>Kit Atrieve Vascular Snare™, asa de 4-8 mm de diámetro x 175 cm, catéter de 3,2 F x 150 cm</w:t>
            </w:r>
          </w:p>
        </w:tc>
        <w:tc>
          <w:tcPr>
            <w:tcW w:w="1603" w:type="dxa"/>
            <w:vMerge/>
          </w:tcPr>
          <w:p w14:paraId="796C4314" w14:textId="77777777" w:rsidR="006266F5" w:rsidRPr="009461CC" w:rsidRDefault="006266F5" w:rsidP="005B3E76">
            <w:pPr>
              <w:rPr>
                <w:rFonts w:cs="Times New Roman"/>
              </w:rPr>
            </w:pPr>
          </w:p>
        </w:tc>
        <w:tc>
          <w:tcPr>
            <w:tcW w:w="1350" w:type="dxa"/>
            <w:vMerge/>
          </w:tcPr>
          <w:p w14:paraId="520A7E25" w14:textId="5F41C696" w:rsidR="006266F5" w:rsidRPr="009461CC" w:rsidRDefault="006266F5" w:rsidP="005B3E76">
            <w:pPr>
              <w:rPr>
                <w:rFonts w:cs="Times New Roman"/>
              </w:rPr>
            </w:pPr>
          </w:p>
        </w:tc>
        <w:tc>
          <w:tcPr>
            <w:tcW w:w="1266" w:type="dxa"/>
            <w:vMerge/>
          </w:tcPr>
          <w:p w14:paraId="77962B81" w14:textId="77777777" w:rsidR="006266F5" w:rsidRPr="009461CC" w:rsidRDefault="006266F5" w:rsidP="005B3E76">
            <w:pPr>
              <w:rPr>
                <w:rFonts w:cs="Times New Roman"/>
              </w:rPr>
            </w:pPr>
          </w:p>
        </w:tc>
        <w:tc>
          <w:tcPr>
            <w:tcW w:w="2416" w:type="dxa"/>
            <w:vMerge/>
          </w:tcPr>
          <w:p w14:paraId="570FDA70" w14:textId="77777777" w:rsidR="006266F5" w:rsidRPr="009461CC" w:rsidRDefault="006266F5" w:rsidP="005B3E76">
            <w:pPr>
              <w:rPr>
                <w:rFonts w:cs="Times New Roman"/>
              </w:rPr>
            </w:pPr>
          </w:p>
        </w:tc>
      </w:tr>
    </w:tbl>
    <w:p w14:paraId="2DAE4D4B" w14:textId="77777777" w:rsidR="00AA2E04" w:rsidRPr="009461CC" w:rsidRDefault="00AA2E04" w:rsidP="00AA3694">
      <w:pPr>
        <w:pStyle w:val="Heading1"/>
        <w:numPr>
          <w:ilvl w:val="0"/>
          <w:numId w:val="0"/>
        </w:numPr>
        <w:rPr>
          <w:rFonts w:cs="Times New Roman"/>
        </w:rPr>
      </w:pPr>
    </w:p>
    <w:p w14:paraId="4B18C73D" w14:textId="72C79B52" w:rsidR="009855C3" w:rsidRPr="009461CC" w:rsidRDefault="009855C3" w:rsidP="00042B91">
      <w:pPr>
        <w:pStyle w:val="Heading1"/>
        <w:rPr>
          <w:rFonts w:cs="Times New Roman"/>
        </w:rPr>
      </w:pPr>
      <w:bookmarkStart w:id="3" w:name="_Toc222741763"/>
      <w:r>
        <w:rPr>
          <w:rFonts w:cs="Times New Roman"/>
          <w:bCs/>
          <w:lang w:val="es-ES"/>
        </w:rPr>
        <w:t>Año en que se emitió el primer certificado (CE) que cubre el dispositivo:</w:t>
      </w:r>
      <w:bookmarkEnd w:id="3"/>
      <w:r>
        <w:rPr>
          <w:rFonts w:cs="Times New Roman"/>
          <w:bCs/>
          <w:lang w:val="es-ES"/>
        </w:rPr>
        <w:t xml:space="preserve"> </w:t>
      </w:r>
    </w:p>
    <w:p w14:paraId="76BA3EF9" w14:textId="540D85A6" w:rsidR="00713233" w:rsidRPr="009461CC" w:rsidRDefault="00780A59" w:rsidP="00E714ED">
      <w:pPr>
        <w:spacing w:after="0" w:afterAutospacing="0" w:line="240" w:lineRule="auto"/>
        <w:ind w:left="792"/>
        <w:rPr>
          <w:rFonts w:cs="Times New Roman"/>
        </w:rPr>
      </w:pPr>
      <w:r>
        <w:rPr>
          <w:rFonts w:cs="Times New Roman"/>
          <w:lang w:val="es-ES"/>
        </w:rPr>
        <w:t xml:space="preserve">El kit Atrieve Vascular Snare recibió la marca CE (CE 608298) en 2010 bajo la MDD </w:t>
      </w:r>
    </w:p>
    <w:p w14:paraId="6B157940" w14:textId="77777777" w:rsidR="00FE78AD" w:rsidRPr="009461CC" w:rsidRDefault="00FE78AD" w:rsidP="00E714ED">
      <w:pPr>
        <w:spacing w:after="0" w:afterAutospacing="0" w:line="240" w:lineRule="auto"/>
        <w:ind w:left="792"/>
        <w:rPr>
          <w:rFonts w:cs="Times New Roman"/>
        </w:rPr>
      </w:pPr>
    </w:p>
    <w:p w14:paraId="7DB260B7" w14:textId="77777777" w:rsidR="00FE78AD" w:rsidRPr="009461CC" w:rsidRDefault="00FE78AD" w:rsidP="00E714ED">
      <w:pPr>
        <w:spacing w:after="0" w:afterAutospacing="0" w:line="240" w:lineRule="auto"/>
        <w:ind w:left="792"/>
        <w:rPr>
          <w:rFonts w:cs="Times New Roman"/>
        </w:rPr>
      </w:pPr>
    </w:p>
    <w:p w14:paraId="79EE515A" w14:textId="77777777" w:rsidR="00FE78AD" w:rsidRPr="009461CC" w:rsidRDefault="00FE78AD" w:rsidP="00E714ED">
      <w:pPr>
        <w:spacing w:after="0" w:afterAutospacing="0" w:line="240" w:lineRule="auto"/>
        <w:ind w:left="792"/>
        <w:rPr>
          <w:rFonts w:cs="Times New Roman"/>
        </w:rPr>
      </w:pPr>
    </w:p>
    <w:p w14:paraId="234B8791" w14:textId="77777777" w:rsidR="005C6A90" w:rsidRPr="009461CC" w:rsidRDefault="005C6A90" w:rsidP="00E714ED">
      <w:pPr>
        <w:spacing w:after="0" w:afterAutospacing="0" w:line="240" w:lineRule="auto"/>
        <w:ind w:left="792"/>
        <w:rPr>
          <w:rFonts w:cs="Times New Roman"/>
        </w:rPr>
      </w:pPr>
    </w:p>
    <w:p w14:paraId="10A04209" w14:textId="75FC9DEC" w:rsidR="009855C3" w:rsidRPr="009461CC" w:rsidRDefault="009855C3" w:rsidP="00042B91">
      <w:pPr>
        <w:pStyle w:val="Heading1"/>
        <w:rPr>
          <w:rFonts w:cs="Times New Roman"/>
        </w:rPr>
      </w:pPr>
      <w:r>
        <w:rPr>
          <w:rFonts w:cs="Times New Roman"/>
          <w:bCs/>
          <w:lang w:val="es-ES"/>
        </w:rPr>
        <w:t xml:space="preserve"> </w:t>
      </w:r>
      <w:bookmarkStart w:id="4" w:name="_Toc222741764"/>
      <w:r>
        <w:rPr>
          <w:rFonts w:cs="Times New Roman"/>
          <w:bCs/>
          <w:lang w:val="es-ES"/>
        </w:rPr>
        <w:t>Nombre, dirección y SRN del fabricante:</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es-ES"/>
              </w:rPr>
              <w:t>Información sobre el fabricante</w:t>
            </w:r>
          </w:p>
        </w:tc>
      </w:tr>
      <w:tr w:rsidR="00493B5B" w:rsidRPr="009461CC" w14:paraId="49F686BA" w14:textId="77777777" w:rsidTr="00272DEA">
        <w:trPr>
          <w:trHeight w:val="489"/>
        </w:trPr>
        <w:tc>
          <w:tcPr>
            <w:tcW w:w="2241" w:type="pct"/>
          </w:tcPr>
          <w:p w14:paraId="55881DB9" w14:textId="77777777" w:rsidR="00493B5B" w:rsidRPr="009461CC" w:rsidRDefault="00493B5B" w:rsidP="00AA3694">
            <w:pPr>
              <w:spacing w:after="0" w:afterAutospacing="0"/>
              <w:jc w:val="both"/>
              <w:rPr>
                <w:spacing w:val="-5"/>
                <w:szCs w:val="24"/>
              </w:rPr>
            </w:pPr>
            <w:r>
              <w:rPr>
                <w:szCs w:val="24"/>
                <w:lang w:val="es-ES"/>
              </w:rPr>
              <w:t>SRN del fabricante: US-MF-000002324</w:t>
            </w:r>
          </w:p>
        </w:tc>
        <w:tc>
          <w:tcPr>
            <w:tcW w:w="2759" w:type="pct"/>
          </w:tcPr>
          <w:p w14:paraId="61E93080" w14:textId="77777777" w:rsidR="00493B5B" w:rsidRPr="009461CC" w:rsidRDefault="00493B5B" w:rsidP="00AA3694">
            <w:pPr>
              <w:spacing w:after="0" w:afterAutospacing="0"/>
              <w:rPr>
                <w:szCs w:val="24"/>
              </w:rPr>
            </w:pPr>
            <w:r>
              <w:rPr>
                <w:szCs w:val="24"/>
                <w:lang w:val="es-ES"/>
              </w:rPr>
              <w:t>Nombre del fabricante: Argon Medical Devices, Inc.</w:t>
            </w:r>
          </w:p>
        </w:tc>
      </w:tr>
      <w:tr w:rsidR="00493B5B" w:rsidRPr="009461CC" w14:paraId="03F91594" w14:textId="77777777" w:rsidTr="00272DEA">
        <w:trPr>
          <w:trHeight w:val="525"/>
        </w:trPr>
        <w:tc>
          <w:tcPr>
            <w:tcW w:w="2241" w:type="pct"/>
          </w:tcPr>
          <w:p w14:paraId="119B5A73" w14:textId="77777777" w:rsidR="00493B5B" w:rsidRPr="009461CC" w:rsidRDefault="00493B5B" w:rsidP="00AA3694">
            <w:pPr>
              <w:spacing w:after="0" w:afterAutospacing="0"/>
              <w:jc w:val="both"/>
              <w:rPr>
                <w:spacing w:val="-2"/>
                <w:szCs w:val="24"/>
              </w:rPr>
            </w:pPr>
            <w:r>
              <w:rPr>
                <w:szCs w:val="24"/>
                <w:lang w:val="es-ES"/>
              </w:rPr>
              <w:t>Nombre y apellido de la persona de contacto: Scott Bishop</w:t>
            </w:r>
          </w:p>
        </w:tc>
        <w:tc>
          <w:tcPr>
            <w:tcW w:w="2759" w:type="pct"/>
          </w:tcPr>
          <w:p w14:paraId="0FE9AF31" w14:textId="77777777" w:rsidR="00493B5B" w:rsidRPr="009461CC" w:rsidRDefault="00493B5B" w:rsidP="00AA3694">
            <w:pPr>
              <w:widowControl w:val="0"/>
              <w:autoSpaceDE w:val="0"/>
              <w:autoSpaceDN w:val="0"/>
              <w:spacing w:before="42" w:after="0" w:afterAutospacing="0"/>
              <w:rPr>
                <w:spacing w:val="-2"/>
                <w:szCs w:val="24"/>
              </w:rPr>
            </w:pPr>
            <w:r>
              <w:rPr>
                <w:szCs w:val="24"/>
                <w:lang w:val="es-ES"/>
              </w:rPr>
              <w:t>Correo electrónico:</w:t>
            </w:r>
            <w:r>
              <w:rPr>
                <w:sz w:val="22"/>
                <w:lang w:val="es-ES"/>
              </w:rPr>
              <w:t xml:space="preserve"> </w:t>
            </w:r>
            <w:hyperlink r:id="rId11" w:history="1">
              <w:r>
                <w:rPr>
                  <w:color w:val="0563C1"/>
                  <w:szCs w:val="24"/>
                  <w:u w:val="single"/>
                  <w:lang w:val="es-ES"/>
                </w:rPr>
                <w:t>RegCompliance@argonmedical.com</w:t>
              </w:r>
            </w:hyperlink>
          </w:p>
          <w:p w14:paraId="12F2B43C" w14:textId="77777777" w:rsidR="00493B5B" w:rsidRPr="009461CC" w:rsidRDefault="00493B5B" w:rsidP="00AA3694">
            <w:pPr>
              <w:spacing w:after="0" w:afterAutospacing="0"/>
              <w:rPr>
                <w:szCs w:val="24"/>
              </w:rPr>
            </w:pPr>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rPr>
            </w:pPr>
            <w:r>
              <w:rPr>
                <w:szCs w:val="24"/>
                <w:lang w:val="es-ES"/>
              </w:rPr>
              <w:t>Número de teléfono: 903.675.9321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rPr>
            </w:pPr>
            <w:r>
              <w:rPr>
                <w:szCs w:val="24"/>
                <w:lang w:val="es-ES"/>
              </w:rPr>
              <w:t>Dirección:</w:t>
            </w:r>
          </w:p>
          <w:p w14:paraId="041EA64B" w14:textId="77777777" w:rsidR="001533A4" w:rsidRPr="009461CC" w:rsidRDefault="001533A4" w:rsidP="009709B4">
            <w:pPr>
              <w:widowControl w:val="0"/>
              <w:autoSpaceDE w:val="0"/>
              <w:autoSpaceDN w:val="0"/>
              <w:spacing w:after="0" w:afterAutospacing="0"/>
              <w:rPr>
                <w:spacing w:val="-2"/>
                <w:szCs w:val="24"/>
              </w:rPr>
            </w:pPr>
            <w:r>
              <w:rPr>
                <w:szCs w:val="24"/>
                <w:lang w:val="es-ES"/>
              </w:rPr>
              <w:t>1445 Flat Creek Road,</w:t>
            </w:r>
          </w:p>
          <w:p w14:paraId="26DE4983" w14:textId="77777777" w:rsidR="001533A4" w:rsidRPr="009461CC" w:rsidRDefault="001533A4" w:rsidP="009709B4">
            <w:pPr>
              <w:widowControl w:val="0"/>
              <w:autoSpaceDE w:val="0"/>
              <w:autoSpaceDN w:val="0"/>
              <w:spacing w:after="0" w:afterAutospacing="0"/>
              <w:rPr>
                <w:spacing w:val="-2"/>
                <w:szCs w:val="24"/>
              </w:rPr>
            </w:pPr>
            <w:r>
              <w:rPr>
                <w:szCs w:val="24"/>
                <w:lang w:val="es-ES"/>
              </w:rPr>
              <w:t>Athens, Texas 75751</w:t>
            </w:r>
          </w:p>
          <w:p w14:paraId="586DCCA3" w14:textId="38B6FE42" w:rsidR="00493B5B" w:rsidRPr="009461CC" w:rsidRDefault="001533A4" w:rsidP="009709B4">
            <w:pPr>
              <w:widowControl w:val="0"/>
              <w:autoSpaceDE w:val="0"/>
              <w:autoSpaceDN w:val="0"/>
              <w:spacing w:after="0" w:afterAutospacing="0"/>
              <w:rPr>
                <w:spacing w:val="-2"/>
                <w:szCs w:val="24"/>
              </w:rPr>
            </w:pPr>
            <w:r>
              <w:rPr>
                <w:szCs w:val="24"/>
                <w:lang w:val="es-ES"/>
              </w:rPr>
              <w:t>EE. UU.</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9461CC" w:rsidRDefault="00887E5D" w:rsidP="00AA3694">
      <w:pPr>
        <w:pStyle w:val="Heading1"/>
        <w:rPr>
          <w:rFonts w:cs="Times New Roman"/>
        </w:rPr>
      </w:pPr>
      <w:bookmarkStart w:id="5" w:name="_Toc222741765"/>
      <w:r>
        <w:rPr>
          <w:rFonts w:cs="Times New Roman"/>
          <w:bCs/>
          <w:lang w:val="es-ES"/>
        </w:rPr>
        <w:t>Nombre y SRN del representante autorizado:</w:t>
      </w:r>
      <w:bookmarkEnd w:id="5"/>
    </w:p>
    <w:tbl>
      <w:tblPr>
        <w:tblStyle w:val="TableGrid2"/>
        <w:tblW w:w="5000" w:type="pct"/>
        <w:tblLook w:val="04A0" w:firstRow="1" w:lastRow="0" w:firstColumn="1" w:lastColumn="0" w:noHBand="0" w:noVBand="1"/>
      </w:tblPr>
      <w:tblGrid>
        <w:gridCol w:w="4675"/>
        <w:gridCol w:w="5755"/>
      </w:tblGrid>
      <w:tr w:rsidR="008A210D" w:rsidRPr="009461CC" w14:paraId="5389928F" w14:textId="77777777" w:rsidTr="00272DEA">
        <w:tc>
          <w:tcPr>
            <w:tcW w:w="5000" w:type="pct"/>
            <w:gridSpan w:val="2"/>
            <w:shd w:val="clear" w:color="auto" w:fill="D9D9D9" w:themeFill="background1" w:themeFillShade="D9"/>
          </w:tcPr>
          <w:p w14:paraId="7FB4BB7C" w14:textId="77777777" w:rsidR="008A210D" w:rsidRPr="009461CC" w:rsidRDefault="008A210D" w:rsidP="008A210D">
            <w:pPr>
              <w:spacing w:after="0" w:afterAutospacing="0"/>
              <w:jc w:val="center"/>
              <w:rPr>
                <w:b/>
                <w:bCs/>
                <w:szCs w:val="24"/>
              </w:rPr>
            </w:pPr>
            <w:r>
              <w:rPr>
                <w:b/>
                <w:bCs/>
                <w:szCs w:val="24"/>
                <w:lang w:val="es-ES"/>
              </w:rPr>
              <w:t>Información del representante autorizado</w:t>
            </w:r>
          </w:p>
        </w:tc>
      </w:tr>
      <w:tr w:rsidR="008A210D" w:rsidRPr="009461CC" w14:paraId="486856D5" w14:textId="77777777" w:rsidTr="00272DEA">
        <w:trPr>
          <w:trHeight w:val="489"/>
        </w:trPr>
        <w:tc>
          <w:tcPr>
            <w:tcW w:w="2241" w:type="pct"/>
          </w:tcPr>
          <w:p w14:paraId="5FC8645E" w14:textId="77777777" w:rsidR="008A210D" w:rsidRPr="009461CC" w:rsidRDefault="008A210D" w:rsidP="008A210D">
            <w:pPr>
              <w:spacing w:after="0" w:afterAutospacing="0"/>
              <w:jc w:val="both"/>
              <w:rPr>
                <w:spacing w:val="-5"/>
                <w:szCs w:val="24"/>
              </w:rPr>
            </w:pPr>
            <w:r>
              <w:rPr>
                <w:szCs w:val="24"/>
                <w:lang w:val="es-ES"/>
              </w:rPr>
              <w:t>SRN: NL-AR-000000116</w:t>
            </w:r>
          </w:p>
        </w:tc>
        <w:tc>
          <w:tcPr>
            <w:tcW w:w="2759" w:type="pct"/>
          </w:tcPr>
          <w:p w14:paraId="25BF63FC" w14:textId="77777777" w:rsidR="008A210D" w:rsidRPr="009461CC" w:rsidRDefault="008A210D" w:rsidP="008A210D">
            <w:pPr>
              <w:widowControl w:val="0"/>
              <w:autoSpaceDE w:val="0"/>
              <w:autoSpaceDN w:val="0"/>
              <w:spacing w:before="119" w:after="0" w:afterAutospacing="0"/>
              <w:rPr>
                <w:bCs/>
                <w:szCs w:val="24"/>
              </w:rPr>
            </w:pPr>
            <w:r>
              <w:rPr>
                <w:szCs w:val="24"/>
                <w:lang w:val="es-ES"/>
              </w:rPr>
              <w:t>Nombre de la organización del representante autorizado:</w:t>
            </w:r>
          </w:p>
          <w:p w14:paraId="3A6B7B5C" w14:textId="77777777" w:rsidR="008A210D" w:rsidRPr="009461CC" w:rsidRDefault="008A210D" w:rsidP="008A210D">
            <w:pPr>
              <w:spacing w:after="0" w:afterAutospacing="0"/>
              <w:rPr>
                <w:szCs w:val="24"/>
              </w:rPr>
            </w:pPr>
            <w:r>
              <w:rPr>
                <w:szCs w:val="24"/>
                <w:lang w:val="es-ES"/>
              </w:rPr>
              <w:t>Emergo Europe</w:t>
            </w:r>
          </w:p>
        </w:tc>
      </w:tr>
      <w:tr w:rsidR="008A210D" w:rsidRPr="009461CC" w14:paraId="7AE34B46" w14:textId="77777777" w:rsidTr="00272DEA">
        <w:trPr>
          <w:trHeight w:val="525"/>
        </w:trPr>
        <w:tc>
          <w:tcPr>
            <w:tcW w:w="2241" w:type="pct"/>
          </w:tcPr>
          <w:p w14:paraId="65D7FE1F" w14:textId="77777777" w:rsidR="008A210D" w:rsidRPr="009461CC" w:rsidRDefault="008A210D" w:rsidP="008A210D">
            <w:pPr>
              <w:spacing w:after="0" w:afterAutospacing="0"/>
              <w:jc w:val="both"/>
              <w:rPr>
                <w:spacing w:val="-2"/>
                <w:szCs w:val="24"/>
              </w:rPr>
            </w:pPr>
            <w:r>
              <w:rPr>
                <w:szCs w:val="24"/>
                <w:lang w:val="es-ES"/>
              </w:rPr>
              <w:t>Información de contacto: Equipo de vigilancia</w:t>
            </w:r>
          </w:p>
        </w:tc>
        <w:tc>
          <w:tcPr>
            <w:tcW w:w="2759" w:type="pct"/>
          </w:tcPr>
          <w:p w14:paraId="2A3CD5D0" w14:textId="77777777" w:rsidR="008A210D" w:rsidRPr="009461CC" w:rsidRDefault="008A210D" w:rsidP="008A210D">
            <w:pPr>
              <w:widowControl w:val="0"/>
              <w:autoSpaceDE w:val="0"/>
              <w:autoSpaceDN w:val="0"/>
              <w:spacing w:before="39" w:after="0" w:afterAutospacing="0"/>
              <w:rPr>
                <w:spacing w:val="-2"/>
                <w:szCs w:val="24"/>
              </w:rPr>
            </w:pPr>
            <w:r>
              <w:rPr>
                <w:szCs w:val="24"/>
                <w:lang w:val="es-ES"/>
              </w:rPr>
              <w:t xml:space="preserve">Correo electrónico: </w:t>
            </w:r>
            <w:hyperlink r:id="rId12" w:history="1">
              <w:r>
                <w:rPr>
                  <w:color w:val="0563C1"/>
                  <w:szCs w:val="24"/>
                  <w:u w:val="single"/>
                  <w:lang w:val="es-ES"/>
                </w:rPr>
                <w:t>EmergoVigilancia@ul.com</w:t>
              </w:r>
            </w:hyperlink>
          </w:p>
        </w:tc>
      </w:tr>
      <w:tr w:rsidR="008A210D" w:rsidRPr="009461CC"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rPr>
            </w:pPr>
            <w:r>
              <w:rPr>
                <w:szCs w:val="24"/>
                <w:lang w:val="es-ES"/>
              </w:rPr>
              <w:t>Número de teléfono: +31.70.345.8570</w:t>
            </w:r>
          </w:p>
          <w:p w14:paraId="7CCBBDE7" w14:textId="739E5D21" w:rsidR="00A603C9" w:rsidRPr="009461CC" w:rsidRDefault="00A603C9" w:rsidP="008A210D">
            <w:pPr>
              <w:widowControl w:val="0"/>
              <w:autoSpaceDE w:val="0"/>
              <w:autoSpaceDN w:val="0"/>
              <w:spacing w:before="42" w:after="0" w:afterAutospacing="0"/>
              <w:rPr>
                <w:spacing w:val="-2"/>
                <w:szCs w:val="24"/>
              </w:rPr>
            </w:pPr>
            <w:r>
              <w:rPr>
                <w:color w:val="000000"/>
                <w:szCs w:val="24"/>
                <w:lang w:val="es-ES"/>
              </w:rPr>
              <w:t>Fax:+31 (0)70 346 7299</w:t>
            </w:r>
          </w:p>
        </w:tc>
        <w:tc>
          <w:tcPr>
            <w:tcW w:w="2759" w:type="pct"/>
          </w:tcPr>
          <w:p w14:paraId="2F414254" w14:textId="77777777" w:rsidR="008A210D" w:rsidRPr="009461CC" w:rsidRDefault="008A210D" w:rsidP="009709B4">
            <w:pPr>
              <w:widowControl w:val="0"/>
              <w:autoSpaceDE w:val="0"/>
              <w:autoSpaceDN w:val="0"/>
              <w:spacing w:after="0" w:afterAutospacing="0"/>
              <w:rPr>
                <w:spacing w:val="-2"/>
                <w:szCs w:val="24"/>
              </w:rPr>
            </w:pPr>
            <w:r>
              <w:rPr>
                <w:szCs w:val="24"/>
                <w:lang w:val="es-ES"/>
              </w:rPr>
              <w:t>Dirección:</w:t>
            </w:r>
          </w:p>
          <w:p w14:paraId="759A4A48" w14:textId="77777777" w:rsidR="008A210D" w:rsidRPr="009461CC" w:rsidRDefault="008A210D" w:rsidP="009709B4">
            <w:pPr>
              <w:widowControl w:val="0"/>
              <w:autoSpaceDE w:val="0"/>
              <w:autoSpaceDN w:val="0"/>
              <w:spacing w:after="0" w:afterAutospacing="0"/>
              <w:rPr>
                <w:spacing w:val="-2"/>
                <w:szCs w:val="24"/>
              </w:rPr>
            </w:pPr>
            <w:r>
              <w:rPr>
                <w:szCs w:val="24"/>
                <w:lang w:val="es-ES"/>
              </w:rPr>
              <w:t>Número y nombre de la calle:</w:t>
            </w:r>
            <w:r>
              <w:rPr>
                <w:sz w:val="22"/>
                <w:lang w:val="es-ES"/>
              </w:rPr>
              <w:t xml:space="preserve"> 60 </w:t>
            </w:r>
            <w:r>
              <w:rPr>
                <w:szCs w:val="24"/>
                <w:lang w:val="es-ES"/>
              </w:rPr>
              <w:t>Westervoortsedijk</w:t>
            </w:r>
          </w:p>
          <w:p w14:paraId="3B20AE15" w14:textId="77777777" w:rsidR="008A210D" w:rsidRPr="009461CC" w:rsidRDefault="008A210D" w:rsidP="009709B4">
            <w:pPr>
              <w:widowControl w:val="0"/>
              <w:autoSpaceDE w:val="0"/>
              <w:autoSpaceDN w:val="0"/>
              <w:spacing w:after="0" w:afterAutospacing="0"/>
              <w:rPr>
                <w:spacing w:val="-2"/>
                <w:szCs w:val="24"/>
              </w:rPr>
            </w:pPr>
            <w:r>
              <w:rPr>
                <w:szCs w:val="24"/>
                <w:lang w:val="es-ES"/>
              </w:rPr>
              <w:t>Ciudad: Arnhem</w:t>
            </w:r>
          </w:p>
          <w:p w14:paraId="6FC33444" w14:textId="77777777" w:rsidR="008A210D" w:rsidRPr="009461CC" w:rsidRDefault="008A210D" w:rsidP="009709B4">
            <w:pPr>
              <w:widowControl w:val="0"/>
              <w:autoSpaceDE w:val="0"/>
              <w:autoSpaceDN w:val="0"/>
              <w:spacing w:after="0" w:afterAutospacing="0"/>
              <w:rPr>
                <w:spacing w:val="-2"/>
                <w:szCs w:val="24"/>
              </w:rPr>
            </w:pPr>
            <w:r>
              <w:rPr>
                <w:szCs w:val="24"/>
                <w:lang w:val="es-ES"/>
              </w:rPr>
              <w:t>Código postal: 6827 AT</w:t>
            </w:r>
          </w:p>
          <w:p w14:paraId="2EB91056" w14:textId="77777777" w:rsidR="008A210D" w:rsidRPr="009461CC" w:rsidRDefault="008A210D" w:rsidP="009709B4">
            <w:pPr>
              <w:widowControl w:val="0"/>
              <w:autoSpaceDE w:val="0"/>
              <w:autoSpaceDN w:val="0"/>
              <w:spacing w:after="0" w:afterAutospacing="0"/>
              <w:rPr>
                <w:spacing w:val="-2"/>
                <w:szCs w:val="24"/>
              </w:rPr>
            </w:pPr>
            <w:r>
              <w:rPr>
                <w:szCs w:val="24"/>
                <w:lang w:val="es-ES"/>
              </w:rPr>
              <w:t>País: Países Bajos</w:t>
            </w:r>
          </w:p>
        </w:tc>
      </w:tr>
    </w:tbl>
    <w:p w14:paraId="1624A296" w14:textId="77777777" w:rsidR="009855C3" w:rsidRPr="009461CC" w:rsidRDefault="009855C3" w:rsidP="00042B91">
      <w:pPr>
        <w:spacing w:after="0" w:afterAutospacing="0" w:line="240" w:lineRule="auto"/>
        <w:ind w:left="1440"/>
        <w:rPr>
          <w:rFonts w:cs="Times New Roman"/>
        </w:rPr>
      </w:pPr>
    </w:p>
    <w:p w14:paraId="6CE36BA3" w14:textId="292AEF0B" w:rsidR="006517A0" w:rsidRPr="009461CC" w:rsidRDefault="009855C3" w:rsidP="003074B3">
      <w:pPr>
        <w:pStyle w:val="Heading1"/>
        <w:rPr>
          <w:rFonts w:cs="Times New Roman"/>
        </w:rPr>
      </w:pPr>
      <w:bookmarkStart w:id="6" w:name="_Toc222741766"/>
      <w:r>
        <w:rPr>
          <w:rFonts w:cs="Times New Roman"/>
          <w:bCs/>
          <w:lang w:val="es-ES"/>
        </w:rPr>
        <w:t>Nombre y número de identificación único del organismo notificado:</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6613"/>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Pr>
                <w:rFonts w:eastAsia="Times New Roman" w:cs="Times New Roman"/>
                <w:b/>
                <w:bCs/>
                <w:szCs w:val="24"/>
                <w:lang w:val="es-ES"/>
              </w:rPr>
              <w:t>Organismo notificado</w:t>
            </w:r>
          </w:p>
        </w:tc>
      </w:tr>
      <w:tr w:rsidR="00272DEA" w:rsidRPr="009461CC" w14:paraId="0B814508" w14:textId="77777777" w:rsidTr="00272DEA">
        <w:trPr>
          <w:trHeight w:val="350"/>
          <w:jc w:val="center"/>
        </w:trPr>
        <w:tc>
          <w:tcPr>
            <w:tcW w:w="1830"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es-ES"/>
              </w:rPr>
              <w:t>Nombre:</w:t>
            </w:r>
          </w:p>
        </w:tc>
        <w:tc>
          <w:tcPr>
            <w:tcW w:w="3170" w:type="pct"/>
          </w:tcPr>
          <w:p w14:paraId="5863E627" w14:textId="77777777" w:rsidR="003074B3" w:rsidRPr="009461CC" w:rsidRDefault="003074B3" w:rsidP="00B066F7">
            <w:pPr>
              <w:suppressAutoHyphens/>
              <w:spacing w:after="0" w:afterAutospacing="0" w:line="240" w:lineRule="exact"/>
              <w:rPr>
                <w:rFonts w:eastAsia="Times New Roman" w:cs="Times New Roman"/>
                <w:bCs/>
                <w:szCs w:val="24"/>
              </w:rPr>
            </w:pPr>
            <w:r>
              <w:rPr>
                <w:rFonts w:cs="Times New Roman"/>
                <w:szCs w:val="24"/>
                <w:lang w:val="es-ES"/>
              </w:rPr>
              <w:t>The British Standards Institution (BSI) Group the Netherlands B.V.</w:t>
            </w:r>
          </w:p>
        </w:tc>
      </w:tr>
      <w:tr w:rsidR="003074B3" w:rsidRPr="009461CC" w14:paraId="65281175" w14:textId="77777777" w:rsidTr="009709B4">
        <w:trPr>
          <w:trHeight w:val="728"/>
          <w:jc w:val="center"/>
        </w:trPr>
        <w:tc>
          <w:tcPr>
            <w:tcW w:w="1830"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es-ES"/>
              </w:rPr>
              <w:t>Dirección:</w:t>
            </w:r>
          </w:p>
        </w:tc>
        <w:tc>
          <w:tcPr>
            <w:tcW w:w="3170" w:type="pct"/>
          </w:tcPr>
          <w:p w14:paraId="727CFF1E"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es-ES"/>
              </w:rPr>
              <w:t>John M. Keynesplein 9</w:t>
            </w:r>
          </w:p>
          <w:p w14:paraId="4054093A"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es-ES"/>
              </w:rPr>
              <w:t>1066 EP Ámsterdam</w:t>
            </w:r>
          </w:p>
          <w:p w14:paraId="72F2BC20"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es-ES"/>
              </w:rPr>
              <w:t xml:space="preserve"> Países Bajos</w:t>
            </w:r>
          </w:p>
        </w:tc>
      </w:tr>
      <w:tr w:rsidR="003074B3" w:rsidRPr="009461CC" w14:paraId="7A858549" w14:textId="77777777" w:rsidTr="00272DEA">
        <w:trPr>
          <w:trHeight w:val="351"/>
          <w:jc w:val="center"/>
        </w:trPr>
        <w:tc>
          <w:tcPr>
            <w:tcW w:w="1830"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es-ES"/>
              </w:rPr>
              <w:t>Sitio web:</w:t>
            </w:r>
          </w:p>
        </w:tc>
        <w:tc>
          <w:tcPr>
            <w:tcW w:w="3170"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color w:val="0000FF"/>
                  <w:szCs w:val="24"/>
                  <w:u w:val="single"/>
                  <w:lang w:val="es-ES"/>
                </w:rPr>
                <w:t>www.bsigroup.com</w:t>
              </w:r>
            </w:hyperlink>
            <w:r>
              <w:rPr>
                <w:rFonts w:eastAsia="Times New Roman" w:cs="Times New Roman"/>
                <w:szCs w:val="24"/>
                <w:lang w:val="es-ES"/>
              </w:rPr>
              <w:t xml:space="preserve"> </w:t>
            </w:r>
          </w:p>
        </w:tc>
      </w:tr>
      <w:tr w:rsidR="003074B3" w:rsidRPr="009461CC" w14:paraId="242654B6" w14:textId="77777777" w:rsidTr="00272DEA">
        <w:trPr>
          <w:trHeight w:val="355"/>
          <w:jc w:val="center"/>
        </w:trPr>
        <w:tc>
          <w:tcPr>
            <w:tcW w:w="1830"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es-ES"/>
              </w:rPr>
              <w:t>Teléfono:</w:t>
            </w:r>
          </w:p>
        </w:tc>
        <w:tc>
          <w:tcPr>
            <w:tcW w:w="3170"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es-ES"/>
              </w:rPr>
              <w:t>+31 (0)20 346 07 80</w:t>
            </w:r>
          </w:p>
        </w:tc>
      </w:tr>
      <w:tr w:rsidR="003074B3" w:rsidRPr="009461CC" w14:paraId="3445789F" w14:textId="77777777" w:rsidTr="00272DEA">
        <w:trPr>
          <w:trHeight w:val="355"/>
          <w:jc w:val="center"/>
        </w:trPr>
        <w:tc>
          <w:tcPr>
            <w:tcW w:w="1830"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es-ES"/>
              </w:rPr>
              <w:t>Fax:</w:t>
            </w:r>
          </w:p>
        </w:tc>
        <w:tc>
          <w:tcPr>
            <w:tcW w:w="3170"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es-ES"/>
              </w:rPr>
              <w:t>+31 (0) 20 346 07 81</w:t>
            </w:r>
          </w:p>
        </w:tc>
      </w:tr>
      <w:tr w:rsidR="003074B3" w:rsidRPr="009461CC" w14:paraId="108563A6" w14:textId="77777777" w:rsidTr="00272DEA">
        <w:trPr>
          <w:trHeight w:val="323"/>
          <w:jc w:val="center"/>
        </w:trPr>
        <w:tc>
          <w:tcPr>
            <w:tcW w:w="1830" w:type="pct"/>
          </w:tcPr>
          <w:p w14:paraId="68313F88" w14:textId="77777777" w:rsidR="003074B3" w:rsidRPr="009461CC" w:rsidRDefault="003074B3" w:rsidP="00B066F7">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es-ES"/>
              </w:rPr>
              <w:t>Número de organismo notificado:</w:t>
            </w:r>
            <w:r>
              <w:rPr>
                <w:rFonts w:eastAsia="Times New Roman" w:cs="Times New Roman"/>
                <w:szCs w:val="24"/>
                <w:lang w:val="es-ES"/>
              </w:rPr>
              <w:tab/>
            </w:r>
          </w:p>
        </w:tc>
        <w:tc>
          <w:tcPr>
            <w:tcW w:w="3170"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es-ES"/>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58CA8111" w:rsidR="00AA2E04" w:rsidRPr="009461CC" w:rsidRDefault="00AA2E04" w:rsidP="00F67A0E">
      <w:pPr>
        <w:pStyle w:val="Heading1"/>
        <w:numPr>
          <w:ilvl w:val="0"/>
          <w:numId w:val="2"/>
        </w:numPr>
        <w:rPr>
          <w:rFonts w:cs="Times New Roman"/>
        </w:rPr>
      </w:pPr>
      <w:bookmarkStart w:id="7" w:name="_Toc222741767"/>
      <w:r>
        <w:rPr>
          <w:rFonts w:cs="Times New Roman"/>
          <w:bCs/>
          <w:lang w:val="es-ES"/>
        </w:rPr>
        <w:t>Uso previsto/Finalidad prevista del dispositivo</w:t>
      </w:r>
      <w:bookmarkEnd w:id="7"/>
      <w:r>
        <w:rPr>
          <w:rFonts w:cs="Times New Roman"/>
          <w:bCs/>
          <w:lang w:val="es-ES"/>
        </w:rPr>
        <w:t xml:space="preserve"> </w:t>
      </w:r>
    </w:p>
    <w:p w14:paraId="48603D86" w14:textId="3BAB4A94" w:rsidR="00D104AC" w:rsidRPr="009461CC" w:rsidRDefault="00D104AC" w:rsidP="00FB0A38">
      <w:pPr>
        <w:spacing w:after="0" w:afterAutospacing="0"/>
        <w:ind w:left="360"/>
        <w:rPr>
          <w:rFonts w:cs="Times New Roman"/>
        </w:rPr>
      </w:pPr>
      <w:r>
        <w:rPr>
          <w:rFonts w:cs="Times New Roman"/>
          <w:lang w:val="es-ES"/>
        </w:rPr>
        <w:t>Referencias:</w:t>
      </w:r>
    </w:p>
    <w:p w14:paraId="5CC3EE9B" w14:textId="1A780D49" w:rsidR="00042B91" w:rsidRPr="009461CC" w:rsidRDefault="00FE5B73" w:rsidP="00042B91">
      <w:pPr>
        <w:spacing w:after="0" w:afterAutospacing="0" w:line="240" w:lineRule="auto"/>
        <w:rPr>
          <w:rFonts w:cs="Times New Roman"/>
        </w:rPr>
      </w:pPr>
      <w:r>
        <w:rPr>
          <w:rFonts w:cs="Times New Roman"/>
          <w:lang w:val="es-ES"/>
        </w:rPr>
        <w:t>Números de referencia: X9585730-0321-EU Rev A</w:t>
      </w:r>
    </w:p>
    <w:p w14:paraId="1254EE9F" w14:textId="77777777" w:rsidR="00FE5B73" w:rsidRPr="009461CC" w:rsidRDefault="00FE5B73" w:rsidP="00042B91">
      <w:pPr>
        <w:spacing w:after="0" w:afterAutospacing="0" w:line="240" w:lineRule="auto"/>
        <w:rPr>
          <w:rFonts w:cs="Times New Roman"/>
        </w:rPr>
      </w:pPr>
    </w:p>
    <w:p w14:paraId="39A6DB15" w14:textId="58ED6DAB" w:rsidR="006F0810" w:rsidRPr="009461CC" w:rsidRDefault="00B7112F" w:rsidP="00042B91">
      <w:pPr>
        <w:pStyle w:val="Heading1"/>
        <w:rPr>
          <w:rFonts w:cs="Times New Roman"/>
        </w:rPr>
      </w:pPr>
      <w:r>
        <w:rPr>
          <w:rFonts w:cs="Times New Roman"/>
          <w:bCs/>
          <w:lang w:val="es-ES"/>
        </w:rPr>
        <w:lastRenderedPageBreak/>
        <w:t xml:space="preserve"> </w:t>
      </w:r>
      <w:bookmarkStart w:id="8" w:name="_Toc222741768"/>
      <w:r>
        <w:rPr>
          <w:rFonts w:cs="Times New Roman"/>
          <w:bCs/>
          <w:lang w:val="es-ES"/>
        </w:rPr>
        <w:t>Uso previsto/Finalidad prevista</w:t>
      </w:r>
      <w:bookmarkEnd w:id="8"/>
    </w:p>
    <w:p w14:paraId="5F55F24F" w14:textId="20556298" w:rsidR="009B569A" w:rsidRPr="009461CC" w:rsidRDefault="00B82FB3" w:rsidP="00B82FB3">
      <w:pPr>
        <w:rPr>
          <w:rFonts w:cs="Times New Roman"/>
          <w:shd w:val="clear" w:color="auto" w:fill="FFFFFF"/>
        </w:rPr>
      </w:pPr>
      <w:r>
        <w:rPr>
          <w:rFonts w:cs="Times New Roman"/>
          <w:shd w:val="clear" w:color="auto" w:fill="FFFFFF"/>
          <w:lang w:val="es-ES"/>
        </w:rPr>
        <w:t>Indicado para su uso en el sistema cardiovascular o en la víscera hueca para la extracción y manipulación de objetos extraños.</w:t>
      </w:r>
    </w:p>
    <w:p w14:paraId="0540FB4C" w14:textId="6BE36C7A" w:rsidR="006F0810" w:rsidRPr="009461CC" w:rsidRDefault="006F0810" w:rsidP="00042B91">
      <w:pPr>
        <w:pStyle w:val="Heading1"/>
        <w:rPr>
          <w:rFonts w:cs="Times New Roman"/>
        </w:rPr>
      </w:pPr>
      <w:bookmarkStart w:id="9" w:name="_Toc222741769"/>
      <w:r>
        <w:rPr>
          <w:rFonts w:cs="Times New Roman"/>
          <w:bCs/>
          <w:lang w:val="es-ES"/>
        </w:rPr>
        <w:t>Indicaciones de uso</w:t>
      </w:r>
      <w:bookmarkEnd w:id="9"/>
    </w:p>
    <w:p w14:paraId="24ADD508" w14:textId="77777777" w:rsidR="00235AAE" w:rsidRPr="009461CC" w:rsidRDefault="00235AAE" w:rsidP="00235AAE">
      <w:pPr>
        <w:widowControl w:val="0"/>
        <w:rPr>
          <w:rFonts w:cs="Times New Roman"/>
        </w:rPr>
      </w:pPr>
      <w:r>
        <w:rPr>
          <w:rFonts w:cs="Times New Roman"/>
          <w:lang w:val="es-ES"/>
        </w:rPr>
        <w:t>Indicado para su uso en el sistema cardiovascular o en la víscera hueca para la extracción y manipulación de objetos extraños. Los procedimientos de manipulación incluyen el reposicionamiento del catéter venoso permanente, el pelado de la vaina de fibrina del catéter venoso permanente y la asistencia en el procedimiento de punción venosa del acceso venoso central.</w:t>
      </w:r>
    </w:p>
    <w:p w14:paraId="498EAE44" w14:textId="77777777" w:rsidR="00D20FA4" w:rsidRPr="009461CC" w:rsidRDefault="00D20FA4" w:rsidP="00042B91">
      <w:pPr>
        <w:pStyle w:val="Heading1"/>
        <w:rPr>
          <w:rFonts w:cs="Times New Roman"/>
        </w:rPr>
      </w:pPr>
      <w:bookmarkStart w:id="10" w:name="_Toc222741770"/>
      <w:r>
        <w:rPr>
          <w:rFonts w:cs="Times New Roman"/>
          <w:bCs/>
          <w:lang w:val="es-ES"/>
        </w:rPr>
        <w:t>Población diana</w:t>
      </w:r>
      <w:bookmarkEnd w:id="10"/>
    </w:p>
    <w:p w14:paraId="099A3585" w14:textId="77777777" w:rsidR="003B70D7" w:rsidRPr="009461CC" w:rsidRDefault="003B70D7" w:rsidP="005A1E4B">
      <w:pPr>
        <w:pStyle w:val="pf0"/>
        <w:widowControl w:val="0"/>
        <w:spacing w:before="0" w:beforeAutospacing="0" w:after="0" w:afterAutospacing="0"/>
      </w:pPr>
      <w:r>
        <w:rPr>
          <w:lang w:val="es-ES"/>
        </w:rPr>
        <w:t>Pacientes adultos que incluyen ancianos y cualquier género, raza o etnia.</w:t>
      </w:r>
    </w:p>
    <w:p w14:paraId="3621B4F1" w14:textId="77777777" w:rsidR="003B70D7" w:rsidRPr="009461CC" w:rsidRDefault="003B70D7" w:rsidP="003B70D7">
      <w:pPr>
        <w:pStyle w:val="pf0"/>
        <w:widowControl w:val="0"/>
        <w:spacing w:before="0" w:beforeAutospacing="0" w:after="0" w:afterAutospacing="0"/>
      </w:pPr>
    </w:p>
    <w:p w14:paraId="28F544BD" w14:textId="4F93A450" w:rsidR="006F0810" w:rsidRPr="009461CC" w:rsidRDefault="006F0810" w:rsidP="00042B91">
      <w:pPr>
        <w:pStyle w:val="Heading1"/>
        <w:rPr>
          <w:rFonts w:cs="Times New Roman"/>
        </w:rPr>
      </w:pPr>
      <w:bookmarkStart w:id="11" w:name="_Toc222741771"/>
      <w:r>
        <w:rPr>
          <w:rFonts w:cs="Times New Roman"/>
          <w:bCs/>
          <w:lang w:val="es-ES"/>
        </w:rPr>
        <w:t>Contraindicaciones</w:t>
      </w:r>
      <w:bookmarkEnd w:id="11"/>
    </w:p>
    <w:p w14:paraId="169E24EB"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cs="Times New Roman"/>
          <w:color w:val="000000"/>
          <w:lang w:val="es-ES"/>
        </w:rPr>
        <w:t>Este dispositivo no se debe usar para extraer objetos extraños atrapados por crecimiento tisular</w:t>
      </w:r>
      <w:r>
        <w:rPr>
          <w:rFonts w:cs="Times New Roman"/>
          <w:color w:val="4472C4" w:themeColor="accent1"/>
          <w:lang w:val="es-ES"/>
        </w:rPr>
        <w:t>.</w:t>
      </w:r>
    </w:p>
    <w:p w14:paraId="4BFB00B8"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es-ES"/>
        </w:rPr>
        <w:t>Este dispositivo no se debe usar para el pelado de la vaina de fibrina en presencia de defectos septales o de agujero oval persistente.</w:t>
      </w:r>
    </w:p>
    <w:p w14:paraId="77577945"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es-ES"/>
        </w:rPr>
        <w:t>Este dispositivo no se debe usar para la retirada de conductores de marcapasos implantados.</w:t>
      </w:r>
    </w:p>
    <w:p w14:paraId="764D1032" w14:textId="77777777" w:rsidR="00761873" w:rsidRPr="009461CC" w:rsidRDefault="00761873" w:rsidP="00761873">
      <w:pPr>
        <w:pStyle w:val="ListParagraph"/>
        <w:spacing w:after="0" w:afterAutospacing="0"/>
        <w:ind w:left="1440"/>
        <w:rPr>
          <w:rFonts w:cs="Times New Roman"/>
        </w:rPr>
      </w:pPr>
    </w:p>
    <w:p w14:paraId="0A9D601E" w14:textId="53FB771D" w:rsidR="00760400" w:rsidRPr="009461CC" w:rsidRDefault="00D20FA4" w:rsidP="00F67A0E">
      <w:pPr>
        <w:pStyle w:val="Heading1"/>
        <w:numPr>
          <w:ilvl w:val="0"/>
          <w:numId w:val="2"/>
        </w:numPr>
        <w:rPr>
          <w:rFonts w:cs="Times New Roman"/>
        </w:rPr>
      </w:pPr>
      <w:bookmarkStart w:id="12" w:name="_Toc222741772"/>
      <w:r>
        <w:rPr>
          <w:rFonts w:cs="Times New Roman"/>
          <w:bCs/>
          <w:lang w:val="es-ES"/>
        </w:rPr>
        <w:t>Descripción del dispositivo</w:t>
      </w:r>
      <w:bookmarkEnd w:id="12"/>
    </w:p>
    <w:p w14:paraId="7115673A" w14:textId="77777777" w:rsidR="00042B91" w:rsidRPr="009461CC" w:rsidRDefault="00042B91" w:rsidP="00042B91">
      <w:pPr>
        <w:spacing w:after="0" w:afterAutospacing="0" w:line="240" w:lineRule="auto"/>
        <w:rPr>
          <w:rFonts w:cs="Times New Roman"/>
        </w:rPr>
      </w:pPr>
    </w:p>
    <w:p w14:paraId="33649869" w14:textId="52085753" w:rsidR="00D20FA4" w:rsidRPr="009461CC" w:rsidRDefault="00D20FA4" w:rsidP="00042B91">
      <w:pPr>
        <w:pStyle w:val="Heading1"/>
        <w:rPr>
          <w:rFonts w:cs="Times New Roman"/>
        </w:rPr>
      </w:pPr>
      <w:bookmarkStart w:id="13" w:name="_Toc222741773"/>
      <w:r>
        <w:rPr>
          <w:rFonts w:cs="Times New Roman"/>
          <w:bCs/>
          <w:lang w:val="es-ES"/>
        </w:rPr>
        <w:t>Descripción del dispositivo</w:t>
      </w:r>
      <w:bookmarkEnd w:id="13"/>
      <w:r>
        <w:rPr>
          <w:rFonts w:cs="Times New Roman"/>
          <w:bCs/>
          <w:lang w:val="es-ES"/>
        </w:rPr>
        <w:t xml:space="preserve"> </w:t>
      </w:r>
    </w:p>
    <w:p w14:paraId="3DAFEC6E" w14:textId="5053E6C6" w:rsidR="00994DB9" w:rsidRPr="009461CC" w:rsidRDefault="00994DB9" w:rsidP="00994DB9">
      <w:pPr>
        <w:rPr>
          <w:rFonts w:cs="Times New Roman"/>
        </w:rPr>
      </w:pPr>
      <w:bookmarkStart w:id="14" w:name="_Hlk169187630"/>
      <w:r>
        <w:rPr>
          <w:rFonts w:cs="Times New Roman"/>
          <w:lang w:val="es-ES"/>
        </w:rPr>
        <w:t>El kit Atrieve Vascular Snare™ incluye un dispositivo de asa con tres lazos preformados fabricados con nitinol superelástico y platino. Los lazos no están entrelazados y se pueden deslizar entre sí. Los lazos del asa se pueden introducir en un catéter de inserción sin riesgo de que el dispositivo se deforme de manera permanente. El kit Atrieve Vascular Snare también incluye un catéter de inserción, un mango de torsión y un introductor. El catéter de inserción tiene una banda marcadora radiopaca en la punta distal. El producto viene envasado en un aro protector. El dispositivo está diseñado para un solo uso y se suministra estéril (óxido de etileno) y listo para usar.</w:t>
      </w:r>
    </w:p>
    <w:p w14:paraId="210E0750" w14:textId="77777777" w:rsidR="00994DB9" w:rsidRPr="009461CC" w:rsidRDefault="00994DB9" w:rsidP="00994DB9">
      <w:pPr>
        <w:rPr>
          <w:rFonts w:cs="Times New Roman"/>
        </w:rPr>
      </w:pPr>
      <w:r>
        <w:rPr>
          <w:rFonts w:cs="Times New Roman"/>
          <w:lang w:val="es-ES"/>
        </w:rPr>
        <w:t>El kit Atrieve Vascular Snare™ está disponible en los siguientes tamaños:</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77777777" w:rsidR="00994DB9" w:rsidRPr="009461CC" w:rsidRDefault="00994DB9" w:rsidP="0022766F">
            <w:pPr>
              <w:widowControl w:val="0"/>
              <w:rPr>
                <w:rFonts w:cs="Times New Roman"/>
              </w:rPr>
            </w:pPr>
            <w:r>
              <w:rPr>
                <w:rFonts w:cs="Times New Roman"/>
                <w:lang w:val="es-ES"/>
              </w:rPr>
              <w:t>Rango de diámetro del asa</w:t>
            </w:r>
          </w:p>
        </w:tc>
        <w:tc>
          <w:tcPr>
            <w:tcW w:w="1274" w:type="pct"/>
          </w:tcPr>
          <w:p w14:paraId="2775F724" w14:textId="77777777" w:rsidR="00994DB9" w:rsidRPr="009461CC" w:rsidRDefault="00994DB9" w:rsidP="0022766F">
            <w:pPr>
              <w:widowControl w:val="0"/>
              <w:rPr>
                <w:rFonts w:cs="Times New Roman"/>
              </w:rPr>
            </w:pPr>
            <w:r>
              <w:rPr>
                <w:rFonts w:cs="Times New Roman"/>
                <w:lang w:val="es-ES"/>
              </w:rPr>
              <w:t>Longitud del asa</w:t>
            </w:r>
          </w:p>
        </w:tc>
        <w:tc>
          <w:tcPr>
            <w:tcW w:w="1123" w:type="pct"/>
          </w:tcPr>
          <w:p w14:paraId="7396E037" w14:textId="77777777" w:rsidR="00994DB9" w:rsidRPr="009461CC" w:rsidRDefault="00994DB9" w:rsidP="0022766F">
            <w:pPr>
              <w:widowControl w:val="0"/>
              <w:rPr>
                <w:rFonts w:cs="Times New Roman"/>
              </w:rPr>
            </w:pPr>
            <w:r>
              <w:rPr>
                <w:rFonts w:cs="Times New Roman"/>
                <w:lang w:val="es-ES"/>
              </w:rPr>
              <w:t>Tamaño de inserción</w:t>
            </w:r>
          </w:p>
        </w:tc>
        <w:tc>
          <w:tcPr>
            <w:tcW w:w="1250" w:type="pct"/>
          </w:tcPr>
          <w:p w14:paraId="7E248A66" w14:textId="77777777" w:rsidR="00994DB9" w:rsidRPr="009461CC" w:rsidRDefault="00994DB9" w:rsidP="0022766F">
            <w:pPr>
              <w:widowControl w:val="0"/>
              <w:rPr>
                <w:rFonts w:cs="Times New Roman"/>
              </w:rPr>
            </w:pPr>
            <w:r>
              <w:rPr>
                <w:rFonts w:cs="Times New Roman"/>
                <w:lang w:val="es-ES"/>
              </w:rPr>
              <w:t>Longitud del catéter</w:t>
            </w:r>
          </w:p>
        </w:tc>
      </w:tr>
      <w:tr w:rsidR="00994DB9" w:rsidRPr="009461CC" w14:paraId="41F89C56" w14:textId="77777777" w:rsidTr="0022766F">
        <w:tc>
          <w:tcPr>
            <w:tcW w:w="1354" w:type="pct"/>
          </w:tcPr>
          <w:p w14:paraId="20D41F97" w14:textId="77777777" w:rsidR="00994DB9" w:rsidRPr="009461CC" w:rsidRDefault="00994DB9" w:rsidP="0022766F">
            <w:pPr>
              <w:widowControl w:val="0"/>
              <w:rPr>
                <w:rFonts w:cs="Times New Roman"/>
              </w:rPr>
            </w:pPr>
            <w:r>
              <w:rPr>
                <w:rFonts w:cs="Times New Roman"/>
                <w:lang w:val="es-ES"/>
              </w:rPr>
              <w:t>2-4 mm</w:t>
            </w:r>
          </w:p>
        </w:tc>
        <w:tc>
          <w:tcPr>
            <w:tcW w:w="1274" w:type="pct"/>
          </w:tcPr>
          <w:p w14:paraId="04CC9EC1" w14:textId="77777777" w:rsidR="00994DB9" w:rsidRPr="009461CC" w:rsidRDefault="00994DB9" w:rsidP="0022766F">
            <w:pPr>
              <w:widowControl w:val="0"/>
              <w:rPr>
                <w:rFonts w:cs="Times New Roman"/>
              </w:rPr>
            </w:pPr>
            <w:r>
              <w:rPr>
                <w:rFonts w:cs="Times New Roman"/>
                <w:lang w:val="es-ES"/>
              </w:rPr>
              <w:t>175 cm</w:t>
            </w:r>
          </w:p>
        </w:tc>
        <w:tc>
          <w:tcPr>
            <w:tcW w:w="1123" w:type="pct"/>
          </w:tcPr>
          <w:p w14:paraId="38F2FCC0" w14:textId="77777777" w:rsidR="00994DB9" w:rsidRPr="009461CC" w:rsidRDefault="00994DB9" w:rsidP="0022766F">
            <w:pPr>
              <w:widowControl w:val="0"/>
              <w:rPr>
                <w:rFonts w:cs="Times New Roman"/>
              </w:rPr>
            </w:pPr>
            <w:r>
              <w:rPr>
                <w:rFonts w:cs="Times New Roman"/>
                <w:lang w:val="es-ES"/>
              </w:rPr>
              <w:t>3,2 F</w:t>
            </w:r>
          </w:p>
        </w:tc>
        <w:tc>
          <w:tcPr>
            <w:tcW w:w="1250" w:type="pct"/>
          </w:tcPr>
          <w:p w14:paraId="5CD712C9" w14:textId="77777777" w:rsidR="00994DB9" w:rsidRPr="009461CC" w:rsidRDefault="00994DB9" w:rsidP="0022766F">
            <w:pPr>
              <w:widowControl w:val="0"/>
              <w:rPr>
                <w:rFonts w:cs="Times New Roman"/>
              </w:rPr>
            </w:pPr>
            <w:r>
              <w:rPr>
                <w:rFonts w:cs="Times New Roman"/>
                <w:lang w:val="es-ES"/>
              </w:rPr>
              <w:t>150 cm</w:t>
            </w:r>
          </w:p>
        </w:tc>
      </w:tr>
      <w:tr w:rsidR="00994DB9" w:rsidRPr="009461CC" w14:paraId="5428D0A0" w14:textId="77777777" w:rsidTr="0022766F">
        <w:tc>
          <w:tcPr>
            <w:tcW w:w="1354" w:type="pct"/>
          </w:tcPr>
          <w:p w14:paraId="7992579F" w14:textId="77777777" w:rsidR="00994DB9" w:rsidRPr="009461CC" w:rsidRDefault="00994DB9" w:rsidP="0022766F">
            <w:pPr>
              <w:widowControl w:val="0"/>
              <w:rPr>
                <w:rFonts w:cs="Times New Roman"/>
              </w:rPr>
            </w:pPr>
            <w:r>
              <w:rPr>
                <w:rFonts w:cs="Times New Roman"/>
                <w:lang w:val="es-ES"/>
              </w:rPr>
              <w:t>4-8 mm</w:t>
            </w:r>
          </w:p>
        </w:tc>
        <w:tc>
          <w:tcPr>
            <w:tcW w:w="1274" w:type="pct"/>
          </w:tcPr>
          <w:p w14:paraId="7E385A6E" w14:textId="77777777" w:rsidR="00994DB9" w:rsidRPr="009461CC" w:rsidRDefault="00994DB9" w:rsidP="0022766F">
            <w:pPr>
              <w:widowControl w:val="0"/>
              <w:rPr>
                <w:rFonts w:cs="Times New Roman"/>
              </w:rPr>
            </w:pPr>
            <w:r>
              <w:rPr>
                <w:rFonts w:cs="Times New Roman"/>
                <w:lang w:val="es-ES"/>
              </w:rPr>
              <w:t>175 cm</w:t>
            </w:r>
          </w:p>
        </w:tc>
        <w:tc>
          <w:tcPr>
            <w:tcW w:w="1123" w:type="pct"/>
          </w:tcPr>
          <w:p w14:paraId="52F22EE9" w14:textId="77777777" w:rsidR="00994DB9" w:rsidRPr="009461CC" w:rsidRDefault="00994DB9" w:rsidP="0022766F">
            <w:pPr>
              <w:widowControl w:val="0"/>
              <w:rPr>
                <w:rFonts w:cs="Times New Roman"/>
              </w:rPr>
            </w:pPr>
            <w:r>
              <w:rPr>
                <w:rFonts w:cs="Times New Roman"/>
                <w:lang w:val="es-ES"/>
              </w:rPr>
              <w:t>3,2 F</w:t>
            </w:r>
          </w:p>
        </w:tc>
        <w:tc>
          <w:tcPr>
            <w:tcW w:w="1250" w:type="pct"/>
          </w:tcPr>
          <w:p w14:paraId="2FFE91B6" w14:textId="77777777" w:rsidR="00994DB9" w:rsidRPr="009461CC" w:rsidRDefault="00994DB9" w:rsidP="0022766F">
            <w:pPr>
              <w:widowControl w:val="0"/>
              <w:rPr>
                <w:rFonts w:cs="Times New Roman"/>
              </w:rPr>
            </w:pPr>
            <w:r>
              <w:rPr>
                <w:rFonts w:cs="Times New Roman"/>
                <w:lang w:val="es-ES"/>
              </w:rPr>
              <w:t>150 cm</w:t>
            </w:r>
          </w:p>
        </w:tc>
      </w:tr>
      <w:tr w:rsidR="00994DB9" w:rsidRPr="009461CC" w14:paraId="1CBE6E3D" w14:textId="77777777" w:rsidTr="0022766F">
        <w:tc>
          <w:tcPr>
            <w:tcW w:w="1354" w:type="pct"/>
          </w:tcPr>
          <w:p w14:paraId="3CD87E57" w14:textId="77777777" w:rsidR="00994DB9" w:rsidRPr="009461CC" w:rsidRDefault="00994DB9" w:rsidP="0022766F">
            <w:pPr>
              <w:widowControl w:val="0"/>
              <w:rPr>
                <w:rFonts w:cs="Times New Roman"/>
              </w:rPr>
            </w:pPr>
            <w:r>
              <w:rPr>
                <w:rFonts w:cs="Times New Roman"/>
                <w:lang w:val="es-ES"/>
              </w:rPr>
              <w:t>6-10 mm</w:t>
            </w:r>
          </w:p>
        </w:tc>
        <w:tc>
          <w:tcPr>
            <w:tcW w:w="1274" w:type="pct"/>
          </w:tcPr>
          <w:p w14:paraId="58739EE1" w14:textId="77777777" w:rsidR="00994DB9" w:rsidRPr="009461CC" w:rsidRDefault="00994DB9" w:rsidP="0022766F">
            <w:pPr>
              <w:widowControl w:val="0"/>
              <w:rPr>
                <w:rFonts w:cs="Times New Roman"/>
              </w:rPr>
            </w:pPr>
            <w:r>
              <w:rPr>
                <w:rFonts w:cs="Times New Roman"/>
                <w:lang w:val="es-ES"/>
              </w:rPr>
              <w:t>120 cm</w:t>
            </w:r>
          </w:p>
        </w:tc>
        <w:tc>
          <w:tcPr>
            <w:tcW w:w="1123" w:type="pct"/>
          </w:tcPr>
          <w:p w14:paraId="66A2FE52" w14:textId="77777777" w:rsidR="00994DB9" w:rsidRPr="009461CC" w:rsidRDefault="00994DB9" w:rsidP="0022766F">
            <w:pPr>
              <w:widowControl w:val="0"/>
              <w:rPr>
                <w:rFonts w:cs="Times New Roman"/>
              </w:rPr>
            </w:pPr>
            <w:r>
              <w:rPr>
                <w:rFonts w:cs="Times New Roman"/>
                <w:lang w:val="es-ES"/>
              </w:rPr>
              <w:t>6 F</w:t>
            </w:r>
          </w:p>
        </w:tc>
        <w:tc>
          <w:tcPr>
            <w:tcW w:w="1250" w:type="pct"/>
          </w:tcPr>
          <w:p w14:paraId="16036ECD" w14:textId="77777777" w:rsidR="00994DB9" w:rsidRPr="009461CC" w:rsidRDefault="00994DB9" w:rsidP="0022766F">
            <w:pPr>
              <w:widowControl w:val="0"/>
              <w:rPr>
                <w:rFonts w:cs="Times New Roman"/>
              </w:rPr>
            </w:pPr>
            <w:r>
              <w:rPr>
                <w:rFonts w:cs="Times New Roman"/>
                <w:lang w:val="es-ES"/>
              </w:rPr>
              <w:t>100 cm</w:t>
            </w:r>
          </w:p>
        </w:tc>
      </w:tr>
      <w:tr w:rsidR="00994DB9" w:rsidRPr="009461CC" w14:paraId="7137F3A0" w14:textId="77777777" w:rsidTr="0022766F">
        <w:tc>
          <w:tcPr>
            <w:tcW w:w="1354" w:type="pct"/>
          </w:tcPr>
          <w:p w14:paraId="5097E3BD" w14:textId="77777777" w:rsidR="00994DB9" w:rsidRPr="009461CC" w:rsidRDefault="00994DB9" w:rsidP="0022766F">
            <w:pPr>
              <w:widowControl w:val="0"/>
              <w:rPr>
                <w:rFonts w:cs="Times New Roman"/>
              </w:rPr>
            </w:pPr>
            <w:r>
              <w:rPr>
                <w:rFonts w:cs="Times New Roman"/>
                <w:lang w:val="es-ES"/>
              </w:rPr>
              <w:t>9-15 mm</w:t>
            </w:r>
          </w:p>
        </w:tc>
        <w:tc>
          <w:tcPr>
            <w:tcW w:w="1274" w:type="pct"/>
          </w:tcPr>
          <w:p w14:paraId="6E08B1BC" w14:textId="77777777" w:rsidR="00994DB9" w:rsidRPr="009461CC" w:rsidRDefault="00994DB9" w:rsidP="0022766F">
            <w:pPr>
              <w:widowControl w:val="0"/>
              <w:rPr>
                <w:rFonts w:cs="Times New Roman"/>
              </w:rPr>
            </w:pPr>
            <w:r>
              <w:rPr>
                <w:rFonts w:cs="Times New Roman"/>
                <w:lang w:val="es-ES"/>
              </w:rPr>
              <w:t>120 cm</w:t>
            </w:r>
          </w:p>
        </w:tc>
        <w:tc>
          <w:tcPr>
            <w:tcW w:w="1123" w:type="pct"/>
          </w:tcPr>
          <w:p w14:paraId="5E975E99" w14:textId="77777777" w:rsidR="00994DB9" w:rsidRPr="009461CC" w:rsidRDefault="00994DB9" w:rsidP="0022766F">
            <w:pPr>
              <w:widowControl w:val="0"/>
              <w:rPr>
                <w:rFonts w:cs="Times New Roman"/>
              </w:rPr>
            </w:pPr>
            <w:r>
              <w:rPr>
                <w:rFonts w:cs="Times New Roman"/>
                <w:lang w:val="es-ES"/>
              </w:rPr>
              <w:t>6 F</w:t>
            </w:r>
          </w:p>
        </w:tc>
        <w:tc>
          <w:tcPr>
            <w:tcW w:w="1250" w:type="pct"/>
          </w:tcPr>
          <w:p w14:paraId="70150399" w14:textId="77777777" w:rsidR="00994DB9" w:rsidRPr="009461CC" w:rsidRDefault="00994DB9" w:rsidP="0022766F">
            <w:pPr>
              <w:widowControl w:val="0"/>
              <w:rPr>
                <w:rFonts w:cs="Times New Roman"/>
              </w:rPr>
            </w:pPr>
            <w:r>
              <w:rPr>
                <w:rFonts w:cs="Times New Roman"/>
                <w:lang w:val="es-ES"/>
              </w:rPr>
              <w:t>100 cm</w:t>
            </w:r>
          </w:p>
        </w:tc>
      </w:tr>
      <w:tr w:rsidR="00994DB9" w:rsidRPr="009461CC" w14:paraId="6873E431" w14:textId="77777777" w:rsidTr="0022766F">
        <w:tc>
          <w:tcPr>
            <w:tcW w:w="1354" w:type="pct"/>
          </w:tcPr>
          <w:p w14:paraId="0A8A2276" w14:textId="77777777" w:rsidR="00994DB9" w:rsidRPr="009461CC" w:rsidRDefault="00994DB9" w:rsidP="0022766F">
            <w:pPr>
              <w:widowControl w:val="0"/>
              <w:rPr>
                <w:rFonts w:cs="Times New Roman"/>
              </w:rPr>
            </w:pPr>
            <w:r>
              <w:rPr>
                <w:rFonts w:cs="Times New Roman"/>
                <w:lang w:val="es-ES"/>
              </w:rPr>
              <w:t>12-20 mm</w:t>
            </w:r>
          </w:p>
        </w:tc>
        <w:tc>
          <w:tcPr>
            <w:tcW w:w="1274" w:type="pct"/>
          </w:tcPr>
          <w:p w14:paraId="7058BA8B" w14:textId="77777777" w:rsidR="00994DB9" w:rsidRPr="009461CC" w:rsidRDefault="00994DB9" w:rsidP="0022766F">
            <w:pPr>
              <w:widowControl w:val="0"/>
              <w:rPr>
                <w:rFonts w:cs="Times New Roman"/>
              </w:rPr>
            </w:pPr>
            <w:r>
              <w:rPr>
                <w:rFonts w:cs="Times New Roman"/>
                <w:lang w:val="es-ES"/>
              </w:rPr>
              <w:t>120 cm</w:t>
            </w:r>
          </w:p>
        </w:tc>
        <w:tc>
          <w:tcPr>
            <w:tcW w:w="1123" w:type="pct"/>
          </w:tcPr>
          <w:p w14:paraId="16F950BF" w14:textId="77777777" w:rsidR="00994DB9" w:rsidRPr="009461CC" w:rsidRDefault="00994DB9" w:rsidP="0022766F">
            <w:pPr>
              <w:widowControl w:val="0"/>
              <w:rPr>
                <w:rFonts w:cs="Times New Roman"/>
              </w:rPr>
            </w:pPr>
            <w:r>
              <w:rPr>
                <w:rFonts w:cs="Times New Roman"/>
                <w:lang w:val="es-ES"/>
              </w:rPr>
              <w:t>6 F</w:t>
            </w:r>
          </w:p>
        </w:tc>
        <w:tc>
          <w:tcPr>
            <w:tcW w:w="1250" w:type="pct"/>
          </w:tcPr>
          <w:p w14:paraId="759B78BD" w14:textId="77777777" w:rsidR="00994DB9" w:rsidRPr="009461CC" w:rsidRDefault="00994DB9" w:rsidP="0022766F">
            <w:pPr>
              <w:widowControl w:val="0"/>
              <w:rPr>
                <w:rFonts w:cs="Times New Roman"/>
              </w:rPr>
            </w:pPr>
            <w:r>
              <w:rPr>
                <w:rFonts w:cs="Times New Roman"/>
                <w:lang w:val="es-ES"/>
              </w:rPr>
              <w:t>100 cm</w:t>
            </w:r>
          </w:p>
        </w:tc>
      </w:tr>
      <w:tr w:rsidR="00994DB9" w:rsidRPr="009461CC" w14:paraId="52111BAB" w14:textId="77777777" w:rsidTr="0022766F">
        <w:tc>
          <w:tcPr>
            <w:tcW w:w="1354" w:type="pct"/>
          </w:tcPr>
          <w:p w14:paraId="41061D9E" w14:textId="77777777" w:rsidR="00994DB9" w:rsidRPr="009461CC" w:rsidRDefault="00994DB9" w:rsidP="0022766F">
            <w:pPr>
              <w:widowControl w:val="0"/>
              <w:rPr>
                <w:rFonts w:cs="Times New Roman"/>
              </w:rPr>
            </w:pPr>
            <w:r>
              <w:rPr>
                <w:rFonts w:cs="Times New Roman"/>
                <w:lang w:val="es-ES"/>
              </w:rPr>
              <w:t>18-30 mm</w:t>
            </w:r>
          </w:p>
        </w:tc>
        <w:tc>
          <w:tcPr>
            <w:tcW w:w="1274" w:type="pct"/>
          </w:tcPr>
          <w:p w14:paraId="22AB0CDE" w14:textId="77777777" w:rsidR="00994DB9" w:rsidRPr="009461CC" w:rsidRDefault="00994DB9" w:rsidP="0022766F">
            <w:pPr>
              <w:widowControl w:val="0"/>
              <w:rPr>
                <w:rFonts w:cs="Times New Roman"/>
              </w:rPr>
            </w:pPr>
            <w:r>
              <w:rPr>
                <w:rFonts w:cs="Times New Roman"/>
                <w:lang w:val="es-ES"/>
              </w:rPr>
              <w:t>120 cm</w:t>
            </w:r>
          </w:p>
        </w:tc>
        <w:tc>
          <w:tcPr>
            <w:tcW w:w="1123" w:type="pct"/>
          </w:tcPr>
          <w:p w14:paraId="17196BA8" w14:textId="77777777" w:rsidR="00994DB9" w:rsidRPr="009461CC" w:rsidRDefault="00994DB9" w:rsidP="0022766F">
            <w:pPr>
              <w:widowControl w:val="0"/>
              <w:rPr>
                <w:rFonts w:cs="Times New Roman"/>
              </w:rPr>
            </w:pPr>
            <w:r>
              <w:rPr>
                <w:rFonts w:cs="Times New Roman"/>
                <w:lang w:val="es-ES"/>
              </w:rPr>
              <w:t>7 F</w:t>
            </w:r>
          </w:p>
        </w:tc>
        <w:tc>
          <w:tcPr>
            <w:tcW w:w="1250" w:type="pct"/>
          </w:tcPr>
          <w:p w14:paraId="4543B8B0" w14:textId="77777777" w:rsidR="00994DB9" w:rsidRPr="009461CC" w:rsidRDefault="00994DB9" w:rsidP="0022766F">
            <w:pPr>
              <w:widowControl w:val="0"/>
              <w:rPr>
                <w:rFonts w:cs="Times New Roman"/>
              </w:rPr>
            </w:pPr>
            <w:r>
              <w:rPr>
                <w:rFonts w:cs="Times New Roman"/>
                <w:lang w:val="es-ES"/>
              </w:rPr>
              <w:t>100 cm</w:t>
            </w:r>
          </w:p>
        </w:tc>
      </w:tr>
      <w:tr w:rsidR="00994DB9" w:rsidRPr="009461CC" w14:paraId="3F7A77C7" w14:textId="77777777" w:rsidTr="0022766F">
        <w:tc>
          <w:tcPr>
            <w:tcW w:w="1354" w:type="pct"/>
          </w:tcPr>
          <w:p w14:paraId="755F3FE4" w14:textId="77777777" w:rsidR="00994DB9" w:rsidRPr="009461CC" w:rsidRDefault="00994DB9" w:rsidP="0022766F">
            <w:pPr>
              <w:widowControl w:val="0"/>
              <w:rPr>
                <w:rFonts w:cs="Times New Roman"/>
              </w:rPr>
            </w:pPr>
            <w:r>
              <w:rPr>
                <w:rFonts w:cs="Times New Roman"/>
                <w:lang w:val="es-ES"/>
              </w:rPr>
              <w:t>27-45 mm</w:t>
            </w:r>
          </w:p>
        </w:tc>
        <w:tc>
          <w:tcPr>
            <w:tcW w:w="1274" w:type="pct"/>
          </w:tcPr>
          <w:p w14:paraId="622306B0" w14:textId="77777777" w:rsidR="00994DB9" w:rsidRPr="009461CC" w:rsidRDefault="00994DB9" w:rsidP="0022766F">
            <w:pPr>
              <w:widowControl w:val="0"/>
              <w:rPr>
                <w:rFonts w:cs="Times New Roman"/>
              </w:rPr>
            </w:pPr>
            <w:r>
              <w:rPr>
                <w:rFonts w:cs="Times New Roman"/>
                <w:lang w:val="es-ES"/>
              </w:rPr>
              <w:t>120 cm</w:t>
            </w:r>
          </w:p>
        </w:tc>
        <w:tc>
          <w:tcPr>
            <w:tcW w:w="1123" w:type="pct"/>
          </w:tcPr>
          <w:p w14:paraId="74C46753" w14:textId="77777777" w:rsidR="00994DB9" w:rsidRPr="009461CC" w:rsidRDefault="00994DB9" w:rsidP="0022766F">
            <w:pPr>
              <w:widowControl w:val="0"/>
              <w:rPr>
                <w:rFonts w:cs="Times New Roman"/>
              </w:rPr>
            </w:pPr>
            <w:r>
              <w:rPr>
                <w:rFonts w:cs="Times New Roman"/>
                <w:lang w:val="es-ES"/>
              </w:rPr>
              <w:t>7 F</w:t>
            </w:r>
          </w:p>
        </w:tc>
        <w:tc>
          <w:tcPr>
            <w:tcW w:w="1250" w:type="pct"/>
          </w:tcPr>
          <w:p w14:paraId="2DBCCFBE" w14:textId="77777777" w:rsidR="00994DB9" w:rsidRPr="009461CC" w:rsidRDefault="00994DB9" w:rsidP="0022766F">
            <w:pPr>
              <w:widowControl w:val="0"/>
              <w:rPr>
                <w:rFonts w:cs="Times New Roman"/>
              </w:rPr>
            </w:pPr>
            <w:r>
              <w:rPr>
                <w:rFonts w:cs="Times New Roman"/>
                <w:lang w:val="es-ES"/>
              </w:rPr>
              <w:t>100 cm</w:t>
            </w:r>
          </w:p>
        </w:tc>
      </w:tr>
    </w:tbl>
    <w:p w14:paraId="5D27461E" w14:textId="77777777" w:rsidR="000F4DF1" w:rsidRPr="009461CC" w:rsidRDefault="000F4DF1" w:rsidP="00994DB9">
      <w:pPr>
        <w:rPr>
          <w:rFonts w:cs="Times New Roman"/>
        </w:rPr>
      </w:pPr>
    </w:p>
    <w:p w14:paraId="4C7769AE" w14:textId="77777777" w:rsidR="00D20FA4" w:rsidRPr="009461CC" w:rsidRDefault="00D20FA4" w:rsidP="00042B91">
      <w:pPr>
        <w:pStyle w:val="Heading1"/>
        <w:rPr>
          <w:rFonts w:cs="Times New Roman"/>
        </w:rPr>
      </w:pPr>
      <w:bookmarkStart w:id="15" w:name="_Toc222741774"/>
      <w:bookmarkEnd w:id="14"/>
      <w:r>
        <w:rPr>
          <w:rFonts w:cs="Times New Roman"/>
          <w:bCs/>
          <w:lang w:val="es-ES"/>
        </w:rPr>
        <w:lastRenderedPageBreak/>
        <w:t>Variantes anteriores y diferencias</w:t>
      </w:r>
      <w:bookmarkEnd w:id="15"/>
    </w:p>
    <w:p w14:paraId="060329F5" w14:textId="3AA8BB73" w:rsidR="00042B91" w:rsidRPr="009461CC" w:rsidRDefault="009D7E33" w:rsidP="007B0F04">
      <w:pPr>
        <w:ind w:left="792"/>
        <w:rPr>
          <w:rFonts w:cs="Times New Roman"/>
        </w:rPr>
      </w:pPr>
      <w:r>
        <w:rPr>
          <w:rFonts w:cs="Times New Roman"/>
          <w:lang w:val="es-ES"/>
        </w:rPr>
        <w:t>Esta sección no es aplicable (N/A).</w:t>
      </w:r>
    </w:p>
    <w:p w14:paraId="26363C05" w14:textId="77777777" w:rsidR="00760400" w:rsidRPr="009461CC" w:rsidRDefault="00760400" w:rsidP="00042B91">
      <w:pPr>
        <w:pStyle w:val="Heading1"/>
        <w:rPr>
          <w:rFonts w:cs="Times New Roman"/>
        </w:rPr>
      </w:pPr>
      <w:bookmarkStart w:id="16" w:name="_Toc222741775"/>
      <w:r>
        <w:rPr>
          <w:rFonts w:cs="Times New Roman"/>
          <w:bCs/>
          <w:lang w:val="es-ES"/>
        </w:rPr>
        <w:t>Accesorios, dispositivos compatibles y otros productos que se pueden combinar</w:t>
      </w:r>
      <w:bookmarkEnd w:id="16"/>
    </w:p>
    <w:p w14:paraId="21F32064" w14:textId="1C156DEB" w:rsidR="00C02BC0" w:rsidRPr="009461CC" w:rsidRDefault="00C02BC0" w:rsidP="007B0F04">
      <w:pPr>
        <w:spacing w:after="0" w:afterAutospacing="0"/>
        <w:ind w:left="792"/>
        <w:rPr>
          <w:rFonts w:cs="Times New Roman"/>
        </w:rPr>
      </w:pPr>
      <w:r>
        <w:rPr>
          <w:rFonts w:cs="Times New Roman"/>
          <w:lang w:val="es-ES"/>
        </w:rPr>
        <w:t>Los accesorios del kit Atrieve Vascular Snare incluyen el catéter de inserción, un introductor y un mango de torsión (portapuntas).</w:t>
      </w:r>
    </w:p>
    <w:p w14:paraId="17CCC4B6" w14:textId="77777777" w:rsidR="00042B91" w:rsidRPr="009461CC" w:rsidRDefault="00042B91" w:rsidP="00042B91">
      <w:pPr>
        <w:spacing w:after="0" w:afterAutospacing="0" w:line="240" w:lineRule="auto"/>
        <w:rPr>
          <w:rFonts w:cs="Times New Roman"/>
          <w:i/>
          <w:color w:val="FF0000"/>
        </w:rPr>
      </w:pPr>
    </w:p>
    <w:p w14:paraId="45C0A245" w14:textId="61A622A4" w:rsidR="008745ED" w:rsidRPr="009461CC" w:rsidRDefault="008745ED" w:rsidP="00F67A0E">
      <w:pPr>
        <w:pStyle w:val="Heading1"/>
        <w:numPr>
          <w:ilvl w:val="0"/>
          <w:numId w:val="2"/>
        </w:numPr>
        <w:rPr>
          <w:rFonts w:cs="Times New Roman"/>
        </w:rPr>
      </w:pPr>
      <w:bookmarkStart w:id="17" w:name="_Toc222741776"/>
      <w:r>
        <w:rPr>
          <w:rFonts w:cs="Times New Roman"/>
          <w:bCs/>
          <w:lang w:val="es-ES"/>
        </w:rPr>
        <w:t>Riesgos y advertencias</w:t>
      </w:r>
      <w:bookmarkEnd w:id="17"/>
    </w:p>
    <w:p w14:paraId="3D8BE6E3" w14:textId="77777777" w:rsidR="00042B91" w:rsidRPr="009461CC" w:rsidRDefault="00042B91" w:rsidP="00042B91">
      <w:pPr>
        <w:spacing w:after="0" w:afterAutospacing="0" w:line="240" w:lineRule="auto"/>
        <w:rPr>
          <w:rFonts w:cs="Times New Roman"/>
        </w:rPr>
      </w:pPr>
    </w:p>
    <w:p w14:paraId="04F70349" w14:textId="6FD2DA8D" w:rsidR="008745ED" w:rsidRPr="009461CC" w:rsidRDefault="008745ED" w:rsidP="00042B91">
      <w:pPr>
        <w:pStyle w:val="Heading1"/>
        <w:rPr>
          <w:rFonts w:cs="Times New Roman"/>
        </w:rPr>
      </w:pPr>
      <w:bookmarkStart w:id="18" w:name="_Toc222741777"/>
      <w:r>
        <w:rPr>
          <w:rFonts w:cs="Times New Roman"/>
          <w:bCs/>
          <w:lang w:val="es-ES"/>
        </w:rPr>
        <w:t>Riesgos residuales y efectos secundarios adversos</w:t>
      </w:r>
      <w:bookmarkEnd w:id="18"/>
    </w:p>
    <w:p w14:paraId="2F64097C" w14:textId="607FF4A5" w:rsidR="00D15BBE" w:rsidRPr="009461CC" w:rsidRDefault="00C64987" w:rsidP="008D7F1C">
      <w:pPr>
        <w:ind w:left="792"/>
        <w:rPr>
          <w:rFonts w:cs="Times New Roman"/>
        </w:rPr>
      </w:pPr>
      <w:r>
        <w:rPr>
          <w:rFonts w:cs="Times New Roman"/>
          <w:lang w:val="es-ES"/>
        </w:rPr>
        <w:t xml:space="preserve">Según RMR-0011 Rev H se describe el siguiente perfil de riesgo-beneficio para el producto: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086"/>
        <w:gridCol w:w="2416"/>
        <w:gridCol w:w="3555"/>
      </w:tblGrid>
      <w:tr w:rsidR="00453251" w:rsidRPr="009461CC" w14:paraId="15FC12E9" w14:textId="77777777" w:rsidTr="00453251">
        <w:trPr>
          <w:trHeight w:val="620"/>
        </w:trPr>
        <w:tc>
          <w:tcPr>
            <w:tcW w:w="1138" w:type="pct"/>
            <w:shd w:val="clear" w:color="auto" w:fill="BFBFBF"/>
            <w:vAlign w:val="center"/>
          </w:tcPr>
          <w:p w14:paraId="024816D8"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es-ES"/>
              </w:rPr>
              <w:t>Resultado</w:t>
            </w:r>
            <w:bookmarkStart w:id="19" w:name="_Toc86391902"/>
            <w:bookmarkEnd w:id="19"/>
          </w:p>
        </w:tc>
        <w:tc>
          <w:tcPr>
            <w:tcW w:w="1000" w:type="pct"/>
            <w:shd w:val="clear" w:color="auto" w:fill="BFBFBF"/>
          </w:tcPr>
          <w:p w14:paraId="22A108A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es-ES"/>
              </w:rPr>
              <w:t>SOA</w:t>
            </w:r>
            <w:r>
              <w:rPr>
                <w:rFonts w:ascii="Times New Roman" w:hAnsi="Times New Roman" w:cs="Times New Roman"/>
                <w:lang w:val="es-ES"/>
              </w:rPr>
              <w:br/>
              <w:t>Alcance general</w:t>
            </w:r>
          </w:p>
        </w:tc>
        <w:tc>
          <w:tcPr>
            <w:tcW w:w="1158" w:type="pct"/>
            <w:shd w:val="clear" w:color="auto" w:fill="BFBFBF"/>
            <w:vAlign w:val="center"/>
          </w:tcPr>
          <w:p w14:paraId="16D6B523"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es-ES"/>
              </w:rPr>
              <w:t>Dispositivo de la competencia</w:t>
            </w:r>
          </w:p>
          <w:p w14:paraId="45EFB37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es-ES"/>
              </w:rPr>
              <w:t>Alcance general</w:t>
            </w:r>
            <w:bookmarkStart w:id="20" w:name="_Toc86391905"/>
            <w:bookmarkEnd w:id="20"/>
          </w:p>
        </w:tc>
        <w:tc>
          <w:tcPr>
            <w:tcW w:w="1704" w:type="pct"/>
            <w:shd w:val="clear" w:color="auto" w:fill="BFBFBF"/>
            <w:vAlign w:val="center"/>
          </w:tcPr>
          <w:p w14:paraId="17C5AFF5"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es-ES"/>
              </w:rPr>
              <w:t>Criterios de aceptación</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AC7398">
            <w:pPr>
              <w:pStyle w:val="TableTextLeft"/>
              <w:rPr>
                <w:rFonts w:ascii="Times New Roman" w:hAnsi="Times New Roman" w:cs="Times New Roman"/>
                <w:b/>
                <w:bCs/>
              </w:rPr>
            </w:pPr>
            <w:r>
              <w:rPr>
                <w:rFonts w:ascii="Times New Roman" w:hAnsi="Times New Roman" w:cs="Times New Roman"/>
                <w:b/>
                <w:bCs/>
                <w:iCs w:val="0"/>
                <w:lang w:val="es-ES"/>
              </w:rPr>
              <w:t>Seguridad</w:t>
            </w:r>
          </w:p>
        </w:tc>
      </w:tr>
      <w:tr w:rsidR="00453251" w:rsidRPr="009461CC" w14:paraId="2ECEC40D" w14:textId="77777777" w:rsidTr="00453251">
        <w:tc>
          <w:tcPr>
            <w:tcW w:w="1138" w:type="pct"/>
          </w:tcPr>
          <w:p w14:paraId="01C3E100"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es-ES"/>
              </w:rPr>
              <w:t>Sangrado</w:t>
            </w:r>
            <w:bookmarkStart w:id="23" w:name="_Toc86391910"/>
            <w:bookmarkEnd w:id="23"/>
          </w:p>
        </w:tc>
        <w:tc>
          <w:tcPr>
            <w:tcW w:w="1000" w:type="pct"/>
            <w:vAlign w:val="center"/>
          </w:tcPr>
          <w:p w14:paraId="529B6FA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s-ES"/>
              </w:rPr>
              <w:t>0-3 %</w:t>
            </w:r>
          </w:p>
        </w:tc>
        <w:tc>
          <w:tcPr>
            <w:tcW w:w="1158" w:type="pct"/>
            <w:vAlign w:val="center"/>
          </w:tcPr>
          <w:p w14:paraId="30172B6B" w14:textId="77777777" w:rsidR="00453251" w:rsidRPr="009461CC" w:rsidRDefault="00453251" w:rsidP="00AC7398">
            <w:pPr>
              <w:pStyle w:val="TableTextLeft"/>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es-ES"/>
              </w:rPr>
              <w:t>0-0,6 %</w:t>
            </w:r>
          </w:p>
        </w:tc>
        <w:tc>
          <w:tcPr>
            <w:tcW w:w="1704" w:type="pct"/>
            <w:vAlign w:val="center"/>
          </w:tcPr>
          <w:p w14:paraId="03E978DF" w14:textId="77777777" w:rsidR="00453251" w:rsidRPr="009461CC" w:rsidRDefault="00453251" w:rsidP="00AC7398">
            <w:pPr>
              <w:pStyle w:val="TableTextLeft"/>
              <w:rPr>
                <w:rFonts w:ascii="Times New Roman" w:hAnsi="Times New Roman" w:cs="Times New Roman"/>
              </w:rPr>
            </w:pPr>
            <w:bookmarkStart w:id="26" w:name="_Toc86391914"/>
            <w:bookmarkEnd w:id="26"/>
            <w:r>
              <w:rPr>
                <w:rFonts w:ascii="Times New Roman" w:hAnsi="Times New Roman" w:cs="Times New Roman"/>
                <w:iCs w:val="0"/>
                <w:lang w:val="es-ES"/>
              </w:rPr>
              <w:t xml:space="preserve">Tasas de sangrado </w:t>
            </w:r>
            <w:r>
              <w:rPr>
                <w:rFonts w:ascii="Times New Roman" w:hAnsi="Times New Roman" w:cs="Times New Roman"/>
                <w:b/>
                <w:bCs/>
                <w:iCs w:val="0"/>
                <w:lang w:val="es-ES"/>
              </w:rPr>
              <w:t>inferiores al 3 %</w:t>
            </w:r>
          </w:p>
        </w:tc>
        <w:bookmarkStart w:id="27" w:name="_Toc86391915"/>
        <w:bookmarkEnd w:id="27"/>
      </w:tr>
      <w:tr w:rsidR="00453251" w:rsidRPr="009461CC" w14:paraId="770200CA" w14:textId="77777777" w:rsidTr="00453251">
        <w:tc>
          <w:tcPr>
            <w:tcW w:w="1138" w:type="pct"/>
          </w:tcPr>
          <w:p w14:paraId="4D43F3AC"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es-ES"/>
              </w:rPr>
              <w:t>Perforación/Daño tisular</w:t>
            </w:r>
            <w:bookmarkStart w:id="28" w:name="_Toc86391916"/>
            <w:bookmarkEnd w:id="28"/>
          </w:p>
        </w:tc>
        <w:tc>
          <w:tcPr>
            <w:tcW w:w="1000" w:type="pct"/>
            <w:vAlign w:val="center"/>
          </w:tcPr>
          <w:p w14:paraId="42E7FC3B"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s-ES"/>
              </w:rPr>
              <w:t>0-1,7 %</w:t>
            </w:r>
          </w:p>
        </w:tc>
        <w:tc>
          <w:tcPr>
            <w:tcW w:w="1158" w:type="pct"/>
            <w:vAlign w:val="center"/>
          </w:tcPr>
          <w:p w14:paraId="58C428BE" w14:textId="77777777" w:rsidR="00453251" w:rsidRPr="009461CC" w:rsidRDefault="00453251" w:rsidP="00AC7398">
            <w:pPr>
              <w:pStyle w:val="TableTextLeft"/>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es-ES"/>
              </w:rPr>
              <w:t>0-4,0 %</w:t>
            </w:r>
          </w:p>
        </w:tc>
        <w:tc>
          <w:tcPr>
            <w:tcW w:w="1704" w:type="pct"/>
            <w:vAlign w:val="center"/>
          </w:tcPr>
          <w:p w14:paraId="785BDB89" w14:textId="77777777" w:rsidR="00453251" w:rsidRPr="009461CC" w:rsidRDefault="00453251" w:rsidP="00AC7398">
            <w:pPr>
              <w:pStyle w:val="TableTextLeft"/>
              <w:rPr>
                <w:rFonts w:ascii="Times New Roman" w:hAnsi="Times New Roman" w:cs="Times New Roman"/>
                <w:b/>
                <w:bCs/>
              </w:rPr>
            </w:pPr>
            <w:bookmarkStart w:id="31" w:name="_Toc86391920"/>
            <w:bookmarkEnd w:id="31"/>
            <w:r>
              <w:rPr>
                <w:rFonts w:ascii="Times New Roman" w:hAnsi="Times New Roman" w:cs="Times New Roman"/>
                <w:iCs w:val="0"/>
                <w:lang w:val="es-ES"/>
              </w:rPr>
              <w:t xml:space="preserve">Tasas de perforación/daño tisular </w:t>
            </w:r>
            <w:r>
              <w:rPr>
                <w:rFonts w:ascii="Times New Roman" w:hAnsi="Times New Roman" w:cs="Times New Roman"/>
                <w:b/>
                <w:bCs/>
                <w:iCs w:val="0"/>
                <w:lang w:val="es-ES"/>
              </w:rPr>
              <w:t>inferiores al 4 %</w:t>
            </w:r>
          </w:p>
        </w:tc>
        <w:bookmarkStart w:id="32" w:name="_Toc86391921"/>
        <w:bookmarkEnd w:id="32"/>
      </w:tr>
      <w:tr w:rsidR="00453251" w:rsidRPr="009461CC" w14:paraId="3D17E0CA" w14:textId="77777777" w:rsidTr="00453251">
        <w:tc>
          <w:tcPr>
            <w:tcW w:w="1138" w:type="pct"/>
          </w:tcPr>
          <w:p w14:paraId="22E5467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es-ES"/>
              </w:rPr>
              <w:t>Embolia gaseosa</w:t>
            </w:r>
            <w:bookmarkStart w:id="33" w:name="_Toc86391922"/>
            <w:bookmarkEnd w:id="33"/>
          </w:p>
        </w:tc>
        <w:tc>
          <w:tcPr>
            <w:tcW w:w="1000" w:type="pct"/>
            <w:vAlign w:val="center"/>
          </w:tcPr>
          <w:p w14:paraId="50CDDBB0"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s-ES"/>
              </w:rPr>
              <w:t>0-2,1 %</w:t>
            </w:r>
          </w:p>
        </w:tc>
        <w:tc>
          <w:tcPr>
            <w:tcW w:w="1158" w:type="pct"/>
            <w:vAlign w:val="center"/>
          </w:tcPr>
          <w:p w14:paraId="0471C436" w14:textId="77777777" w:rsidR="00453251" w:rsidRPr="009461CC" w:rsidRDefault="00453251" w:rsidP="00AC7398">
            <w:pPr>
              <w:pStyle w:val="TableTextLeft"/>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es-ES"/>
              </w:rPr>
              <w:t>0-0,6 %</w:t>
            </w:r>
          </w:p>
        </w:tc>
        <w:tc>
          <w:tcPr>
            <w:tcW w:w="1704" w:type="pct"/>
            <w:vAlign w:val="center"/>
          </w:tcPr>
          <w:p w14:paraId="1B80F3DB" w14:textId="77777777" w:rsidR="00453251" w:rsidRPr="009461CC" w:rsidRDefault="00453251" w:rsidP="00AC7398">
            <w:pPr>
              <w:pStyle w:val="TableTextLeft"/>
              <w:rPr>
                <w:rFonts w:ascii="Times New Roman" w:hAnsi="Times New Roman" w:cs="Times New Roman"/>
                <w:b/>
                <w:bCs/>
              </w:rPr>
            </w:pPr>
            <w:bookmarkStart w:id="36" w:name="_Toc86391926"/>
            <w:bookmarkEnd w:id="36"/>
            <w:r>
              <w:rPr>
                <w:rFonts w:ascii="Times New Roman" w:hAnsi="Times New Roman" w:cs="Times New Roman"/>
                <w:iCs w:val="0"/>
                <w:lang w:val="es-ES"/>
              </w:rPr>
              <w:t xml:space="preserve">Embolia </w:t>
            </w:r>
            <w:r>
              <w:rPr>
                <w:rFonts w:ascii="Times New Roman" w:hAnsi="Times New Roman" w:cs="Times New Roman"/>
                <w:b/>
                <w:bCs/>
                <w:iCs w:val="0"/>
                <w:lang w:val="es-ES"/>
              </w:rPr>
              <w:t>inferior al 2,1 %</w:t>
            </w:r>
          </w:p>
        </w:tc>
        <w:bookmarkStart w:id="37" w:name="_Toc86391927"/>
        <w:bookmarkEnd w:id="37"/>
      </w:tr>
      <w:tr w:rsidR="00453251" w:rsidRPr="009461CC" w14:paraId="33FEDA6C" w14:textId="77777777" w:rsidTr="00453251">
        <w:tc>
          <w:tcPr>
            <w:tcW w:w="1138" w:type="pct"/>
          </w:tcPr>
          <w:p w14:paraId="5817831E"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es-ES"/>
              </w:rPr>
              <w:t>Infección</w:t>
            </w:r>
            <w:bookmarkStart w:id="38" w:name="_Toc86391928"/>
            <w:bookmarkEnd w:id="38"/>
          </w:p>
        </w:tc>
        <w:tc>
          <w:tcPr>
            <w:tcW w:w="1000" w:type="pct"/>
            <w:vAlign w:val="center"/>
          </w:tcPr>
          <w:p w14:paraId="190DF8A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s-ES"/>
              </w:rPr>
              <w:t>0 %</w:t>
            </w:r>
          </w:p>
        </w:tc>
        <w:tc>
          <w:tcPr>
            <w:tcW w:w="1158" w:type="pct"/>
            <w:vAlign w:val="center"/>
          </w:tcPr>
          <w:p w14:paraId="480907F1" w14:textId="77777777" w:rsidR="00453251" w:rsidRPr="009461CC" w:rsidRDefault="00453251" w:rsidP="00AC7398">
            <w:pPr>
              <w:pStyle w:val="TableTextLeft"/>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es-ES"/>
              </w:rPr>
              <w:t>0 %</w:t>
            </w:r>
          </w:p>
        </w:tc>
        <w:tc>
          <w:tcPr>
            <w:tcW w:w="1704" w:type="pct"/>
            <w:vAlign w:val="center"/>
          </w:tcPr>
          <w:p w14:paraId="1D828A42" w14:textId="77777777" w:rsidR="00453251" w:rsidRPr="009461CC" w:rsidRDefault="00453251" w:rsidP="00AC7398">
            <w:pPr>
              <w:pStyle w:val="TableTextLeft"/>
              <w:rPr>
                <w:rFonts w:ascii="Times New Roman" w:hAnsi="Times New Roman" w:cs="Times New Roman"/>
                <w:b/>
                <w:bCs/>
              </w:rPr>
            </w:pPr>
            <w:bookmarkStart w:id="41" w:name="_Toc86391932"/>
            <w:bookmarkEnd w:id="41"/>
            <w:r>
              <w:rPr>
                <w:rFonts w:ascii="Times New Roman" w:hAnsi="Times New Roman" w:cs="Times New Roman"/>
                <w:iCs w:val="0"/>
                <w:lang w:val="es-ES"/>
              </w:rPr>
              <w:t xml:space="preserve">Infección </w:t>
            </w:r>
            <w:r>
              <w:rPr>
                <w:rFonts w:ascii="Times New Roman" w:hAnsi="Times New Roman" w:cs="Times New Roman"/>
                <w:b/>
                <w:bCs/>
                <w:iCs w:val="0"/>
                <w:lang w:val="es-ES"/>
              </w:rPr>
              <w:t>inferior al 0 %</w:t>
            </w:r>
          </w:p>
        </w:tc>
        <w:bookmarkStart w:id="42" w:name="_Toc86391933"/>
        <w:bookmarkEnd w:id="42"/>
      </w:tr>
      <w:tr w:rsidR="00453251" w:rsidRPr="009461CC" w14:paraId="00F9D43C" w14:textId="77777777" w:rsidTr="00453251">
        <w:tc>
          <w:tcPr>
            <w:tcW w:w="1138" w:type="pct"/>
          </w:tcPr>
          <w:p w14:paraId="530E2FE9"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es-ES"/>
              </w:rPr>
              <w:t>Reacción alérgica</w:t>
            </w:r>
            <w:bookmarkStart w:id="43" w:name="_Toc86391934"/>
            <w:bookmarkEnd w:id="43"/>
          </w:p>
        </w:tc>
        <w:tc>
          <w:tcPr>
            <w:tcW w:w="1000" w:type="pct"/>
            <w:vAlign w:val="center"/>
          </w:tcPr>
          <w:p w14:paraId="6250CCD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s-ES"/>
              </w:rPr>
              <w:t>0 %</w:t>
            </w:r>
          </w:p>
        </w:tc>
        <w:tc>
          <w:tcPr>
            <w:tcW w:w="1158" w:type="pct"/>
            <w:vAlign w:val="center"/>
          </w:tcPr>
          <w:p w14:paraId="50CF5415" w14:textId="77777777" w:rsidR="00453251" w:rsidRPr="009461CC" w:rsidRDefault="00453251" w:rsidP="00AC7398">
            <w:pPr>
              <w:pStyle w:val="TableTextLeft"/>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es-ES"/>
              </w:rPr>
              <w:t>0 %</w:t>
            </w:r>
          </w:p>
        </w:tc>
        <w:tc>
          <w:tcPr>
            <w:tcW w:w="1704" w:type="pct"/>
            <w:vAlign w:val="center"/>
          </w:tcPr>
          <w:p w14:paraId="3CD98CC2" w14:textId="77777777" w:rsidR="00453251" w:rsidRPr="009461CC" w:rsidRDefault="00453251" w:rsidP="00AC7398">
            <w:pPr>
              <w:pStyle w:val="TableTextLeft"/>
              <w:rPr>
                <w:rFonts w:ascii="Times New Roman" w:hAnsi="Times New Roman" w:cs="Times New Roman"/>
                <w:b/>
                <w:bCs/>
              </w:rPr>
            </w:pPr>
            <w:bookmarkStart w:id="46" w:name="_Toc86391938"/>
            <w:bookmarkEnd w:id="46"/>
            <w:r>
              <w:rPr>
                <w:rFonts w:ascii="Times New Roman" w:hAnsi="Times New Roman" w:cs="Times New Roman"/>
                <w:iCs w:val="0"/>
                <w:lang w:val="es-ES"/>
              </w:rPr>
              <w:t xml:space="preserve">Reacción alérgica </w:t>
            </w:r>
            <w:r>
              <w:rPr>
                <w:rFonts w:ascii="Times New Roman" w:hAnsi="Times New Roman" w:cs="Times New Roman"/>
                <w:b/>
                <w:bCs/>
                <w:iCs w:val="0"/>
                <w:lang w:val="es-ES"/>
              </w:rPr>
              <w:t>inferior al 0 %</w:t>
            </w:r>
          </w:p>
        </w:tc>
        <w:bookmarkStart w:id="47" w:name="_Toc86391939"/>
        <w:bookmarkEnd w:id="47"/>
      </w:tr>
      <w:tr w:rsidR="00453251" w:rsidRPr="009461CC" w14:paraId="027FF060" w14:textId="77777777" w:rsidTr="00453251">
        <w:trPr>
          <w:trHeight w:val="197"/>
        </w:trPr>
        <w:tc>
          <w:tcPr>
            <w:tcW w:w="1138" w:type="pct"/>
          </w:tcPr>
          <w:p w14:paraId="0B4FA88A"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es-ES"/>
              </w:rPr>
              <w:t>Dolor</w:t>
            </w:r>
            <w:bookmarkStart w:id="48" w:name="_Toc86391940"/>
            <w:bookmarkEnd w:id="48"/>
          </w:p>
        </w:tc>
        <w:tc>
          <w:tcPr>
            <w:tcW w:w="1000" w:type="pct"/>
            <w:vAlign w:val="center"/>
          </w:tcPr>
          <w:p w14:paraId="0A01661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s-ES"/>
              </w:rPr>
              <w:t>0 %</w:t>
            </w:r>
          </w:p>
        </w:tc>
        <w:tc>
          <w:tcPr>
            <w:tcW w:w="1158" w:type="pct"/>
            <w:vAlign w:val="center"/>
          </w:tcPr>
          <w:p w14:paraId="72B648EC" w14:textId="77777777" w:rsidR="00453251" w:rsidRPr="009461CC" w:rsidRDefault="00453251" w:rsidP="00AC7398">
            <w:pPr>
              <w:pStyle w:val="TableTextLeft"/>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es-ES"/>
              </w:rPr>
              <w:t>0 %</w:t>
            </w:r>
          </w:p>
        </w:tc>
        <w:tc>
          <w:tcPr>
            <w:tcW w:w="1704" w:type="pct"/>
            <w:vAlign w:val="center"/>
          </w:tcPr>
          <w:p w14:paraId="56186FA5" w14:textId="77777777" w:rsidR="00453251" w:rsidRPr="009461CC" w:rsidRDefault="00453251" w:rsidP="00AC7398">
            <w:pPr>
              <w:pStyle w:val="TableTextLeft"/>
              <w:rPr>
                <w:rFonts w:ascii="Times New Roman" w:hAnsi="Times New Roman" w:cs="Times New Roman"/>
                <w:b/>
                <w:bCs/>
              </w:rPr>
            </w:pPr>
            <w:bookmarkStart w:id="51" w:name="_Toc86391944"/>
            <w:bookmarkEnd w:id="51"/>
            <w:r>
              <w:rPr>
                <w:rFonts w:ascii="Times New Roman" w:hAnsi="Times New Roman" w:cs="Times New Roman"/>
                <w:iCs w:val="0"/>
                <w:lang w:val="es-ES"/>
              </w:rPr>
              <w:t xml:space="preserve">Dolor </w:t>
            </w:r>
            <w:r>
              <w:rPr>
                <w:rFonts w:ascii="Times New Roman" w:hAnsi="Times New Roman" w:cs="Times New Roman"/>
                <w:b/>
                <w:bCs/>
                <w:iCs w:val="0"/>
                <w:lang w:val="es-ES"/>
              </w:rPr>
              <w:t>inferior al 0 %</w:t>
            </w:r>
          </w:p>
        </w:tc>
        <w:bookmarkStart w:id="52" w:name="_Toc86391945"/>
        <w:bookmarkEnd w:id="52"/>
      </w:tr>
      <w:tr w:rsidR="00453251" w:rsidRPr="009461CC" w14:paraId="28252FD0" w14:textId="77777777" w:rsidTr="00453251">
        <w:tc>
          <w:tcPr>
            <w:tcW w:w="1138" w:type="pct"/>
          </w:tcPr>
          <w:p w14:paraId="013547C7"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es-ES"/>
              </w:rPr>
              <w:t>Complicaciones generales</w:t>
            </w:r>
            <w:bookmarkStart w:id="53" w:name="_Toc86391946"/>
            <w:bookmarkEnd w:id="53"/>
          </w:p>
        </w:tc>
        <w:tc>
          <w:tcPr>
            <w:tcW w:w="1000" w:type="pct"/>
            <w:vAlign w:val="center"/>
          </w:tcPr>
          <w:p w14:paraId="740F59E9"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s-ES"/>
              </w:rPr>
              <w:t>0-5,2 %</w:t>
            </w:r>
          </w:p>
        </w:tc>
        <w:tc>
          <w:tcPr>
            <w:tcW w:w="1158" w:type="pct"/>
            <w:vAlign w:val="center"/>
          </w:tcPr>
          <w:p w14:paraId="0BF92E76" w14:textId="77777777" w:rsidR="00453251" w:rsidRPr="009461CC" w:rsidRDefault="00453251" w:rsidP="00AC7398">
            <w:pPr>
              <w:pStyle w:val="TableTextLeft"/>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es-ES"/>
              </w:rPr>
              <w:t>0-4 %</w:t>
            </w:r>
          </w:p>
        </w:tc>
        <w:tc>
          <w:tcPr>
            <w:tcW w:w="1704" w:type="pct"/>
            <w:vAlign w:val="center"/>
          </w:tcPr>
          <w:p w14:paraId="71781E09" w14:textId="77777777" w:rsidR="00453251" w:rsidRPr="009461CC" w:rsidRDefault="00453251" w:rsidP="00AC7398">
            <w:pPr>
              <w:pStyle w:val="TableTextLeft"/>
              <w:rPr>
                <w:rFonts w:ascii="Times New Roman" w:hAnsi="Times New Roman" w:cs="Times New Roman"/>
              </w:rPr>
            </w:pPr>
            <w:bookmarkStart w:id="56" w:name="_Toc86391950"/>
            <w:bookmarkEnd w:id="56"/>
            <w:r>
              <w:rPr>
                <w:rFonts w:ascii="Times New Roman" w:hAnsi="Times New Roman" w:cs="Times New Roman"/>
                <w:iCs w:val="0"/>
                <w:lang w:val="es-ES"/>
              </w:rPr>
              <w:t xml:space="preserve">Complicaciones generales </w:t>
            </w:r>
            <w:r>
              <w:rPr>
                <w:rFonts w:ascii="Times New Roman" w:hAnsi="Times New Roman" w:cs="Times New Roman"/>
                <w:b/>
                <w:bCs/>
                <w:iCs w:val="0"/>
                <w:lang w:val="es-ES"/>
              </w:rPr>
              <w:t>inferiores al 5,2 %</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b/>
                <w:bCs/>
                <w:iCs w:val="0"/>
                <w:lang w:val="es-ES"/>
              </w:rPr>
              <w:t>Rendimiento</w:t>
            </w:r>
          </w:p>
        </w:tc>
      </w:tr>
      <w:tr w:rsidR="00453251" w:rsidRPr="009461CC" w14:paraId="6F720CB6" w14:textId="77777777" w:rsidTr="00453251">
        <w:tc>
          <w:tcPr>
            <w:tcW w:w="1138" w:type="pct"/>
            <w:vAlign w:val="center"/>
          </w:tcPr>
          <w:p w14:paraId="60785A5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es-ES"/>
              </w:rPr>
              <w:t xml:space="preserve">Tasa de éxito técnico </w:t>
            </w:r>
            <w:bookmarkStart w:id="58" w:name="_Toc86391954"/>
            <w:bookmarkEnd w:id="58"/>
          </w:p>
        </w:tc>
        <w:tc>
          <w:tcPr>
            <w:tcW w:w="1000" w:type="pct"/>
            <w:vAlign w:val="center"/>
          </w:tcPr>
          <w:p w14:paraId="042F9BC6" w14:textId="77777777" w:rsidR="00453251" w:rsidRPr="009461CC" w:rsidDel="002D4462"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s-ES"/>
              </w:rPr>
              <w:t>82,8–100 %</w:t>
            </w:r>
          </w:p>
        </w:tc>
        <w:tc>
          <w:tcPr>
            <w:tcW w:w="1158" w:type="pct"/>
            <w:vAlign w:val="center"/>
          </w:tcPr>
          <w:p w14:paraId="3177A351" w14:textId="77777777" w:rsidR="00453251" w:rsidRPr="009461CC" w:rsidRDefault="00453251" w:rsidP="00AC7398">
            <w:pPr>
              <w:pStyle w:val="TableTextLeft"/>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es-ES"/>
              </w:rPr>
              <w:t>82,0-100 %</w:t>
            </w:r>
          </w:p>
        </w:tc>
        <w:tc>
          <w:tcPr>
            <w:tcW w:w="1704" w:type="pct"/>
            <w:vAlign w:val="center"/>
          </w:tcPr>
          <w:p w14:paraId="55C13098" w14:textId="77777777" w:rsidR="00453251" w:rsidRPr="009461CC" w:rsidRDefault="00453251" w:rsidP="00AC7398">
            <w:pPr>
              <w:pStyle w:val="TableTextLeft"/>
              <w:rPr>
                <w:rFonts w:ascii="Times New Roman" w:hAnsi="Times New Roman" w:cs="Times New Roman"/>
              </w:rPr>
            </w:pPr>
            <w:bookmarkStart w:id="61" w:name="_Toc86391958"/>
            <w:bookmarkEnd w:id="61"/>
            <w:r>
              <w:rPr>
                <w:rFonts w:ascii="Times New Roman" w:hAnsi="Times New Roman" w:cs="Times New Roman"/>
                <w:iCs w:val="0"/>
                <w:lang w:val="es-ES"/>
              </w:rPr>
              <w:t xml:space="preserve">Éxito técnico </w:t>
            </w:r>
            <w:r>
              <w:rPr>
                <w:rFonts w:ascii="Times New Roman" w:hAnsi="Times New Roman" w:cs="Times New Roman"/>
                <w:b/>
                <w:bCs/>
                <w:iCs w:val="0"/>
                <w:lang w:val="es-ES"/>
              </w:rPr>
              <w:t>superior al 82,0 %</w:t>
            </w:r>
          </w:p>
        </w:tc>
        <w:bookmarkStart w:id="62" w:name="_Toc86391959"/>
        <w:bookmarkEnd w:id="62"/>
      </w:tr>
      <w:tr w:rsidR="00453251" w:rsidRPr="009461CC" w14:paraId="4E839B51" w14:textId="77777777" w:rsidTr="00453251">
        <w:tc>
          <w:tcPr>
            <w:tcW w:w="1138" w:type="pct"/>
            <w:vAlign w:val="center"/>
          </w:tcPr>
          <w:p w14:paraId="055E85A0"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es-ES"/>
              </w:rPr>
              <w:t xml:space="preserve">Tasa de éxito clínico </w:t>
            </w:r>
            <w:bookmarkStart w:id="63" w:name="_Toc86391960"/>
            <w:bookmarkEnd w:id="63"/>
          </w:p>
        </w:tc>
        <w:tc>
          <w:tcPr>
            <w:tcW w:w="1000" w:type="pct"/>
            <w:vAlign w:val="center"/>
          </w:tcPr>
          <w:p w14:paraId="163906FF"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s-ES"/>
              </w:rPr>
              <w:t>95,2-100 %</w:t>
            </w:r>
          </w:p>
        </w:tc>
        <w:tc>
          <w:tcPr>
            <w:tcW w:w="1158" w:type="pct"/>
            <w:vAlign w:val="center"/>
          </w:tcPr>
          <w:p w14:paraId="24CE1D22" w14:textId="77777777" w:rsidR="00453251" w:rsidRPr="009461CC" w:rsidRDefault="00453251" w:rsidP="00AC7398">
            <w:pPr>
              <w:pStyle w:val="TableTextLeft"/>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es-ES"/>
              </w:rPr>
              <w:t>92,3-100 %</w:t>
            </w:r>
          </w:p>
        </w:tc>
        <w:tc>
          <w:tcPr>
            <w:tcW w:w="1704" w:type="pct"/>
            <w:vAlign w:val="center"/>
          </w:tcPr>
          <w:p w14:paraId="1240798C" w14:textId="77777777" w:rsidR="00453251" w:rsidRPr="009461CC" w:rsidRDefault="00453251" w:rsidP="00AC7398">
            <w:pPr>
              <w:pStyle w:val="TableTextLeft"/>
              <w:rPr>
                <w:rFonts w:ascii="Times New Roman" w:hAnsi="Times New Roman" w:cs="Times New Roman"/>
              </w:rPr>
            </w:pPr>
            <w:bookmarkStart w:id="66" w:name="_Toc86391964"/>
            <w:bookmarkEnd w:id="66"/>
            <w:r>
              <w:rPr>
                <w:rFonts w:ascii="Times New Roman" w:hAnsi="Times New Roman" w:cs="Times New Roman"/>
                <w:iCs w:val="0"/>
                <w:lang w:val="es-ES"/>
              </w:rPr>
              <w:t xml:space="preserve">Éxito clínico </w:t>
            </w:r>
            <w:r>
              <w:rPr>
                <w:rFonts w:ascii="Times New Roman" w:hAnsi="Times New Roman" w:cs="Times New Roman"/>
                <w:b/>
                <w:bCs/>
                <w:iCs w:val="0"/>
                <w:lang w:val="es-ES"/>
              </w:rPr>
              <w:t>superior al 92,3 %</w:t>
            </w:r>
          </w:p>
        </w:tc>
        <w:bookmarkStart w:id="67" w:name="_Toc86391965"/>
        <w:bookmarkEnd w:id="67"/>
      </w:tr>
    </w:tbl>
    <w:p w14:paraId="47F3BE56" w14:textId="14358A29" w:rsidR="00941D63" w:rsidRPr="009461CC" w:rsidRDefault="00941D63" w:rsidP="00941D63">
      <w:pPr>
        <w:spacing w:before="100" w:beforeAutospacing="1" w:line="240" w:lineRule="auto"/>
        <w:rPr>
          <w:rFonts w:eastAsia="Times New Roman" w:cs="Times New Roman"/>
          <w:szCs w:val="24"/>
        </w:rPr>
      </w:pPr>
      <w:r>
        <w:rPr>
          <w:rFonts w:eastAsia="Times New Roman" w:cs="Times New Roman"/>
          <w:szCs w:val="24"/>
          <w:lang w:val="es-ES"/>
        </w:rPr>
        <w:t>El kit Atrieve Vascular Snare presenta un perfil de riesgo aceptable sin riesgos residuales clasificados como inaceptables. Los posibles daños al paciente, como sangrado, embolia, infección y daño tisular, son poco frecuentes y se encuentran dentro de los índices aceptables para el sector. Los tipos de fallo comunes, como el desprendimiento de componentes o la resistencia del dispositivo, son poco frecuentes y están bien controlados.</w:t>
      </w:r>
    </w:p>
    <w:p w14:paraId="6CD9B2F8" w14:textId="27B9DB44" w:rsidR="00941D63" w:rsidRPr="009461CC" w:rsidRDefault="00941D63" w:rsidP="00941D63">
      <w:pPr>
        <w:spacing w:before="100" w:beforeAutospacing="1" w:line="240" w:lineRule="auto"/>
        <w:rPr>
          <w:rFonts w:eastAsia="Times New Roman" w:cs="Times New Roman"/>
          <w:szCs w:val="24"/>
        </w:rPr>
      </w:pPr>
      <w:r>
        <w:rPr>
          <w:rFonts w:eastAsia="Times New Roman" w:cs="Times New Roman"/>
          <w:szCs w:val="24"/>
          <w:lang w:val="es-ES"/>
        </w:rPr>
        <w:t>Todos los riesgos identificados se abordan mediante el etiquetado, las advertencias y las instrucciones de uso. El riesgo general es comparable al de los tratamientos alternativos y los beneficios del dispositivo para la extracción segura y mínimamente invasiva de cuerpos extraños superan los riesgos. No se identificaron nuevos riesgos durante el seguimiento poscomercialización.</w:t>
      </w:r>
    </w:p>
    <w:p w14:paraId="503092B6" w14:textId="15AAF628" w:rsidR="000F0AC2" w:rsidRPr="009461CC" w:rsidRDefault="008745ED" w:rsidP="001035F0">
      <w:pPr>
        <w:pStyle w:val="Heading1"/>
        <w:rPr>
          <w:rFonts w:cs="Times New Roman"/>
        </w:rPr>
      </w:pPr>
      <w:bookmarkStart w:id="68" w:name="_Toc222741778"/>
      <w:r>
        <w:rPr>
          <w:rFonts w:cs="Times New Roman"/>
          <w:bCs/>
          <w:lang w:val="es-ES"/>
        </w:rPr>
        <w:t>Advertencias y precauciones</w:t>
      </w:r>
      <w:bookmarkEnd w:id="68"/>
    </w:p>
    <w:p w14:paraId="3AFFFB2C" w14:textId="56B6C6C3" w:rsidR="00A030DC" w:rsidRPr="009461CC" w:rsidRDefault="00C64987" w:rsidP="006F12B6">
      <w:pPr>
        <w:spacing w:after="0" w:afterAutospacing="0" w:line="240" w:lineRule="auto"/>
        <w:ind w:left="792"/>
        <w:rPr>
          <w:rFonts w:cs="Times New Roman"/>
          <w:iCs/>
        </w:rPr>
      </w:pPr>
      <w:r>
        <w:rPr>
          <w:rFonts w:cs="Times New Roman"/>
          <w:lang w:val="es-ES"/>
        </w:rPr>
        <w:t>Referencia IFU X9585730-0321-EU Rev A</w:t>
      </w:r>
    </w:p>
    <w:p w14:paraId="581EAB6F" w14:textId="38AC09C7" w:rsidR="0084795E" w:rsidRPr="009461CC" w:rsidRDefault="0084795E" w:rsidP="006F12B6">
      <w:pPr>
        <w:spacing w:after="0" w:afterAutospacing="0" w:line="240" w:lineRule="auto"/>
        <w:ind w:left="792"/>
        <w:rPr>
          <w:rFonts w:cs="Times New Roman"/>
          <w:b/>
          <w:bCs/>
          <w:iCs/>
        </w:rPr>
      </w:pPr>
      <w:r>
        <w:rPr>
          <w:rFonts w:cs="Times New Roman"/>
          <w:b/>
          <w:bCs/>
          <w:lang w:val="es-ES"/>
        </w:rPr>
        <w:lastRenderedPageBreak/>
        <w:t>Advertencias:</w:t>
      </w:r>
    </w:p>
    <w:p w14:paraId="6D12BCC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es-ES"/>
        </w:rPr>
        <w:t>Este dispositivo ha sido diseñado, probado y fabricado para un solo uso en un solo paciente. La reutilización o reprocesamiento de este dispositivo puede provocar fallos y lesiones posteriores al paciente. El reprocesamiento o reesterilización de este dispositivo puede crear riesgo de contaminación e infección del paciente. No reutilice, reprocese ni reesterilice este dispositivo.</w:t>
      </w:r>
    </w:p>
    <w:p w14:paraId="02E0F1FE"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es-ES"/>
        </w:rPr>
        <w:t>Inspeccione la integridad del embalaje antes de utilizar el dispositivo.</w:t>
      </w:r>
    </w:p>
    <w:p w14:paraId="0AB04CB5"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es-ES"/>
        </w:rPr>
        <w:t>No lo utilice si el embalaje está abierto o dañado, o si ya ha vencido la fecha de caducidad.</w:t>
      </w:r>
    </w:p>
    <w:p w14:paraId="287B6E69"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es-ES"/>
        </w:rPr>
        <w:t>No continúe usando el dispositivo si alguno de los componentes se daña durante el procedimiento.</w:t>
      </w:r>
    </w:p>
    <w:p w14:paraId="2247748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es-ES"/>
        </w:rPr>
        <w:t>El nitinol es una aleación de níquel y titanio. Puede producirse una reacción en aquellos pacientes que presenten sensibilidad al níquel.</w:t>
      </w:r>
    </w:p>
    <w:p w14:paraId="2A4E00BA"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es-ES"/>
        </w:rPr>
        <w:t>Puede producirse una reacción en aquellos pacientes que presenten sensibilidad al platino.</w:t>
      </w:r>
    </w:p>
    <w:p w14:paraId="0D7E98B5"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rPr>
      </w:pPr>
      <w:r>
        <w:rPr>
          <w:rFonts w:eastAsia="Times New Roman" w:cs="Times New Roman"/>
          <w:szCs w:val="24"/>
          <w:lang w:val="es-ES"/>
        </w:rPr>
        <w:t>Se debe tener cuidado al usar este dispositivo para retirar una vaina de fibrina de gran tamaño a fin de minimizar el riesgo de embolia pulmonar.</w:t>
      </w:r>
    </w:p>
    <w:p w14:paraId="4CB50B44"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rPr>
      </w:pPr>
      <w:r>
        <w:rPr>
          <w:rFonts w:eastAsia="Times New Roman" w:cs="Times New Roman"/>
          <w:szCs w:val="24"/>
          <w:lang w:val="es-ES"/>
        </w:rPr>
        <w:t>Se puede generar sangrado a través del conector del catéter de inserción durante algunos procedimientos. Se puede conectar una válvula de hemostasia (no incluida) al catéter de inserción para reducir el sangrado según sea necesario o según el criterio del médico.</w:t>
      </w:r>
    </w:p>
    <w:p w14:paraId="7C5DC59D" w14:textId="77777777" w:rsidR="0084795E" w:rsidRPr="009461CC" w:rsidRDefault="0084795E" w:rsidP="00FE6595">
      <w:pPr>
        <w:spacing w:after="0" w:afterAutospacing="0" w:line="240" w:lineRule="auto"/>
        <w:ind w:left="792"/>
        <w:rPr>
          <w:rFonts w:cs="Times New Roman"/>
          <w:iCs/>
        </w:rPr>
      </w:pPr>
    </w:p>
    <w:p w14:paraId="34731DB5" w14:textId="77777777" w:rsidR="0084795E" w:rsidRPr="009461CC" w:rsidRDefault="0084795E" w:rsidP="00FE6595">
      <w:pPr>
        <w:spacing w:after="0" w:afterAutospacing="0" w:line="240" w:lineRule="auto"/>
        <w:ind w:left="792"/>
        <w:rPr>
          <w:rFonts w:cs="Times New Roman"/>
          <w:b/>
          <w:bCs/>
          <w:iCs/>
        </w:rPr>
      </w:pPr>
      <w:r>
        <w:rPr>
          <w:rFonts w:cs="Times New Roman"/>
          <w:b/>
          <w:bCs/>
          <w:lang w:val="es-ES"/>
        </w:rPr>
        <w:t>Precauciones:</w:t>
      </w:r>
    </w:p>
    <w:p w14:paraId="043EE8E1" w14:textId="77777777" w:rsidR="00533C0A" w:rsidRPr="009461CC" w:rsidRDefault="00533C0A" w:rsidP="00533C0A">
      <w:pPr>
        <w:numPr>
          <w:ilvl w:val="0"/>
          <w:numId w:val="23"/>
        </w:numPr>
        <w:spacing w:after="0" w:afterAutospacing="0" w:line="240" w:lineRule="auto"/>
        <w:contextualSpacing/>
        <w:jc w:val="both"/>
        <w:rPr>
          <w:rFonts w:eastAsia="Times New Roman" w:cs="Times New Roman"/>
          <w:szCs w:val="24"/>
        </w:rPr>
      </w:pPr>
      <w:r>
        <w:rPr>
          <w:rFonts w:eastAsia="Times New Roman" w:cs="Times New Roman"/>
          <w:szCs w:val="24"/>
          <w:lang w:val="es-ES"/>
        </w:rPr>
        <w:t>Las fuerzas de tracción aplicadas a los catéteres durante el pelado de la vaina de fibrina pueden dañar, estirar o romper los catéteres permanentes de 6 French o menos de diámetro. No utilice una fuerza de tracción excesiva al intentar pelar la vaina de fibrina de catéteres de 6 French o menos de diámetro.</w:t>
      </w:r>
    </w:p>
    <w:p w14:paraId="7C78A400" w14:textId="77777777" w:rsidR="00533C0A" w:rsidRPr="009461CC" w:rsidRDefault="00533C0A" w:rsidP="00533C0A">
      <w:pPr>
        <w:numPr>
          <w:ilvl w:val="0"/>
          <w:numId w:val="23"/>
        </w:numPr>
        <w:spacing w:after="0" w:afterAutospacing="0" w:line="240" w:lineRule="auto"/>
        <w:contextualSpacing/>
        <w:jc w:val="both"/>
        <w:rPr>
          <w:rFonts w:eastAsia="Times New Roman" w:cs="Times New Roman"/>
          <w:szCs w:val="24"/>
        </w:rPr>
      </w:pPr>
      <w:r>
        <w:rPr>
          <w:rFonts w:eastAsia="Times New Roman" w:cs="Times New Roman"/>
          <w:szCs w:val="24"/>
          <w:lang w:val="es-ES"/>
        </w:rPr>
        <w:t>No utilice una fuerza excesiva al manipular el catéter a través de un introductor.</w:t>
      </w:r>
    </w:p>
    <w:p w14:paraId="68E7CD6A" w14:textId="77777777" w:rsidR="009E4BE1" w:rsidRPr="009461CC" w:rsidRDefault="009E4BE1" w:rsidP="00DB582A">
      <w:pPr>
        <w:spacing w:after="0" w:afterAutospacing="0" w:line="240" w:lineRule="auto"/>
        <w:rPr>
          <w:rFonts w:cs="Times New Roman"/>
          <w:b/>
          <w:bCs/>
          <w:iCs/>
        </w:rPr>
      </w:pPr>
    </w:p>
    <w:p w14:paraId="1F2A8F23" w14:textId="7550D298" w:rsidR="00481A9E" w:rsidRPr="009461CC" w:rsidRDefault="00481A9E" w:rsidP="00481A9E">
      <w:pPr>
        <w:spacing w:after="120" w:afterAutospacing="0" w:line="240" w:lineRule="auto"/>
        <w:ind w:firstLine="720"/>
        <w:jc w:val="both"/>
        <w:rPr>
          <w:rFonts w:eastAsia="Times New Roman" w:cs="Times New Roman"/>
          <w:b/>
          <w:szCs w:val="24"/>
        </w:rPr>
      </w:pPr>
      <w:r>
        <w:rPr>
          <w:rFonts w:eastAsia="Times New Roman" w:cs="Times New Roman"/>
          <w:b/>
          <w:bCs/>
          <w:szCs w:val="24"/>
          <w:lang w:val="es-ES"/>
        </w:rPr>
        <w:t xml:space="preserve">Riesgos y efectos secundarios </w:t>
      </w:r>
    </w:p>
    <w:p w14:paraId="3EC1F3BA" w14:textId="77777777" w:rsidR="00481A9E" w:rsidRPr="009461CC" w:rsidRDefault="00481A9E" w:rsidP="00481A9E">
      <w:pPr>
        <w:spacing w:after="120" w:afterAutospacing="0" w:line="240" w:lineRule="auto"/>
        <w:jc w:val="both"/>
        <w:rPr>
          <w:rFonts w:eastAsia="Times New Roman" w:cs="Times New Roman"/>
          <w:szCs w:val="24"/>
        </w:rPr>
      </w:pPr>
      <w:r>
        <w:rPr>
          <w:rFonts w:eastAsia="Times New Roman" w:cs="Times New Roman"/>
          <w:szCs w:val="24"/>
          <w:lang w:val="es-ES"/>
        </w:rPr>
        <w:t>Entre las posibles complicaciones se incluyen las siguientes:</w:t>
      </w:r>
    </w:p>
    <w:p w14:paraId="31B00162"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es-ES"/>
        </w:rPr>
        <w:t>Embolia</w:t>
      </w:r>
    </w:p>
    <w:p w14:paraId="4831EC23"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es-ES"/>
        </w:rPr>
        <w:t>Accidente cerebrovascular</w:t>
      </w:r>
    </w:p>
    <w:p w14:paraId="3E3CC4E5"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es-ES"/>
        </w:rPr>
        <w:t>Infarto de miocardio (dependiendo de la ubicación)</w:t>
      </w:r>
    </w:p>
    <w:p w14:paraId="3C5A584A"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es-ES"/>
        </w:rPr>
        <w:t>Embolia pulmonar</w:t>
      </w:r>
    </w:p>
    <w:p w14:paraId="70F9D337"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es-ES"/>
        </w:rPr>
        <w:t>Perforación vascular</w:t>
      </w:r>
    </w:p>
    <w:p w14:paraId="3B28D7FF"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es-ES"/>
        </w:rPr>
        <w:t>Compresión del dispositivo</w:t>
      </w:r>
    </w:p>
    <w:p w14:paraId="33ABECFB" w14:textId="77777777" w:rsidR="00D558E5" w:rsidRPr="009461CC" w:rsidRDefault="00481A9E" w:rsidP="00D558E5">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es-ES"/>
        </w:rPr>
        <w:t>Sangrado o hemorragia</w:t>
      </w:r>
    </w:p>
    <w:p w14:paraId="0A9BFD81" w14:textId="77777777" w:rsidR="00D558E5" w:rsidRPr="009461CC" w:rsidRDefault="00D558E5" w:rsidP="00D558E5">
      <w:pPr>
        <w:widowControl w:val="0"/>
        <w:spacing w:after="0" w:afterAutospacing="0" w:line="240" w:lineRule="auto"/>
        <w:contextualSpacing/>
        <w:jc w:val="both"/>
        <w:rPr>
          <w:rFonts w:eastAsia="Times New Roman" w:cs="Times New Roman"/>
          <w:szCs w:val="24"/>
        </w:rPr>
      </w:pPr>
    </w:p>
    <w:p w14:paraId="6EEBEC55" w14:textId="65AF2143" w:rsidR="00A80721" w:rsidRPr="009461CC" w:rsidRDefault="00A80721" w:rsidP="00D558E5">
      <w:pPr>
        <w:widowControl w:val="0"/>
        <w:spacing w:after="0" w:afterAutospacing="0" w:line="240" w:lineRule="auto"/>
        <w:contextualSpacing/>
        <w:jc w:val="both"/>
        <w:rPr>
          <w:rFonts w:eastAsia="Times New Roman" w:cs="Times New Roman"/>
          <w:szCs w:val="24"/>
        </w:rPr>
      </w:pPr>
      <w:r>
        <w:rPr>
          <w:rFonts w:eastAsia="Times New Roman" w:cs="Times New Roman"/>
          <w:szCs w:val="24"/>
          <w:lang w:val="es-ES"/>
        </w:rPr>
        <w:t>Beneficios clínicos:</w:t>
      </w:r>
    </w:p>
    <w:p w14:paraId="12CF44E5" w14:textId="357D7E57" w:rsidR="00481A9E" w:rsidRPr="009461CC" w:rsidRDefault="00A80721" w:rsidP="00A80721">
      <w:pPr>
        <w:spacing w:after="120" w:afterAutospacing="0" w:line="240" w:lineRule="auto"/>
        <w:jc w:val="both"/>
        <w:rPr>
          <w:rFonts w:eastAsia="Times New Roman" w:cs="Times New Roman"/>
          <w:szCs w:val="24"/>
        </w:rPr>
      </w:pPr>
      <w:r>
        <w:rPr>
          <w:rFonts w:eastAsia="Times New Roman" w:cs="Times New Roman"/>
          <w:szCs w:val="24"/>
          <w:lang w:val="es-ES"/>
        </w:rPr>
        <w:t>Atrieve Vascular Snare presenta un beneficio directo para el paciente al extraer y manipular cuerpos extraños de forma percutánea con menores complicaciones y riesgos en comparación con una intervención quirúrgica.</w:t>
      </w:r>
    </w:p>
    <w:p w14:paraId="5240AF40" w14:textId="3E5A2DE2" w:rsidR="00042B91" w:rsidRPr="009461CC" w:rsidRDefault="00BB36B1" w:rsidP="00A4616A">
      <w:pPr>
        <w:spacing w:after="0" w:afterAutospacing="0" w:line="240" w:lineRule="auto"/>
        <w:rPr>
          <w:rFonts w:cs="Times New Roman"/>
          <w:iCs/>
        </w:rPr>
      </w:pPr>
      <w:r>
        <w:rPr>
          <w:rFonts w:cs="Times New Roman"/>
          <w:lang w:val="es-ES"/>
        </w:rPr>
        <w:t>Duración/Vida útil: Temporal (menos de 60 minutos).</w:t>
      </w:r>
    </w:p>
    <w:p w14:paraId="393C5ED9" w14:textId="77777777" w:rsidR="00E14C97" w:rsidRPr="009461CC" w:rsidRDefault="00E14C97" w:rsidP="00042B91">
      <w:pPr>
        <w:spacing w:after="0" w:afterAutospacing="0" w:line="240" w:lineRule="auto"/>
        <w:rPr>
          <w:rFonts w:cs="Times New Roman"/>
          <w:i/>
          <w:color w:val="FF0000"/>
        </w:rPr>
      </w:pPr>
    </w:p>
    <w:p w14:paraId="09A94B0F" w14:textId="4E664EE0" w:rsidR="00760400" w:rsidRPr="009461CC" w:rsidRDefault="008745ED" w:rsidP="00042B91">
      <w:pPr>
        <w:pStyle w:val="Heading1"/>
        <w:rPr>
          <w:rFonts w:cs="Times New Roman"/>
        </w:rPr>
      </w:pPr>
      <w:bookmarkStart w:id="69" w:name="_Toc222741779"/>
      <w:r>
        <w:rPr>
          <w:rFonts w:cs="Times New Roman"/>
          <w:bCs/>
          <w:lang w:val="es-ES"/>
        </w:rPr>
        <w:t>Otros aspectos relevantes de seguridad, incluido un resumen sobre cualquier acción correctiva de seguridad (FSCA, por sus siglas en inglés) y la nota de seguridad (FSN, por sus siglas en inglés), si corresponde.</w:t>
      </w:r>
      <w:bookmarkEnd w:id="69"/>
    </w:p>
    <w:p w14:paraId="65E21D1D" w14:textId="58A43005" w:rsidR="004F5057" w:rsidRPr="009461CC" w:rsidRDefault="00FC52C8" w:rsidP="001F48BA">
      <w:pPr>
        <w:rPr>
          <w:rFonts w:cs="Times New Roman"/>
        </w:rPr>
      </w:pPr>
      <w:r>
        <w:rPr>
          <w:rFonts w:cs="Times New Roman"/>
          <w:lang w:val="es-ES"/>
        </w:rPr>
        <w:lastRenderedPageBreak/>
        <w:t>No hubo acciones correctivas de seguridad ni retirada de productos durante el período del informe.</w:t>
      </w:r>
    </w:p>
    <w:p w14:paraId="21FC0F42" w14:textId="6F4CDE71" w:rsidR="008745ED" w:rsidRPr="009461CC" w:rsidRDefault="008745ED" w:rsidP="00F67A0E">
      <w:pPr>
        <w:pStyle w:val="Heading1"/>
        <w:numPr>
          <w:ilvl w:val="0"/>
          <w:numId w:val="2"/>
        </w:numPr>
        <w:rPr>
          <w:rFonts w:cs="Times New Roman"/>
        </w:rPr>
      </w:pPr>
      <w:bookmarkStart w:id="70" w:name="_Toc222741780"/>
      <w:r>
        <w:rPr>
          <w:rFonts w:cs="Times New Roman"/>
          <w:bCs/>
          <w:lang w:val="es-ES"/>
        </w:rPr>
        <w:t>Resumen de evaluación clínica y seguimiento clínico poscomercialización (PMCF, por sus siglas en inglés)</w:t>
      </w:r>
      <w:bookmarkEnd w:id="70"/>
    </w:p>
    <w:p w14:paraId="7CA310DE" w14:textId="0ED9D76A" w:rsidR="00DA4404" w:rsidRPr="009461CC" w:rsidRDefault="00DA4404" w:rsidP="00DA4404">
      <w:pPr>
        <w:rPr>
          <w:rFonts w:cs="Times New Roman"/>
        </w:rPr>
      </w:pPr>
      <w:r>
        <w:rPr>
          <w:rFonts w:cs="Times New Roman"/>
          <w:lang w:val="es-ES"/>
        </w:rPr>
        <w:t>El informe de evaluación clínica (CER-029 Rev B) confirma que el kit Atrieve Vascular Snare es clínicamente seguro y eficaz para extraer y manipular objetos extraños en el sistema cardiovascular. Lo utilizan principalmente profesionales médicos capacitados en procedimientos mínimamente invasivos.</w:t>
      </w:r>
    </w:p>
    <w:p w14:paraId="065C32D9" w14:textId="36044E92" w:rsidR="00DA4404" w:rsidRPr="009461CC" w:rsidRDefault="00DA4404" w:rsidP="00DA4404">
      <w:pPr>
        <w:rPr>
          <w:rFonts w:cs="Times New Roman"/>
        </w:rPr>
      </w:pPr>
      <w:r>
        <w:rPr>
          <w:rFonts w:cs="Times New Roman"/>
          <w:lang w:val="es-ES"/>
        </w:rPr>
        <w:t>La evaluación, basada en la revisión de la literatura, la experiencia clínica y los datos poscomercialización, muestra altas tasas de éxito técnico y clínico. Las complicaciones como sangrado, embolia, infección o reacciones alérgicas son poco frecuentes y están dentro de límites clínicos aceptables.</w:t>
      </w:r>
    </w:p>
    <w:p w14:paraId="0DAD67AD" w14:textId="4FF5EA89" w:rsidR="00DA4404" w:rsidRPr="009461CC" w:rsidRDefault="00DA4404" w:rsidP="00DA4404">
      <w:pPr>
        <w:rPr>
          <w:rFonts w:cs="Times New Roman"/>
        </w:rPr>
      </w:pPr>
      <w:r>
        <w:rPr>
          <w:rFonts w:cs="Times New Roman"/>
          <w:lang w:val="es-ES"/>
        </w:rPr>
        <w:t>No se identificaron nuevos problemas de seguridad ni riesgos inesperados. El dispositivo funciona de manera comparable a productos similares en el mercado, manteniendo un perfil de riesgo-beneficio consistente.</w:t>
      </w:r>
    </w:p>
    <w:p w14:paraId="745B2F11" w14:textId="506F1A62" w:rsidR="00257EE2" w:rsidRPr="009461CC" w:rsidRDefault="00DA4404" w:rsidP="00DA4404">
      <w:pPr>
        <w:rPr>
          <w:rFonts w:cs="Times New Roman"/>
          <w:highlight w:val="yellow"/>
        </w:rPr>
      </w:pPr>
      <w:r>
        <w:rPr>
          <w:rFonts w:cs="Times New Roman"/>
          <w:lang w:val="es-ES"/>
        </w:rPr>
        <w:t>En conclusión, el asa Atrieve demuestra un rendimiento confiable y un sólido historial de seguridad, lo que respalda su uso continuado en entornos clínicos.</w:t>
      </w:r>
    </w:p>
    <w:p w14:paraId="491E112E" w14:textId="43F380B5" w:rsidR="005A5584" w:rsidRPr="009461CC" w:rsidRDefault="005A5584" w:rsidP="00300E25">
      <w:pPr>
        <w:rPr>
          <w:rFonts w:cs="Times New Roman"/>
        </w:rPr>
      </w:pPr>
      <w:r>
        <w:rPr>
          <w:rFonts w:cs="Times New Roman"/>
          <w:lang w:val="es-ES"/>
        </w:rPr>
        <w:t>El plan de seguimiento clínico poscomercialización (PMCFP, por sus siglas en inglés) de Atrieve describe un enfoque estructurado para monitorizar su seguridad y rendimiento después de su lanzamiento al mercado. Estos dispositivos de clase III se utilizan para extraer o manipular objetos extraños en el sistema cardiovascular y están destinados a un uso transitorio.</w:t>
      </w:r>
    </w:p>
    <w:p w14:paraId="72FE8271" w14:textId="5FE4B52E" w:rsidR="00042B91" w:rsidRPr="009461CC" w:rsidRDefault="005A5584" w:rsidP="00A8663C">
      <w:pPr>
        <w:rPr>
          <w:rFonts w:cs="Times New Roman"/>
        </w:rPr>
      </w:pPr>
      <w:r>
        <w:rPr>
          <w:rFonts w:cs="Times New Roman"/>
          <w:lang w:val="es-ES"/>
        </w:rPr>
        <w:t>Las actividades del PMCF se basan en métodos generales, incluidas revisiones anuales de la literatura, monitorización de bases de datos de acontecimientos adversos (p. ej., MAUDE) y análisis de informes de vigilancia poscomercialización. Estos esfuerzos tienen como objetivo confirmar la seguridad y eficacia actuales, identificar riesgos emergentes y detectar usos no contemplados. También se revisan datos clínicos de dispositivos similares para comparar resultados.</w:t>
      </w:r>
    </w:p>
    <w:p w14:paraId="33785C59" w14:textId="7AB0634B" w:rsidR="008745ED" w:rsidRPr="009461CC" w:rsidRDefault="008745ED" w:rsidP="00042B91">
      <w:pPr>
        <w:pStyle w:val="Heading1"/>
        <w:rPr>
          <w:rFonts w:cs="Times New Roman"/>
        </w:rPr>
      </w:pPr>
      <w:bookmarkStart w:id="71" w:name="_Toc222741781"/>
      <w:r>
        <w:rPr>
          <w:rFonts w:cs="Times New Roman"/>
          <w:bCs/>
          <w:lang w:val="es-ES"/>
        </w:rPr>
        <w:t>Resumen de los datos clínicos relativos a un dispositivo equivalente, si corresponde</w:t>
      </w:r>
      <w:bookmarkEnd w:id="71"/>
      <w:r>
        <w:rPr>
          <w:rFonts w:cs="Times New Roman"/>
          <w:bCs/>
          <w:lang w:val="es-ES"/>
        </w:rPr>
        <w:t xml:space="preserve"> </w:t>
      </w:r>
    </w:p>
    <w:p w14:paraId="62C65035" w14:textId="2ED3F324" w:rsidR="00B763A0" w:rsidRPr="009461CC" w:rsidRDefault="00F24AE3" w:rsidP="00511B41">
      <w:pPr>
        <w:ind w:firstLine="360"/>
        <w:rPr>
          <w:rFonts w:cs="Times New Roman"/>
        </w:rPr>
      </w:pPr>
      <w:r>
        <w:rPr>
          <w:rFonts w:cs="Times New Roman"/>
          <w:lang w:val="es-ES"/>
        </w:rPr>
        <w:t>Esta sección no es aplicable (N/A).</w:t>
      </w:r>
    </w:p>
    <w:p w14:paraId="46CE7D79" w14:textId="2B10E133" w:rsidR="008745ED" w:rsidRPr="009461CC" w:rsidRDefault="008745ED" w:rsidP="00042B91">
      <w:pPr>
        <w:pStyle w:val="Heading1"/>
        <w:rPr>
          <w:rFonts w:cs="Times New Roman"/>
        </w:rPr>
      </w:pPr>
      <w:bookmarkStart w:id="72" w:name="_Toc222741782"/>
      <w:r>
        <w:rPr>
          <w:rFonts w:cs="Times New Roman"/>
          <w:bCs/>
          <w:lang w:val="es-ES"/>
        </w:rPr>
        <w:t>Resumen de los datos clínicos de las investigaciones realizadas sobre el dispositivo antes del marcado CE, si corresponde</w:t>
      </w:r>
      <w:bookmarkEnd w:id="72"/>
      <w:r>
        <w:rPr>
          <w:rFonts w:cs="Times New Roman"/>
          <w:bCs/>
          <w:lang w:val="es-ES"/>
        </w:rPr>
        <w:t xml:space="preserve"> </w:t>
      </w:r>
    </w:p>
    <w:p w14:paraId="27B7D18D" w14:textId="3346219F" w:rsidR="004846A6" w:rsidRPr="009461CC" w:rsidRDefault="00F604C9" w:rsidP="00F24AE3">
      <w:pPr>
        <w:ind w:left="360"/>
        <w:rPr>
          <w:rFonts w:cs="Times New Roman"/>
        </w:rPr>
      </w:pPr>
      <w:bookmarkStart w:id="73" w:name="_Hlk196514030"/>
      <w:r>
        <w:rPr>
          <w:rFonts w:cs="Times New Roman"/>
          <w:lang w:val="es-ES"/>
        </w:rPr>
        <w:t>Esta sección no es aplicable (N/A).</w:t>
      </w:r>
    </w:p>
    <w:p w14:paraId="7A896071" w14:textId="00061818" w:rsidR="008745ED" w:rsidRPr="009461CC" w:rsidRDefault="008745ED" w:rsidP="00042B91">
      <w:pPr>
        <w:pStyle w:val="Heading1"/>
        <w:rPr>
          <w:rFonts w:cs="Times New Roman"/>
        </w:rPr>
      </w:pPr>
      <w:bookmarkStart w:id="74" w:name="_Toc222741783"/>
      <w:bookmarkEnd w:id="73"/>
      <w:r>
        <w:rPr>
          <w:rFonts w:cs="Times New Roman"/>
          <w:bCs/>
          <w:lang w:val="es-ES"/>
        </w:rPr>
        <w:t>Resumen de datos clínicos de otras fuentes, si corresponde</w:t>
      </w:r>
      <w:bookmarkEnd w:id="74"/>
      <w:r>
        <w:rPr>
          <w:rFonts w:cs="Times New Roman"/>
          <w:bCs/>
          <w:lang w:val="es-ES"/>
        </w:rPr>
        <w:t xml:space="preserve"> </w:t>
      </w:r>
    </w:p>
    <w:p w14:paraId="3F1ED76E" w14:textId="5FADBA51" w:rsidR="006C2B68" w:rsidRPr="009461CC" w:rsidRDefault="0037599D" w:rsidP="004846A6">
      <w:pPr>
        <w:spacing w:before="100" w:beforeAutospacing="1" w:line="240" w:lineRule="auto"/>
        <w:rPr>
          <w:rFonts w:eastAsia="Times New Roman" w:cs="Times New Roman"/>
          <w:szCs w:val="24"/>
        </w:rPr>
      </w:pPr>
      <w:r>
        <w:rPr>
          <w:rFonts w:eastAsia="Times New Roman" w:cs="Times New Roman"/>
          <w:szCs w:val="24"/>
          <w:lang w:val="es-ES"/>
        </w:rPr>
        <w:t>El CER-029 Rev B está respaldado por una revisión exhaustiva de datos clínicos externos, que incluyen:</w:t>
      </w:r>
    </w:p>
    <w:p w14:paraId="421058D0" w14:textId="26D1A572" w:rsidR="00FB1FDD" w:rsidRPr="009461CC" w:rsidRDefault="00FC5667" w:rsidP="004846A6">
      <w:pPr>
        <w:spacing w:before="100" w:beforeAutospacing="1" w:line="240" w:lineRule="auto"/>
        <w:rPr>
          <w:rFonts w:cs="Times New Roman"/>
        </w:rPr>
      </w:pPr>
      <w:r>
        <w:rPr>
          <w:rFonts w:cs="Times New Roman"/>
          <w:szCs w:val="24"/>
          <w:lang w:val="es-ES"/>
        </w:rPr>
        <w:lastRenderedPageBreak/>
        <w:t>Literatura de estado del arte (SOA, por sus siglas en inglés): una revisión sistemática de 579 artículos identificó 16 estudios relevantes sobre dispositivos y procedimientos similares. Estos estudios demostraron altas tasas de éxito técnico (≥91,2 %) y bajas tasas de complicaciones (≤1,1 %), estableciendo valores de referencia para la seguridad y el rendimiento.</w:t>
      </w:r>
      <w:r>
        <w:rPr>
          <w:rFonts w:cs="Times New Roman"/>
          <w:lang w:val="es-ES"/>
        </w:rPr>
        <w:t xml:space="preserve"> </w:t>
      </w:r>
    </w:p>
    <w:p w14:paraId="7C6B59FC" w14:textId="77777777" w:rsidR="00FB1FDD" w:rsidRPr="009461CC" w:rsidRDefault="00D23267" w:rsidP="004846A6">
      <w:pPr>
        <w:spacing w:before="100" w:beforeAutospacing="1" w:line="240" w:lineRule="auto"/>
        <w:rPr>
          <w:rFonts w:cs="Times New Roman"/>
        </w:rPr>
      </w:pPr>
      <w:r>
        <w:rPr>
          <w:rFonts w:cs="Times New Roman"/>
          <w:szCs w:val="24"/>
          <w:lang w:val="es-ES"/>
        </w:rPr>
        <w:t>Literatura sobre dispositivos de la competencia: ocho estudios sobre dispositivos comparables (p. ej., EN Snare, GooseNeck, CloverSnare) confirmaron perfiles de seguridad y eficacia similares, lo que refuerza el estatus de estándar de atención de las asas vasculares.</w:t>
      </w:r>
      <w:r>
        <w:rPr>
          <w:rFonts w:cs="Times New Roman"/>
          <w:lang w:val="es-ES"/>
        </w:rPr>
        <w:t xml:space="preserve"> </w:t>
      </w:r>
    </w:p>
    <w:p w14:paraId="2910073B" w14:textId="4049ACE7" w:rsidR="004846A6" w:rsidRPr="009461CC" w:rsidRDefault="009B4453" w:rsidP="004846A6">
      <w:pPr>
        <w:spacing w:before="100" w:beforeAutospacing="1" w:line="240" w:lineRule="auto"/>
        <w:rPr>
          <w:rFonts w:eastAsia="Times New Roman" w:cs="Times New Roman"/>
          <w:szCs w:val="24"/>
        </w:rPr>
      </w:pPr>
      <w:r>
        <w:rPr>
          <w:rFonts w:eastAsia="Times New Roman" w:cs="Times New Roman"/>
          <w:szCs w:val="24"/>
          <w:lang w:val="es-ES"/>
        </w:rPr>
        <w:t>Guías clínicas: las recomendaciones de asociaciones profesionales (p. ej., SIR, ESC, KDOQI) respaldan el uso de métodos de extracción percutánea, incluidas las asas, como tratamiento de primera línea para la extracción de cuerpos extraños en el sistema cardiovascular.</w:t>
      </w:r>
    </w:p>
    <w:p w14:paraId="661EF380" w14:textId="29BB1CA1" w:rsidR="00516D79" w:rsidRPr="009461CC" w:rsidRDefault="00516D79" w:rsidP="004846A6">
      <w:pPr>
        <w:spacing w:before="100" w:beforeAutospacing="1" w:line="240" w:lineRule="auto"/>
        <w:rPr>
          <w:rFonts w:eastAsia="Times New Roman" w:cs="Times New Roman"/>
          <w:szCs w:val="24"/>
        </w:rPr>
      </w:pPr>
      <w:r>
        <w:rPr>
          <w:rFonts w:eastAsia="Times New Roman" w:cs="Times New Roman"/>
          <w:szCs w:val="24"/>
          <w:lang w:val="es-ES"/>
        </w:rPr>
        <w:t>Literatura sobre el dispositivo en cuestión: trece publicaciones (incluidos informes de casos y estudios retrospectivos) sobre Atrieve mostraron un éxito técnico del 100 % y un éxito clínico del 94,5 %, con acontecimientos adversos mínimos. Algunas métricas de rendimiento presentaron un rendimiento ligeramente inferior al de los parámetros de referencia del SOA, pero se mantuvieron dentro de rangos clínicos aceptables.</w:t>
      </w:r>
    </w:p>
    <w:p w14:paraId="66F22352" w14:textId="28F3CCF3" w:rsidR="004846A6" w:rsidRPr="009461CC" w:rsidRDefault="004846A6" w:rsidP="004846A6">
      <w:pPr>
        <w:spacing w:before="100" w:beforeAutospacing="1" w:line="240" w:lineRule="auto"/>
        <w:rPr>
          <w:rFonts w:eastAsia="Times New Roman" w:cs="Times New Roman"/>
          <w:szCs w:val="24"/>
        </w:rPr>
      </w:pPr>
      <w:r>
        <w:rPr>
          <w:rFonts w:eastAsia="Times New Roman" w:cs="Times New Roman"/>
          <w:szCs w:val="24"/>
          <w:lang w:val="es-ES"/>
        </w:rPr>
        <w:t>Además, el informe integra datos de vigilancia poscomercialización (PMS, por sus siglas en inglés) recopilados a través de planes de vigilancia estructurados para el producto Atrieve. Esto incluye el seguimiento de quejas y acontecimientos adversos durante cinco años, así como medidas correctivas. A pesar del alto volumen de ventas globales, los datos de PMS no revelaron tendencias de seguridad emergentes ni riesgos imprevistos, lo que refuerza los perfiles de seguridad de los dispositivos en condiciones del mundo real.</w:t>
      </w:r>
    </w:p>
    <w:p w14:paraId="6527D03E" w14:textId="73944EC6" w:rsidR="004846A6" w:rsidRPr="009461CC" w:rsidRDefault="004846A6" w:rsidP="004846A6">
      <w:pPr>
        <w:spacing w:before="100" w:beforeAutospacing="1" w:line="240" w:lineRule="auto"/>
        <w:rPr>
          <w:rFonts w:eastAsia="Times New Roman" w:cs="Times New Roman"/>
          <w:szCs w:val="24"/>
        </w:rPr>
      </w:pPr>
      <w:r>
        <w:rPr>
          <w:rFonts w:eastAsia="Times New Roman" w:cs="Times New Roman"/>
          <w:szCs w:val="24"/>
          <w:lang w:val="es-ES"/>
        </w:rPr>
        <w:t>Finalmente, los datos no clínicos, incluidas las pruebas de laboratorio y las evaluaciones de biocompatibilidad, demuestran que los dispositivos cumplen con todos los estándares de diseño y reglamentarios. Si bien no se realizaron investigaciones clínicas para estos dispositivos, esto se justificó con datos exhaustivos de la literatura, fuentes poscomercialización y el uso de dispositivos heredados. En general, estas fuentes de datos respaldan colectivamente la seguridad y eficacia de los dispositivos de acuerdo con los requisitos del MDR de la UE.</w:t>
      </w:r>
    </w:p>
    <w:p w14:paraId="0F01E5AD" w14:textId="2BD461FF" w:rsidR="008745ED" w:rsidRPr="009461CC" w:rsidRDefault="008745ED" w:rsidP="00042B91">
      <w:pPr>
        <w:pStyle w:val="Heading1"/>
        <w:rPr>
          <w:rFonts w:cs="Times New Roman"/>
        </w:rPr>
      </w:pPr>
      <w:bookmarkStart w:id="75" w:name="_Toc222741784"/>
      <w:r>
        <w:rPr>
          <w:rFonts w:cs="Times New Roman"/>
          <w:bCs/>
          <w:lang w:val="es-ES"/>
        </w:rPr>
        <w:t>Resumen general del rendimiento clínico y la seguridad</w:t>
      </w:r>
      <w:bookmarkEnd w:id="75"/>
      <w:r>
        <w:rPr>
          <w:rFonts w:cs="Times New Roman"/>
          <w:bCs/>
          <w:lang w:val="es-ES"/>
        </w:rPr>
        <w:t xml:space="preserve"> </w:t>
      </w:r>
    </w:p>
    <w:p w14:paraId="7C1B956B" w14:textId="77777777" w:rsidR="009977D7" w:rsidRPr="009461CC" w:rsidRDefault="009977D7" w:rsidP="00D52DF8">
      <w:pPr>
        <w:spacing w:after="0" w:afterAutospacing="0" w:line="240" w:lineRule="auto"/>
        <w:rPr>
          <w:rFonts w:eastAsia="Times New Roman" w:cs="Times New Roman"/>
          <w:iCs/>
          <w:szCs w:val="24"/>
        </w:rPr>
      </w:pPr>
    </w:p>
    <w:p w14:paraId="068544DB" w14:textId="3687A670" w:rsidR="00D52DF8" w:rsidRPr="009461CC" w:rsidRDefault="00D52DF8" w:rsidP="00D52DF8">
      <w:pPr>
        <w:spacing w:after="0" w:afterAutospacing="0" w:line="240" w:lineRule="auto"/>
        <w:rPr>
          <w:rFonts w:eastAsia="Times New Roman" w:cs="Times New Roman"/>
          <w:iCs/>
          <w:szCs w:val="24"/>
        </w:rPr>
      </w:pPr>
      <w:r>
        <w:rPr>
          <w:rFonts w:eastAsia="Times New Roman" w:cs="Times New Roman"/>
          <w:szCs w:val="24"/>
          <w:lang w:val="es-ES"/>
        </w:rPr>
        <w:t>Según los documentos X9585730-0321-EU Rev A y CER-029 Rev B para el kit Atrieve Vascular Snare, el perfil general de rendimiento clínico y seguridad del dispositivo es favorable y consistente con las expectativas para el uso previsto.</w:t>
      </w:r>
    </w:p>
    <w:p w14:paraId="3508FD3D" w14:textId="77777777" w:rsidR="002E59B4" w:rsidRPr="009461CC" w:rsidRDefault="002E59B4" w:rsidP="00D52DF8">
      <w:pPr>
        <w:spacing w:after="0" w:afterAutospacing="0" w:line="240" w:lineRule="auto"/>
        <w:rPr>
          <w:rFonts w:eastAsia="Times New Roman" w:cs="Times New Roman"/>
          <w:iCs/>
          <w:szCs w:val="24"/>
        </w:rPr>
      </w:pPr>
    </w:p>
    <w:p w14:paraId="0A303358" w14:textId="24357A0A" w:rsidR="00C361CA" w:rsidRPr="009461CC" w:rsidRDefault="005C642C" w:rsidP="00C97841">
      <w:pPr>
        <w:spacing w:after="0" w:afterAutospacing="0" w:line="240" w:lineRule="auto"/>
        <w:rPr>
          <w:rFonts w:cs="Times New Roman"/>
        </w:rPr>
      </w:pPr>
      <w:r>
        <w:rPr>
          <w:rFonts w:cs="Times New Roman"/>
          <w:lang w:val="es-ES"/>
        </w:rPr>
        <w:t xml:space="preserve">El dispositivo está diseñado para </w:t>
      </w:r>
      <w:r>
        <w:rPr>
          <w:rStyle w:val="Strong"/>
          <w:rFonts w:cs="Times New Roman"/>
          <w:lang w:val="es-ES"/>
        </w:rPr>
        <w:t>extracción y manipulación percutánea de cuerpos extraños</w:t>
      </w:r>
      <w:r>
        <w:rPr>
          <w:rFonts w:cs="Times New Roman"/>
          <w:lang w:val="es-ES"/>
        </w:rPr>
        <w:t xml:space="preserve"> en el sistema cardiovascular o víscera hueca. Los beneficios clínicos clave incluyen una extracción mínimamente invasiva, un menor riesgo para el paciente y menores tasas de complicaciones en comparación con las alternativas quirúrgicas.</w:t>
      </w:r>
    </w:p>
    <w:p w14:paraId="0DE0B963" w14:textId="77777777" w:rsidR="005C642C" w:rsidRPr="009461CC" w:rsidRDefault="005C642C" w:rsidP="00C97841">
      <w:pPr>
        <w:spacing w:after="0" w:afterAutospacing="0" w:line="240" w:lineRule="auto"/>
        <w:rPr>
          <w:rFonts w:eastAsia="Times New Roman" w:cs="Times New Roman"/>
          <w:iCs/>
          <w:szCs w:val="24"/>
        </w:rPr>
      </w:pPr>
    </w:p>
    <w:p w14:paraId="2DA4A118" w14:textId="58FE2B84" w:rsidR="00C97841" w:rsidRPr="009461CC" w:rsidRDefault="00B26297" w:rsidP="00C97841">
      <w:pPr>
        <w:spacing w:after="0" w:afterAutospacing="0" w:line="240" w:lineRule="auto"/>
        <w:rPr>
          <w:rFonts w:eastAsia="Times New Roman" w:cs="Times New Roman"/>
          <w:iCs/>
          <w:szCs w:val="24"/>
        </w:rPr>
      </w:pPr>
      <w:r>
        <w:rPr>
          <w:rFonts w:eastAsia="Times New Roman" w:cs="Times New Roman"/>
          <w:szCs w:val="24"/>
          <w:lang w:val="es-ES"/>
        </w:rPr>
        <w:lastRenderedPageBreak/>
        <w:t>La evaluación clínica define las siguientes mediciones de resultados:</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es-ES"/>
              </w:rPr>
              <w:t>Mediciones de rendimiento</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es-ES"/>
              </w:rPr>
              <w:t>Medida</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es-ES"/>
              </w:rPr>
              <w:t>Definición</w:t>
            </w:r>
          </w:p>
        </w:tc>
      </w:tr>
      <w:tr w:rsidR="00942C1E" w:rsidRPr="009461CC"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es-ES"/>
              </w:rPr>
              <w:t>Tasa de éxito técnico</w:t>
            </w:r>
          </w:p>
        </w:tc>
        <w:tc>
          <w:tcPr>
            <w:tcW w:w="3514" w:type="pct"/>
            <w:tcMar>
              <w:top w:w="120" w:type="dxa"/>
              <w:left w:w="180" w:type="dxa"/>
              <w:bottom w:w="105" w:type="dxa"/>
              <w:right w:w="120" w:type="dxa"/>
            </w:tcMar>
            <w:hideMark/>
          </w:tcPr>
          <w:p w14:paraId="55E25C25" w14:textId="77777777" w:rsidR="00942C1E" w:rsidRPr="009461CC" w:rsidRDefault="00942C1E" w:rsidP="004241EF">
            <w:pPr>
              <w:spacing w:after="0" w:line="240" w:lineRule="auto"/>
              <w:jc w:val="center"/>
              <w:rPr>
                <w:rFonts w:eastAsia="Times New Roman" w:cs="Times New Roman"/>
              </w:rPr>
            </w:pPr>
            <w:r>
              <w:rPr>
                <w:rFonts w:eastAsia="Times New Roman" w:cs="Times New Roman"/>
                <w:lang w:val="es-ES"/>
              </w:rPr>
              <w:t>Extracción/Manipulación exitosa de cuerpos extraños</w:t>
            </w:r>
          </w:p>
        </w:tc>
      </w:tr>
      <w:tr w:rsidR="00942C1E" w:rsidRPr="009461CC"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es-ES"/>
              </w:rPr>
              <w:t>Tasa de éxito clínico</w:t>
            </w:r>
          </w:p>
        </w:tc>
        <w:tc>
          <w:tcPr>
            <w:tcW w:w="3514" w:type="pct"/>
            <w:tcMar>
              <w:top w:w="120" w:type="dxa"/>
              <w:left w:w="180" w:type="dxa"/>
              <w:bottom w:w="90" w:type="dxa"/>
              <w:right w:w="120" w:type="dxa"/>
            </w:tcMar>
            <w:hideMark/>
          </w:tcPr>
          <w:p w14:paraId="01FCEBA5" w14:textId="77777777" w:rsidR="00942C1E" w:rsidRPr="009461CC" w:rsidRDefault="00942C1E" w:rsidP="004241EF">
            <w:pPr>
              <w:spacing w:after="0" w:line="240" w:lineRule="auto"/>
              <w:jc w:val="center"/>
              <w:rPr>
                <w:rFonts w:eastAsia="Times New Roman" w:cs="Times New Roman"/>
              </w:rPr>
            </w:pPr>
            <w:r>
              <w:rPr>
                <w:rFonts w:eastAsia="Times New Roman" w:cs="Times New Roman"/>
                <w:lang w:val="es-ES"/>
              </w:rPr>
              <w:t>Extracción/Manipulación exitosa sin complicaciones en el procedimiento</w:t>
            </w:r>
          </w:p>
        </w:tc>
      </w:tr>
    </w:tbl>
    <w:p w14:paraId="6CABCDF2" w14:textId="77777777" w:rsidR="004F7F77" w:rsidRPr="009461CC" w:rsidRDefault="004F7F77" w:rsidP="00C97841">
      <w:pPr>
        <w:spacing w:after="0" w:afterAutospacing="0" w:line="240" w:lineRule="auto"/>
        <w:rPr>
          <w:rFonts w:eastAsia="Times New Roman" w:cs="Times New Roman"/>
          <w:iCs/>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21"/>
        <w:gridCol w:w="7009"/>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607046">
            <w:pPr>
              <w:spacing w:after="0" w:line="240" w:lineRule="auto"/>
              <w:jc w:val="center"/>
              <w:rPr>
                <w:rFonts w:eastAsia="Times New Roman" w:cs="Times New Roman"/>
                <w:b/>
                <w:bCs/>
              </w:rPr>
            </w:pPr>
            <w:r>
              <w:rPr>
                <w:rFonts w:eastAsia="Times New Roman" w:cs="Times New Roman"/>
                <w:b/>
                <w:bCs/>
                <w:lang w:val="es-ES"/>
              </w:rPr>
              <w:t>Mediciones de seguridad</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es-ES"/>
              </w:rPr>
              <w:t>Medida</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es-ES"/>
              </w:rPr>
              <w:t>Definición</w:t>
            </w:r>
          </w:p>
        </w:tc>
      </w:tr>
      <w:tr w:rsidR="00607046" w:rsidRPr="009461CC"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es-ES"/>
              </w:rPr>
              <w:t>Complicaciones en el procedimiento</w:t>
            </w:r>
          </w:p>
        </w:tc>
        <w:tc>
          <w:tcPr>
            <w:tcW w:w="0" w:type="auto"/>
            <w:tcMar>
              <w:top w:w="120" w:type="dxa"/>
              <w:left w:w="180" w:type="dxa"/>
              <w:bottom w:w="105" w:type="dxa"/>
              <w:right w:w="120" w:type="dxa"/>
            </w:tcMar>
            <w:hideMark/>
          </w:tcPr>
          <w:p w14:paraId="5EFFAF53" w14:textId="77777777" w:rsidR="00607046" w:rsidRPr="009461CC" w:rsidRDefault="00607046" w:rsidP="004241EF">
            <w:pPr>
              <w:spacing w:after="0" w:line="240" w:lineRule="auto"/>
              <w:jc w:val="center"/>
              <w:rPr>
                <w:rFonts w:eastAsia="Times New Roman" w:cs="Times New Roman"/>
              </w:rPr>
            </w:pPr>
            <w:r>
              <w:rPr>
                <w:rFonts w:eastAsia="Times New Roman" w:cs="Times New Roman"/>
                <w:lang w:val="es-ES"/>
              </w:rPr>
              <w:t>Incluye sangrado, perforación, embolia, infección, reacción alérgica y dolor</w:t>
            </w:r>
          </w:p>
        </w:tc>
      </w:tr>
      <w:tr w:rsidR="00607046" w:rsidRPr="009461CC"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es-ES"/>
              </w:rPr>
              <w:t>Tasa de complicaciones generales</w:t>
            </w:r>
          </w:p>
        </w:tc>
        <w:tc>
          <w:tcPr>
            <w:tcW w:w="0" w:type="auto"/>
            <w:tcMar>
              <w:top w:w="120" w:type="dxa"/>
              <w:left w:w="180" w:type="dxa"/>
              <w:bottom w:w="90" w:type="dxa"/>
              <w:right w:w="120" w:type="dxa"/>
            </w:tcMar>
            <w:hideMark/>
          </w:tcPr>
          <w:p w14:paraId="2D2E84BE" w14:textId="77777777" w:rsidR="00607046" w:rsidRPr="009461CC" w:rsidRDefault="00607046" w:rsidP="004241EF">
            <w:pPr>
              <w:spacing w:after="0" w:line="240" w:lineRule="auto"/>
              <w:jc w:val="center"/>
              <w:rPr>
                <w:rFonts w:eastAsia="Times New Roman" w:cs="Times New Roman"/>
              </w:rPr>
            </w:pPr>
            <w:r>
              <w:rPr>
                <w:rFonts w:eastAsia="Times New Roman" w:cs="Times New Roman"/>
                <w:lang w:val="es-ES"/>
              </w:rPr>
              <w:t>Tasa combinada de todos los acontecimientos adversos durante o después del procedimiento</w:t>
            </w:r>
          </w:p>
        </w:tc>
      </w:tr>
    </w:tbl>
    <w:p w14:paraId="4A64B2C8" w14:textId="77777777" w:rsidR="00607046" w:rsidRPr="009461CC" w:rsidRDefault="00607046" w:rsidP="00C97841">
      <w:pPr>
        <w:spacing w:after="0" w:afterAutospacing="0" w:line="240" w:lineRule="auto"/>
        <w:rPr>
          <w:rFonts w:eastAsia="Times New Roman" w:cs="Times New Roman"/>
          <w:iCs/>
          <w:szCs w:val="24"/>
        </w:rPr>
      </w:pPr>
    </w:p>
    <w:p w14:paraId="10E95C55" w14:textId="35E4246E" w:rsidR="00050F24" w:rsidRPr="009461CC" w:rsidRDefault="00050F24" w:rsidP="00050F24">
      <w:pPr>
        <w:spacing w:after="0" w:afterAutospacing="0" w:line="240" w:lineRule="auto"/>
        <w:rPr>
          <w:rFonts w:eastAsia="Times New Roman" w:cs="Times New Roman"/>
          <w:iCs/>
          <w:szCs w:val="24"/>
        </w:rPr>
      </w:pPr>
      <w:r>
        <w:rPr>
          <w:rFonts w:eastAsia="Times New Roman" w:cs="Times New Roman"/>
          <w:szCs w:val="24"/>
          <w:lang w:val="es-ES"/>
        </w:rPr>
        <w:t>Resumen de las tasas de éxito para la medición de resultados del asa vascular Atrieve:</w:t>
      </w:r>
    </w:p>
    <w:p w14:paraId="5B675D80" w14:textId="77777777" w:rsidR="00EE18FA" w:rsidRPr="009461CC" w:rsidRDefault="00EE18FA" w:rsidP="00050F24">
      <w:pPr>
        <w:spacing w:after="0" w:afterAutospacing="0" w:line="240" w:lineRule="auto"/>
        <w:rPr>
          <w:rFonts w:eastAsia="Times New Roman" w:cs="Times New Roman"/>
          <w:iCs/>
          <w:szCs w:val="24"/>
        </w:rPr>
      </w:pPr>
    </w:p>
    <w:p w14:paraId="6387EAAA" w14:textId="6A98A9F8"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es-ES"/>
        </w:rPr>
        <w:t>El éxito técnico fue excelente, del 100 %.</w:t>
      </w:r>
    </w:p>
    <w:p w14:paraId="70426807" w14:textId="6A68FCB6"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es-ES"/>
        </w:rPr>
        <w:t>El éxito clínico fue del 94,5 %, ligeramente inferior al umbral del 97,4 %.</w:t>
      </w:r>
    </w:p>
    <w:p w14:paraId="3E9DC071" w14:textId="055EE80D"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es-ES"/>
        </w:rPr>
        <w:t>Las tasas de complicaciones generales, perforación/daño tisular y éxito clínico no cumplieron con los criterios de aceptación.</w:t>
      </w:r>
    </w:p>
    <w:p w14:paraId="44EC781B" w14:textId="7DA02325"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es-ES"/>
        </w:rPr>
        <w:t>Las tasas de embolia, dolor y mortalidad fueron del 0 % y cumplieron los criterios.</w:t>
      </w:r>
    </w:p>
    <w:p w14:paraId="05E37DDA" w14:textId="77777777" w:rsidR="00EE18FA" w:rsidRPr="009461CC" w:rsidRDefault="00EE18FA" w:rsidP="00EE18FA">
      <w:pPr>
        <w:pStyle w:val="ListParagraph"/>
        <w:spacing w:after="0" w:afterAutospacing="0" w:line="240" w:lineRule="auto"/>
        <w:rPr>
          <w:rFonts w:eastAsia="Times New Roman" w:cs="Times New Roman"/>
          <w:iCs/>
          <w:szCs w:val="24"/>
        </w:rPr>
      </w:pPr>
    </w:p>
    <w:p w14:paraId="3F2FC7C2" w14:textId="2808A8DE" w:rsidR="00050F24" w:rsidRPr="009461CC" w:rsidRDefault="00050F24" w:rsidP="00EE18FA">
      <w:pPr>
        <w:spacing w:after="0" w:afterAutospacing="0" w:line="240" w:lineRule="auto"/>
        <w:rPr>
          <w:rFonts w:eastAsia="Times New Roman" w:cs="Times New Roman"/>
          <w:iCs/>
          <w:szCs w:val="24"/>
        </w:rPr>
      </w:pPr>
      <w:r>
        <w:rPr>
          <w:rFonts w:eastAsia="Times New Roman" w:cs="Times New Roman"/>
          <w:szCs w:val="24"/>
          <w:lang w:val="es-ES"/>
        </w:rPr>
        <w:t>A pesar de que algunos criterios de valoración de seguridad superaron los umbrales, el perfil beneficio-riesgo siguió siendo favorable debido al alto éxito técnico y a las complicaciones de baja gravedad.</w:t>
      </w:r>
    </w:p>
    <w:p w14:paraId="2F8EAFF0" w14:textId="77777777" w:rsidR="00AA7F1D" w:rsidRPr="009461CC" w:rsidRDefault="00AA7F1D" w:rsidP="00D47200">
      <w:pPr>
        <w:spacing w:after="0" w:afterAutospacing="0" w:line="240" w:lineRule="auto"/>
        <w:rPr>
          <w:rFonts w:eastAsia="Times New Roman" w:cs="Times New Roman"/>
          <w:iCs/>
          <w:szCs w:val="24"/>
        </w:rPr>
      </w:pPr>
    </w:p>
    <w:p w14:paraId="7A0B3597" w14:textId="24A6D6E4" w:rsidR="00D47200" w:rsidRPr="009461CC" w:rsidRDefault="00AA7F1D" w:rsidP="00D47200">
      <w:pPr>
        <w:spacing w:after="0" w:afterAutospacing="0" w:line="240" w:lineRule="auto"/>
        <w:rPr>
          <w:rFonts w:eastAsia="Times New Roman" w:cs="Times New Roman"/>
          <w:iCs/>
          <w:szCs w:val="24"/>
        </w:rPr>
      </w:pPr>
      <w:r>
        <w:rPr>
          <w:rFonts w:eastAsia="Times New Roman" w:cs="Times New Roman"/>
          <w:szCs w:val="24"/>
          <w:lang w:val="es-ES"/>
        </w:rPr>
        <w:t>Afirmaciones clínicas en las instrucciones de uso y los materiales de marketing</w:t>
      </w:r>
    </w:p>
    <w:p w14:paraId="7DADA029" w14:textId="6C6ECAD3" w:rsidR="001F48BA" w:rsidRPr="009461CC" w:rsidRDefault="00C01A53" w:rsidP="00D52DF8">
      <w:pPr>
        <w:spacing w:after="0" w:afterAutospacing="0" w:line="240" w:lineRule="auto"/>
        <w:rPr>
          <w:rFonts w:cs="Times New Roman"/>
          <w:iCs/>
          <w:szCs w:val="24"/>
        </w:rPr>
      </w:pPr>
      <w:r>
        <w:rPr>
          <w:rFonts w:cs="Times New Roman"/>
          <w:szCs w:val="24"/>
          <w:lang w:val="es-ES"/>
        </w:rPr>
        <w:t>Las siguientes afirmaciones están respaldadas por la evaluación clínica:</w:t>
      </w:r>
    </w:p>
    <w:p w14:paraId="19E8DAE4" w14:textId="77777777" w:rsidR="00EE18FA" w:rsidRPr="009461CC" w:rsidRDefault="00EE18FA" w:rsidP="00D52DF8">
      <w:pPr>
        <w:spacing w:after="0" w:afterAutospacing="0" w:line="240" w:lineRule="auto"/>
        <w:rPr>
          <w:rFonts w:cs="Times New Roman"/>
          <w:iCs/>
          <w:szCs w:val="24"/>
        </w:rPr>
      </w:pPr>
    </w:p>
    <w:p w14:paraId="7925D059" w14:textId="1A5A89DA"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es-ES"/>
        </w:rPr>
        <w:t>Extracción/Manipulación percutánea de cuerpos extraños: respaldada por un 100 % de éxito técnico en la literatura.</w:t>
      </w:r>
    </w:p>
    <w:p w14:paraId="3AB6E45D" w14:textId="783809AA"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es-ES"/>
        </w:rPr>
        <w:t>Tasas de complicaciones más bajas que la intervención quirúrgica: respaldado por literatura comparativa y análisis de estado del arte.</w:t>
      </w:r>
    </w:p>
    <w:p w14:paraId="15638B58" w14:textId="335CFE86"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es-ES"/>
        </w:rPr>
        <w:t>Uso en procedimientos complementarios (p. ej., pelado de la vaina de fibrina, reposicionamiento del catéter): respaldado por informes de casos clínicos y normas de actuación.</w:t>
      </w:r>
    </w:p>
    <w:p w14:paraId="351D383E" w14:textId="7EB46C62" w:rsidR="00C01A53"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es-ES"/>
        </w:rPr>
        <w:lastRenderedPageBreak/>
        <w:t>Seguro para su uso en poblaciones adultas: respaldado por datos de vigilancia poscomercialización y de la literatura.</w:t>
      </w:r>
    </w:p>
    <w:p w14:paraId="68D32F33" w14:textId="77777777" w:rsidR="005D424F" w:rsidRPr="009461CC" w:rsidRDefault="005D424F" w:rsidP="005D424F">
      <w:pPr>
        <w:spacing w:after="0" w:afterAutospacing="0" w:line="240" w:lineRule="auto"/>
        <w:rPr>
          <w:rFonts w:cs="Times New Roman"/>
          <w:iCs/>
          <w:szCs w:val="24"/>
        </w:rPr>
      </w:pPr>
    </w:p>
    <w:p w14:paraId="76063689" w14:textId="3006D09D" w:rsidR="005D424F" w:rsidRPr="009461CC" w:rsidRDefault="005D424F" w:rsidP="005D424F">
      <w:pPr>
        <w:spacing w:after="0" w:afterAutospacing="0" w:line="240" w:lineRule="auto"/>
        <w:rPr>
          <w:rFonts w:cs="Times New Roman"/>
          <w:iCs/>
          <w:szCs w:val="24"/>
        </w:rPr>
      </w:pPr>
      <w:r>
        <w:rPr>
          <w:rFonts w:cs="Times New Roman"/>
          <w:szCs w:val="24"/>
          <w:lang w:val="es-ES"/>
        </w:rPr>
        <w:t>Las asas vasculares Atrieve demuestran un perfil beneficio-riesgo favorable, con un sólido perfil de rendimiento clínico y seguridad respaldado por la literatura, las pruebas y los datos poscomercialización. Cumplen con los estándares reglamentarios y son adecuadas para un uso clínico continuo.</w:t>
      </w:r>
    </w:p>
    <w:p w14:paraId="653883C0" w14:textId="77777777" w:rsidR="003859AF" w:rsidRPr="009461CC" w:rsidRDefault="003859AF" w:rsidP="003859AF">
      <w:pPr>
        <w:spacing w:after="0" w:afterAutospacing="0" w:line="240" w:lineRule="auto"/>
        <w:rPr>
          <w:rFonts w:cs="Times New Roman"/>
          <w:iCs/>
          <w:szCs w:val="24"/>
        </w:rPr>
      </w:pPr>
    </w:p>
    <w:p w14:paraId="6DCFA27A" w14:textId="12CF0A2D" w:rsidR="00C91927" w:rsidRPr="009461CC" w:rsidRDefault="008745ED" w:rsidP="00C91927">
      <w:pPr>
        <w:pStyle w:val="Heading1"/>
        <w:rPr>
          <w:rFonts w:cs="Times New Roman"/>
          <w:color w:val="auto"/>
        </w:rPr>
      </w:pPr>
      <w:bookmarkStart w:id="76" w:name="_Toc222741785"/>
      <w:r>
        <w:rPr>
          <w:rFonts w:cs="Times New Roman"/>
          <w:bCs/>
          <w:color w:val="auto"/>
          <w:lang w:val="es-ES"/>
        </w:rPr>
        <w:t>Seguimiento clínico poscomercialización en curso o previsto</w:t>
      </w:r>
      <w:bookmarkEnd w:id="76"/>
    </w:p>
    <w:p w14:paraId="494CEDC3" w14:textId="10523200" w:rsidR="0094476E" w:rsidRPr="009461CC" w:rsidRDefault="003B4C77" w:rsidP="00C91927">
      <w:pPr>
        <w:spacing w:line="240" w:lineRule="auto"/>
        <w:rPr>
          <w:rFonts w:cs="Times New Roman"/>
          <w:highlight w:val="yellow"/>
        </w:rPr>
      </w:pPr>
      <w:r>
        <w:rPr>
          <w:rFonts w:cs="Times New Roman"/>
          <w:lang w:val="es-ES"/>
        </w:rPr>
        <w:t>El seguimiento clínico poscomercialización de Atrieve Vascular Snare se lleva a cabo de conformidad con PMCFP-029 Rev C y sigue los requisitos del Anexo XIV Parte B del MDR. Las actividades de PMCF están diseñadas para confirmar de manera proactiva la seguridad y el rendimiento del dispositivo en la práctica clínica habitual, identificar cualquier riesgo emergente y verificar que el perfil beneficio-riesgo siga siendo aceptable.</w:t>
      </w:r>
    </w:p>
    <w:p w14:paraId="58642C16" w14:textId="276C8BA1" w:rsidR="00E541DE" w:rsidRPr="009461CC" w:rsidRDefault="00E541DE" w:rsidP="00E541DE">
      <w:pPr>
        <w:pStyle w:val="NormalWeb"/>
      </w:pPr>
      <w:r>
        <w:rPr>
          <w:rStyle w:val="Strong"/>
          <w:lang w:val="es-ES"/>
        </w:rPr>
        <w:t>Actividades en curso del PMCF</w:t>
      </w:r>
      <w:r>
        <w:rPr>
          <w:lang w:val="es-ES"/>
        </w:rPr>
        <w:br/>
        <w:t>Está previsto realizar las siguientes actividades continuas durante todo el ciclo de vida del dispositivo:</w:t>
      </w:r>
    </w:p>
    <w:p w14:paraId="15FC3A69" w14:textId="31C9D895" w:rsidR="00E541DE" w:rsidRPr="009461CC" w:rsidRDefault="00DE3CC0" w:rsidP="00E541DE">
      <w:pPr>
        <w:pStyle w:val="NormalWeb"/>
        <w:numPr>
          <w:ilvl w:val="0"/>
          <w:numId w:val="29"/>
        </w:numPr>
      </w:pPr>
      <w:r>
        <w:rPr>
          <w:rStyle w:val="Strong"/>
          <w:b w:val="0"/>
          <w:bCs w:val="0"/>
          <w:lang w:val="es-ES"/>
        </w:rPr>
        <w:t>Revisión sistemática anual de la literatura:</w:t>
      </w:r>
      <w:r>
        <w:rPr>
          <w:lang w:val="es-ES"/>
        </w:rPr>
        <w:t xml:space="preserve"> se realiza una revisión estructurada de la evidencia clínica publicada relacionada con las asas vasculares y dispositivos comparables para identificar nueva información sobre seguridad, rendimiento, técnicas clínicas o riesgos emergentes.</w:t>
      </w:r>
    </w:p>
    <w:p w14:paraId="08598FA3" w14:textId="6BDEE605" w:rsidR="00E541DE" w:rsidRPr="009461CC" w:rsidRDefault="00DE3CC0" w:rsidP="00E541DE">
      <w:pPr>
        <w:pStyle w:val="NormalWeb"/>
        <w:numPr>
          <w:ilvl w:val="0"/>
          <w:numId w:val="29"/>
        </w:numPr>
      </w:pPr>
      <w:r>
        <w:rPr>
          <w:rStyle w:val="Strong"/>
          <w:b w:val="0"/>
          <w:bCs w:val="0"/>
          <w:lang w:val="es-ES"/>
        </w:rPr>
        <w:t>Revisión anual del estado del arte (SOA):</w:t>
      </w:r>
      <w:r>
        <w:rPr>
          <w:lang w:val="es-ES"/>
        </w:rPr>
        <w:t xml:space="preserve"> se realiza una evaluación de las guías de práctica clínica, los estándares internacionales y las tecnologías competitivas para garantizar la alineación continua con la práctica clínica y técnica actual.</w:t>
      </w:r>
    </w:p>
    <w:p w14:paraId="6EE80A3F" w14:textId="77777777" w:rsidR="00E541DE" w:rsidRPr="009461CC" w:rsidRDefault="00E541DE" w:rsidP="00E541DE">
      <w:pPr>
        <w:pStyle w:val="NormalWeb"/>
        <w:numPr>
          <w:ilvl w:val="0"/>
          <w:numId w:val="29"/>
        </w:numPr>
      </w:pPr>
      <w:r>
        <w:rPr>
          <w:rStyle w:val="Strong"/>
          <w:b w:val="0"/>
          <w:bCs w:val="0"/>
          <w:lang w:val="es-ES"/>
        </w:rPr>
        <w:t>Revisión continua de datos de quejas y acontecimientos adversos:</w:t>
      </w:r>
      <w:r>
        <w:rPr>
          <w:lang w:val="es-ES"/>
        </w:rPr>
        <w:t xml:space="preserve"> si bien esta es una actividad de PMS y no de PMCF, los hallazgos clave se evalúan dentro del proceso de PMCF para determinar si se requiere un seguimiento clínico adicional.</w:t>
      </w:r>
    </w:p>
    <w:p w14:paraId="39597E9A" w14:textId="77777777" w:rsidR="009E1EBB" w:rsidRPr="009461CC" w:rsidRDefault="009E1EBB" w:rsidP="009E1EBB">
      <w:pPr>
        <w:pStyle w:val="NormalWeb"/>
      </w:pPr>
      <w:r>
        <w:rPr>
          <w:rStyle w:val="Strong"/>
          <w:lang w:val="es-ES"/>
        </w:rPr>
        <w:t>Actividades previstas del PMCF</w:t>
      </w:r>
      <w:r>
        <w:rPr>
          <w:lang w:val="es-ES"/>
        </w:rPr>
        <w:br/>
        <w:t>Para recopilar evidencia real específica sobre el kit Atrieve Vascular Snare, está prevista la siguiente actividad:</w:t>
      </w:r>
    </w:p>
    <w:p w14:paraId="395AA027" w14:textId="77777777" w:rsidR="009E1EBB" w:rsidRPr="009461CC" w:rsidRDefault="009E1EBB" w:rsidP="009E1EBB">
      <w:pPr>
        <w:pStyle w:val="NormalWeb"/>
        <w:numPr>
          <w:ilvl w:val="0"/>
          <w:numId w:val="32"/>
        </w:numPr>
      </w:pPr>
      <w:r>
        <w:rPr>
          <w:rStyle w:val="Strong"/>
          <w:lang w:val="es-ES"/>
        </w:rPr>
        <w:t>Encuesta a médicos del PMCF:</w:t>
      </w:r>
      <w:r>
        <w:rPr>
          <w:lang w:val="es-ES"/>
        </w:rPr>
        <w:br/>
        <w:t>Se realizará una encuesta estructurada entre los usuarios clínicos para registrar su experiencia con el dispositivo, evaluar su desempeño en la práctica habitual e identificar cualquier complicación observada o acontecimiento inesperado. Los resultados de la encuesta se analizarán e incorporarán al informe de evaluación del PMCF. Los hallazgos servirán para tomar decisiones sobre la necesidad de realizar actividades adicionales de PMCF o de actualizar el informe de evaluación clínica (CER, por sus siglas en inglés) y el informe de gestión de riesgos (RMR, por sus siglas en inglés).</w:t>
      </w:r>
    </w:p>
    <w:p w14:paraId="1DED8B40" w14:textId="44E4C95F" w:rsidR="00DE0007" w:rsidRPr="009461CC" w:rsidRDefault="00DE0007" w:rsidP="00DE0007">
      <w:pPr>
        <w:pStyle w:val="NormalWeb"/>
      </w:pPr>
      <w:r>
        <w:rPr>
          <w:rStyle w:val="Strong"/>
          <w:lang w:val="es-ES"/>
        </w:rPr>
        <w:t>Justificación del enfoque de PMCF</w:t>
      </w:r>
      <w:r>
        <w:rPr>
          <w:lang w:val="es-ES"/>
        </w:rPr>
        <w:br/>
        <w:t xml:space="preserve">Con base en la evaluación clínica actual, la evidencia bibliográfica y la experiencia poscomercialización, no se han identificado riesgos nuevos o emergentes que requieran una investigación clínica específica del dispositivo. Las actividades existentes del PMCF, la literatura anual y las revisiones del SOA respaldadas por comentarios específicos de los médicos se consideran suficientes para confirmar la seguridad y el </w:t>
      </w:r>
      <w:r>
        <w:rPr>
          <w:lang w:val="es-ES"/>
        </w:rPr>
        <w:lastRenderedPageBreak/>
        <w:t>rendimiento continuos de este dispositivo de clase III heredado y bien establecido, el kit Atrieve Vascular Snare.</w:t>
      </w:r>
    </w:p>
    <w:p w14:paraId="3DA3C9CA" w14:textId="77777777" w:rsidR="005B4422" w:rsidRPr="009461CC" w:rsidRDefault="005B4422" w:rsidP="005B4422">
      <w:pPr>
        <w:pStyle w:val="NormalWeb"/>
        <w:spacing w:before="0" w:beforeAutospacing="0" w:after="0" w:afterAutospacing="0"/>
      </w:pPr>
      <w:r>
        <w:rPr>
          <w:rStyle w:val="Strong"/>
          <w:lang w:val="es-ES"/>
        </w:rPr>
        <w:t>Informes de PMCF</w:t>
      </w:r>
    </w:p>
    <w:p w14:paraId="5C389055" w14:textId="14E4D114" w:rsidR="0094476E" w:rsidRDefault="00B04139" w:rsidP="007002E4">
      <w:pPr>
        <w:pStyle w:val="NormalWeb"/>
        <w:spacing w:before="0" w:beforeAutospacing="0" w:after="0" w:afterAutospacing="0"/>
      </w:pPr>
      <w:r>
        <w:rPr>
          <w:lang w:val="es-ES"/>
        </w:rPr>
        <w:t>Se genera un informe de PMCF a intervalos definidos y siempre que haya nueva información disponible que pueda afectar el perfil beneficio-riesgo. Todos los resultados del PMCF se incorporan al informe de evaluación clínica (CER), al informe de gestión de riesgos (RMR) y a otros procesos poscomercialización según sea necesario.</w:t>
      </w:r>
    </w:p>
    <w:p w14:paraId="09D946B7" w14:textId="77777777" w:rsidR="007002E4" w:rsidRPr="007002E4" w:rsidRDefault="007002E4" w:rsidP="007002E4">
      <w:pPr>
        <w:pStyle w:val="NormalWeb"/>
        <w:spacing w:before="0" w:beforeAutospacing="0" w:after="0" w:afterAutospacing="0"/>
      </w:pPr>
    </w:p>
    <w:p w14:paraId="748C3FE5" w14:textId="1D19292C" w:rsidR="00760400" w:rsidRPr="009461CC" w:rsidRDefault="00760400" w:rsidP="00F67A0E">
      <w:pPr>
        <w:pStyle w:val="Heading1"/>
        <w:numPr>
          <w:ilvl w:val="0"/>
          <w:numId w:val="2"/>
        </w:numPr>
        <w:rPr>
          <w:rFonts w:cs="Times New Roman"/>
        </w:rPr>
      </w:pPr>
      <w:bookmarkStart w:id="77" w:name="_Toc222741786"/>
      <w:r>
        <w:rPr>
          <w:rFonts w:cs="Times New Roman"/>
          <w:bCs/>
          <w:lang w:val="es-ES"/>
        </w:rPr>
        <w:t>Posibles alternativas diagnósticas o de tratamiento</w:t>
      </w:r>
      <w:bookmarkEnd w:id="77"/>
      <w:r>
        <w:rPr>
          <w:rFonts w:cs="Times New Roman"/>
          <w:bCs/>
          <w:lang w:val="es-ES"/>
        </w:rPr>
        <w:t xml:space="preserve"> </w:t>
      </w:r>
    </w:p>
    <w:p w14:paraId="60C316BA" w14:textId="4177FF86" w:rsidR="00042B91" w:rsidRPr="009461CC" w:rsidRDefault="008373C6" w:rsidP="00AB04FB">
      <w:pPr>
        <w:rPr>
          <w:rFonts w:cs="Times New Roman"/>
        </w:rPr>
      </w:pPr>
      <w:r>
        <w:rPr>
          <w:rFonts w:cs="Times New Roman"/>
          <w:lang w:val="es-ES"/>
        </w:rPr>
        <w:t>Según el CER-029 Rev B, se identifican tres alternativas principales para la extracción de cuerpos extraños en el sistema cardiovascular. Se recomienda un tratamiento conservador para pacientes quirúrgicos asintomáticos o de alto riesgo, basándose en un seguimiento estrecho y en la obtención de imágenes cuando la intervención pueda suponer mayores riesgos. Las técnicas mínimamente invasivas son el abordaje de preferencia, y las asas de lazo, en particular las asas de cuello de cisne, se utilizan ampliamente para extracciones estándar y complejas. Las pinzas proporcionan un agarre preciso y son adecuadas para casos difíciles, como dispositivos fracturados o incrustados. La extracción quirúrgica, como la toracotomía o la esternotomía, es una opción de último recurso debido a su naturaleza invasiva y al mayor riesgo para el paciente. En general, la extracción endovascular sigue siendo el estándar de atención, con un tratamiento adaptado a la condición del paciente y a las características del cuerpo extraño.</w:t>
      </w:r>
    </w:p>
    <w:p w14:paraId="2CDE6FBF" w14:textId="77777777" w:rsidR="00042B91" w:rsidRPr="009461CC" w:rsidRDefault="00042B91" w:rsidP="00F67A0E">
      <w:pPr>
        <w:pStyle w:val="Heading1"/>
        <w:numPr>
          <w:ilvl w:val="0"/>
          <w:numId w:val="2"/>
        </w:numPr>
        <w:rPr>
          <w:rFonts w:cs="Times New Roman"/>
        </w:rPr>
      </w:pPr>
      <w:bookmarkStart w:id="78" w:name="_Toc222741787"/>
      <w:r>
        <w:rPr>
          <w:rFonts w:cs="Times New Roman"/>
          <w:bCs/>
          <w:lang w:val="es-ES"/>
        </w:rPr>
        <w:t>Perfil y formación recomendados para los usuarios</w:t>
      </w:r>
      <w:bookmarkEnd w:id="78"/>
    </w:p>
    <w:p w14:paraId="35173865" w14:textId="0C72FD3E" w:rsidR="00042B91" w:rsidRPr="009461CC" w:rsidRDefault="00A5239F" w:rsidP="00042B91">
      <w:pPr>
        <w:spacing w:after="0" w:afterAutospacing="0" w:line="240" w:lineRule="auto"/>
        <w:rPr>
          <w:rFonts w:eastAsia="Calibri" w:cs="Times New Roman"/>
          <w:szCs w:val="24"/>
        </w:rPr>
      </w:pPr>
      <w:r>
        <w:rPr>
          <w:rFonts w:eastAsia="Calibri" w:cs="Times New Roman"/>
          <w:szCs w:val="24"/>
          <w:lang w:val="es-ES"/>
        </w:rPr>
        <w:t>El producto solo debe ser utilizado por personal médico cualificado y familiarizado con la técnica.</w:t>
      </w:r>
    </w:p>
    <w:p w14:paraId="21A7D581" w14:textId="77777777" w:rsidR="00A5239F" w:rsidRPr="009461CC" w:rsidRDefault="00A5239F" w:rsidP="00042B91">
      <w:pPr>
        <w:spacing w:after="0" w:afterAutospacing="0" w:line="240" w:lineRule="auto"/>
        <w:rPr>
          <w:rFonts w:cs="Times New Roman"/>
          <w:i/>
          <w:color w:val="FF0000"/>
          <w:highlight w:val="yellow"/>
        </w:rPr>
      </w:pPr>
    </w:p>
    <w:p w14:paraId="7848B753" w14:textId="692785D6" w:rsidR="0037316E" w:rsidRPr="009461CC" w:rsidRDefault="00760400" w:rsidP="00F67A0E">
      <w:pPr>
        <w:pStyle w:val="Heading1"/>
        <w:numPr>
          <w:ilvl w:val="0"/>
          <w:numId w:val="2"/>
        </w:numPr>
        <w:rPr>
          <w:rFonts w:cs="Times New Roman"/>
        </w:rPr>
      </w:pPr>
      <w:bookmarkStart w:id="79" w:name="_Toc222741788"/>
      <w:r>
        <w:rPr>
          <w:rFonts w:cs="Times New Roman"/>
          <w:bCs/>
          <w:lang w:val="es-ES"/>
        </w:rPr>
        <w:t>Normas armonizadas/Especificaciones comunes</w:t>
      </w:r>
      <w:bookmarkEnd w:id="79"/>
    </w:p>
    <w:tbl>
      <w:tblPr>
        <w:tblStyle w:val="TableGrid"/>
        <w:tblW w:w="4959" w:type="pct"/>
        <w:tblLook w:val="04A0" w:firstRow="1" w:lastRow="0" w:firstColumn="1" w:lastColumn="0" w:noHBand="0" w:noVBand="1"/>
      </w:tblPr>
      <w:tblGrid>
        <w:gridCol w:w="2336"/>
        <w:gridCol w:w="8008"/>
      </w:tblGrid>
      <w:tr w:rsidR="0094168A" w:rsidRPr="009461CC" w14:paraId="04F3E487" w14:textId="77777777" w:rsidTr="00293453">
        <w:trPr>
          <w:tblHeader/>
        </w:trPr>
        <w:tc>
          <w:tcPr>
            <w:tcW w:w="1129" w:type="pct"/>
          </w:tcPr>
          <w:p w14:paraId="5EEB168D" w14:textId="77777777" w:rsidR="0094168A" w:rsidRPr="009461CC" w:rsidRDefault="0094168A" w:rsidP="00293453">
            <w:pPr>
              <w:spacing w:after="0" w:afterAutospacing="0"/>
              <w:jc w:val="center"/>
              <w:rPr>
                <w:rFonts w:cs="Times New Roman"/>
                <w:b/>
                <w:bCs/>
                <w:sz w:val="22"/>
              </w:rPr>
            </w:pPr>
            <w:r>
              <w:rPr>
                <w:rFonts w:cs="Times New Roman"/>
                <w:b/>
                <w:bCs/>
                <w:sz w:val="22"/>
                <w:lang w:val="es-ES"/>
              </w:rPr>
              <w:t>Fecha/Versión de conformidad de Argon</w:t>
            </w:r>
          </w:p>
        </w:tc>
        <w:tc>
          <w:tcPr>
            <w:tcW w:w="3871" w:type="pct"/>
          </w:tcPr>
          <w:p w14:paraId="7BCD1036" w14:textId="77777777" w:rsidR="0094168A" w:rsidRPr="009461CC" w:rsidRDefault="0094168A" w:rsidP="00293453">
            <w:pPr>
              <w:spacing w:after="0" w:afterAutospacing="0"/>
              <w:jc w:val="center"/>
              <w:rPr>
                <w:rFonts w:cs="Times New Roman"/>
                <w:b/>
                <w:bCs/>
                <w:sz w:val="22"/>
              </w:rPr>
            </w:pPr>
            <w:r>
              <w:rPr>
                <w:rFonts w:cs="Times New Roman"/>
                <w:b/>
                <w:bCs/>
                <w:sz w:val="22"/>
                <w:lang w:val="es-ES"/>
              </w:rPr>
              <w:t>Título de la norma</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293453">
            <w:pPr>
              <w:spacing w:after="0" w:afterAutospacing="0"/>
              <w:jc w:val="center"/>
              <w:rPr>
                <w:rFonts w:cs="Times New Roman"/>
                <w:b/>
                <w:bCs/>
                <w:sz w:val="22"/>
              </w:rPr>
            </w:pPr>
            <w:r>
              <w:rPr>
                <w:rFonts w:cs="Times New Roman"/>
                <w:b/>
                <w:bCs/>
                <w:sz w:val="22"/>
                <w:lang w:val="es-ES"/>
              </w:rPr>
              <w:t>Etiquetado</w:t>
            </w:r>
          </w:p>
        </w:tc>
      </w:tr>
      <w:tr w:rsidR="0094168A" w:rsidRPr="009461CC" w14:paraId="25DF072C" w14:textId="77777777" w:rsidTr="00293453">
        <w:tc>
          <w:tcPr>
            <w:tcW w:w="1129" w:type="pct"/>
          </w:tcPr>
          <w:p w14:paraId="434B73AC" w14:textId="77777777" w:rsidR="0094168A" w:rsidRPr="009461CC" w:rsidRDefault="0094168A" w:rsidP="00293453">
            <w:pPr>
              <w:spacing w:after="0" w:afterAutospacing="0"/>
              <w:rPr>
                <w:rFonts w:cs="Times New Roman"/>
                <w:sz w:val="22"/>
              </w:rPr>
            </w:pPr>
            <w:r>
              <w:rPr>
                <w:rFonts w:eastAsia="Times New Roman" w:cs="Times New Roman"/>
                <w:sz w:val="22"/>
                <w:lang w:val="es-ES"/>
              </w:rPr>
              <w:t>EN ISO 15223-1:2021</w:t>
            </w:r>
          </w:p>
        </w:tc>
        <w:tc>
          <w:tcPr>
            <w:tcW w:w="3871" w:type="pct"/>
          </w:tcPr>
          <w:p w14:paraId="40A15B1C" w14:textId="77777777" w:rsidR="0094168A" w:rsidRPr="009461CC" w:rsidRDefault="0094168A" w:rsidP="00293453">
            <w:pPr>
              <w:spacing w:after="0" w:afterAutospacing="0"/>
              <w:rPr>
                <w:rFonts w:cs="Times New Roman"/>
                <w:sz w:val="22"/>
              </w:rPr>
            </w:pPr>
            <w:r>
              <w:rPr>
                <w:rFonts w:cs="Times New Roman"/>
                <w:sz w:val="22"/>
                <w:lang w:val="es-ES"/>
              </w:rPr>
              <w:t xml:space="preserve">Productos sanitarios - Símbolos a utilizar con productos sanitarios. </w:t>
            </w:r>
          </w:p>
          <w:p w14:paraId="093121E8" w14:textId="77777777" w:rsidR="0094168A" w:rsidRPr="009461CC" w:rsidRDefault="0094168A" w:rsidP="00293453">
            <w:pPr>
              <w:spacing w:after="0" w:afterAutospacing="0"/>
              <w:rPr>
                <w:rFonts w:cs="Times New Roman"/>
                <w:sz w:val="22"/>
              </w:rPr>
            </w:pPr>
            <w:r>
              <w:rPr>
                <w:rFonts w:cs="Times New Roman"/>
                <w:sz w:val="22"/>
                <w:lang w:val="es-ES"/>
              </w:rPr>
              <w:t xml:space="preserve">Etiquetas, etiquetado e información que debe suministrarse - Parte 1: Requisitos generales. </w:t>
            </w:r>
          </w:p>
          <w:p w14:paraId="3CEE87DD" w14:textId="77777777" w:rsidR="0094168A" w:rsidRPr="009461CC" w:rsidRDefault="0094168A" w:rsidP="00293453">
            <w:pPr>
              <w:spacing w:after="0" w:afterAutospacing="0"/>
              <w:rPr>
                <w:rFonts w:cs="Times New Roman"/>
                <w:sz w:val="22"/>
              </w:rPr>
            </w:pPr>
          </w:p>
        </w:tc>
      </w:tr>
      <w:tr w:rsidR="0094168A" w:rsidRPr="009461CC" w14:paraId="13723641" w14:textId="77777777" w:rsidTr="00293453">
        <w:tc>
          <w:tcPr>
            <w:tcW w:w="1129" w:type="pct"/>
          </w:tcPr>
          <w:p w14:paraId="7822ED4F" w14:textId="77777777" w:rsidR="0094168A" w:rsidRPr="009461CC" w:rsidRDefault="0094168A" w:rsidP="00293453">
            <w:pPr>
              <w:spacing w:after="0" w:afterAutospacing="0"/>
              <w:rPr>
                <w:rFonts w:cs="Times New Roman"/>
                <w:sz w:val="22"/>
              </w:rPr>
            </w:pPr>
            <w:r>
              <w:rPr>
                <w:rFonts w:cs="Times New Roman"/>
                <w:sz w:val="22"/>
                <w:lang w:val="es-ES"/>
              </w:rPr>
              <w:t>EN ISO 20417:2021</w:t>
            </w:r>
          </w:p>
        </w:tc>
        <w:tc>
          <w:tcPr>
            <w:tcW w:w="3871" w:type="pct"/>
          </w:tcPr>
          <w:p w14:paraId="6EF6F718" w14:textId="77777777" w:rsidR="0094168A" w:rsidRPr="009461CC" w:rsidRDefault="0094168A" w:rsidP="00293453">
            <w:pPr>
              <w:spacing w:after="0" w:afterAutospacing="0"/>
              <w:rPr>
                <w:rFonts w:cs="Times New Roman"/>
                <w:sz w:val="22"/>
              </w:rPr>
            </w:pPr>
            <w:r>
              <w:rPr>
                <w:rFonts w:cs="Times New Roman"/>
                <w:sz w:val="22"/>
                <w:lang w:val="es-ES"/>
              </w:rPr>
              <w:t>Terminología, símbolos e información proporcionada con los productos sanitarios: Información suministrada por el fabricante con los productos sanitarios</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293453">
            <w:pPr>
              <w:spacing w:after="0" w:afterAutospacing="0"/>
              <w:jc w:val="center"/>
              <w:rPr>
                <w:rFonts w:cs="Times New Roman"/>
                <w:b/>
                <w:bCs/>
                <w:sz w:val="22"/>
              </w:rPr>
            </w:pPr>
            <w:r>
              <w:rPr>
                <w:rFonts w:cs="Times New Roman"/>
                <w:b/>
                <w:bCs/>
                <w:sz w:val="22"/>
                <w:lang w:val="es-ES"/>
              </w:rPr>
              <w:t>Normas generales – Esterilización</w:t>
            </w:r>
          </w:p>
        </w:tc>
      </w:tr>
      <w:tr w:rsidR="0094168A" w:rsidRPr="009461CC" w14:paraId="7C28E0D3" w14:textId="77777777" w:rsidTr="00293453">
        <w:tc>
          <w:tcPr>
            <w:tcW w:w="1129" w:type="pct"/>
          </w:tcPr>
          <w:p w14:paraId="0416000A" w14:textId="77777777" w:rsidR="0094168A" w:rsidRPr="009461CC" w:rsidRDefault="0094168A" w:rsidP="00293453">
            <w:pPr>
              <w:spacing w:after="0" w:afterAutospacing="0"/>
              <w:rPr>
                <w:rFonts w:cs="Times New Roman"/>
                <w:sz w:val="22"/>
              </w:rPr>
            </w:pPr>
            <w:r>
              <w:rPr>
                <w:rFonts w:cs="Times New Roman"/>
                <w:sz w:val="22"/>
                <w:lang w:val="es-ES"/>
              </w:rPr>
              <w:t>ISO 10555-1:2013</w:t>
            </w:r>
          </w:p>
        </w:tc>
        <w:tc>
          <w:tcPr>
            <w:tcW w:w="3871" w:type="pct"/>
          </w:tcPr>
          <w:p w14:paraId="5B0C265F" w14:textId="77777777" w:rsidR="0094168A" w:rsidRPr="009461CC" w:rsidRDefault="0094168A" w:rsidP="00293453">
            <w:pPr>
              <w:spacing w:after="0" w:afterAutospacing="0"/>
              <w:rPr>
                <w:rFonts w:cs="Times New Roman"/>
                <w:sz w:val="22"/>
              </w:rPr>
            </w:pPr>
            <w:r>
              <w:rPr>
                <w:rFonts w:cs="Times New Roman"/>
                <w:sz w:val="22"/>
                <w:lang w:val="es-ES"/>
              </w:rPr>
              <w:t>Catéteres intravasculares. Catéteres estériles y de un solo uso. Parte 1: Requisitos generales</w:t>
            </w:r>
          </w:p>
        </w:tc>
      </w:tr>
      <w:tr w:rsidR="0094168A" w:rsidRPr="009461CC" w14:paraId="088E27B4" w14:textId="77777777" w:rsidTr="00293453">
        <w:tc>
          <w:tcPr>
            <w:tcW w:w="1129" w:type="pct"/>
          </w:tcPr>
          <w:p w14:paraId="47460872" w14:textId="77777777" w:rsidR="0094168A" w:rsidRPr="009461CC" w:rsidRDefault="0094168A" w:rsidP="00293453">
            <w:pPr>
              <w:spacing w:after="0" w:afterAutospacing="0"/>
              <w:rPr>
                <w:rFonts w:cs="Times New Roman"/>
                <w:sz w:val="22"/>
              </w:rPr>
            </w:pPr>
            <w:r>
              <w:rPr>
                <w:rFonts w:cs="Times New Roman"/>
                <w:sz w:val="22"/>
                <w:lang w:val="es-ES"/>
              </w:rPr>
              <w:t>EN 556-1:2024</w:t>
            </w:r>
          </w:p>
        </w:tc>
        <w:tc>
          <w:tcPr>
            <w:tcW w:w="3871" w:type="pct"/>
          </w:tcPr>
          <w:p w14:paraId="64BED8C0" w14:textId="77777777" w:rsidR="0094168A" w:rsidRPr="009461CC" w:rsidRDefault="0094168A" w:rsidP="00293453">
            <w:pPr>
              <w:spacing w:after="0" w:afterAutospacing="0"/>
              <w:rPr>
                <w:rFonts w:cs="Times New Roman"/>
                <w:sz w:val="22"/>
              </w:rPr>
            </w:pPr>
            <w:r>
              <w:rPr>
                <w:rFonts w:cs="Times New Roman"/>
                <w:sz w:val="22"/>
                <w:lang w:val="es-ES"/>
              </w:rPr>
              <w:t>Esterilización de productos sanitarios. Requisitos para que los dispositivos médicos sean designados como ESTÉRILES. Requisitos de los productos sanitarios esterilizados en su estado terminal.</w:t>
            </w:r>
          </w:p>
        </w:tc>
      </w:tr>
      <w:tr w:rsidR="0094168A" w:rsidRPr="009461CC" w14:paraId="4DEE0525" w14:textId="77777777" w:rsidTr="00293453">
        <w:tc>
          <w:tcPr>
            <w:tcW w:w="1129" w:type="pct"/>
          </w:tcPr>
          <w:p w14:paraId="5095D1B9" w14:textId="77777777" w:rsidR="0094168A" w:rsidRPr="009461CC" w:rsidRDefault="0094168A" w:rsidP="00293453">
            <w:pPr>
              <w:spacing w:after="0" w:afterAutospacing="0"/>
              <w:rPr>
                <w:rFonts w:cs="Times New Roman"/>
                <w:sz w:val="22"/>
              </w:rPr>
            </w:pPr>
            <w:r>
              <w:rPr>
                <w:rFonts w:cs="Times New Roman"/>
                <w:sz w:val="22"/>
                <w:lang w:val="es-ES"/>
              </w:rPr>
              <w:t>EN ISO 11135:2019</w:t>
            </w:r>
          </w:p>
        </w:tc>
        <w:tc>
          <w:tcPr>
            <w:tcW w:w="3871" w:type="pct"/>
          </w:tcPr>
          <w:p w14:paraId="1E9B7BED" w14:textId="77777777" w:rsidR="0094168A" w:rsidRPr="009461CC" w:rsidRDefault="0094168A" w:rsidP="00293453">
            <w:pPr>
              <w:spacing w:after="0" w:afterAutospacing="0"/>
              <w:rPr>
                <w:rFonts w:cs="Times New Roman"/>
                <w:sz w:val="22"/>
              </w:rPr>
            </w:pPr>
            <w:r>
              <w:rPr>
                <w:rFonts w:cs="Times New Roman"/>
                <w:sz w:val="22"/>
                <w:lang w:val="es-ES"/>
              </w:rPr>
              <w:t>Esterilización de productos para asistencia sanitaria. Óxido de etileno. Parte 1: Requisitos para el desarrollo, la validación y el control de rutina de un proceso de esterilización para productos sanitarios.</w:t>
            </w:r>
          </w:p>
        </w:tc>
      </w:tr>
      <w:tr w:rsidR="0094168A" w:rsidRPr="009461CC" w14:paraId="6B89F042" w14:textId="77777777" w:rsidTr="00293453">
        <w:tc>
          <w:tcPr>
            <w:tcW w:w="1129" w:type="pct"/>
          </w:tcPr>
          <w:p w14:paraId="3F48324F" w14:textId="77777777" w:rsidR="0094168A" w:rsidRPr="009461CC" w:rsidRDefault="0094168A" w:rsidP="00293453">
            <w:pPr>
              <w:spacing w:after="0" w:afterAutospacing="0"/>
              <w:rPr>
                <w:rFonts w:cs="Times New Roman"/>
                <w:sz w:val="22"/>
              </w:rPr>
            </w:pPr>
            <w:r>
              <w:rPr>
                <w:rFonts w:cs="Times New Roman"/>
                <w:sz w:val="22"/>
                <w:lang w:val="es-ES"/>
              </w:rPr>
              <w:lastRenderedPageBreak/>
              <w:t>AAMI TIR28:2016</w:t>
            </w:r>
          </w:p>
          <w:p w14:paraId="4FBEE0AF" w14:textId="77777777" w:rsidR="0094168A" w:rsidRPr="009461CC" w:rsidRDefault="0094168A" w:rsidP="00293453">
            <w:pPr>
              <w:spacing w:after="0" w:afterAutospacing="0"/>
              <w:jc w:val="center"/>
              <w:rPr>
                <w:rFonts w:cs="Times New Roman"/>
                <w:sz w:val="22"/>
              </w:rPr>
            </w:pPr>
          </w:p>
        </w:tc>
        <w:tc>
          <w:tcPr>
            <w:tcW w:w="3871" w:type="pct"/>
          </w:tcPr>
          <w:p w14:paraId="68BE6733" w14:textId="77777777" w:rsidR="0094168A" w:rsidRPr="009461CC" w:rsidRDefault="0094168A" w:rsidP="00293453">
            <w:pPr>
              <w:spacing w:after="0" w:afterAutospacing="0"/>
              <w:rPr>
                <w:rFonts w:cs="Times New Roman"/>
                <w:sz w:val="22"/>
              </w:rPr>
            </w:pPr>
            <w:r>
              <w:rPr>
                <w:rFonts w:cs="Times New Roman"/>
                <w:sz w:val="22"/>
                <w:lang w:val="es-ES"/>
              </w:rPr>
              <w:t>Adopción de productos y equivalencia de procesos para la esterilización con óxido de etileno.</w:t>
            </w:r>
          </w:p>
        </w:tc>
      </w:tr>
      <w:tr w:rsidR="0094168A" w:rsidRPr="009461CC" w14:paraId="1E1CCCD6" w14:textId="77777777" w:rsidTr="00293453">
        <w:tc>
          <w:tcPr>
            <w:tcW w:w="1129" w:type="pct"/>
          </w:tcPr>
          <w:p w14:paraId="25D300ED" w14:textId="77777777" w:rsidR="0094168A" w:rsidRPr="009461CC" w:rsidRDefault="0094168A" w:rsidP="00293453">
            <w:pPr>
              <w:spacing w:after="0" w:afterAutospacing="0"/>
              <w:jc w:val="center"/>
              <w:rPr>
                <w:rFonts w:cs="Times New Roman"/>
                <w:sz w:val="22"/>
              </w:rPr>
            </w:pPr>
            <w:r>
              <w:rPr>
                <w:rFonts w:cs="Times New Roman"/>
                <w:sz w:val="22"/>
                <w:lang w:val="es-ES"/>
              </w:rPr>
              <w:t>EN ISO 14644-1:2015</w:t>
            </w:r>
          </w:p>
        </w:tc>
        <w:tc>
          <w:tcPr>
            <w:tcW w:w="3871" w:type="pct"/>
          </w:tcPr>
          <w:p w14:paraId="2AD73BC5" w14:textId="77777777" w:rsidR="0094168A" w:rsidRPr="009461CC" w:rsidRDefault="0094168A" w:rsidP="00293453">
            <w:pPr>
              <w:spacing w:after="0" w:afterAutospacing="0"/>
              <w:rPr>
                <w:rFonts w:cs="Times New Roman"/>
                <w:sz w:val="22"/>
              </w:rPr>
            </w:pPr>
            <w:r>
              <w:rPr>
                <w:rFonts w:cs="Times New Roman"/>
                <w:sz w:val="22"/>
                <w:lang w:val="es-ES"/>
              </w:rPr>
              <w:t>Clasificación de la limpieza del aire, salas limpias y locales anexos controlados. Parte 1: Clasificación de la limpieza del aire.</w:t>
            </w:r>
          </w:p>
        </w:tc>
      </w:tr>
      <w:tr w:rsidR="0094168A" w:rsidRPr="009461CC" w14:paraId="27E7EE41" w14:textId="77777777" w:rsidTr="00293453">
        <w:trPr>
          <w:trHeight w:val="1097"/>
        </w:trPr>
        <w:tc>
          <w:tcPr>
            <w:tcW w:w="1129" w:type="pct"/>
          </w:tcPr>
          <w:p w14:paraId="51EAE02B" w14:textId="77777777" w:rsidR="0094168A" w:rsidRPr="009461CC" w:rsidRDefault="0094168A" w:rsidP="00293453">
            <w:pPr>
              <w:spacing w:after="0" w:afterAutospacing="0"/>
              <w:jc w:val="center"/>
              <w:rPr>
                <w:rFonts w:cs="Times New Roman"/>
                <w:sz w:val="22"/>
              </w:rPr>
            </w:pPr>
            <w:r>
              <w:rPr>
                <w:rFonts w:cs="Times New Roman"/>
                <w:sz w:val="22"/>
                <w:lang w:val="es-ES"/>
              </w:rPr>
              <w:t>EN ISO 14644-2:2015</w:t>
            </w:r>
          </w:p>
        </w:tc>
        <w:tc>
          <w:tcPr>
            <w:tcW w:w="3871" w:type="pct"/>
          </w:tcPr>
          <w:p w14:paraId="3AA6B4D4" w14:textId="77777777" w:rsidR="0094168A" w:rsidRPr="009461CC" w:rsidRDefault="0094168A" w:rsidP="00293453">
            <w:pPr>
              <w:spacing w:after="0" w:afterAutospacing="0"/>
              <w:rPr>
                <w:rFonts w:cs="Times New Roman"/>
                <w:sz w:val="22"/>
              </w:rPr>
            </w:pPr>
            <w:r>
              <w:rPr>
                <w:rFonts w:cs="Times New Roman"/>
                <w:sz w:val="22"/>
                <w:lang w:val="es-ES"/>
              </w:rPr>
              <w:t>Salas limpias y locales anexos controlados. Parte 2: Seguimiento para proporcionar evidencias del desempeño en relación con la limpieza del aire mediante la concentración de partículas.</w:t>
            </w:r>
          </w:p>
          <w:p w14:paraId="2873EF60" w14:textId="77777777" w:rsidR="0094168A" w:rsidRPr="009461CC" w:rsidRDefault="0094168A" w:rsidP="00293453">
            <w:pPr>
              <w:spacing w:after="0" w:afterAutospacing="0"/>
              <w:rPr>
                <w:rFonts w:cs="Times New Roman"/>
                <w:sz w:val="22"/>
              </w:rPr>
            </w:pPr>
          </w:p>
          <w:p w14:paraId="02B2FEDC" w14:textId="77777777" w:rsidR="0094168A" w:rsidRPr="009461CC" w:rsidRDefault="0094168A" w:rsidP="00293453">
            <w:pPr>
              <w:spacing w:after="0" w:afterAutospacing="0"/>
              <w:rPr>
                <w:rFonts w:cs="Times New Roman"/>
                <w:sz w:val="22"/>
              </w:rPr>
            </w:pPr>
          </w:p>
        </w:tc>
      </w:tr>
      <w:tr w:rsidR="0094168A" w:rsidRPr="009461CC"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293453">
            <w:pPr>
              <w:spacing w:after="0" w:afterAutospacing="0"/>
              <w:jc w:val="center"/>
              <w:rPr>
                <w:rFonts w:cs="Times New Roman"/>
                <w:sz w:val="22"/>
              </w:rPr>
            </w:pPr>
            <w:r>
              <w:rPr>
                <w:rFonts w:eastAsia="Times New Roman" w:cs="Times New Roman"/>
                <w:sz w:val="22"/>
                <w:lang w:val="es-ES"/>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9461CC" w:rsidRDefault="0094168A" w:rsidP="00293453">
            <w:pPr>
              <w:spacing w:after="0" w:afterAutospacing="0"/>
              <w:rPr>
                <w:rFonts w:cs="Times New Roman"/>
                <w:sz w:val="22"/>
              </w:rPr>
            </w:pPr>
            <w:r>
              <w:rPr>
                <w:rFonts w:eastAsia="Times New Roman" w:cs="Times New Roman"/>
                <w:sz w:val="22"/>
                <w:lang w:val="es-ES"/>
              </w:rPr>
              <w:t>Esterilización de productos para la salud. Métodos microbiológicos. Parte 1: Determinación de la población de microorganismos en los productos.</w:t>
            </w:r>
          </w:p>
        </w:tc>
      </w:tr>
      <w:tr w:rsidR="0094168A" w:rsidRPr="009461CC"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293453">
            <w:pPr>
              <w:spacing w:after="0" w:afterAutospacing="0"/>
              <w:jc w:val="center"/>
              <w:rPr>
                <w:rFonts w:cs="Times New Roman"/>
                <w:sz w:val="22"/>
              </w:rPr>
            </w:pPr>
            <w:r>
              <w:rPr>
                <w:rFonts w:eastAsia="Times New Roman" w:cs="Times New Roman"/>
                <w:sz w:val="22"/>
                <w:lang w:val="es-ES"/>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9461CC" w:rsidRDefault="0094168A" w:rsidP="00293453">
            <w:pPr>
              <w:spacing w:after="0" w:afterAutospacing="0"/>
              <w:rPr>
                <w:rFonts w:cs="Times New Roman"/>
                <w:sz w:val="22"/>
              </w:rPr>
            </w:pPr>
            <w:r>
              <w:rPr>
                <w:rFonts w:eastAsia="Times New Roman" w:cs="Times New Roman"/>
                <w:sz w:val="22"/>
                <w:lang w:val="es-ES"/>
              </w:rPr>
              <w:t>Evaluación biológica de productos sanitarios. Residuos de esterilización de óxido de etileno.</w:t>
            </w:r>
          </w:p>
        </w:tc>
      </w:tr>
      <w:tr w:rsidR="0094168A" w:rsidRPr="009461CC" w14:paraId="255576C7" w14:textId="77777777" w:rsidTr="00293453">
        <w:tc>
          <w:tcPr>
            <w:tcW w:w="1129" w:type="pct"/>
          </w:tcPr>
          <w:p w14:paraId="3E855248" w14:textId="77777777" w:rsidR="0094168A" w:rsidRPr="009461CC" w:rsidRDefault="0094168A" w:rsidP="00293453">
            <w:pPr>
              <w:spacing w:after="0" w:afterAutospacing="0"/>
              <w:rPr>
                <w:rFonts w:cs="Times New Roman"/>
                <w:sz w:val="22"/>
              </w:rPr>
            </w:pPr>
            <w:r>
              <w:rPr>
                <w:rFonts w:cs="Times New Roman"/>
                <w:sz w:val="22"/>
                <w:lang w:val="es-ES"/>
              </w:rPr>
              <w:t>NSI/AAMI ST72:2019</w:t>
            </w:r>
          </w:p>
        </w:tc>
        <w:tc>
          <w:tcPr>
            <w:tcW w:w="3871" w:type="pct"/>
          </w:tcPr>
          <w:p w14:paraId="1BB2618F" w14:textId="77777777" w:rsidR="0094168A" w:rsidRPr="009461CC" w:rsidRDefault="0094168A" w:rsidP="00293453">
            <w:pPr>
              <w:spacing w:after="0" w:afterAutospacing="0"/>
              <w:rPr>
                <w:rFonts w:cs="Times New Roman"/>
                <w:sz w:val="22"/>
              </w:rPr>
            </w:pPr>
            <w:r>
              <w:rPr>
                <w:rFonts w:cs="Times New Roman"/>
                <w:sz w:val="22"/>
                <w:lang w:val="es-ES"/>
              </w:rPr>
              <w:t>Prueba de endotoxinas bacterianas</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293453">
            <w:pPr>
              <w:spacing w:after="0" w:afterAutospacing="0"/>
              <w:jc w:val="center"/>
              <w:rPr>
                <w:rFonts w:cs="Times New Roman"/>
                <w:b/>
                <w:bCs/>
                <w:sz w:val="22"/>
              </w:rPr>
            </w:pPr>
            <w:r>
              <w:rPr>
                <w:rFonts w:cs="Times New Roman"/>
                <w:b/>
                <w:bCs/>
                <w:sz w:val="22"/>
                <w:lang w:val="es-ES"/>
              </w:rPr>
              <w:t>Normas generales – Sistemas de calidad</w:t>
            </w:r>
          </w:p>
        </w:tc>
      </w:tr>
      <w:tr w:rsidR="0094168A" w:rsidRPr="009461CC"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293453">
            <w:pPr>
              <w:spacing w:after="0" w:afterAutospacing="0"/>
              <w:rPr>
                <w:rFonts w:cs="Times New Roman"/>
                <w:sz w:val="22"/>
              </w:rPr>
            </w:pPr>
            <w:r>
              <w:rPr>
                <w:rFonts w:eastAsia="Times New Roman" w:cs="Times New Roman"/>
                <w:sz w:val="22"/>
                <w:lang w:val="es-ES"/>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9461CC" w:rsidRDefault="0094168A" w:rsidP="00293453">
            <w:pPr>
              <w:spacing w:after="0" w:afterAutospacing="0"/>
              <w:rPr>
                <w:rFonts w:cs="Times New Roman"/>
                <w:sz w:val="22"/>
              </w:rPr>
            </w:pPr>
            <w:r>
              <w:rPr>
                <w:rFonts w:eastAsia="Times New Roman" w:cs="Times New Roman"/>
                <w:sz w:val="22"/>
                <w:lang w:val="es-ES"/>
              </w:rPr>
              <w:t>Dispositivos médicos/productos sanitarios (MD). Sistemas de gestión de calidad. Requisitos para fines reglamentarios.</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293453">
            <w:pPr>
              <w:spacing w:after="0" w:afterAutospacing="0"/>
              <w:jc w:val="center"/>
              <w:rPr>
                <w:rFonts w:cs="Times New Roman"/>
                <w:b/>
                <w:bCs/>
                <w:sz w:val="22"/>
              </w:rPr>
            </w:pPr>
            <w:r>
              <w:rPr>
                <w:rFonts w:cs="Times New Roman"/>
                <w:b/>
                <w:bCs/>
                <w:sz w:val="22"/>
                <w:lang w:val="es-ES"/>
              </w:rPr>
              <w:t>Gestión de riesgos</w:t>
            </w:r>
          </w:p>
        </w:tc>
      </w:tr>
      <w:tr w:rsidR="0094168A" w:rsidRPr="009461CC" w14:paraId="75307B89" w14:textId="77777777" w:rsidTr="00293453">
        <w:tc>
          <w:tcPr>
            <w:tcW w:w="1129" w:type="pct"/>
          </w:tcPr>
          <w:p w14:paraId="653BDB44" w14:textId="77777777" w:rsidR="0094168A" w:rsidRPr="009461CC" w:rsidRDefault="0094168A" w:rsidP="00293453">
            <w:pPr>
              <w:spacing w:after="0" w:afterAutospacing="0"/>
              <w:rPr>
                <w:rFonts w:cs="Times New Roman"/>
                <w:sz w:val="22"/>
              </w:rPr>
            </w:pPr>
            <w:r>
              <w:rPr>
                <w:rFonts w:cs="Times New Roman"/>
                <w:sz w:val="22"/>
                <w:lang w:val="es-ES"/>
              </w:rPr>
              <w:t>EN ISO 14971:2019</w:t>
            </w:r>
          </w:p>
        </w:tc>
        <w:tc>
          <w:tcPr>
            <w:tcW w:w="3871" w:type="pct"/>
          </w:tcPr>
          <w:p w14:paraId="4457BE68" w14:textId="77777777" w:rsidR="0094168A" w:rsidRPr="009461CC" w:rsidRDefault="0094168A" w:rsidP="00293453">
            <w:pPr>
              <w:spacing w:after="0" w:afterAutospacing="0"/>
              <w:rPr>
                <w:rFonts w:cs="Times New Roman"/>
                <w:sz w:val="22"/>
              </w:rPr>
            </w:pPr>
            <w:r>
              <w:rPr>
                <w:rFonts w:cs="Times New Roman"/>
                <w:sz w:val="22"/>
                <w:lang w:val="es-ES"/>
              </w:rPr>
              <w:t>Aplicación de la gestión de riesgos a los productos sanitarios.</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293453">
            <w:pPr>
              <w:spacing w:after="0" w:afterAutospacing="0"/>
              <w:jc w:val="center"/>
              <w:rPr>
                <w:rFonts w:cs="Times New Roman"/>
                <w:sz w:val="22"/>
              </w:rPr>
            </w:pPr>
            <w:r>
              <w:rPr>
                <w:rFonts w:eastAsia="Arial" w:cs="Times New Roman"/>
                <w:b/>
                <w:bCs/>
                <w:sz w:val="22"/>
                <w:lang w:val="es-ES"/>
              </w:rPr>
              <w:t>Seguridad biológica</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293453">
            <w:pPr>
              <w:spacing w:after="0" w:afterAutospacing="0"/>
              <w:rPr>
                <w:rFonts w:cs="Times New Roman"/>
                <w:bCs/>
                <w:sz w:val="22"/>
              </w:rPr>
            </w:pPr>
            <w:r>
              <w:rPr>
                <w:rFonts w:eastAsia="Arial" w:cs="Times New Roman"/>
                <w:sz w:val="22"/>
                <w:lang w:val="es-ES"/>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9461CC" w:rsidRDefault="0094168A" w:rsidP="00293453">
            <w:pPr>
              <w:spacing w:after="14" w:afterAutospacing="0"/>
              <w:rPr>
                <w:rFonts w:cs="Times New Roman"/>
                <w:sz w:val="22"/>
              </w:rPr>
            </w:pPr>
            <w:r>
              <w:rPr>
                <w:rFonts w:eastAsia="Arial" w:cs="Times New Roman"/>
                <w:sz w:val="22"/>
                <w:lang w:val="es-ES"/>
              </w:rPr>
              <w:t xml:space="preserve">Evaluación biológica de productos sanitarios. Parte 1: </w:t>
            </w:r>
          </w:p>
          <w:p w14:paraId="1D869305" w14:textId="77777777" w:rsidR="0094168A" w:rsidRPr="009461CC" w:rsidRDefault="0094168A" w:rsidP="00293453">
            <w:pPr>
              <w:tabs>
                <w:tab w:val="left" w:pos="1320"/>
              </w:tabs>
              <w:spacing w:after="0" w:afterAutospacing="0"/>
              <w:rPr>
                <w:rFonts w:cs="Times New Roman"/>
                <w:sz w:val="22"/>
              </w:rPr>
            </w:pPr>
            <w:r>
              <w:rPr>
                <w:rFonts w:eastAsia="Arial" w:cs="Times New Roman"/>
                <w:sz w:val="22"/>
                <w:lang w:val="es-ES"/>
              </w:rPr>
              <w:t xml:space="preserve">Evaluación y ensayos.  </w:t>
            </w:r>
          </w:p>
        </w:tc>
      </w:tr>
      <w:tr w:rsidR="0094168A" w:rsidRPr="009461CC"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293453">
            <w:pPr>
              <w:spacing w:after="0" w:afterAutospacing="0"/>
              <w:rPr>
                <w:rFonts w:cs="Times New Roman"/>
                <w:bCs/>
                <w:sz w:val="22"/>
              </w:rPr>
            </w:pPr>
            <w:r>
              <w:rPr>
                <w:rFonts w:eastAsia="Arial" w:cs="Times New Roman"/>
                <w:sz w:val="22"/>
                <w:lang w:val="es-ES"/>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9461CC" w:rsidRDefault="0094168A" w:rsidP="00293453">
            <w:pPr>
              <w:spacing w:after="0" w:afterAutospacing="0"/>
              <w:rPr>
                <w:rFonts w:cs="Times New Roman"/>
                <w:sz w:val="22"/>
              </w:rPr>
            </w:pPr>
            <w:r>
              <w:rPr>
                <w:rFonts w:eastAsia="Arial" w:cs="Times New Roman"/>
                <w:sz w:val="22"/>
                <w:lang w:val="es-ES"/>
              </w:rPr>
              <w:t xml:space="preserve">Evaluación biológica de productos sanitarios. Parte 3: Ensayos de genotoxicidad, carcinogenicidad y toxicidad para la reproducción. </w:t>
            </w:r>
          </w:p>
        </w:tc>
      </w:tr>
      <w:tr w:rsidR="0094168A" w:rsidRPr="009461CC"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293453">
            <w:pPr>
              <w:spacing w:after="0" w:afterAutospacing="0"/>
              <w:rPr>
                <w:rFonts w:cs="Times New Roman"/>
                <w:bCs/>
                <w:sz w:val="22"/>
              </w:rPr>
            </w:pPr>
            <w:r>
              <w:rPr>
                <w:rFonts w:eastAsia="Arial" w:cs="Times New Roman"/>
                <w:sz w:val="22"/>
                <w:lang w:val="es-ES"/>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9461CC" w:rsidRDefault="0094168A" w:rsidP="00293453">
            <w:pPr>
              <w:spacing w:after="0" w:afterAutospacing="0"/>
              <w:rPr>
                <w:rFonts w:cs="Times New Roman"/>
                <w:sz w:val="22"/>
              </w:rPr>
            </w:pPr>
            <w:r>
              <w:rPr>
                <w:rFonts w:eastAsia="Arial" w:cs="Times New Roman"/>
                <w:sz w:val="22"/>
                <w:lang w:val="es-ES"/>
              </w:rPr>
              <w:t xml:space="preserve">Evaluación biológica de productos sanitarios. Parte 4: Selección de los ensayos para las interacciones con la sangre. </w:t>
            </w:r>
          </w:p>
        </w:tc>
      </w:tr>
      <w:tr w:rsidR="0094168A" w:rsidRPr="009461CC"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293453">
            <w:pPr>
              <w:spacing w:after="0" w:afterAutospacing="0"/>
              <w:rPr>
                <w:rFonts w:cs="Times New Roman"/>
                <w:bCs/>
                <w:sz w:val="22"/>
              </w:rPr>
            </w:pPr>
            <w:r>
              <w:rPr>
                <w:rFonts w:eastAsia="Arial" w:cs="Times New Roman"/>
                <w:sz w:val="22"/>
                <w:lang w:val="es-ES"/>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9461CC" w:rsidRDefault="0094168A" w:rsidP="00293453">
            <w:pPr>
              <w:spacing w:after="0" w:afterAutospacing="0"/>
              <w:rPr>
                <w:rFonts w:cs="Times New Roman"/>
                <w:sz w:val="22"/>
              </w:rPr>
            </w:pPr>
            <w:r>
              <w:rPr>
                <w:rFonts w:eastAsia="Arial" w:cs="Times New Roman"/>
                <w:sz w:val="22"/>
                <w:lang w:val="es-ES"/>
              </w:rPr>
              <w:t xml:space="preserve">Evaluación biológica de productos sanitarios. Parte 5: Ensayos de citotoxicidad in vitro. </w:t>
            </w:r>
          </w:p>
        </w:tc>
      </w:tr>
      <w:tr w:rsidR="0094168A" w:rsidRPr="009461CC"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293453">
            <w:pPr>
              <w:spacing w:after="0" w:afterAutospacing="0"/>
              <w:rPr>
                <w:rFonts w:cs="Times New Roman"/>
                <w:bCs/>
                <w:sz w:val="22"/>
              </w:rPr>
            </w:pPr>
            <w:r>
              <w:rPr>
                <w:rFonts w:eastAsia="Arial" w:cs="Times New Roman"/>
                <w:sz w:val="22"/>
                <w:lang w:val="es-ES"/>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9461CC" w:rsidRDefault="0094168A" w:rsidP="00293453">
            <w:pPr>
              <w:spacing w:after="0" w:afterAutospacing="0"/>
              <w:rPr>
                <w:rFonts w:cs="Times New Roman"/>
                <w:sz w:val="22"/>
              </w:rPr>
            </w:pPr>
            <w:r>
              <w:rPr>
                <w:rFonts w:eastAsia="Arial" w:cs="Times New Roman"/>
                <w:sz w:val="22"/>
                <w:lang w:val="es-ES"/>
              </w:rPr>
              <w:t xml:space="preserve">Evaluación biológica de productos sanitarios. Parte 10: Ensayos de irritación y sensibilización cutánea. </w:t>
            </w:r>
          </w:p>
        </w:tc>
      </w:tr>
      <w:tr w:rsidR="0094168A" w:rsidRPr="009461CC"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293453">
            <w:pPr>
              <w:spacing w:after="0" w:afterAutospacing="0"/>
              <w:rPr>
                <w:rFonts w:cs="Times New Roman"/>
                <w:bCs/>
                <w:sz w:val="22"/>
              </w:rPr>
            </w:pPr>
            <w:r>
              <w:rPr>
                <w:rFonts w:eastAsia="Arial" w:cs="Times New Roman"/>
                <w:sz w:val="22"/>
                <w:lang w:val="es-ES"/>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9461CC" w:rsidRDefault="0094168A" w:rsidP="00293453">
            <w:pPr>
              <w:spacing w:after="0" w:afterAutospacing="0"/>
              <w:rPr>
                <w:rFonts w:cs="Times New Roman"/>
                <w:sz w:val="22"/>
              </w:rPr>
            </w:pPr>
            <w:r>
              <w:rPr>
                <w:rFonts w:eastAsia="Arial" w:cs="Times New Roman"/>
                <w:sz w:val="22"/>
                <w:lang w:val="es-ES"/>
              </w:rPr>
              <w:t xml:space="preserve">Evaluación biológica de los productos sanitarios. Parte 11: Ensayos de toxicidad sistémica. </w:t>
            </w:r>
          </w:p>
        </w:tc>
      </w:tr>
      <w:tr w:rsidR="0094168A" w:rsidRPr="009461CC"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293453">
            <w:pPr>
              <w:spacing w:after="0" w:afterAutospacing="0"/>
              <w:rPr>
                <w:rFonts w:cs="Times New Roman"/>
                <w:bCs/>
                <w:sz w:val="22"/>
              </w:rPr>
            </w:pPr>
            <w:r>
              <w:rPr>
                <w:rFonts w:eastAsia="Arial" w:cs="Times New Roman"/>
                <w:sz w:val="22"/>
                <w:lang w:val="es-ES"/>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9461CC" w:rsidRDefault="0094168A" w:rsidP="00293453">
            <w:pPr>
              <w:spacing w:after="0" w:afterAutospacing="0"/>
              <w:rPr>
                <w:rFonts w:cs="Times New Roman"/>
                <w:sz w:val="22"/>
              </w:rPr>
            </w:pPr>
            <w:r>
              <w:rPr>
                <w:rFonts w:eastAsia="Arial" w:cs="Times New Roman"/>
                <w:sz w:val="22"/>
                <w:lang w:val="es-ES"/>
              </w:rPr>
              <w:t xml:space="preserve">Evaluación biológica de productos sanitarios. Parte 12: Preparación de muestras y materiales de referencia </w:t>
            </w:r>
          </w:p>
        </w:tc>
      </w:tr>
      <w:tr w:rsidR="00586415" w:rsidRPr="009461CC"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586415">
            <w:pPr>
              <w:spacing w:after="0" w:afterAutospacing="0"/>
              <w:rPr>
                <w:rFonts w:eastAsia="Arial" w:cs="Times New Roman"/>
                <w:bCs/>
                <w:sz w:val="22"/>
              </w:rPr>
            </w:pPr>
            <w:r>
              <w:rPr>
                <w:rFonts w:eastAsia="Arial" w:cs="Times New Roman"/>
                <w:sz w:val="22"/>
                <w:lang w:val="es-ES"/>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9461CC" w:rsidRDefault="00586415" w:rsidP="00586415">
            <w:pPr>
              <w:spacing w:after="0" w:afterAutospacing="0"/>
              <w:rPr>
                <w:rFonts w:eastAsia="Arial" w:cs="Times New Roman"/>
                <w:sz w:val="22"/>
              </w:rPr>
            </w:pPr>
            <w:r>
              <w:rPr>
                <w:rFonts w:eastAsia="Arial" w:cs="Times New Roman"/>
                <w:sz w:val="22"/>
                <w:lang w:val="es-ES"/>
              </w:rPr>
              <w:t>Evaluación del riesgo toxicológico de los componentes de los productos sanitarios</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586415">
            <w:pPr>
              <w:spacing w:after="0" w:afterAutospacing="0"/>
              <w:jc w:val="center"/>
              <w:rPr>
                <w:rFonts w:cs="Times New Roman"/>
                <w:sz w:val="22"/>
              </w:rPr>
            </w:pPr>
            <w:r>
              <w:rPr>
                <w:rFonts w:eastAsia="Arial" w:cs="Times New Roman"/>
                <w:b/>
                <w:bCs/>
                <w:sz w:val="22"/>
                <w:lang w:val="es-ES"/>
              </w:rPr>
              <w:t>Evaluación clínica</w:t>
            </w:r>
          </w:p>
        </w:tc>
      </w:tr>
      <w:tr w:rsidR="00586415" w:rsidRPr="009461CC" w14:paraId="1F26EC64" w14:textId="77777777" w:rsidTr="00293453">
        <w:tc>
          <w:tcPr>
            <w:tcW w:w="1129" w:type="pct"/>
          </w:tcPr>
          <w:p w14:paraId="5AF3269C" w14:textId="77777777" w:rsidR="00586415" w:rsidRPr="009461CC" w:rsidRDefault="00586415" w:rsidP="00586415">
            <w:pPr>
              <w:spacing w:after="0" w:afterAutospacing="0"/>
              <w:rPr>
                <w:rFonts w:cs="Times New Roman"/>
                <w:bCs/>
                <w:sz w:val="22"/>
              </w:rPr>
            </w:pPr>
            <w:r>
              <w:rPr>
                <w:rFonts w:eastAsia="Arial" w:cs="Times New Roman"/>
                <w:sz w:val="22"/>
                <w:lang w:val="es-ES"/>
              </w:rPr>
              <w:t>MEDDEV 2.7/1 Rev4</w:t>
            </w:r>
          </w:p>
        </w:tc>
        <w:tc>
          <w:tcPr>
            <w:tcW w:w="3871" w:type="pct"/>
          </w:tcPr>
          <w:p w14:paraId="3D1D1121" w14:textId="77777777" w:rsidR="00586415" w:rsidRPr="009461CC" w:rsidRDefault="00586415" w:rsidP="00586415">
            <w:pPr>
              <w:spacing w:after="0" w:afterAutospacing="0"/>
              <w:rPr>
                <w:rFonts w:cs="Times New Roman"/>
                <w:sz w:val="22"/>
              </w:rPr>
            </w:pPr>
            <w:r>
              <w:rPr>
                <w:rFonts w:cs="Times New Roman"/>
                <w:sz w:val="22"/>
                <w:lang w:val="es-ES"/>
              </w:rPr>
              <w:t>Evaluación clínica: Guía para fabricantes y organismos notificados</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586415">
            <w:pPr>
              <w:spacing w:after="0" w:afterAutospacing="0"/>
              <w:jc w:val="center"/>
              <w:rPr>
                <w:rFonts w:cs="Times New Roman"/>
                <w:sz w:val="22"/>
              </w:rPr>
            </w:pPr>
            <w:r>
              <w:rPr>
                <w:rFonts w:eastAsia="Arial" w:cs="Times New Roman"/>
                <w:b/>
                <w:bCs/>
                <w:sz w:val="22"/>
                <w:lang w:val="es-ES"/>
              </w:rPr>
              <w:t>Control de diseño</w:t>
            </w:r>
          </w:p>
        </w:tc>
      </w:tr>
      <w:tr w:rsidR="00586415" w:rsidRPr="009461CC" w14:paraId="54F49ECD" w14:textId="77777777" w:rsidTr="00293453">
        <w:tc>
          <w:tcPr>
            <w:tcW w:w="1129" w:type="pct"/>
          </w:tcPr>
          <w:p w14:paraId="4795B615" w14:textId="77777777" w:rsidR="00586415" w:rsidRPr="009461CC" w:rsidRDefault="00586415" w:rsidP="00586415">
            <w:pPr>
              <w:spacing w:after="0" w:afterAutospacing="0"/>
              <w:rPr>
                <w:rFonts w:cs="Times New Roman"/>
                <w:sz w:val="22"/>
              </w:rPr>
            </w:pPr>
            <w:r>
              <w:rPr>
                <w:rFonts w:cs="Times New Roman"/>
                <w:sz w:val="22"/>
                <w:lang w:val="es-ES"/>
              </w:rPr>
              <w:t>EN ISO 14971</w:t>
            </w:r>
          </w:p>
        </w:tc>
        <w:tc>
          <w:tcPr>
            <w:tcW w:w="3871" w:type="pct"/>
          </w:tcPr>
          <w:p w14:paraId="55771886" w14:textId="77777777" w:rsidR="00586415" w:rsidRPr="009461CC" w:rsidRDefault="00586415" w:rsidP="00586415">
            <w:pPr>
              <w:spacing w:after="0" w:afterAutospacing="0"/>
              <w:rPr>
                <w:rFonts w:cs="Times New Roman"/>
                <w:sz w:val="22"/>
              </w:rPr>
            </w:pPr>
            <w:r>
              <w:rPr>
                <w:rFonts w:cs="Times New Roman"/>
                <w:sz w:val="22"/>
                <w:lang w:val="es-ES"/>
              </w:rPr>
              <w:t>Dispositivos médicos/productos sanitarios (MD). Aplicación de la gestión de riesgos a los MD.</w:t>
            </w:r>
          </w:p>
        </w:tc>
      </w:tr>
      <w:tr w:rsidR="00586415" w:rsidRPr="009461CC" w14:paraId="48F71F50" w14:textId="77777777" w:rsidTr="00293453">
        <w:tc>
          <w:tcPr>
            <w:tcW w:w="1129" w:type="pct"/>
          </w:tcPr>
          <w:p w14:paraId="477CFB4F" w14:textId="77777777" w:rsidR="00586415" w:rsidRPr="009461CC" w:rsidRDefault="00586415" w:rsidP="00586415">
            <w:pPr>
              <w:spacing w:after="0" w:afterAutospacing="0"/>
              <w:jc w:val="center"/>
              <w:rPr>
                <w:rFonts w:cs="Times New Roman"/>
                <w:sz w:val="22"/>
              </w:rPr>
            </w:pPr>
          </w:p>
        </w:tc>
        <w:tc>
          <w:tcPr>
            <w:tcW w:w="3871" w:type="pct"/>
          </w:tcPr>
          <w:p w14:paraId="20C1E190" w14:textId="77777777" w:rsidR="00586415" w:rsidRPr="009461CC" w:rsidRDefault="00586415" w:rsidP="00586415">
            <w:pPr>
              <w:spacing w:after="0" w:afterAutospacing="0"/>
              <w:rPr>
                <w:rFonts w:cs="Times New Roman"/>
                <w:sz w:val="22"/>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586415">
            <w:pPr>
              <w:spacing w:after="0" w:afterAutospacing="0"/>
              <w:jc w:val="center"/>
              <w:rPr>
                <w:rFonts w:cs="Times New Roman"/>
                <w:b/>
                <w:bCs/>
                <w:sz w:val="22"/>
              </w:rPr>
            </w:pPr>
            <w:r>
              <w:rPr>
                <w:rFonts w:cs="Times New Roman"/>
                <w:b/>
                <w:bCs/>
                <w:sz w:val="22"/>
                <w:lang w:val="es-ES"/>
              </w:rPr>
              <w:t>Usabilidad</w:t>
            </w:r>
          </w:p>
        </w:tc>
      </w:tr>
      <w:tr w:rsidR="00586415" w:rsidRPr="009461CC" w14:paraId="29A23DD2" w14:textId="77777777" w:rsidTr="00293453">
        <w:tc>
          <w:tcPr>
            <w:tcW w:w="1129" w:type="pct"/>
          </w:tcPr>
          <w:p w14:paraId="38C30B53" w14:textId="77777777" w:rsidR="00586415" w:rsidRPr="009461CC" w:rsidRDefault="00586415" w:rsidP="00586415">
            <w:pPr>
              <w:spacing w:after="0" w:afterAutospacing="0"/>
              <w:rPr>
                <w:rFonts w:cs="Times New Roman"/>
                <w:sz w:val="22"/>
              </w:rPr>
            </w:pPr>
            <w:r>
              <w:rPr>
                <w:rFonts w:cs="Times New Roman"/>
                <w:sz w:val="22"/>
                <w:lang w:val="es-ES"/>
              </w:rPr>
              <w:t>IEC 62366-1:2015 y</w:t>
            </w:r>
          </w:p>
          <w:p w14:paraId="2D964E3D" w14:textId="77777777" w:rsidR="00586415" w:rsidRPr="009461CC" w:rsidRDefault="00586415" w:rsidP="00586415">
            <w:pPr>
              <w:spacing w:after="0" w:afterAutospacing="0"/>
              <w:rPr>
                <w:rFonts w:cs="Times New Roman"/>
                <w:sz w:val="22"/>
              </w:rPr>
            </w:pPr>
            <w:r>
              <w:rPr>
                <w:rFonts w:cs="Times New Roman"/>
                <w:sz w:val="22"/>
                <w:lang w:val="es-ES"/>
              </w:rPr>
              <w:t>IEC 62366-1:2015/ COR1:2016</w:t>
            </w:r>
          </w:p>
        </w:tc>
        <w:tc>
          <w:tcPr>
            <w:tcW w:w="3871" w:type="pct"/>
          </w:tcPr>
          <w:p w14:paraId="7A444F47" w14:textId="77777777" w:rsidR="00586415" w:rsidRPr="009461CC" w:rsidRDefault="00586415" w:rsidP="00586415">
            <w:pPr>
              <w:spacing w:after="0" w:afterAutospacing="0"/>
              <w:rPr>
                <w:rFonts w:cs="Times New Roman"/>
                <w:sz w:val="22"/>
              </w:rPr>
            </w:pPr>
            <w:r>
              <w:rPr>
                <w:rFonts w:cs="Times New Roman"/>
                <w:sz w:val="22"/>
                <w:lang w:val="es-ES"/>
              </w:rPr>
              <w:t>Productos sanitarios. Aplicación de la ingeniería de usabilidad a los productos sanitarios.</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586415">
            <w:pPr>
              <w:spacing w:after="0" w:afterAutospacing="0"/>
              <w:jc w:val="center"/>
              <w:rPr>
                <w:rFonts w:cs="Times New Roman"/>
                <w:b/>
                <w:bCs/>
                <w:sz w:val="22"/>
              </w:rPr>
            </w:pPr>
            <w:r>
              <w:rPr>
                <w:rFonts w:cs="Times New Roman"/>
                <w:b/>
                <w:bCs/>
                <w:sz w:val="22"/>
                <w:lang w:val="es-ES"/>
              </w:rPr>
              <w:lastRenderedPageBreak/>
              <w:t>Embalaje</w:t>
            </w:r>
          </w:p>
        </w:tc>
      </w:tr>
      <w:tr w:rsidR="00586415" w:rsidRPr="009461CC"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586415">
            <w:pPr>
              <w:spacing w:after="0" w:afterAutospacing="0"/>
              <w:rPr>
                <w:rFonts w:cs="Times New Roman"/>
                <w:bCs/>
                <w:sz w:val="22"/>
              </w:rPr>
            </w:pPr>
            <w:r>
              <w:rPr>
                <w:rFonts w:eastAsia="Arial" w:cs="Times New Roman"/>
                <w:sz w:val="22"/>
                <w:lang w:val="es-ES"/>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9461CC" w:rsidRDefault="00586415" w:rsidP="00586415">
            <w:pPr>
              <w:spacing w:after="0" w:afterAutospacing="0"/>
              <w:rPr>
                <w:rFonts w:cs="Times New Roman"/>
                <w:sz w:val="22"/>
              </w:rPr>
            </w:pPr>
            <w:r>
              <w:rPr>
                <w:rFonts w:eastAsia="Arial" w:cs="Times New Roman"/>
                <w:sz w:val="22"/>
                <w:lang w:val="es-ES"/>
              </w:rPr>
              <w:t xml:space="preserve">Requisitos de los productos sanitarios esterilizados en su estado terminal. Parte 1: Requisitos para los materiales, los sistemas de barrera estéril y sistemas de envasado. </w:t>
            </w:r>
          </w:p>
        </w:tc>
      </w:tr>
      <w:tr w:rsidR="00586415" w:rsidRPr="009461CC"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586415">
            <w:pPr>
              <w:spacing w:after="16" w:afterAutospacing="0"/>
              <w:ind w:left="1"/>
              <w:rPr>
                <w:rFonts w:cs="Times New Roman"/>
                <w:bCs/>
                <w:sz w:val="22"/>
              </w:rPr>
            </w:pPr>
            <w:r>
              <w:rPr>
                <w:rFonts w:eastAsia="Arial" w:cs="Times New Roman"/>
                <w:sz w:val="22"/>
                <w:lang w:val="es-ES"/>
              </w:rPr>
              <w:t>EN ISO 11607-2:2020</w:t>
            </w:r>
          </w:p>
          <w:p w14:paraId="2A1BCB5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9461CC" w:rsidRDefault="00586415" w:rsidP="00586415">
            <w:pPr>
              <w:spacing w:after="0" w:afterAutospacing="0"/>
              <w:rPr>
                <w:rFonts w:cs="Times New Roman"/>
                <w:sz w:val="22"/>
              </w:rPr>
            </w:pPr>
            <w:r>
              <w:rPr>
                <w:rFonts w:eastAsia="Arial" w:cs="Times New Roman"/>
                <w:sz w:val="22"/>
                <w:lang w:val="es-ES"/>
              </w:rPr>
              <w:t xml:space="preserve">Requisitos de los productos sanitarios esterilizados en su estado terminal. Parte 2: Requisitos de validación para procesos de conformación, sellado y ensamblado. </w:t>
            </w:r>
          </w:p>
        </w:tc>
      </w:tr>
      <w:tr w:rsidR="00586415" w:rsidRPr="009461CC"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586415">
            <w:pPr>
              <w:spacing w:after="14" w:afterAutospacing="0"/>
              <w:ind w:left="1"/>
              <w:rPr>
                <w:rFonts w:cs="Times New Roman"/>
                <w:bCs/>
                <w:sz w:val="22"/>
              </w:rPr>
            </w:pPr>
            <w:r>
              <w:rPr>
                <w:rFonts w:eastAsia="Arial" w:cs="Times New Roman"/>
                <w:sz w:val="22"/>
                <w:lang w:val="es-ES"/>
              </w:rPr>
              <w:t>EN ISO 2233:2001</w:t>
            </w:r>
          </w:p>
          <w:p w14:paraId="3F44F0A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9461CC" w:rsidRDefault="00586415" w:rsidP="00586415">
            <w:pPr>
              <w:spacing w:after="0" w:afterAutospacing="0"/>
              <w:rPr>
                <w:rFonts w:cs="Times New Roman"/>
                <w:sz w:val="22"/>
              </w:rPr>
            </w:pPr>
            <w:r>
              <w:rPr>
                <w:rFonts w:eastAsia="Arial" w:cs="Times New Roman"/>
                <w:sz w:val="22"/>
                <w:lang w:val="es-ES"/>
              </w:rPr>
              <w:t xml:space="preserve">Envases y embalajes. Embalajes de expedición completos y llenos y unidades de carga. Acondicionamiento para ensayos </w:t>
            </w:r>
          </w:p>
        </w:tc>
      </w:tr>
      <w:tr w:rsidR="00586415" w:rsidRPr="009461CC"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586415">
            <w:pPr>
              <w:spacing w:after="0" w:afterAutospacing="0"/>
              <w:rPr>
                <w:rFonts w:cs="Times New Roman"/>
                <w:bCs/>
                <w:sz w:val="22"/>
              </w:rPr>
            </w:pPr>
            <w:hyperlink r:id="rId14">
              <w:r>
                <w:rPr>
                  <w:rFonts w:eastAsia="Arial" w:cs="Times New Roman"/>
                  <w:sz w:val="22"/>
                  <w:lang w:val="es-ES"/>
                </w:rPr>
                <w:t xml:space="preserve">ASTM D4169 </w:t>
              </w:r>
            </w:hyperlink>
            <w:r>
              <w:rPr>
                <w:rFonts w:eastAsia="Arial" w:cs="Times New Roman"/>
                <w:sz w:val="22"/>
                <w:lang w:val="es-ES"/>
              </w:rPr>
              <w:t>: 2022</w:t>
            </w:r>
            <w:hyperlink r:id="rId15">
              <w:r>
                <w:rPr>
                  <w:rFonts w:eastAsia="Arial" w:cs="Times New Roman"/>
                  <w:sz w:val="22"/>
                  <w:lang w:val="es-E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9461CC" w:rsidRDefault="00586415" w:rsidP="00586415">
            <w:pPr>
              <w:spacing w:after="0" w:afterAutospacing="0"/>
              <w:rPr>
                <w:rFonts w:cs="Times New Roman"/>
                <w:sz w:val="22"/>
              </w:rPr>
            </w:pPr>
            <w:r>
              <w:rPr>
                <w:rFonts w:eastAsia="Arial" w:cs="Times New Roman"/>
                <w:sz w:val="22"/>
                <w:lang w:val="es-ES"/>
              </w:rPr>
              <w:t xml:space="preserve">Práctica estándar para ensayos de rendimiento de contenedores y sistemas de envío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586415">
            <w:pPr>
              <w:spacing w:after="0" w:afterAutospacing="0"/>
              <w:rPr>
                <w:rFonts w:cs="Times New Roman"/>
                <w:bCs/>
                <w:sz w:val="22"/>
              </w:rPr>
            </w:pPr>
            <w:hyperlink r:id="rId16">
              <w:r>
                <w:rPr>
                  <w:rFonts w:eastAsia="Arial" w:cs="Times New Roman"/>
                  <w:sz w:val="22"/>
                  <w:lang w:val="es-ES"/>
                </w:rPr>
                <w:t xml:space="preserve">ASTM F2096 </w:t>
              </w:r>
            </w:hyperlink>
            <w:hyperlink r:id="rId17">
              <w:r>
                <w:rPr>
                  <w:rFonts w:eastAsia="Arial" w:cs="Times New Roman"/>
                  <w:sz w:val="22"/>
                  <w:lang w:val="es-ES"/>
                </w:rPr>
                <w:t xml:space="preserve"> – </w:t>
              </w:r>
            </w:hyperlink>
            <w:r>
              <w:rPr>
                <w:rFonts w:eastAsia="Arial" w:cs="Times New Roman"/>
                <w:sz w:val="22"/>
                <w:lang w:val="es-ES"/>
              </w:rPr>
              <w:t>20</w:t>
            </w:r>
            <w:hyperlink r:id="rId18">
              <w:r>
                <w:rPr>
                  <w:rFonts w:eastAsia="Arial" w:cs="Times New Roman"/>
                  <w:sz w:val="22"/>
                  <w:lang w:val="es-ES"/>
                </w:rPr>
                <w:t xml:space="preserve">11 (R2019) </w:t>
              </w:r>
            </w:hyperlink>
            <w:hyperlink r:id="rId19">
              <w:r>
                <w:rPr>
                  <w:rFonts w:eastAsia="Arial" w:cs="Times New Roman"/>
                  <w:sz w:val="22"/>
                  <w:lang w:val="es-E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9461CC" w:rsidRDefault="00586415" w:rsidP="00586415">
            <w:pPr>
              <w:spacing w:after="14" w:afterAutospacing="0"/>
              <w:rPr>
                <w:rFonts w:cs="Times New Roman"/>
                <w:sz w:val="22"/>
              </w:rPr>
            </w:pPr>
            <w:r>
              <w:rPr>
                <w:rFonts w:eastAsia="Arial" w:cs="Times New Roman"/>
                <w:sz w:val="22"/>
                <w:lang w:val="es-ES"/>
              </w:rPr>
              <w:t xml:space="preserve">Método de ensayo estándar para detectar fugas graves en </w:t>
            </w:r>
          </w:p>
          <w:p w14:paraId="403EB0FF" w14:textId="77777777" w:rsidR="00586415" w:rsidRPr="009461CC" w:rsidRDefault="00586415" w:rsidP="00586415">
            <w:pPr>
              <w:spacing w:after="16" w:afterAutospacing="0"/>
              <w:rPr>
                <w:rFonts w:cs="Times New Roman"/>
                <w:sz w:val="22"/>
              </w:rPr>
            </w:pPr>
            <w:r>
              <w:rPr>
                <w:rFonts w:eastAsia="Arial" w:cs="Times New Roman"/>
                <w:sz w:val="22"/>
                <w:lang w:val="es-ES"/>
              </w:rPr>
              <w:t xml:space="preserve">embalajes médicos mediante presurización interna (prueba de burbuja) </w:t>
            </w:r>
          </w:p>
          <w:p w14:paraId="401902E0" w14:textId="77777777" w:rsidR="00586415" w:rsidRPr="009461CC" w:rsidRDefault="00586415" w:rsidP="00586415">
            <w:pPr>
              <w:spacing w:after="0" w:afterAutospacing="0"/>
              <w:rPr>
                <w:rFonts w:cs="Times New Roman"/>
                <w:sz w:val="22"/>
              </w:rPr>
            </w:pPr>
            <w:r>
              <w:rPr>
                <w:rFonts w:eastAsia="Arial" w:cs="Times New Roman"/>
                <w:sz w:val="22"/>
                <w:lang w:val="es-ES"/>
              </w:rPr>
              <w:t xml:space="preserve">- ASTM F 2096-11 (2019) </w:t>
            </w:r>
          </w:p>
        </w:tc>
      </w:tr>
      <w:tr w:rsidR="00586415" w:rsidRPr="009461CC"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586415">
            <w:pPr>
              <w:spacing w:after="0" w:afterAutospacing="0"/>
              <w:rPr>
                <w:rFonts w:cs="Times New Roman"/>
                <w:bCs/>
                <w:sz w:val="22"/>
              </w:rPr>
            </w:pPr>
            <w:hyperlink r:id="rId20">
              <w:r>
                <w:rPr>
                  <w:rFonts w:eastAsia="Arial" w:cs="Times New Roman"/>
                  <w:sz w:val="22"/>
                  <w:lang w:val="es-ES"/>
                </w:rPr>
                <w:t xml:space="preserve">ASTM F1929 </w:t>
              </w:r>
            </w:hyperlink>
            <w:hyperlink r:id="rId21">
              <w:r>
                <w:rPr>
                  <w:rFonts w:eastAsia="Arial" w:cs="Times New Roman"/>
                  <w:sz w:val="22"/>
                  <w:lang w:val="es-ES"/>
                </w:rPr>
                <w:t xml:space="preserve"> - </w:t>
              </w:r>
            </w:hyperlink>
            <w:hyperlink r:id="rId22">
              <w:r>
                <w:rPr>
                  <w:rFonts w:eastAsia="Arial" w:cs="Times New Roman"/>
                  <w:sz w:val="22"/>
                  <w:lang w:val="es-ES"/>
                </w:rPr>
                <w:t xml:space="preserve">15 </w:t>
              </w:r>
            </w:hyperlink>
            <w:hyperlink r:id="rId23">
              <w:r>
                <w:rPr>
                  <w:rFonts w:eastAsia="Arial" w:cs="Times New Roman"/>
                  <w:sz w:val="22"/>
                  <w:lang w:val="es-E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9461CC" w:rsidRDefault="00586415" w:rsidP="00586415">
            <w:pPr>
              <w:spacing w:after="14" w:afterAutospacing="0"/>
              <w:rPr>
                <w:rFonts w:cs="Times New Roman"/>
                <w:sz w:val="22"/>
              </w:rPr>
            </w:pPr>
            <w:r>
              <w:rPr>
                <w:rFonts w:eastAsia="Arial" w:cs="Times New Roman"/>
                <w:sz w:val="22"/>
                <w:lang w:val="es-ES"/>
              </w:rPr>
              <w:t xml:space="preserve">Método de ensayo estándar para detectar fugas de sellos en </w:t>
            </w:r>
          </w:p>
          <w:p w14:paraId="1449B41C" w14:textId="77777777" w:rsidR="00586415" w:rsidRPr="009461CC" w:rsidRDefault="00586415" w:rsidP="00586415">
            <w:pPr>
              <w:spacing w:after="0" w:afterAutospacing="0"/>
              <w:rPr>
                <w:rFonts w:cs="Times New Roman"/>
                <w:sz w:val="22"/>
              </w:rPr>
            </w:pPr>
            <w:r>
              <w:rPr>
                <w:rFonts w:eastAsia="Arial" w:cs="Times New Roman"/>
                <w:sz w:val="22"/>
                <w:lang w:val="es-ES"/>
              </w:rPr>
              <w:t xml:space="preserve">embalajes médicos porosos por penetración de colorante - ASTM F 1929 </w:t>
            </w:r>
          </w:p>
        </w:tc>
      </w:tr>
      <w:tr w:rsidR="00586415" w:rsidRPr="009461CC"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586415">
            <w:pPr>
              <w:spacing w:after="0" w:afterAutospacing="0"/>
              <w:rPr>
                <w:rFonts w:cs="Times New Roman"/>
                <w:bCs/>
                <w:sz w:val="22"/>
              </w:rPr>
            </w:pPr>
            <w:hyperlink r:id="rId24">
              <w:r>
                <w:rPr>
                  <w:rFonts w:eastAsia="Arial" w:cs="Times New Roman"/>
                  <w:sz w:val="22"/>
                  <w:lang w:val="es-ES"/>
                </w:rPr>
                <w:t xml:space="preserve">ASTM F88 / F88M </w:t>
              </w:r>
            </w:hyperlink>
            <w:hyperlink r:id="rId25">
              <w:r>
                <w:rPr>
                  <w:rFonts w:eastAsia="Arial" w:cs="Times New Roman"/>
                  <w:sz w:val="22"/>
                  <w:lang w:val="es-ES"/>
                </w:rPr>
                <w:t xml:space="preserve"> - </w:t>
              </w:r>
            </w:hyperlink>
            <w:r>
              <w:rPr>
                <w:rFonts w:eastAsia="Arial" w:cs="Times New Roman"/>
                <w:sz w:val="22"/>
                <w:lang w:val="es-ES"/>
              </w:rPr>
              <w:t>2021</w:t>
            </w:r>
            <w:hyperlink r:id="rId26">
              <w:r>
                <w:rPr>
                  <w:rFonts w:eastAsia="Arial" w:cs="Times New Roman"/>
                  <w:sz w:val="22"/>
                  <w:lang w:val="es-E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9461CC" w:rsidRDefault="00586415" w:rsidP="00586415">
            <w:pPr>
              <w:spacing w:after="0" w:afterAutospacing="0"/>
              <w:rPr>
                <w:rFonts w:cs="Times New Roman"/>
                <w:sz w:val="22"/>
              </w:rPr>
            </w:pPr>
            <w:r>
              <w:rPr>
                <w:rFonts w:eastAsia="Arial" w:cs="Times New Roman"/>
                <w:sz w:val="22"/>
                <w:lang w:val="es-ES"/>
              </w:rPr>
              <w:t xml:space="preserve">Método de ensayo estándar para la resistencia del sellado de materiales de barrera flexibles - ASTM F88 </w:t>
            </w:r>
          </w:p>
        </w:tc>
      </w:tr>
      <w:tr w:rsidR="00586415" w:rsidRPr="009461CC"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586415">
            <w:pPr>
              <w:spacing w:after="0" w:afterAutospacing="0"/>
              <w:rPr>
                <w:rFonts w:cs="Times New Roman"/>
                <w:bCs/>
                <w:sz w:val="22"/>
              </w:rPr>
            </w:pPr>
            <w:hyperlink r:id="rId27">
              <w:r>
                <w:rPr>
                  <w:rFonts w:eastAsia="Arial" w:cs="Times New Roman"/>
                  <w:sz w:val="22"/>
                  <w:lang w:val="es-ES"/>
                </w:rPr>
                <w:t xml:space="preserve">ASTM F1980 </w:t>
              </w:r>
            </w:hyperlink>
            <w:hyperlink r:id="rId28">
              <w:r>
                <w:rPr>
                  <w:rFonts w:eastAsia="Arial" w:cs="Times New Roman"/>
                  <w:sz w:val="22"/>
                  <w:lang w:val="es-ES"/>
                </w:rPr>
                <w:t xml:space="preserve"> - </w:t>
              </w:r>
            </w:hyperlink>
            <w:r>
              <w:rPr>
                <w:rFonts w:eastAsia="Arial" w:cs="Times New Roman"/>
                <w:sz w:val="22"/>
                <w:lang w:val="es-ES"/>
              </w:rPr>
              <w:t>2021</w:t>
            </w:r>
            <w:hyperlink r:id="rId29">
              <w:r>
                <w:rPr>
                  <w:rFonts w:eastAsia="Arial" w:cs="Times New Roman"/>
                  <w:sz w:val="22"/>
                  <w:lang w:val="es-ES"/>
                </w:rPr>
                <w:t xml:space="preserve"> </w:t>
              </w:r>
            </w:hyperlink>
            <w:hyperlink r:id="rId30">
              <w:r>
                <w:rPr>
                  <w:rFonts w:eastAsia="Arial" w:cs="Times New Roman"/>
                  <w:sz w:val="22"/>
                  <w:lang w:val="es-ES"/>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9461CC" w:rsidRDefault="00586415" w:rsidP="00586415">
            <w:pPr>
              <w:spacing w:after="0" w:afterAutospacing="0"/>
              <w:rPr>
                <w:rFonts w:cs="Times New Roman"/>
                <w:sz w:val="22"/>
              </w:rPr>
            </w:pPr>
            <w:r>
              <w:rPr>
                <w:rFonts w:eastAsia="Arial" w:cs="Times New Roman"/>
                <w:sz w:val="22"/>
                <w:lang w:val="es-ES"/>
              </w:rPr>
              <w:t xml:space="preserve">Guía estándar para el envejecimiento acelerado de sistemas de barrera estériles para productos sanitarios - ASTM F1980 </w:t>
            </w:r>
          </w:p>
        </w:tc>
      </w:tr>
      <w:tr w:rsidR="00586415" w:rsidRPr="009461CC" w14:paraId="0F76587E" w14:textId="77777777" w:rsidTr="00293453">
        <w:tc>
          <w:tcPr>
            <w:tcW w:w="5000" w:type="pct"/>
            <w:gridSpan w:val="2"/>
            <w:shd w:val="clear" w:color="auto" w:fill="E7E6E6" w:themeFill="background2"/>
          </w:tcPr>
          <w:p w14:paraId="76DCCB76" w14:textId="77777777" w:rsidR="00586415" w:rsidRPr="009461CC" w:rsidRDefault="00586415" w:rsidP="00586415">
            <w:pPr>
              <w:spacing w:after="0" w:afterAutospacing="0"/>
              <w:jc w:val="center"/>
              <w:rPr>
                <w:rFonts w:cs="Times New Roman"/>
                <w:b/>
                <w:bCs/>
                <w:sz w:val="22"/>
              </w:rPr>
            </w:pPr>
            <w:r>
              <w:rPr>
                <w:rFonts w:cs="Times New Roman"/>
                <w:b/>
                <w:bCs/>
                <w:sz w:val="22"/>
                <w:lang w:val="es-ES"/>
              </w:rPr>
              <w:t>Seguimiento clínico poscomercialización</w:t>
            </w:r>
          </w:p>
        </w:tc>
      </w:tr>
      <w:tr w:rsidR="00586415" w:rsidRPr="009461CC" w14:paraId="72BDA171" w14:textId="77777777" w:rsidTr="00293453">
        <w:tc>
          <w:tcPr>
            <w:tcW w:w="1129" w:type="pct"/>
          </w:tcPr>
          <w:p w14:paraId="4A2D9F88" w14:textId="77777777" w:rsidR="00586415" w:rsidRPr="009461CC" w:rsidRDefault="00586415" w:rsidP="00586415">
            <w:pPr>
              <w:spacing w:after="0" w:afterAutospacing="0"/>
              <w:jc w:val="center"/>
              <w:rPr>
                <w:rFonts w:cs="Times New Roman"/>
                <w:sz w:val="22"/>
              </w:rPr>
            </w:pPr>
            <w:r>
              <w:rPr>
                <w:rFonts w:cs="Times New Roman"/>
                <w:sz w:val="22"/>
                <w:lang w:val="es-ES"/>
              </w:rPr>
              <w:t>MEDDEV 2.12/2 Rev2</w:t>
            </w:r>
          </w:p>
        </w:tc>
        <w:tc>
          <w:tcPr>
            <w:tcW w:w="3871" w:type="pct"/>
          </w:tcPr>
          <w:p w14:paraId="534E025E" w14:textId="77777777" w:rsidR="00586415" w:rsidRPr="009461CC" w:rsidRDefault="00586415" w:rsidP="00586415">
            <w:pPr>
              <w:spacing w:after="0" w:afterAutospacing="0"/>
              <w:rPr>
                <w:rFonts w:cs="Times New Roman"/>
                <w:sz w:val="22"/>
              </w:rPr>
            </w:pPr>
            <w:r>
              <w:rPr>
                <w:rFonts w:cs="Times New Roman"/>
                <w:sz w:val="22"/>
                <w:lang w:val="es-ES"/>
              </w:rPr>
              <w:t>Estudios de seguimiento clínico poscomercialización</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586415">
            <w:pPr>
              <w:spacing w:after="0" w:afterAutospacing="0"/>
              <w:jc w:val="center"/>
              <w:rPr>
                <w:rFonts w:cs="Times New Roman"/>
                <w:b/>
                <w:bCs/>
                <w:sz w:val="22"/>
              </w:rPr>
            </w:pPr>
            <w:r>
              <w:rPr>
                <w:rFonts w:cs="Times New Roman"/>
                <w:b/>
                <w:bCs/>
                <w:sz w:val="22"/>
                <w:lang w:val="es-ES"/>
              </w:rPr>
              <w:t>Vigilancia</w:t>
            </w:r>
          </w:p>
        </w:tc>
      </w:tr>
      <w:tr w:rsidR="00586415" w:rsidRPr="009461CC" w14:paraId="577ABEC8" w14:textId="77777777" w:rsidTr="00293453">
        <w:tc>
          <w:tcPr>
            <w:tcW w:w="1129" w:type="pct"/>
          </w:tcPr>
          <w:p w14:paraId="403A7E80" w14:textId="77777777" w:rsidR="00586415" w:rsidRPr="009461CC" w:rsidRDefault="00586415" w:rsidP="00586415">
            <w:pPr>
              <w:spacing w:after="0" w:afterAutospacing="0"/>
              <w:jc w:val="center"/>
              <w:rPr>
                <w:rFonts w:cs="Times New Roman"/>
                <w:sz w:val="22"/>
              </w:rPr>
            </w:pPr>
            <w:r>
              <w:rPr>
                <w:rFonts w:cs="Times New Roman"/>
                <w:sz w:val="22"/>
                <w:lang w:val="es-ES"/>
              </w:rPr>
              <w:t>MEDDEV 2.12/1 Rev8</w:t>
            </w:r>
          </w:p>
        </w:tc>
        <w:tc>
          <w:tcPr>
            <w:tcW w:w="3871" w:type="pct"/>
          </w:tcPr>
          <w:p w14:paraId="1F13D90E" w14:textId="77777777" w:rsidR="00586415" w:rsidRPr="009461CC" w:rsidRDefault="00586415" w:rsidP="00586415">
            <w:pPr>
              <w:spacing w:after="0" w:afterAutospacing="0"/>
              <w:rPr>
                <w:rFonts w:cs="Times New Roman"/>
                <w:sz w:val="22"/>
              </w:rPr>
            </w:pPr>
            <w:r>
              <w:rPr>
                <w:rFonts w:cs="Times New Roman"/>
                <w:sz w:val="22"/>
                <w:lang w:val="es-ES"/>
              </w:rPr>
              <w:t>Directrices sobre un sistema de vigilancia de productos sanitarios</w:t>
            </w:r>
          </w:p>
        </w:tc>
      </w:tr>
    </w:tbl>
    <w:p w14:paraId="06B25AF7" w14:textId="77777777" w:rsidR="00582286" w:rsidRPr="009461CC" w:rsidRDefault="00582286" w:rsidP="000A23CB">
      <w:pPr>
        <w:spacing w:after="0" w:afterAutospacing="0" w:line="240" w:lineRule="auto"/>
        <w:rPr>
          <w:rFonts w:cs="Times New Roman"/>
        </w:rPr>
      </w:pPr>
    </w:p>
    <w:p w14:paraId="6F757B16" w14:textId="77777777" w:rsidR="00601F87" w:rsidRPr="009461CC" w:rsidRDefault="00601F87" w:rsidP="000A23CB">
      <w:pPr>
        <w:spacing w:after="0" w:afterAutospacing="0" w:line="240" w:lineRule="auto"/>
        <w:rPr>
          <w:rFonts w:cs="Times New Roman"/>
        </w:rPr>
      </w:pPr>
    </w:p>
    <w:p w14:paraId="438059D7" w14:textId="77777777" w:rsidR="00601F87" w:rsidRPr="009461CC" w:rsidRDefault="00601F87" w:rsidP="00F67A0E">
      <w:pPr>
        <w:pStyle w:val="Heading1"/>
        <w:numPr>
          <w:ilvl w:val="0"/>
          <w:numId w:val="2"/>
        </w:numPr>
        <w:rPr>
          <w:rFonts w:cs="Times New Roman"/>
        </w:rPr>
      </w:pPr>
      <w:bookmarkStart w:id="80" w:name="_Toc181362715"/>
      <w:bookmarkStart w:id="81" w:name="_Toc222741789"/>
      <w:r>
        <w:rPr>
          <w:rFonts w:cs="Times New Roman"/>
          <w:bCs/>
          <w:lang w:val="es-ES"/>
        </w:rPr>
        <w:t>Historial de revisiones</w:t>
      </w:r>
      <w:bookmarkEnd w:id="80"/>
      <w:bookmarkEnd w:id="81"/>
    </w:p>
    <w:tbl>
      <w:tblPr>
        <w:tblStyle w:val="TableGrid"/>
        <w:tblW w:w="5000" w:type="pct"/>
        <w:tblLook w:val="04A0" w:firstRow="1" w:lastRow="0" w:firstColumn="1" w:lastColumn="0" w:noHBand="0" w:noVBand="1"/>
      </w:tblPr>
      <w:tblGrid>
        <w:gridCol w:w="1199"/>
        <w:gridCol w:w="1506"/>
        <w:gridCol w:w="4819"/>
        <w:gridCol w:w="2906"/>
      </w:tblGrid>
      <w:tr w:rsidR="00601F87" w:rsidRPr="009461CC" w14:paraId="5B6BFC55" w14:textId="77777777" w:rsidTr="00293453">
        <w:tc>
          <w:tcPr>
            <w:tcW w:w="575" w:type="pct"/>
          </w:tcPr>
          <w:p w14:paraId="2E035377" w14:textId="77777777" w:rsidR="00601F87" w:rsidRPr="009461CC" w:rsidRDefault="00601F87" w:rsidP="00293453">
            <w:pPr>
              <w:spacing w:after="0" w:afterAutospacing="0"/>
              <w:rPr>
                <w:rFonts w:cs="Times New Roman"/>
                <w:b/>
                <w:sz w:val="22"/>
              </w:rPr>
            </w:pPr>
            <w:r>
              <w:rPr>
                <w:rFonts w:cs="Times New Roman"/>
                <w:b/>
                <w:bCs/>
                <w:sz w:val="22"/>
                <w:lang w:val="es-ES"/>
              </w:rPr>
              <w:t>Revisión</w:t>
            </w:r>
          </w:p>
        </w:tc>
        <w:tc>
          <w:tcPr>
            <w:tcW w:w="722" w:type="pct"/>
          </w:tcPr>
          <w:p w14:paraId="50A5C536" w14:textId="77777777" w:rsidR="00601F87" w:rsidRPr="009461CC" w:rsidRDefault="00601F87" w:rsidP="00293453">
            <w:pPr>
              <w:spacing w:after="0" w:afterAutospacing="0"/>
              <w:rPr>
                <w:rFonts w:cs="Times New Roman"/>
                <w:b/>
                <w:sz w:val="22"/>
              </w:rPr>
            </w:pPr>
            <w:r>
              <w:rPr>
                <w:rFonts w:cs="Times New Roman"/>
                <w:b/>
                <w:bCs/>
                <w:sz w:val="22"/>
                <w:lang w:val="es-ES"/>
              </w:rPr>
              <w:t>Fecha de emisión</w:t>
            </w:r>
          </w:p>
        </w:tc>
        <w:tc>
          <w:tcPr>
            <w:tcW w:w="2310" w:type="pct"/>
          </w:tcPr>
          <w:p w14:paraId="028B7F50" w14:textId="77777777" w:rsidR="00601F87" w:rsidRPr="009461CC" w:rsidRDefault="00601F87" w:rsidP="00293453">
            <w:pPr>
              <w:spacing w:after="0" w:afterAutospacing="0"/>
              <w:rPr>
                <w:rFonts w:cs="Times New Roman"/>
                <w:b/>
                <w:sz w:val="22"/>
              </w:rPr>
            </w:pPr>
            <w:r>
              <w:rPr>
                <w:rFonts w:cs="Times New Roman"/>
                <w:b/>
                <w:bCs/>
                <w:sz w:val="22"/>
                <w:lang w:val="es-ES"/>
              </w:rPr>
              <w:t>Descripción del cambio</w:t>
            </w:r>
          </w:p>
        </w:tc>
        <w:tc>
          <w:tcPr>
            <w:tcW w:w="1393" w:type="pct"/>
          </w:tcPr>
          <w:p w14:paraId="3C9FD99C" w14:textId="77777777" w:rsidR="00601F87" w:rsidRPr="009461CC" w:rsidRDefault="00601F87" w:rsidP="00293453">
            <w:pPr>
              <w:spacing w:after="0" w:afterAutospacing="0"/>
              <w:rPr>
                <w:rFonts w:cs="Times New Roman"/>
                <w:b/>
                <w:sz w:val="22"/>
              </w:rPr>
            </w:pPr>
            <w:r>
              <w:rPr>
                <w:rFonts w:cs="Times New Roman"/>
                <w:b/>
                <w:bCs/>
                <w:sz w:val="22"/>
                <w:lang w:val="es-ES"/>
              </w:rPr>
              <w:t>¿El organismo notificado validó la revisión?</w:t>
            </w:r>
          </w:p>
        </w:tc>
      </w:tr>
      <w:tr w:rsidR="00601F87" w:rsidRPr="009461CC" w14:paraId="16EC10C7" w14:textId="77777777" w:rsidTr="00293453">
        <w:tc>
          <w:tcPr>
            <w:tcW w:w="575" w:type="pct"/>
          </w:tcPr>
          <w:p w14:paraId="58BC1E5F" w14:textId="77777777" w:rsidR="00601F87" w:rsidRPr="009461CC" w:rsidRDefault="00601F87" w:rsidP="00293453">
            <w:pPr>
              <w:spacing w:after="0" w:afterAutospacing="0"/>
              <w:rPr>
                <w:rFonts w:cs="Times New Roman"/>
                <w:sz w:val="22"/>
              </w:rPr>
            </w:pPr>
            <w:r>
              <w:rPr>
                <w:rFonts w:cs="Times New Roman"/>
                <w:sz w:val="22"/>
                <w:lang w:val="es-ES"/>
              </w:rPr>
              <w:t>A</w:t>
            </w:r>
          </w:p>
        </w:tc>
        <w:tc>
          <w:tcPr>
            <w:tcW w:w="722" w:type="pct"/>
          </w:tcPr>
          <w:p w14:paraId="6A81A9AF" w14:textId="71A1E241" w:rsidR="00601F87" w:rsidRPr="009461CC" w:rsidRDefault="002069F1" w:rsidP="00293453">
            <w:pPr>
              <w:spacing w:after="0" w:afterAutospacing="0"/>
              <w:rPr>
                <w:rFonts w:cs="Times New Roman"/>
                <w:iCs/>
                <w:sz w:val="22"/>
              </w:rPr>
            </w:pPr>
            <w:r>
              <w:rPr>
                <w:rFonts w:cs="Times New Roman"/>
                <w:sz w:val="22"/>
                <w:lang w:val="es-ES"/>
              </w:rPr>
              <w:t>22 de mayo de 2022</w:t>
            </w:r>
          </w:p>
        </w:tc>
        <w:tc>
          <w:tcPr>
            <w:tcW w:w="2310" w:type="pct"/>
          </w:tcPr>
          <w:p w14:paraId="0B577D70" w14:textId="77777777" w:rsidR="00601F87" w:rsidRPr="009461CC" w:rsidRDefault="00601F87" w:rsidP="00293453">
            <w:pPr>
              <w:spacing w:after="0" w:afterAutospacing="0"/>
              <w:rPr>
                <w:rFonts w:cs="Times New Roman"/>
                <w:sz w:val="22"/>
              </w:rPr>
            </w:pPr>
            <w:r>
              <w:rPr>
                <w:rFonts w:cs="Times New Roman"/>
                <w:sz w:val="22"/>
                <w:lang w:val="es-ES"/>
              </w:rPr>
              <w:t>Versión interna inicial: no validada por BSI</w:t>
            </w:r>
          </w:p>
        </w:tc>
        <w:tc>
          <w:tcPr>
            <w:tcW w:w="1393" w:type="pct"/>
          </w:tcPr>
          <w:p w14:paraId="3673E384" w14:textId="77777777" w:rsidR="00601F87" w:rsidRPr="009461CC" w:rsidRDefault="00000000" w:rsidP="00293453">
            <w:pPr>
              <w:spacing w:after="0" w:afterAutospacing="0"/>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Pr>
                    <w:rFonts w:ascii="Segoe UI Symbol" w:eastAsia="MS Gothic" w:hAnsi="Segoe UI Symbol" w:cs="Segoe UI Symbol"/>
                    <w:sz w:val="22"/>
                    <w:lang w:val="es-ES"/>
                  </w:rPr>
                  <w:t>☒</w:t>
                </w:r>
              </w:sdtContent>
            </w:sdt>
            <w:r>
              <w:rPr>
                <w:rFonts w:eastAsia="MS Gothic"/>
                <w:sz w:val="22"/>
                <w:lang w:val="es-ES"/>
              </w:rPr>
              <w:t xml:space="preserve"> Solo para uso interno</w:t>
            </w:r>
          </w:p>
        </w:tc>
      </w:tr>
      <w:tr w:rsidR="00601F87" w:rsidRPr="009461CC" w14:paraId="253ED939" w14:textId="77777777" w:rsidTr="00293453">
        <w:tc>
          <w:tcPr>
            <w:tcW w:w="575" w:type="pct"/>
          </w:tcPr>
          <w:p w14:paraId="794C6341" w14:textId="77777777" w:rsidR="00601F87" w:rsidRPr="009461CC" w:rsidRDefault="00601F87" w:rsidP="00293453">
            <w:pPr>
              <w:spacing w:after="0" w:afterAutospacing="0"/>
              <w:rPr>
                <w:rFonts w:cs="Times New Roman"/>
                <w:sz w:val="22"/>
              </w:rPr>
            </w:pPr>
            <w:r>
              <w:rPr>
                <w:rFonts w:cs="Times New Roman"/>
                <w:sz w:val="22"/>
                <w:lang w:val="es-ES"/>
              </w:rPr>
              <w:t xml:space="preserve">B </w:t>
            </w:r>
          </w:p>
        </w:tc>
        <w:tc>
          <w:tcPr>
            <w:tcW w:w="722" w:type="pct"/>
          </w:tcPr>
          <w:p w14:paraId="4E93CA05" w14:textId="47A5412E" w:rsidR="00601F87" w:rsidRPr="009461CC" w:rsidRDefault="00624761" w:rsidP="00293453">
            <w:pPr>
              <w:spacing w:after="0" w:afterAutospacing="0"/>
              <w:rPr>
                <w:rFonts w:cs="Times New Roman"/>
                <w:iCs/>
                <w:sz w:val="22"/>
              </w:rPr>
            </w:pPr>
            <w:r>
              <w:rPr>
                <w:rFonts w:cs="Times New Roman"/>
                <w:sz w:val="22"/>
                <w:lang w:val="es-ES"/>
              </w:rPr>
              <w:t xml:space="preserve">15 de diciembre de 2025 </w:t>
            </w:r>
          </w:p>
          <w:p w14:paraId="76ECF0BB" w14:textId="21F4F941" w:rsidR="00601F87" w:rsidRPr="009461CC" w:rsidRDefault="00601F87" w:rsidP="00293453">
            <w:pPr>
              <w:spacing w:after="0" w:afterAutospacing="0"/>
              <w:rPr>
                <w:rFonts w:cs="Times New Roman"/>
                <w:iCs/>
                <w:sz w:val="22"/>
              </w:rPr>
            </w:pPr>
          </w:p>
        </w:tc>
        <w:tc>
          <w:tcPr>
            <w:tcW w:w="2310" w:type="pct"/>
          </w:tcPr>
          <w:p w14:paraId="7ADC2C3E" w14:textId="77777777" w:rsidR="00601F87" w:rsidRPr="009461CC" w:rsidRDefault="00601F87" w:rsidP="00293453">
            <w:pPr>
              <w:spacing w:after="0" w:afterAutospacing="0"/>
              <w:rPr>
                <w:rFonts w:cs="Times New Roman"/>
                <w:sz w:val="22"/>
              </w:rPr>
            </w:pPr>
            <w:r>
              <w:rPr>
                <w:rFonts w:cs="Times New Roman"/>
                <w:sz w:val="22"/>
                <w:lang w:val="es-ES"/>
              </w:rPr>
              <w:t>Presentación inicial a BSI para su revisión</w:t>
            </w:r>
          </w:p>
          <w:p w14:paraId="17842BBC" w14:textId="53FA9776" w:rsidR="00601F87" w:rsidRPr="009461CC" w:rsidRDefault="00601F87" w:rsidP="00293453">
            <w:pPr>
              <w:spacing w:after="0" w:afterAutospacing="0"/>
              <w:rPr>
                <w:rFonts w:cs="Times New Roman"/>
                <w:sz w:val="22"/>
              </w:rPr>
            </w:pPr>
            <w:r>
              <w:rPr>
                <w:rFonts w:cs="Times New Roman"/>
                <w:sz w:val="22"/>
                <w:lang w:val="es-ES"/>
              </w:rPr>
              <w:t xml:space="preserve"> </w:t>
            </w:r>
          </w:p>
        </w:tc>
        <w:tc>
          <w:tcPr>
            <w:tcW w:w="1393" w:type="pct"/>
          </w:tcPr>
          <w:p w14:paraId="0FC9FC92" w14:textId="465431A0" w:rsidR="006D6EA3" w:rsidRPr="009461CC" w:rsidRDefault="00000000" w:rsidP="006D6EA3">
            <w:pPr>
              <w:spacing w:after="0" w:afterAutospacing="0"/>
              <w:rPr>
                <w:rFonts w:cs="Times New Roman"/>
                <w:sz w:val="22"/>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Pr>
                    <w:rFonts w:ascii="Segoe UI Symbol" w:eastAsia="MS Gothic" w:hAnsi="Segoe UI Symbol" w:cs="Segoe UI Symbol"/>
                    <w:sz w:val="22"/>
                    <w:lang w:val="es-ES"/>
                  </w:rPr>
                  <w:t>☒</w:t>
                </w:r>
              </w:sdtContent>
            </w:sdt>
            <w:r>
              <w:rPr>
                <w:rFonts w:eastAsia="MS Gothic"/>
                <w:sz w:val="22"/>
                <w:lang w:val="es-ES"/>
              </w:rPr>
              <w:t xml:space="preserve"> Sí </w:t>
            </w:r>
          </w:p>
          <w:p w14:paraId="52EB2E13" w14:textId="77777777" w:rsidR="006D6EA3" w:rsidRPr="009461CC" w:rsidRDefault="006D6EA3" w:rsidP="006D6EA3">
            <w:pPr>
              <w:spacing w:after="0" w:afterAutospacing="0"/>
              <w:rPr>
                <w:rFonts w:cs="Times New Roman"/>
                <w:sz w:val="22"/>
              </w:rPr>
            </w:pPr>
            <w:r>
              <w:rPr>
                <w:rFonts w:cs="Times New Roman"/>
                <w:sz w:val="22"/>
                <w:lang w:val="es-ES"/>
              </w:rPr>
              <w:t xml:space="preserve">Idioma de validación: </w:t>
            </w:r>
          </w:p>
          <w:p w14:paraId="293F45BE" w14:textId="789551FE" w:rsidR="00CA46B0" w:rsidRPr="009461CC" w:rsidRDefault="006D6EA3" w:rsidP="006D6EA3">
            <w:pPr>
              <w:spacing w:after="0" w:afterAutospacing="0"/>
              <w:rPr>
                <w:rFonts w:cs="Times New Roman"/>
                <w:sz w:val="22"/>
              </w:rPr>
            </w:pPr>
            <w:r>
              <w:rPr>
                <w:rFonts w:cs="Times New Roman"/>
                <w:sz w:val="22"/>
                <w:lang w:val="es-ES"/>
              </w:rPr>
              <w:t>Inglés</w:t>
            </w:r>
          </w:p>
          <w:p w14:paraId="2C6B2388" w14:textId="23538238" w:rsidR="00601F87" w:rsidRPr="009461CC" w:rsidRDefault="006D6EA3" w:rsidP="006D6EA3">
            <w:pPr>
              <w:spacing w:after="0" w:afterAutospacing="0"/>
              <w:rPr>
                <w:rFonts w:cs="Times New Roman"/>
                <w:sz w:val="22"/>
                <w:highlight w:val="yellow"/>
              </w:rPr>
            </w:pPr>
            <w:r>
              <w:rPr>
                <w:rFonts w:ascii="Segoe UI Symbol" w:hAnsi="Segoe UI Symbol"/>
                <w:sz w:val="22"/>
                <w:lang w:val="es-ES"/>
              </w:rPr>
              <w:t>☐</w:t>
            </w:r>
            <w:r>
              <w:rPr>
                <w:sz w:val="22"/>
                <w:lang w:val="es-ES"/>
              </w:rPr>
              <w:t xml:space="preserve"> No (solo aplicable para los dispositivos de clase IIa o algunos dispositivos de clase IIb para los que el SSCP aún no ha sido validado por el organismo notificado)</w:t>
            </w:r>
          </w:p>
        </w:tc>
      </w:tr>
    </w:tbl>
    <w:p w14:paraId="05B94FC3" w14:textId="73ABFCCD" w:rsidR="00601F87" w:rsidRPr="009461CC" w:rsidRDefault="00601F87" w:rsidP="00601F87">
      <w:pPr>
        <w:tabs>
          <w:tab w:val="left" w:pos="3633"/>
        </w:tabs>
        <w:rPr>
          <w:rFonts w:cs="Times New Roman"/>
        </w:rPr>
      </w:pPr>
    </w:p>
    <w:sectPr w:rsidR="00601F87" w:rsidRPr="009461CC" w:rsidSect="008018FA">
      <w:headerReference w:type="even" r:id="rId31"/>
      <w:headerReference w:type="default" r:id="rId32"/>
      <w:footerReference w:type="even" r:id="rId33"/>
      <w:footerReference w:type="default" r:id="rId34"/>
      <w:headerReference w:type="first" r:id="rId35"/>
      <w:footerReference w:type="first" r:id="rId36"/>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41D0" w14:textId="77777777" w:rsidR="00A67EB6" w:rsidRDefault="00A67EB6" w:rsidP="009855C3">
      <w:r>
        <w:separator/>
      </w:r>
    </w:p>
  </w:endnote>
  <w:endnote w:type="continuationSeparator" w:id="0">
    <w:p w14:paraId="57E41D28" w14:textId="77777777" w:rsidR="00A67EB6" w:rsidRDefault="00A67EB6"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G Times 12pt">
    <w:altName w:val="Cambria"/>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80000287" w:usb1="188F1C12" w:usb2="00000016" w:usb3="00000000" w:csb0="00040009"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2497" w14:textId="77777777" w:rsidR="00CD6EF2" w:rsidRDefault="00CD6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6BB303DF" w:rsidR="00BE3D15" w:rsidRPr="00F44E82" w:rsidRDefault="003036AD" w:rsidP="009855C3">
    <w:pPr>
      <w:pStyle w:val="Footer"/>
      <w:rPr>
        <w:szCs w:val="24"/>
      </w:rPr>
    </w:pPr>
    <w:r>
      <w:rPr>
        <w:b/>
        <w:bCs/>
        <w:sz w:val="18"/>
        <w:szCs w:val="18"/>
        <w:lang w:val="es-ES"/>
      </w:rPr>
      <w:t>CAQ-QA-025-F1 Rev G: Resumen de seguridad y rendimiento clínico (SSCP)</w:t>
    </w:r>
    <w:r>
      <w:rPr>
        <w:lang w:val="es-ES"/>
      </w:rPr>
      <w:t xml:space="preserve"> </w:t>
    </w:r>
    <w:r>
      <w:rPr>
        <w:lang w:val="es-ES"/>
      </w:rPr>
      <w:tab/>
      <w:t xml:space="preserve">Página </w:t>
    </w:r>
    <w:r>
      <w:rPr>
        <w:lang w:val="es-ES"/>
      </w:rPr>
      <w:fldChar w:fldCharType="begin"/>
    </w:r>
    <w:r>
      <w:rPr>
        <w:lang w:val="es-ES"/>
      </w:rPr>
      <w:instrText xml:space="preserve"> PAGE  \* Arabic </w:instrText>
    </w:r>
    <w:r>
      <w:rPr>
        <w:lang w:val="es-ES"/>
      </w:rPr>
      <w:fldChar w:fldCharType="separate"/>
    </w:r>
    <w:r>
      <w:rPr>
        <w:lang w:val="es-ES"/>
      </w:rPr>
      <w:t>0</w:t>
    </w:r>
    <w:r>
      <w:rPr>
        <w:lang w:val="es-ES"/>
      </w:rPr>
      <w:fldChar w:fldCharType="end"/>
    </w:r>
    <w:r>
      <w:rPr>
        <w:lang w:val="es-ES"/>
      </w:rPr>
      <w:t xml:space="preserve"> de </w:t>
    </w:r>
    <w:fldSimple w:instr=" NUMPAGES  ">
      <w:r>
        <w:rPr>
          <w:lang w:val="es-ES"/>
        </w:rPr>
        <w:t>12</w:t>
      </w:r>
    </w:fldSimple>
    <w:r>
      <w:rPr>
        <w:lang w:val="es-ES"/>
      </w:rPr>
      <w:t xml:space="preserve">  </w:t>
    </w:r>
    <w:r>
      <w:rPr>
        <w:lang w:val="es-ES"/>
      </w:rPr>
      <w:tab/>
    </w:r>
    <w:r>
      <w:rPr>
        <w:lang w:val="es-E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C275" w14:textId="77777777" w:rsidR="00CD6EF2" w:rsidRDefault="00CD6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4DD9" w14:textId="77777777" w:rsidR="00A67EB6" w:rsidRDefault="00A67EB6" w:rsidP="009855C3">
      <w:r>
        <w:separator/>
      </w:r>
    </w:p>
  </w:footnote>
  <w:footnote w:type="continuationSeparator" w:id="0">
    <w:p w14:paraId="59CD94A2" w14:textId="77777777" w:rsidR="00A67EB6" w:rsidRDefault="00A67EB6"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5D29" w14:textId="77777777" w:rsidR="00CD6EF2" w:rsidRDefault="00CD6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EABB2E0" w:rsidR="00B62140" w:rsidRDefault="00B62140" w:rsidP="00B62140">
          <w:pPr>
            <w:pStyle w:val="Header"/>
            <w:jc w:val="left"/>
          </w:pPr>
          <w:r>
            <w:rPr>
              <w:noProof/>
              <w:lang w:val="es-ES"/>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7B7064" w:rsidRDefault="005450DC" w:rsidP="005450DC">
          <w:pPr>
            <w:spacing w:after="0" w:afterAutospacing="0"/>
            <w:rPr>
              <w:rFonts w:ascii="Arial" w:hAnsi="Arial" w:cs="Arial"/>
              <w:b/>
              <w:bCs/>
              <w:sz w:val="28"/>
              <w:szCs w:val="28"/>
              <w:lang w:val="it-IT"/>
            </w:rPr>
          </w:pPr>
          <w:r>
            <w:rPr>
              <w:rFonts w:ascii="Arial" w:hAnsi="Arial" w:cs="Arial"/>
              <w:b/>
              <w:bCs/>
              <w:sz w:val="28"/>
              <w:szCs w:val="28"/>
              <w:lang w:val="es-ES"/>
            </w:rPr>
            <w:t>RESUMEN DE SEGURIDAD Y RENDIMIENTO CLÍNICO (SSCP)</w:t>
          </w:r>
        </w:p>
        <w:p w14:paraId="3BB3B2B1" w14:textId="0B7A306D" w:rsidR="009F5769" w:rsidRPr="005450DC" w:rsidRDefault="009F5769" w:rsidP="009F5769">
          <w:pPr>
            <w:spacing w:after="0" w:afterAutospacing="0"/>
            <w:rPr>
              <w:rFonts w:ascii="Arial" w:hAnsi="Arial" w:cs="Arial"/>
              <w:sz w:val="18"/>
              <w:szCs w:val="18"/>
            </w:rPr>
          </w:pPr>
          <w:r>
            <w:rPr>
              <w:rFonts w:ascii="Arial" w:hAnsi="Arial" w:cs="Arial"/>
              <w:b/>
              <w:bCs/>
              <w:sz w:val="18"/>
              <w:szCs w:val="18"/>
              <w:lang w:val="es-ES"/>
            </w:rPr>
            <w:t xml:space="preserve">SSCP-0006: </w:t>
          </w:r>
          <w:bookmarkStart w:id="82" w:name="_Hlk196721157"/>
          <w:r>
            <w:rPr>
              <w:rFonts w:ascii="Arial" w:hAnsi="Arial" w:cs="Arial"/>
              <w:sz w:val="18"/>
              <w:szCs w:val="18"/>
              <w:lang w:val="es-ES"/>
            </w:rPr>
            <w:t>Kit Atrieve Vascular Snare</w:t>
          </w:r>
          <w:bookmarkEnd w:id="82"/>
        </w:p>
        <w:p w14:paraId="32066318" w14:textId="5996CDC6" w:rsidR="005450DC" w:rsidRPr="005450DC" w:rsidRDefault="005450DC" w:rsidP="005450DC">
          <w:pPr>
            <w:spacing w:after="0" w:afterAutospacing="0"/>
            <w:rPr>
              <w:rFonts w:ascii="Arial" w:hAnsi="Arial" w:cs="Arial"/>
              <w:sz w:val="18"/>
              <w:szCs w:val="18"/>
            </w:rPr>
          </w:pPr>
          <w:r>
            <w:rPr>
              <w:rFonts w:ascii="Arial" w:hAnsi="Arial" w:cs="Arial"/>
              <w:sz w:val="18"/>
              <w:szCs w:val="18"/>
              <w:lang w:val="es-ES"/>
            </w:rPr>
            <w:t>Revisión: B</w:t>
          </w:r>
        </w:p>
        <w:p w14:paraId="2F5F8390" w14:textId="0ABFBBD1" w:rsidR="005450DC" w:rsidRPr="00B62140" w:rsidRDefault="005450DC" w:rsidP="005450DC">
          <w:pPr>
            <w:pStyle w:val="Header"/>
            <w:jc w:val="left"/>
            <w:rPr>
              <w:rFonts w:ascii="Arial" w:hAnsi="Arial" w:cs="Arial"/>
              <w:sz w:val="18"/>
            </w:rPr>
          </w:pPr>
          <w:r>
            <w:rPr>
              <w:rFonts w:ascii="Calibri" w:eastAsiaTheme="minorHAnsi" w:hAnsi="Calibri" w:cs="Calibri"/>
              <w:sz w:val="18"/>
              <w:szCs w:val="18"/>
              <w:lang w:val="es-ES"/>
            </w:rPr>
            <w:t>Ubicación de Argon: Todos los sitios</w:t>
          </w:r>
        </w:p>
      </w:tc>
    </w:tr>
  </w:tbl>
  <w:p w14:paraId="0BD58B4F" w14:textId="7DA38D57" w:rsidR="00B62140" w:rsidRDefault="00B62140" w:rsidP="00B6214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74AA" w14:textId="77777777" w:rsidR="00CD6EF2" w:rsidRDefault="00CD6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6459"/>
    <w:rsid w:val="00011045"/>
    <w:rsid w:val="00012E12"/>
    <w:rsid w:val="000167B6"/>
    <w:rsid w:val="00017BF4"/>
    <w:rsid w:val="00021D6F"/>
    <w:rsid w:val="00021E83"/>
    <w:rsid w:val="0002755B"/>
    <w:rsid w:val="00034879"/>
    <w:rsid w:val="000379B4"/>
    <w:rsid w:val="00042B91"/>
    <w:rsid w:val="00047250"/>
    <w:rsid w:val="00050F24"/>
    <w:rsid w:val="0005411A"/>
    <w:rsid w:val="00057D5B"/>
    <w:rsid w:val="000628F7"/>
    <w:rsid w:val="00063367"/>
    <w:rsid w:val="00076AE4"/>
    <w:rsid w:val="00076F70"/>
    <w:rsid w:val="000774DD"/>
    <w:rsid w:val="000857E5"/>
    <w:rsid w:val="000920E7"/>
    <w:rsid w:val="000975C6"/>
    <w:rsid w:val="000A1236"/>
    <w:rsid w:val="000A23CB"/>
    <w:rsid w:val="000A25FA"/>
    <w:rsid w:val="000A5EBD"/>
    <w:rsid w:val="000A6E93"/>
    <w:rsid w:val="000B3E80"/>
    <w:rsid w:val="000B6CF0"/>
    <w:rsid w:val="000C41AC"/>
    <w:rsid w:val="000C5F93"/>
    <w:rsid w:val="000C633A"/>
    <w:rsid w:val="000C7AF6"/>
    <w:rsid w:val="000D2F57"/>
    <w:rsid w:val="000D5406"/>
    <w:rsid w:val="000D7B59"/>
    <w:rsid w:val="000E39A6"/>
    <w:rsid w:val="000F0AC2"/>
    <w:rsid w:val="000F0DCC"/>
    <w:rsid w:val="000F4DF1"/>
    <w:rsid w:val="001035F0"/>
    <w:rsid w:val="00103AF7"/>
    <w:rsid w:val="00113A33"/>
    <w:rsid w:val="001209D7"/>
    <w:rsid w:val="00120DD8"/>
    <w:rsid w:val="00122999"/>
    <w:rsid w:val="00125511"/>
    <w:rsid w:val="00125D9F"/>
    <w:rsid w:val="00142B70"/>
    <w:rsid w:val="00142D15"/>
    <w:rsid w:val="001440E1"/>
    <w:rsid w:val="001475A8"/>
    <w:rsid w:val="00151F01"/>
    <w:rsid w:val="001533A4"/>
    <w:rsid w:val="00154AAA"/>
    <w:rsid w:val="00155220"/>
    <w:rsid w:val="0015690A"/>
    <w:rsid w:val="00156CF3"/>
    <w:rsid w:val="00162917"/>
    <w:rsid w:val="00162923"/>
    <w:rsid w:val="00165A00"/>
    <w:rsid w:val="001861C6"/>
    <w:rsid w:val="00187CF5"/>
    <w:rsid w:val="001919D6"/>
    <w:rsid w:val="00191ED2"/>
    <w:rsid w:val="001A3916"/>
    <w:rsid w:val="001A7EA5"/>
    <w:rsid w:val="001B4005"/>
    <w:rsid w:val="001B6D13"/>
    <w:rsid w:val="001C43C6"/>
    <w:rsid w:val="001D1887"/>
    <w:rsid w:val="001E5AFF"/>
    <w:rsid w:val="001E6921"/>
    <w:rsid w:val="001E7A0E"/>
    <w:rsid w:val="001F4798"/>
    <w:rsid w:val="001F48BA"/>
    <w:rsid w:val="001F5B3B"/>
    <w:rsid w:val="00201156"/>
    <w:rsid w:val="002069F1"/>
    <w:rsid w:val="00207A7C"/>
    <w:rsid w:val="00210ACA"/>
    <w:rsid w:val="00210E41"/>
    <w:rsid w:val="00214E2F"/>
    <w:rsid w:val="0021589A"/>
    <w:rsid w:val="0022033C"/>
    <w:rsid w:val="00221CEF"/>
    <w:rsid w:val="00226C45"/>
    <w:rsid w:val="002277B9"/>
    <w:rsid w:val="00230011"/>
    <w:rsid w:val="002351E5"/>
    <w:rsid w:val="00235AAE"/>
    <w:rsid w:val="00237870"/>
    <w:rsid w:val="00242075"/>
    <w:rsid w:val="00243417"/>
    <w:rsid w:val="002538C9"/>
    <w:rsid w:val="00257EE2"/>
    <w:rsid w:val="002669BD"/>
    <w:rsid w:val="00272B97"/>
    <w:rsid w:val="00272DEA"/>
    <w:rsid w:val="00273413"/>
    <w:rsid w:val="00275A67"/>
    <w:rsid w:val="00277426"/>
    <w:rsid w:val="00280A53"/>
    <w:rsid w:val="00290AFE"/>
    <w:rsid w:val="002914F4"/>
    <w:rsid w:val="00291A3E"/>
    <w:rsid w:val="00297A62"/>
    <w:rsid w:val="002A1AF1"/>
    <w:rsid w:val="002A24E8"/>
    <w:rsid w:val="002A75DC"/>
    <w:rsid w:val="002B2F38"/>
    <w:rsid w:val="002D4833"/>
    <w:rsid w:val="002D4C43"/>
    <w:rsid w:val="002D6103"/>
    <w:rsid w:val="002D6725"/>
    <w:rsid w:val="002E59B4"/>
    <w:rsid w:val="002F199B"/>
    <w:rsid w:val="002F2571"/>
    <w:rsid w:val="002F344E"/>
    <w:rsid w:val="002F37BF"/>
    <w:rsid w:val="002F39DB"/>
    <w:rsid w:val="00300E25"/>
    <w:rsid w:val="00300FC0"/>
    <w:rsid w:val="003036AD"/>
    <w:rsid w:val="003074B3"/>
    <w:rsid w:val="00314ACD"/>
    <w:rsid w:val="0032368A"/>
    <w:rsid w:val="003326A4"/>
    <w:rsid w:val="00335020"/>
    <w:rsid w:val="00335181"/>
    <w:rsid w:val="0033663C"/>
    <w:rsid w:val="0034308B"/>
    <w:rsid w:val="003513E0"/>
    <w:rsid w:val="00354365"/>
    <w:rsid w:val="003663A1"/>
    <w:rsid w:val="0037316E"/>
    <w:rsid w:val="00375370"/>
    <w:rsid w:val="0037599D"/>
    <w:rsid w:val="00375CFE"/>
    <w:rsid w:val="00376A92"/>
    <w:rsid w:val="00380316"/>
    <w:rsid w:val="00383678"/>
    <w:rsid w:val="00384B21"/>
    <w:rsid w:val="003859AF"/>
    <w:rsid w:val="003859DA"/>
    <w:rsid w:val="00386F47"/>
    <w:rsid w:val="003912E5"/>
    <w:rsid w:val="00394151"/>
    <w:rsid w:val="003951DC"/>
    <w:rsid w:val="00395788"/>
    <w:rsid w:val="00395FDB"/>
    <w:rsid w:val="003966BD"/>
    <w:rsid w:val="00397AE0"/>
    <w:rsid w:val="003A26B9"/>
    <w:rsid w:val="003A3A2E"/>
    <w:rsid w:val="003A3DB1"/>
    <w:rsid w:val="003B4C77"/>
    <w:rsid w:val="003B5B28"/>
    <w:rsid w:val="003B70D7"/>
    <w:rsid w:val="003D4104"/>
    <w:rsid w:val="003D63DA"/>
    <w:rsid w:val="003E5476"/>
    <w:rsid w:val="003F2EB4"/>
    <w:rsid w:val="003F3F3C"/>
    <w:rsid w:val="003F5F86"/>
    <w:rsid w:val="004065D7"/>
    <w:rsid w:val="004235A7"/>
    <w:rsid w:val="004263BF"/>
    <w:rsid w:val="0043056A"/>
    <w:rsid w:val="004329F3"/>
    <w:rsid w:val="00433305"/>
    <w:rsid w:val="00441215"/>
    <w:rsid w:val="0044138A"/>
    <w:rsid w:val="00442087"/>
    <w:rsid w:val="004430BE"/>
    <w:rsid w:val="00446152"/>
    <w:rsid w:val="004466ED"/>
    <w:rsid w:val="00453251"/>
    <w:rsid w:val="00453B44"/>
    <w:rsid w:val="00454296"/>
    <w:rsid w:val="004553D9"/>
    <w:rsid w:val="00465F4B"/>
    <w:rsid w:val="00466071"/>
    <w:rsid w:val="00466981"/>
    <w:rsid w:val="004673EB"/>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B5B"/>
    <w:rsid w:val="00495F6C"/>
    <w:rsid w:val="004A0035"/>
    <w:rsid w:val="004A2596"/>
    <w:rsid w:val="004A4063"/>
    <w:rsid w:val="004A4D87"/>
    <w:rsid w:val="004B30A3"/>
    <w:rsid w:val="004B4929"/>
    <w:rsid w:val="004C0D7F"/>
    <w:rsid w:val="004C12F0"/>
    <w:rsid w:val="004C73EF"/>
    <w:rsid w:val="004D77A4"/>
    <w:rsid w:val="004D7A94"/>
    <w:rsid w:val="004E24F8"/>
    <w:rsid w:val="004E28F8"/>
    <w:rsid w:val="004E397F"/>
    <w:rsid w:val="004E3C57"/>
    <w:rsid w:val="004E6C1C"/>
    <w:rsid w:val="004F01A5"/>
    <w:rsid w:val="004F26D9"/>
    <w:rsid w:val="004F2CB7"/>
    <w:rsid w:val="004F3CA9"/>
    <w:rsid w:val="004F5057"/>
    <w:rsid w:val="004F7F77"/>
    <w:rsid w:val="005010E4"/>
    <w:rsid w:val="005063EA"/>
    <w:rsid w:val="005072B8"/>
    <w:rsid w:val="005104CC"/>
    <w:rsid w:val="0051131D"/>
    <w:rsid w:val="00511B41"/>
    <w:rsid w:val="0051305A"/>
    <w:rsid w:val="00516D79"/>
    <w:rsid w:val="00522664"/>
    <w:rsid w:val="00524D41"/>
    <w:rsid w:val="00525377"/>
    <w:rsid w:val="005257E7"/>
    <w:rsid w:val="0052695A"/>
    <w:rsid w:val="00533C0A"/>
    <w:rsid w:val="00536EDE"/>
    <w:rsid w:val="00540616"/>
    <w:rsid w:val="005439FC"/>
    <w:rsid w:val="005450DC"/>
    <w:rsid w:val="00547018"/>
    <w:rsid w:val="00547353"/>
    <w:rsid w:val="00550F97"/>
    <w:rsid w:val="0055697A"/>
    <w:rsid w:val="00560A40"/>
    <w:rsid w:val="00563107"/>
    <w:rsid w:val="005647F4"/>
    <w:rsid w:val="00567FF4"/>
    <w:rsid w:val="00570454"/>
    <w:rsid w:val="00575EE3"/>
    <w:rsid w:val="00577A16"/>
    <w:rsid w:val="00580274"/>
    <w:rsid w:val="0058041F"/>
    <w:rsid w:val="005808F2"/>
    <w:rsid w:val="00582286"/>
    <w:rsid w:val="005842F3"/>
    <w:rsid w:val="00586415"/>
    <w:rsid w:val="00595963"/>
    <w:rsid w:val="005A1E4B"/>
    <w:rsid w:val="005A23F3"/>
    <w:rsid w:val="005A310B"/>
    <w:rsid w:val="005A3D4F"/>
    <w:rsid w:val="005A48D7"/>
    <w:rsid w:val="005A5584"/>
    <w:rsid w:val="005A6AE9"/>
    <w:rsid w:val="005B3E76"/>
    <w:rsid w:val="005B4422"/>
    <w:rsid w:val="005C642C"/>
    <w:rsid w:val="005C6A90"/>
    <w:rsid w:val="005D00E4"/>
    <w:rsid w:val="005D04DF"/>
    <w:rsid w:val="005D3210"/>
    <w:rsid w:val="005D41AF"/>
    <w:rsid w:val="005D424F"/>
    <w:rsid w:val="005D4A52"/>
    <w:rsid w:val="005D7627"/>
    <w:rsid w:val="005D7D43"/>
    <w:rsid w:val="005E76F6"/>
    <w:rsid w:val="005F1F10"/>
    <w:rsid w:val="00601F73"/>
    <w:rsid w:val="00601F87"/>
    <w:rsid w:val="00602115"/>
    <w:rsid w:val="006027B7"/>
    <w:rsid w:val="00607046"/>
    <w:rsid w:val="00612216"/>
    <w:rsid w:val="00612BE6"/>
    <w:rsid w:val="00614E9F"/>
    <w:rsid w:val="00616ADF"/>
    <w:rsid w:val="00620D8F"/>
    <w:rsid w:val="00622C5B"/>
    <w:rsid w:val="00623CC6"/>
    <w:rsid w:val="00624761"/>
    <w:rsid w:val="006266F5"/>
    <w:rsid w:val="00634E28"/>
    <w:rsid w:val="00647A09"/>
    <w:rsid w:val="0065086A"/>
    <w:rsid w:val="006517A0"/>
    <w:rsid w:val="006524A2"/>
    <w:rsid w:val="00674185"/>
    <w:rsid w:val="00683D4A"/>
    <w:rsid w:val="00686D39"/>
    <w:rsid w:val="00692CDD"/>
    <w:rsid w:val="0069398D"/>
    <w:rsid w:val="006962F2"/>
    <w:rsid w:val="00696541"/>
    <w:rsid w:val="006A4B34"/>
    <w:rsid w:val="006A5C21"/>
    <w:rsid w:val="006B14EA"/>
    <w:rsid w:val="006B250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76E2"/>
    <w:rsid w:val="006F7FE6"/>
    <w:rsid w:val="007002E4"/>
    <w:rsid w:val="00706757"/>
    <w:rsid w:val="007076C9"/>
    <w:rsid w:val="00710948"/>
    <w:rsid w:val="00710EE4"/>
    <w:rsid w:val="00713233"/>
    <w:rsid w:val="0071436C"/>
    <w:rsid w:val="00716E6B"/>
    <w:rsid w:val="00717248"/>
    <w:rsid w:val="00720869"/>
    <w:rsid w:val="00725BB8"/>
    <w:rsid w:val="007263BF"/>
    <w:rsid w:val="0073263C"/>
    <w:rsid w:val="007349B0"/>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46E7"/>
    <w:rsid w:val="00765B21"/>
    <w:rsid w:val="00770C94"/>
    <w:rsid w:val="00771CF6"/>
    <w:rsid w:val="0077387D"/>
    <w:rsid w:val="00773B3B"/>
    <w:rsid w:val="00775E6F"/>
    <w:rsid w:val="00780A59"/>
    <w:rsid w:val="007811AA"/>
    <w:rsid w:val="007867EE"/>
    <w:rsid w:val="00790BF0"/>
    <w:rsid w:val="00790C23"/>
    <w:rsid w:val="007A1221"/>
    <w:rsid w:val="007A2AD5"/>
    <w:rsid w:val="007A47F1"/>
    <w:rsid w:val="007A5226"/>
    <w:rsid w:val="007B0F04"/>
    <w:rsid w:val="007B2D5F"/>
    <w:rsid w:val="007B7064"/>
    <w:rsid w:val="007B72EE"/>
    <w:rsid w:val="007C7E15"/>
    <w:rsid w:val="007D5088"/>
    <w:rsid w:val="007D708F"/>
    <w:rsid w:val="007F42BD"/>
    <w:rsid w:val="008002AB"/>
    <w:rsid w:val="008018FA"/>
    <w:rsid w:val="0080432B"/>
    <w:rsid w:val="00804949"/>
    <w:rsid w:val="00805DD8"/>
    <w:rsid w:val="008103FA"/>
    <w:rsid w:val="008170F8"/>
    <w:rsid w:val="0083288A"/>
    <w:rsid w:val="00832C94"/>
    <w:rsid w:val="00832EBC"/>
    <w:rsid w:val="008373C6"/>
    <w:rsid w:val="0084795E"/>
    <w:rsid w:val="00864E1E"/>
    <w:rsid w:val="00873051"/>
    <w:rsid w:val="008735FE"/>
    <w:rsid w:val="0087371C"/>
    <w:rsid w:val="008745ED"/>
    <w:rsid w:val="00874EDF"/>
    <w:rsid w:val="00882C64"/>
    <w:rsid w:val="0088793A"/>
    <w:rsid w:val="00887E5D"/>
    <w:rsid w:val="00894B7F"/>
    <w:rsid w:val="008A15B7"/>
    <w:rsid w:val="008A210D"/>
    <w:rsid w:val="008B0C3D"/>
    <w:rsid w:val="008B13A5"/>
    <w:rsid w:val="008B1BA9"/>
    <w:rsid w:val="008B3CB9"/>
    <w:rsid w:val="008B667F"/>
    <w:rsid w:val="008C2DA2"/>
    <w:rsid w:val="008C5C2C"/>
    <w:rsid w:val="008C7623"/>
    <w:rsid w:val="008C78ED"/>
    <w:rsid w:val="008D7F1C"/>
    <w:rsid w:val="008F6E85"/>
    <w:rsid w:val="00900933"/>
    <w:rsid w:val="0090367B"/>
    <w:rsid w:val="00905F56"/>
    <w:rsid w:val="00914027"/>
    <w:rsid w:val="009140CD"/>
    <w:rsid w:val="009214EC"/>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6460"/>
    <w:rsid w:val="00976960"/>
    <w:rsid w:val="00981AFC"/>
    <w:rsid w:val="00982459"/>
    <w:rsid w:val="00982823"/>
    <w:rsid w:val="00982903"/>
    <w:rsid w:val="009855C3"/>
    <w:rsid w:val="00987307"/>
    <w:rsid w:val="00994DB9"/>
    <w:rsid w:val="009964D2"/>
    <w:rsid w:val="009977D7"/>
    <w:rsid w:val="009A1AED"/>
    <w:rsid w:val="009A1FF8"/>
    <w:rsid w:val="009A5F24"/>
    <w:rsid w:val="009B4453"/>
    <w:rsid w:val="009B569A"/>
    <w:rsid w:val="009B7C1D"/>
    <w:rsid w:val="009C4FD5"/>
    <w:rsid w:val="009D19D6"/>
    <w:rsid w:val="009D3291"/>
    <w:rsid w:val="009D54C6"/>
    <w:rsid w:val="009D6FE2"/>
    <w:rsid w:val="009D7E33"/>
    <w:rsid w:val="009E10C6"/>
    <w:rsid w:val="009E1EBB"/>
    <w:rsid w:val="009E4BE1"/>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44D21"/>
    <w:rsid w:val="00A4616A"/>
    <w:rsid w:val="00A5239F"/>
    <w:rsid w:val="00A538EF"/>
    <w:rsid w:val="00A56D87"/>
    <w:rsid w:val="00A570BF"/>
    <w:rsid w:val="00A57182"/>
    <w:rsid w:val="00A603C9"/>
    <w:rsid w:val="00A62721"/>
    <w:rsid w:val="00A62AA4"/>
    <w:rsid w:val="00A67EB6"/>
    <w:rsid w:val="00A80721"/>
    <w:rsid w:val="00A8284F"/>
    <w:rsid w:val="00A8483B"/>
    <w:rsid w:val="00A8663C"/>
    <w:rsid w:val="00A86CBA"/>
    <w:rsid w:val="00A90A1C"/>
    <w:rsid w:val="00A95910"/>
    <w:rsid w:val="00AA2E04"/>
    <w:rsid w:val="00AA3502"/>
    <w:rsid w:val="00AA3694"/>
    <w:rsid w:val="00AA7F1D"/>
    <w:rsid w:val="00AB04FB"/>
    <w:rsid w:val="00AC1EE8"/>
    <w:rsid w:val="00AC53BA"/>
    <w:rsid w:val="00AC7864"/>
    <w:rsid w:val="00AD0542"/>
    <w:rsid w:val="00AD355F"/>
    <w:rsid w:val="00AD3C62"/>
    <w:rsid w:val="00AD4A16"/>
    <w:rsid w:val="00AE212B"/>
    <w:rsid w:val="00AE2B73"/>
    <w:rsid w:val="00AE5A46"/>
    <w:rsid w:val="00AF2584"/>
    <w:rsid w:val="00B0012D"/>
    <w:rsid w:val="00B01620"/>
    <w:rsid w:val="00B0256A"/>
    <w:rsid w:val="00B04139"/>
    <w:rsid w:val="00B06F88"/>
    <w:rsid w:val="00B07777"/>
    <w:rsid w:val="00B1087D"/>
    <w:rsid w:val="00B11A66"/>
    <w:rsid w:val="00B15E55"/>
    <w:rsid w:val="00B16AB3"/>
    <w:rsid w:val="00B17CC3"/>
    <w:rsid w:val="00B26297"/>
    <w:rsid w:val="00B343C2"/>
    <w:rsid w:val="00B37A72"/>
    <w:rsid w:val="00B407B6"/>
    <w:rsid w:val="00B459A4"/>
    <w:rsid w:val="00B62140"/>
    <w:rsid w:val="00B66253"/>
    <w:rsid w:val="00B67432"/>
    <w:rsid w:val="00B7112F"/>
    <w:rsid w:val="00B714A8"/>
    <w:rsid w:val="00B7247B"/>
    <w:rsid w:val="00B73BEA"/>
    <w:rsid w:val="00B763A0"/>
    <w:rsid w:val="00B82FB3"/>
    <w:rsid w:val="00B8570A"/>
    <w:rsid w:val="00B8696D"/>
    <w:rsid w:val="00B9692A"/>
    <w:rsid w:val="00BA7D3E"/>
    <w:rsid w:val="00BB36B1"/>
    <w:rsid w:val="00BB79B1"/>
    <w:rsid w:val="00BC0CE0"/>
    <w:rsid w:val="00BC3DD7"/>
    <w:rsid w:val="00BD1913"/>
    <w:rsid w:val="00BD7F46"/>
    <w:rsid w:val="00BE0727"/>
    <w:rsid w:val="00BE09C5"/>
    <w:rsid w:val="00BE3D15"/>
    <w:rsid w:val="00BE7E3B"/>
    <w:rsid w:val="00BF53FD"/>
    <w:rsid w:val="00BF7DE6"/>
    <w:rsid w:val="00C00243"/>
    <w:rsid w:val="00C01A53"/>
    <w:rsid w:val="00C0200E"/>
    <w:rsid w:val="00C02BC0"/>
    <w:rsid w:val="00C134BC"/>
    <w:rsid w:val="00C13612"/>
    <w:rsid w:val="00C1549E"/>
    <w:rsid w:val="00C16423"/>
    <w:rsid w:val="00C16D85"/>
    <w:rsid w:val="00C3050A"/>
    <w:rsid w:val="00C361CA"/>
    <w:rsid w:val="00C3745E"/>
    <w:rsid w:val="00C46C3A"/>
    <w:rsid w:val="00C47B0F"/>
    <w:rsid w:val="00C56109"/>
    <w:rsid w:val="00C6261A"/>
    <w:rsid w:val="00C64987"/>
    <w:rsid w:val="00C64AB4"/>
    <w:rsid w:val="00C673A6"/>
    <w:rsid w:val="00C706D6"/>
    <w:rsid w:val="00C70884"/>
    <w:rsid w:val="00C76698"/>
    <w:rsid w:val="00C824D9"/>
    <w:rsid w:val="00C82528"/>
    <w:rsid w:val="00C83032"/>
    <w:rsid w:val="00C91927"/>
    <w:rsid w:val="00C94CB5"/>
    <w:rsid w:val="00C97841"/>
    <w:rsid w:val="00CA2472"/>
    <w:rsid w:val="00CA46B0"/>
    <w:rsid w:val="00CA7832"/>
    <w:rsid w:val="00CB0F1E"/>
    <w:rsid w:val="00CB7CB0"/>
    <w:rsid w:val="00CC0372"/>
    <w:rsid w:val="00CD129C"/>
    <w:rsid w:val="00CD6594"/>
    <w:rsid w:val="00CD6EF2"/>
    <w:rsid w:val="00CD76E0"/>
    <w:rsid w:val="00CE3EA4"/>
    <w:rsid w:val="00CE6144"/>
    <w:rsid w:val="00CE7154"/>
    <w:rsid w:val="00CF0AF4"/>
    <w:rsid w:val="00CF6BEB"/>
    <w:rsid w:val="00CF7C5F"/>
    <w:rsid w:val="00D0560B"/>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2DF8"/>
    <w:rsid w:val="00D558E5"/>
    <w:rsid w:val="00D56C82"/>
    <w:rsid w:val="00D600D7"/>
    <w:rsid w:val="00D62E8E"/>
    <w:rsid w:val="00D63EAA"/>
    <w:rsid w:val="00D64EA5"/>
    <w:rsid w:val="00D75384"/>
    <w:rsid w:val="00D75D87"/>
    <w:rsid w:val="00D760D8"/>
    <w:rsid w:val="00D82C89"/>
    <w:rsid w:val="00D91CDB"/>
    <w:rsid w:val="00D94089"/>
    <w:rsid w:val="00D96F6A"/>
    <w:rsid w:val="00D979CC"/>
    <w:rsid w:val="00DA4404"/>
    <w:rsid w:val="00DA5FD1"/>
    <w:rsid w:val="00DA6381"/>
    <w:rsid w:val="00DB020C"/>
    <w:rsid w:val="00DB582A"/>
    <w:rsid w:val="00DB74A8"/>
    <w:rsid w:val="00DD13F4"/>
    <w:rsid w:val="00DD54B4"/>
    <w:rsid w:val="00DE0007"/>
    <w:rsid w:val="00DE2118"/>
    <w:rsid w:val="00DE3CC0"/>
    <w:rsid w:val="00DE6313"/>
    <w:rsid w:val="00DE6327"/>
    <w:rsid w:val="00DE7FD7"/>
    <w:rsid w:val="00DF0617"/>
    <w:rsid w:val="00DF62DC"/>
    <w:rsid w:val="00E03D31"/>
    <w:rsid w:val="00E11D92"/>
    <w:rsid w:val="00E1442F"/>
    <w:rsid w:val="00E14C97"/>
    <w:rsid w:val="00E213E0"/>
    <w:rsid w:val="00E23984"/>
    <w:rsid w:val="00E269CF"/>
    <w:rsid w:val="00E3060B"/>
    <w:rsid w:val="00E3332E"/>
    <w:rsid w:val="00E352B4"/>
    <w:rsid w:val="00E407A5"/>
    <w:rsid w:val="00E409AE"/>
    <w:rsid w:val="00E41C44"/>
    <w:rsid w:val="00E46137"/>
    <w:rsid w:val="00E529DC"/>
    <w:rsid w:val="00E535E2"/>
    <w:rsid w:val="00E541DE"/>
    <w:rsid w:val="00E705B9"/>
    <w:rsid w:val="00E7114E"/>
    <w:rsid w:val="00E714ED"/>
    <w:rsid w:val="00E818B5"/>
    <w:rsid w:val="00E87974"/>
    <w:rsid w:val="00E91403"/>
    <w:rsid w:val="00E950A1"/>
    <w:rsid w:val="00E9587C"/>
    <w:rsid w:val="00EA0589"/>
    <w:rsid w:val="00EA2539"/>
    <w:rsid w:val="00EA2A12"/>
    <w:rsid w:val="00EA34B1"/>
    <w:rsid w:val="00EA386A"/>
    <w:rsid w:val="00EA3F04"/>
    <w:rsid w:val="00EB3CE1"/>
    <w:rsid w:val="00EB4EEE"/>
    <w:rsid w:val="00EB5323"/>
    <w:rsid w:val="00EB55F4"/>
    <w:rsid w:val="00EC009B"/>
    <w:rsid w:val="00EC0A5C"/>
    <w:rsid w:val="00EC0F3C"/>
    <w:rsid w:val="00ED2006"/>
    <w:rsid w:val="00ED2C52"/>
    <w:rsid w:val="00ED57DD"/>
    <w:rsid w:val="00ED6077"/>
    <w:rsid w:val="00ED60E5"/>
    <w:rsid w:val="00EE18FA"/>
    <w:rsid w:val="00EE3541"/>
    <w:rsid w:val="00EF2775"/>
    <w:rsid w:val="00F0588E"/>
    <w:rsid w:val="00F07DD1"/>
    <w:rsid w:val="00F12464"/>
    <w:rsid w:val="00F12AB9"/>
    <w:rsid w:val="00F1562A"/>
    <w:rsid w:val="00F1569C"/>
    <w:rsid w:val="00F20DD6"/>
    <w:rsid w:val="00F24AE3"/>
    <w:rsid w:val="00F32C32"/>
    <w:rsid w:val="00F332F1"/>
    <w:rsid w:val="00F343C3"/>
    <w:rsid w:val="00F347FB"/>
    <w:rsid w:val="00F3731D"/>
    <w:rsid w:val="00F37F87"/>
    <w:rsid w:val="00F44E82"/>
    <w:rsid w:val="00F501B1"/>
    <w:rsid w:val="00F56303"/>
    <w:rsid w:val="00F604C9"/>
    <w:rsid w:val="00F63689"/>
    <w:rsid w:val="00F66077"/>
    <w:rsid w:val="00F66E1F"/>
    <w:rsid w:val="00F67A0E"/>
    <w:rsid w:val="00F67D06"/>
    <w:rsid w:val="00F7558C"/>
    <w:rsid w:val="00F761EC"/>
    <w:rsid w:val="00F86E3F"/>
    <w:rsid w:val="00F9112F"/>
    <w:rsid w:val="00FA1D26"/>
    <w:rsid w:val="00FB05F7"/>
    <w:rsid w:val="00FB0A38"/>
    <w:rsid w:val="00FB14AD"/>
    <w:rsid w:val="00FB1FDD"/>
    <w:rsid w:val="00FB59FD"/>
    <w:rsid w:val="00FC52C8"/>
    <w:rsid w:val="00FC5667"/>
    <w:rsid w:val="00FC6DBB"/>
    <w:rsid w:val="00FD0ECB"/>
    <w:rsid w:val="00FE191E"/>
    <w:rsid w:val="00FE3112"/>
    <w:rsid w:val="00FE4230"/>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21" Type="http://schemas.openxmlformats.org/officeDocument/2006/relationships/hyperlink" Target="https://www.astm.org/Standards/F1929.htm"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36AD9-7C49-4C9F-8758-EEFFA6AB49F4}">
  <ds:schemaRefs>
    <ds:schemaRef ds:uri="http://schemas.microsoft.com/sharepoint/events"/>
  </ds:schemaRefs>
</ds:datastoreItem>
</file>

<file path=customXml/itemProps3.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4.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4927</Words>
  <Characters>28089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Nikola Zivic</cp:lastModifiedBy>
  <cp:revision>3</cp:revision>
  <cp:lastPrinted>2026-02-23T12:22:00Z</cp:lastPrinted>
  <dcterms:created xsi:type="dcterms:W3CDTF">2026-02-23T12:22:00Z</dcterms:created>
  <dcterms:modified xsi:type="dcterms:W3CDTF">2026-02-23T12:22:00Z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