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5AC74C3E" w:rsidR="0005411A" w:rsidRPr="00A82930" w:rsidRDefault="00EB498A" w:rsidP="00042B91">
      <w:pPr>
        <w:pStyle w:val="BodyText3"/>
        <w:spacing w:after="0" w:afterAutospacing="0"/>
        <w:rPr>
          <w:sz w:val="24"/>
        </w:rPr>
      </w:pPr>
      <w:r w:rsidRPr="00A82930">
        <w:rPr>
          <w:bCs/>
          <w:noProof/>
          <w:lang w:val="de-DE"/>
        </w:rPr>
        <mc:AlternateContent>
          <mc:Choice Requires="wps">
            <w:drawing>
              <wp:anchor distT="0" distB="0" distL="114300" distR="114300" simplePos="0" relativeHeight="251659264" behindDoc="0" locked="0" layoutInCell="1" allowOverlap="1" wp14:anchorId="6FC0C8B7" wp14:editId="38D167BE">
                <wp:simplePos x="0" y="0"/>
                <wp:positionH relativeFrom="column">
                  <wp:posOffset>-96382</wp:posOffset>
                </wp:positionH>
                <wp:positionV relativeFrom="paragraph">
                  <wp:posOffset>25029</wp:posOffset>
                </wp:positionV>
                <wp:extent cx="6477000" cy="1523151"/>
                <wp:effectExtent l="19050" t="19050" r="38100" b="393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523151"/>
                        </a:xfrm>
                        <a:prstGeom prst="rect">
                          <a:avLst/>
                        </a:prstGeom>
                        <a:solidFill>
                          <a:srgbClr val="FFFFFF"/>
                        </a:solidFill>
                        <a:ln w="57150" cmpd="thinThick">
                          <a:solidFill>
                            <a:srgbClr val="000000"/>
                          </a:solidFill>
                          <a:miter lim="800000"/>
                          <a:headEnd/>
                          <a:tailEnd/>
                        </a:ln>
                      </wps:spPr>
                      <wps:txbx>
                        <w:txbxContent>
                          <w:p w14:paraId="488C1F47" w14:textId="77777777" w:rsidR="0005411A" w:rsidRPr="00EB498A" w:rsidRDefault="006F0810" w:rsidP="00963812">
                            <w:pPr>
                              <w:pStyle w:val="Heading7"/>
                              <w:spacing w:after="0" w:afterAutospacing="0"/>
                              <w:rPr>
                                <w:sz w:val="32"/>
                                <w:szCs w:val="32"/>
                                <w:lang w:val="de-DE"/>
                              </w:rPr>
                            </w:pPr>
                            <w:r>
                              <w:rPr>
                                <w:bCs/>
                                <w:sz w:val="32"/>
                                <w:szCs w:val="32"/>
                                <w:lang w:val="de-DE"/>
                              </w:rPr>
                              <w:t>ZUSAMMENFASSUNG DER SICHERHEIT UND KLINISCHEN LEISTUNG (SSCP)</w:t>
                            </w:r>
                          </w:p>
                          <w:p w14:paraId="56DB2D27" w14:textId="231A96FC" w:rsidR="00393EF6" w:rsidRPr="00122EF1" w:rsidRDefault="003043BD" w:rsidP="003043BD">
                            <w:pPr>
                              <w:pStyle w:val="Heading7"/>
                              <w:spacing w:after="0" w:afterAutospacing="0"/>
                              <w:rPr>
                                <w:sz w:val="32"/>
                                <w:szCs w:val="32"/>
                                <w:lang w:val="de-DE"/>
                              </w:rPr>
                            </w:pPr>
                            <w:r>
                              <w:rPr>
                                <w:bCs/>
                                <w:sz w:val="32"/>
                                <w:szCs w:val="32"/>
                                <w:lang w:val="de-DE"/>
                              </w:rPr>
                              <w:t>SSCP-0005</w:t>
                            </w:r>
                          </w:p>
                          <w:p w14:paraId="04A0723C" w14:textId="238064C9" w:rsidR="00963812" w:rsidRPr="00122EF1" w:rsidRDefault="00CE458E" w:rsidP="00963812">
                            <w:pPr>
                              <w:pStyle w:val="Heading7"/>
                              <w:spacing w:after="0" w:afterAutospacing="0"/>
                              <w:rPr>
                                <w:sz w:val="32"/>
                                <w:szCs w:val="32"/>
                                <w:lang w:val="de-DE"/>
                              </w:rPr>
                            </w:pPr>
                            <w:r>
                              <w:rPr>
                                <w:bCs/>
                                <w:sz w:val="32"/>
                                <w:szCs w:val="32"/>
                                <w:lang w:val="de-DE"/>
                              </w:rPr>
                              <w:t xml:space="preserve">Option™ ELITE Rückholbares Vena-Cava-Filtersystem </w:t>
                            </w:r>
                          </w:p>
                          <w:p w14:paraId="79A152D4" w14:textId="648A5166" w:rsidR="0005411A" w:rsidRDefault="00697DB4" w:rsidP="00963812">
                            <w:pPr>
                              <w:pStyle w:val="Heading7"/>
                              <w:spacing w:after="0" w:afterAutospacing="0"/>
                              <w:rPr>
                                <w:sz w:val="32"/>
                                <w:szCs w:val="32"/>
                              </w:rPr>
                            </w:pPr>
                            <w:r>
                              <w:rPr>
                                <w:bCs/>
                                <w:sz w:val="32"/>
                                <w:szCs w:val="32"/>
                                <w:lang w:val="de-DE"/>
                              </w:rPr>
                              <w:t>TF-0053</w:t>
                            </w:r>
                          </w:p>
                          <w:p w14:paraId="03520B68" w14:textId="4904F4B6" w:rsidR="00D871DE" w:rsidRPr="00D871DE" w:rsidRDefault="00D871DE" w:rsidP="00D871DE">
                            <w:pPr>
                              <w:jc w:val="center"/>
                              <w:rPr>
                                <w:b/>
                                <w:bCs/>
                                <w:sz w:val="32"/>
                                <w:szCs w:val="32"/>
                              </w:rPr>
                            </w:pPr>
                            <w:r>
                              <w:rPr>
                                <w:b/>
                                <w:bCs/>
                                <w:sz w:val="32"/>
                                <w:szCs w:val="32"/>
                                <w:lang w:val="de-DE"/>
                              </w:rPr>
                              <w:t>TD-28</w:t>
                            </w:r>
                          </w:p>
                          <w:p w14:paraId="3CF39942" w14:textId="77777777" w:rsidR="0005411A" w:rsidRPr="00267292" w:rsidRDefault="0005411A" w:rsidP="009855C3"/>
                          <w:p w14:paraId="684B57C2" w14:textId="6673BCBB" w:rsidR="0005411A" w:rsidRPr="00267292" w:rsidRDefault="0005411A"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6pt;margin-top:1.95pt;width:510pt;height:11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" strokeweight="4.5pt">
                <v:stroke linestyle="thinThick"/>
                <v:textbox>
                  <w:txbxContent>
                    <w:p w14:paraId="488C1F47" w14:textId="77777777" w:rsidR="0005411A" w:rsidRPr="00EB498A" w:rsidRDefault="006F0810" w:rsidP="00963812">
                      <w:pPr>
                        <w:pStyle w:val="Heading7"/>
                        <w:spacing w:after="0" w:afterAutospacing="0"/>
                        <w:rPr>
                          <w:sz w:val="32"/>
                          <w:szCs w:val="32"/>
                          <w:lang w:val="de-DE"/>
                        </w:rPr>
                      </w:pPr>
                      <w:r>
                        <w:rPr>
                          <w:bCs/>
                          <w:sz w:val="32"/>
                          <w:szCs w:val="32"/>
                          <w:lang w:val="de-DE"/>
                        </w:rPr>
                        <w:t>ZUSAMMENFASSUNG DER SICHERHEIT UND KLINISCHEN LEISTUNG (SSCP)</w:t>
                      </w:r>
                    </w:p>
                    <w:p w14:paraId="56DB2D27" w14:textId="231A96FC" w:rsidR="00393EF6" w:rsidRPr="00122EF1" w:rsidRDefault="003043BD" w:rsidP="003043BD">
                      <w:pPr>
                        <w:pStyle w:val="Heading7"/>
                        <w:spacing w:after="0" w:afterAutospacing="0"/>
                        <w:rPr>
                          <w:sz w:val="32"/>
                          <w:szCs w:val="32"/>
                          <w:lang w:val="de-DE"/>
                        </w:rPr>
                      </w:pPr>
                      <w:r>
                        <w:rPr>
                          <w:bCs/>
                          <w:sz w:val="32"/>
                          <w:szCs w:val="32"/>
                          <w:lang w:val="de-DE"/>
                        </w:rPr>
                        <w:t>SSCP-0005</w:t>
                      </w:r>
                    </w:p>
                    <w:p w14:paraId="04A0723C" w14:textId="238064C9" w:rsidR="00963812" w:rsidRPr="00122EF1" w:rsidRDefault="00CE458E" w:rsidP="00963812">
                      <w:pPr>
                        <w:pStyle w:val="Heading7"/>
                        <w:spacing w:after="0" w:afterAutospacing="0"/>
                        <w:rPr>
                          <w:sz w:val="32"/>
                          <w:szCs w:val="32"/>
                          <w:lang w:val="de-DE"/>
                        </w:rPr>
                      </w:pPr>
                      <w:r>
                        <w:rPr>
                          <w:bCs/>
                          <w:sz w:val="32"/>
                          <w:szCs w:val="32"/>
                          <w:lang w:val="de-DE"/>
                        </w:rPr>
                        <w:t xml:space="preserve">Option™ ELITE Rückholbares Vena-Cava-Filtersystem </w:t>
                      </w:r>
                    </w:p>
                    <w:p w14:paraId="79A152D4" w14:textId="648A5166" w:rsidR="0005411A" w:rsidRDefault="00697DB4" w:rsidP="00963812">
                      <w:pPr>
                        <w:pStyle w:val="Heading7"/>
                        <w:spacing w:after="0" w:afterAutospacing="0"/>
                        <w:rPr>
                          <w:sz w:val="32"/>
                          <w:szCs w:val="32"/>
                        </w:rPr>
                      </w:pPr>
                      <w:r>
                        <w:rPr>
                          <w:bCs/>
                          <w:sz w:val="32"/>
                          <w:szCs w:val="32"/>
                          <w:lang w:val="de-DE"/>
                        </w:rPr>
                        <w:t>TF-0053</w:t>
                      </w:r>
                    </w:p>
                    <w:p w14:paraId="03520B68" w14:textId="4904F4B6" w:rsidR="00D871DE" w:rsidRPr="00D871DE" w:rsidRDefault="00D871DE" w:rsidP="00D871DE">
                      <w:pPr>
                        <w:jc w:val="center"/>
                        <w:rPr>
                          <w:b/>
                          <w:bCs/>
                          <w:sz w:val="32"/>
                          <w:szCs w:val="32"/>
                        </w:rPr>
                      </w:pPr>
                      <w:r>
                        <w:rPr>
                          <w:b/>
                          <w:bCs/>
                          <w:sz w:val="32"/>
                          <w:szCs w:val="32"/>
                          <w:lang w:val="de-DE"/>
                        </w:rPr>
                        <w:t>TD-28</w:t>
                      </w:r>
                    </w:p>
                    <w:p w14:paraId="3CF39942" w14:textId="77777777" w:rsidR="0005411A" w:rsidRPr="00267292" w:rsidRDefault="0005411A" w:rsidP="009855C3"/>
                    <w:p w14:paraId="684B57C2" w14:textId="6673BCBB" w:rsidR="0005411A" w:rsidRPr="00267292" w:rsidRDefault="0005411A" w:rsidP="009855C3"/>
                  </w:txbxContent>
                </v:textbox>
              </v:shape>
            </w:pict>
          </mc:Fallback>
        </mc:AlternateContent>
      </w:r>
    </w:p>
    <w:p w14:paraId="2D72A510" w14:textId="5C4EEC2C" w:rsidR="0005411A" w:rsidRPr="00A82930" w:rsidRDefault="0005411A" w:rsidP="00042B91">
      <w:pPr>
        <w:pStyle w:val="BodyText3"/>
        <w:spacing w:after="0" w:afterAutospacing="0"/>
      </w:pPr>
    </w:p>
    <w:p w14:paraId="22332CC2" w14:textId="77777777" w:rsidR="0005411A" w:rsidRPr="00A82930" w:rsidRDefault="0005411A" w:rsidP="00042B91">
      <w:pPr>
        <w:pStyle w:val="BodyText3"/>
        <w:spacing w:after="0" w:afterAutospacing="0"/>
      </w:pPr>
    </w:p>
    <w:p w14:paraId="2048CF11" w14:textId="77777777" w:rsidR="0005411A" w:rsidRPr="00A82930" w:rsidRDefault="0005411A" w:rsidP="00042B91">
      <w:pPr>
        <w:pStyle w:val="BodyText3"/>
        <w:spacing w:after="0" w:afterAutospacing="0"/>
      </w:pPr>
    </w:p>
    <w:p w14:paraId="243C88AF" w14:textId="77777777" w:rsidR="0005411A" w:rsidRPr="00A82930" w:rsidRDefault="0005411A" w:rsidP="00042B91">
      <w:pPr>
        <w:pStyle w:val="BodyText3"/>
        <w:spacing w:after="0" w:afterAutospacing="0"/>
      </w:pPr>
    </w:p>
    <w:p w14:paraId="41545C51" w14:textId="2690A02B" w:rsidR="0005411A" w:rsidRPr="00A82930" w:rsidRDefault="0005411A" w:rsidP="00042B91">
      <w:pPr>
        <w:spacing w:after="0" w:afterAutospacing="0" w:line="240" w:lineRule="auto"/>
        <w:rPr>
          <w:rFonts w:cs="Times New Roman"/>
        </w:rPr>
      </w:pPr>
    </w:p>
    <w:p w14:paraId="155D5FB3" w14:textId="51695512" w:rsidR="00042B91" w:rsidRPr="00A82930" w:rsidRDefault="00042B91" w:rsidP="00042B91">
      <w:pPr>
        <w:spacing w:after="0" w:afterAutospacing="0" w:line="240" w:lineRule="auto"/>
        <w:rPr>
          <w:rFonts w:cs="Times New Roman"/>
        </w:rPr>
      </w:pPr>
    </w:p>
    <w:p w14:paraId="50F16F2D" w14:textId="5942F0CE" w:rsidR="00042B91" w:rsidRPr="00A82930" w:rsidRDefault="00042B91" w:rsidP="00042B91">
      <w:pPr>
        <w:spacing w:after="0" w:afterAutospacing="0" w:line="240" w:lineRule="auto"/>
        <w:rPr>
          <w:rFonts w:cs="Times New Roman"/>
        </w:rPr>
      </w:pPr>
    </w:p>
    <w:p w14:paraId="781CF868" w14:textId="0A72AB5D" w:rsidR="00042B91" w:rsidRPr="00A82930" w:rsidRDefault="00042B91" w:rsidP="00042B91">
      <w:pPr>
        <w:spacing w:after="0" w:afterAutospacing="0" w:line="240" w:lineRule="auto"/>
        <w:rPr>
          <w:rFonts w:cs="Times New Roman"/>
        </w:rPr>
      </w:pPr>
    </w:p>
    <w:p w14:paraId="7525C55B" w14:textId="09737261" w:rsidR="00042B91" w:rsidRPr="00A82930" w:rsidRDefault="00042B91" w:rsidP="00042B91">
      <w:pPr>
        <w:spacing w:after="0" w:afterAutospacing="0" w:line="240" w:lineRule="auto"/>
        <w:rPr>
          <w:rFonts w:cs="Times New Roman"/>
        </w:rPr>
      </w:pPr>
    </w:p>
    <w:p w14:paraId="2CF7AE6F" w14:textId="1272C31A" w:rsidR="00E91403" w:rsidRPr="00A82930" w:rsidRDefault="00E91403" w:rsidP="00042B91">
      <w:pPr>
        <w:spacing w:after="0" w:afterAutospacing="0" w:line="240" w:lineRule="auto"/>
        <w:rPr>
          <w:rFonts w:cs="Times New Roman"/>
        </w:rPr>
      </w:pPr>
      <w:r w:rsidRPr="00A82930">
        <w:rPr>
          <w:rFonts w:cs="Times New Roman"/>
          <w:lang w:val="de-DE"/>
        </w:rPr>
        <w:t>Zur Veröffentlichung in Eudamed</w:t>
      </w:r>
    </w:p>
    <w:p w14:paraId="57B38593" w14:textId="77777777" w:rsidR="00E91403" w:rsidRPr="00A82930"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402"/>
        <w:gridCol w:w="1657"/>
        <w:gridCol w:w="6890"/>
      </w:tblGrid>
      <w:tr w:rsidR="00460A21" w:rsidRPr="00A82930"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A82930" w:rsidRDefault="00460A21" w:rsidP="00673978">
            <w:pPr>
              <w:jc w:val="center"/>
              <w:rPr>
                <w:rFonts w:cs="Times New Roman"/>
                <w:b/>
                <w:szCs w:val="24"/>
              </w:rPr>
            </w:pPr>
            <w:r w:rsidRPr="00A82930">
              <w:rPr>
                <w:rFonts w:cs="Times New Roman"/>
                <w:b/>
                <w:bCs/>
                <w:szCs w:val="24"/>
                <w:lang w:val="de-DE"/>
              </w:rPr>
              <w:t>ROLLE</w:t>
            </w:r>
          </w:p>
        </w:tc>
        <w:tc>
          <w:tcPr>
            <w:tcW w:w="1305" w:type="dxa"/>
            <w:tcBorders>
              <w:top w:val="single" w:sz="18" w:space="0" w:color="auto"/>
              <w:bottom w:val="double" w:sz="4" w:space="0" w:color="auto"/>
            </w:tcBorders>
            <w:shd w:val="clear" w:color="auto" w:fill="E0E0E0"/>
          </w:tcPr>
          <w:p w14:paraId="452B0D97" w14:textId="77777777" w:rsidR="00460A21" w:rsidRPr="00A82930" w:rsidRDefault="00460A21" w:rsidP="00673978">
            <w:pPr>
              <w:jc w:val="center"/>
              <w:rPr>
                <w:rFonts w:cs="Times New Roman"/>
                <w:b/>
                <w:szCs w:val="24"/>
              </w:rPr>
            </w:pPr>
            <w:r w:rsidRPr="00A82930">
              <w:rPr>
                <w:rFonts w:cs="Times New Roman"/>
                <w:b/>
                <w:bCs/>
                <w:szCs w:val="24"/>
                <w:lang w:val="de-DE"/>
              </w:rPr>
              <w:t>ABTEILUNG</w:t>
            </w:r>
          </w:p>
        </w:tc>
        <w:tc>
          <w:tcPr>
            <w:tcW w:w="7468" w:type="dxa"/>
            <w:tcBorders>
              <w:top w:val="single" w:sz="18" w:space="0" w:color="auto"/>
              <w:bottom w:val="double" w:sz="4" w:space="0" w:color="auto"/>
            </w:tcBorders>
            <w:shd w:val="clear" w:color="auto" w:fill="E0E0E0"/>
          </w:tcPr>
          <w:p w14:paraId="1FB5265C" w14:textId="77777777" w:rsidR="00460A21" w:rsidRPr="00A82930" w:rsidRDefault="00460A21" w:rsidP="00673978">
            <w:pPr>
              <w:jc w:val="center"/>
              <w:rPr>
                <w:rFonts w:cs="Times New Roman"/>
                <w:b/>
                <w:szCs w:val="24"/>
              </w:rPr>
            </w:pPr>
            <w:r w:rsidRPr="00A82930">
              <w:rPr>
                <w:rFonts w:cs="Times New Roman"/>
                <w:b/>
                <w:bCs/>
                <w:szCs w:val="24"/>
                <w:lang w:val="de-DE"/>
              </w:rPr>
              <w:t>NAME/TITEL</w:t>
            </w:r>
          </w:p>
        </w:tc>
      </w:tr>
      <w:tr w:rsidR="00460A21" w:rsidRPr="00A82930" w14:paraId="1D921923" w14:textId="77777777" w:rsidTr="00460A21">
        <w:trPr>
          <w:trHeight w:val="582"/>
        </w:trPr>
        <w:tc>
          <w:tcPr>
            <w:tcW w:w="1176" w:type="dxa"/>
            <w:tcBorders>
              <w:top w:val="double" w:sz="4" w:space="0" w:color="auto"/>
            </w:tcBorders>
            <w:vAlign w:val="center"/>
          </w:tcPr>
          <w:p w14:paraId="611CED18" w14:textId="77777777" w:rsidR="00460A21" w:rsidRPr="00A82930" w:rsidRDefault="00460A21" w:rsidP="00673978">
            <w:pPr>
              <w:jc w:val="center"/>
              <w:rPr>
                <w:rFonts w:cs="Times New Roman"/>
                <w:b/>
                <w:szCs w:val="24"/>
              </w:rPr>
            </w:pPr>
            <w:r w:rsidRPr="00A82930">
              <w:rPr>
                <w:rFonts w:cs="Times New Roman"/>
                <w:b/>
                <w:bCs/>
                <w:szCs w:val="24"/>
                <w:lang w:val="de-DE"/>
              </w:rPr>
              <w:t>Vorbereitet von</w:t>
            </w:r>
          </w:p>
        </w:tc>
        <w:tc>
          <w:tcPr>
            <w:tcW w:w="1305" w:type="dxa"/>
            <w:tcBorders>
              <w:top w:val="double" w:sz="4" w:space="0" w:color="auto"/>
            </w:tcBorders>
          </w:tcPr>
          <w:p w14:paraId="2DC089FC" w14:textId="77777777" w:rsidR="00460A21" w:rsidRPr="00A82930" w:rsidRDefault="00460A21" w:rsidP="00673978">
            <w:pPr>
              <w:jc w:val="center"/>
              <w:rPr>
                <w:rFonts w:cs="Times New Roman"/>
                <w:szCs w:val="24"/>
              </w:rPr>
            </w:pPr>
            <w:r w:rsidRPr="00A82930">
              <w:rPr>
                <w:rFonts w:cs="Times New Roman"/>
                <w:szCs w:val="24"/>
                <w:lang w:val="de-DE"/>
              </w:rPr>
              <w:t>Regulatory Affairs</w:t>
            </w:r>
          </w:p>
        </w:tc>
        <w:tc>
          <w:tcPr>
            <w:tcW w:w="7468" w:type="dxa"/>
            <w:tcBorders>
              <w:top w:val="double" w:sz="4" w:space="0" w:color="auto"/>
            </w:tcBorders>
          </w:tcPr>
          <w:p w14:paraId="4E7A6156" w14:textId="77777777" w:rsidR="00460A21" w:rsidRPr="00A82930" w:rsidRDefault="00460A21" w:rsidP="00673978">
            <w:pPr>
              <w:spacing w:after="0" w:afterAutospacing="0"/>
              <w:jc w:val="center"/>
              <w:rPr>
                <w:rFonts w:cs="Times New Roman"/>
                <w:szCs w:val="24"/>
                <w:lang w:val="fr-FR"/>
              </w:rPr>
            </w:pPr>
            <w:r w:rsidRPr="00A82930">
              <w:rPr>
                <w:rFonts w:cs="Times New Roman"/>
                <w:szCs w:val="24"/>
                <w:lang w:val="fr-FR"/>
              </w:rPr>
              <w:t>Nadira Lotus</w:t>
            </w:r>
          </w:p>
          <w:p w14:paraId="47F50372" w14:textId="77777777" w:rsidR="00460A21" w:rsidRPr="00A82930" w:rsidRDefault="00460A21" w:rsidP="00673978">
            <w:pPr>
              <w:jc w:val="center"/>
              <w:rPr>
                <w:rFonts w:cs="Times New Roman"/>
                <w:szCs w:val="24"/>
                <w:lang w:val="fr-FR"/>
              </w:rPr>
            </w:pPr>
            <w:r w:rsidRPr="00A82930">
              <w:rPr>
                <w:rFonts w:cs="Times New Roman"/>
                <w:szCs w:val="24"/>
                <w:lang w:val="fr-FR"/>
              </w:rPr>
              <w:t>Manager, Post Market Surveillance</w:t>
            </w:r>
          </w:p>
        </w:tc>
      </w:tr>
    </w:tbl>
    <w:p w14:paraId="45EA3393" w14:textId="77777777" w:rsidR="00E91403" w:rsidRPr="00A82930" w:rsidRDefault="00E91403" w:rsidP="00E91403">
      <w:pPr>
        <w:jc w:val="center"/>
        <w:rPr>
          <w:rFonts w:cs="Times New Roman"/>
          <w:b/>
          <w:lang w:val="fr-FR"/>
        </w:rPr>
      </w:pPr>
    </w:p>
    <w:p w14:paraId="3ADE6C89" w14:textId="0496458B" w:rsidR="00E91403" w:rsidRPr="00A82930" w:rsidRDefault="00E91403" w:rsidP="00E91403">
      <w:pPr>
        <w:tabs>
          <w:tab w:val="center" w:pos="5220"/>
          <w:tab w:val="right" w:pos="10440"/>
        </w:tabs>
        <w:rPr>
          <w:rFonts w:cs="Times New Roman"/>
          <w:b/>
          <w:lang w:val="de-DE"/>
        </w:rPr>
      </w:pPr>
      <w:r w:rsidRPr="00A82930">
        <w:rPr>
          <w:rFonts w:cs="Times New Roman"/>
          <w:lang w:val="fr-FR"/>
        </w:rPr>
        <w:tab/>
      </w:r>
      <w:r w:rsidRPr="00A82930">
        <w:rPr>
          <w:rFonts w:cs="Times New Roman"/>
          <w:b/>
          <w:bCs/>
          <w:lang w:val="de-DE"/>
        </w:rPr>
        <w:t>Unterschriften-Genehmigungsmatrix</w:t>
      </w:r>
      <w:r w:rsidRPr="00A82930">
        <w:rPr>
          <w:rFonts w:cs="Times New Roman"/>
          <w:lang w:val="de-DE"/>
        </w:rPr>
        <w:tab/>
      </w:r>
    </w:p>
    <w:p w14:paraId="01F684E3" w14:textId="77777777" w:rsidR="00E91403" w:rsidRPr="00A82930" w:rsidRDefault="00E91403" w:rsidP="00E91403">
      <w:pPr>
        <w:spacing w:after="60"/>
        <w:ind w:right="274"/>
        <w:rPr>
          <w:rFonts w:cs="Times New Roman"/>
          <w:sz w:val="20"/>
          <w:szCs w:val="20"/>
          <w:lang w:val="de-DE"/>
        </w:rPr>
      </w:pPr>
      <w:r w:rsidRPr="00A82930">
        <w:rPr>
          <w:rFonts w:cs="Times New Roman"/>
          <w:sz w:val="20"/>
          <w:szCs w:val="20"/>
          <w:lang w:val="de-DE"/>
        </w:rPr>
        <w:t>Dieses Dokument muss von allen unten aufgeführten Personen oder deren autorisierten Vertretern geprüft und genehmigt werden.</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123"/>
        <w:gridCol w:w="1657"/>
        <w:gridCol w:w="7614"/>
      </w:tblGrid>
      <w:tr w:rsidR="006A0E81" w:rsidRPr="00A82930"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A82930" w:rsidRDefault="006A0E81" w:rsidP="00673978">
            <w:pPr>
              <w:jc w:val="center"/>
              <w:rPr>
                <w:rFonts w:cs="Times New Roman"/>
                <w:b/>
                <w:szCs w:val="24"/>
              </w:rPr>
            </w:pPr>
            <w:r w:rsidRPr="00A82930">
              <w:rPr>
                <w:rFonts w:cs="Times New Roman"/>
                <w:b/>
                <w:bCs/>
                <w:szCs w:val="24"/>
                <w:lang w:val="de-DE"/>
              </w:rPr>
              <w:t>ROLLE</w:t>
            </w:r>
          </w:p>
        </w:tc>
        <w:tc>
          <w:tcPr>
            <w:tcW w:w="656" w:type="pct"/>
            <w:tcBorders>
              <w:top w:val="single" w:sz="18" w:space="0" w:color="auto"/>
              <w:bottom w:val="double" w:sz="4" w:space="0" w:color="auto"/>
            </w:tcBorders>
            <w:shd w:val="clear" w:color="auto" w:fill="E0E0E0"/>
          </w:tcPr>
          <w:p w14:paraId="21054F7D" w14:textId="77777777" w:rsidR="006A0E81" w:rsidRPr="00A82930" w:rsidRDefault="006A0E81" w:rsidP="00673978">
            <w:pPr>
              <w:jc w:val="center"/>
              <w:rPr>
                <w:rFonts w:cs="Times New Roman"/>
                <w:b/>
                <w:szCs w:val="24"/>
              </w:rPr>
            </w:pPr>
            <w:r w:rsidRPr="00A82930">
              <w:rPr>
                <w:rFonts w:cs="Times New Roman"/>
                <w:b/>
                <w:bCs/>
                <w:szCs w:val="24"/>
                <w:lang w:val="de-DE"/>
              </w:rPr>
              <w:t>ABTEILUNG</w:t>
            </w:r>
          </w:p>
        </w:tc>
        <w:tc>
          <w:tcPr>
            <w:tcW w:w="3746" w:type="pct"/>
            <w:tcBorders>
              <w:top w:val="single" w:sz="18" w:space="0" w:color="auto"/>
              <w:bottom w:val="double" w:sz="4" w:space="0" w:color="auto"/>
            </w:tcBorders>
            <w:shd w:val="clear" w:color="auto" w:fill="E0E0E0"/>
          </w:tcPr>
          <w:p w14:paraId="63C72ACD" w14:textId="77777777" w:rsidR="006A0E81" w:rsidRPr="00A82930" w:rsidRDefault="006A0E81" w:rsidP="00673978">
            <w:pPr>
              <w:jc w:val="center"/>
              <w:rPr>
                <w:rFonts w:cs="Times New Roman"/>
                <w:b/>
                <w:szCs w:val="24"/>
              </w:rPr>
            </w:pPr>
            <w:r w:rsidRPr="00A82930">
              <w:rPr>
                <w:rFonts w:cs="Times New Roman"/>
                <w:b/>
                <w:bCs/>
                <w:szCs w:val="24"/>
                <w:lang w:val="de-DE"/>
              </w:rPr>
              <w:t>NAME/TITEL</w:t>
            </w:r>
          </w:p>
        </w:tc>
      </w:tr>
      <w:tr w:rsidR="006A0E81" w:rsidRPr="00A82930" w14:paraId="6B67D988" w14:textId="77777777" w:rsidTr="00CB6BBA">
        <w:trPr>
          <w:trHeight w:val="606"/>
        </w:trPr>
        <w:tc>
          <w:tcPr>
            <w:tcW w:w="598" w:type="pct"/>
            <w:vAlign w:val="center"/>
          </w:tcPr>
          <w:p w14:paraId="2B4AF818" w14:textId="77777777" w:rsidR="006A0E81" w:rsidRPr="00A82930" w:rsidRDefault="006A0E81" w:rsidP="00673978">
            <w:pPr>
              <w:jc w:val="center"/>
              <w:rPr>
                <w:rFonts w:cs="Times New Roman"/>
                <w:b/>
                <w:szCs w:val="24"/>
              </w:rPr>
            </w:pPr>
            <w:r w:rsidRPr="00A82930">
              <w:rPr>
                <w:rFonts w:cs="Times New Roman"/>
                <w:b/>
                <w:bCs/>
                <w:szCs w:val="24"/>
                <w:lang w:val="de-DE"/>
              </w:rPr>
              <w:t>Freigabe</w:t>
            </w:r>
          </w:p>
        </w:tc>
        <w:tc>
          <w:tcPr>
            <w:tcW w:w="656" w:type="pct"/>
            <w:vAlign w:val="center"/>
          </w:tcPr>
          <w:p w14:paraId="761C8529" w14:textId="77777777" w:rsidR="006A0E81" w:rsidRPr="00A82930" w:rsidRDefault="006A0E81" w:rsidP="00673978">
            <w:pPr>
              <w:jc w:val="center"/>
              <w:rPr>
                <w:rFonts w:cs="Times New Roman"/>
                <w:szCs w:val="24"/>
              </w:rPr>
            </w:pPr>
            <w:r w:rsidRPr="00A82930">
              <w:rPr>
                <w:rFonts w:cs="Times New Roman"/>
                <w:szCs w:val="24"/>
                <w:lang w:val="de-DE"/>
              </w:rPr>
              <w:t>Clinical Affairs</w:t>
            </w:r>
          </w:p>
        </w:tc>
        <w:tc>
          <w:tcPr>
            <w:tcW w:w="3746" w:type="pct"/>
            <w:vAlign w:val="center"/>
          </w:tcPr>
          <w:p w14:paraId="5F782B7A" w14:textId="77777777" w:rsidR="005D3579" w:rsidRPr="00A82930" w:rsidRDefault="005D3579" w:rsidP="005D3579">
            <w:pPr>
              <w:spacing w:after="0" w:afterAutospacing="0"/>
              <w:jc w:val="center"/>
              <w:rPr>
                <w:rFonts w:cs="Times New Roman"/>
                <w:szCs w:val="24"/>
                <w:lang w:val="de-DE"/>
              </w:rPr>
            </w:pPr>
            <w:r w:rsidRPr="00A82930">
              <w:rPr>
                <w:rFonts w:cs="Times New Roman"/>
                <w:szCs w:val="24"/>
                <w:lang w:val="de-DE"/>
              </w:rPr>
              <w:t>David Roe</w:t>
            </w:r>
          </w:p>
          <w:p w14:paraId="4C6C222C" w14:textId="2028D445" w:rsidR="006A0E81" w:rsidRPr="00A82930" w:rsidRDefault="005D3579" w:rsidP="005D3579">
            <w:pPr>
              <w:jc w:val="center"/>
              <w:rPr>
                <w:rFonts w:cs="Times New Roman"/>
                <w:szCs w:val="24"/>
                <w:lang w:val="de-DE"/>
              </w:rPr>
            </w:pPr>
            <w:r w:rsidRPr="00A82930">
              <w:rPr>
                <w:rFonts w:cs="Times New Roman"/>
                <w:szCs w:val="24"/>
                <w:lang w:val="de-DE"/>
              </w:rPr>
              <w:t>Fachautor für medizinische Texte</w:t>
            </w:r>
          </w:p>
        </w:tc>
      </w:tr>
      <w:tr w:rsidR="006A0E81" w:rsidRPr="00A82930" w14:paraId="66F2BF6D" w14:textId="77777777" w:rsidTr="00CB6BBA">
        <w:trPr>
          <w:trHeight w:val="624"/>
        </w:trPr>
        <w:tc>
          <w:tcPr>
            <w:tcW w:w="598" w:type="pct"/>
            <w:vAlign w:val="center"/>
          </w:tcPr>
          <w:p w14:paraId="0A1137A9" w14:textId="77777777" w:rsidR="006A0E81" w:rsidRPr="00A82930" w:rsidRDefault="006A0E81" w:rsidP="00673978">
            <w:pPr>
              <w:jc w:val="center"/>
              <w:rPr>
                <w:rFonts w:cs="Times New Roman"/>
                <w:b/>
                <w:szCs w:val="24"/>
              </w:rPr>
            </w:pPr>
            <w:r w:rsidRPr="00A82930">
              <w:rPr>
                <w:rFonts w:cs="Times New Roman"/>
                <w:b/>
                <w:bCs/>
                <w:szCs w:val="24"/>
                <w:lang w:val="de-DE"/>
              </w:rPr>
              <w:t>Freigabe</w:t>
            </w:r>
          </w:p>
        </w:tc>
        <w:tc>
          <w:tcPr>
            <w:tcW w:w="656" w:type="pct"/>
            <w:vAlign w:val="center"/>
          </w:tcPr>
          <w:p w14:paraId="51910E9B" w14:textId="77777777" w:rsidR="006A0E81" w:rsidRPr="00A82930" w:rsidRDefault="006A0E81" w:rsidP="00673978">
            <w:pPr>
              <w:jc w:val="center"/>
              <w:rPr>
                <w:rFonts w:cs="Times New Roman"/>
                <w:szCs w:val="24"/>
              </w:rPr>
            </w:pPr>
            <w:r w:rsidRPr="00A82930">
              <w:rPr>
                <w:rFonts w:cs="Times New Roman"/>
                <w:szCs w:val="24"/>
                <w:lang w:val="de-DE"/>
              </w:rPr>
              <w:t xml:space="preserve">Quality </w:t>
            </w:r>
          </w:p>
        </w:tc>
        <w:tc>
          <w:tcPr>
            <w:tcW w:w="3746" w:type="pct"/>
            <w:vAlign w:val="center"/>
          </w:tcPr>
          <w:p w14:paraId="25509EA9" w14:textId="77777777" w:rsidR="006A0E81" w:rsidRPr="00A82930" w:rsidRDefault="00FE7FD9" w:rsidP="009576EB">
            <w:pPr>
              <w:spacing w:after="0" w:afterAutospacing="0"/>
              <w:jc w:val="center"/>
              <w:rPr>
                <w:rFonts w:cs="Times New Roman"/>
                <w:szCs w:val="24"/>
              </w:rPr>
            </w:pPr>
            <w:r w:rsidRPr="00A82930">
              <w:rPr>
                <w:rFonts w:cs="Times New Roman"/>
                <w:szCs w:val="24"/>
              </w:rPr>
              <w:t>James Stephens</w:t>
            </w:r>
          </w:p>
          <w:p w14:paraId="6A33F960" w14:textId="36275141" w:rsidR="001D2757" w:rsidRPr="00A82930" w:rsidRDefault="001D2757" w:rsidP="009576EB">
            <w:pPr>
              <w:spacing w:after="0" w:afterAutospacing="0"/>
              <w:jc w:val="center"/>
              <w:rPr>
                <w:rFonts w:cs="Times New Roman"/>
                <w:szCs w:val="24"/>
              </w:rPr>
            </w:pPr>
            <w:r w:rsidRPr="00A82930">
              <w:rPr>
                <w:rFonts w:cs="Times New Roman"/>
                <w:szCs w:val="24"/>
              </w:rPr>
              <w:t>Sr. Director, Quality Operations</w:t>
            </w:r>
          </w:p>
        </w:tc>
      </w:tr>
      <w:tr w:rsidR="006A0E81" w:rsidRPr="00A82930" w14:paraId="6908B34D" w14:textId="77777777" w:rsidTr="00CB6BBA">
        <w:trPr>
          <w:trHeight w:val="624"/>
        </w:trPr>
        <w:tc>
          <w:tcPr>
            <w:tcW w:w="598" w:type="pct"/>
            <w:vAlign w:val="center"/>
          </w:tcPr>
          <w:p w14:paraId="09A6937D" w14:textId="77777777" w:rsidR="006A0E81" w:rsidRPr="00A82930" w:rsidRDefault="006A0E81" w:rsidP="00673978">
            <w:pPr>
              <w:jc w:val="center"/>
              <w:rPr>
                <w:rFonts w:cs="Times New Roman"/>
                <w:b/>
                <w:szCs w:val="24"/>
              </w:rPr>
            </w:pPr>
            <w:r w:rsidRPr="00A82930">
              <w:rPr>
                <w:rFonts w:cs="Times New Roman"/>
                <w:b/>
                <w:bCs/>
                <w:szCs w:val="24"/>
                <w:lang w:val="de-DE"/>
              </w:rPr>
              <w:t>Freigabe</w:t>
            </w:r>
          </w:p>
        </w:tc>
        <w:tc>
          <w:tcPr>
            <w:tcW w:w="656" w:type="pct"/>
            <w:vAlign w:val="center"/>
          </w:tcPr>
          <w:p w14:paraId="5674E28C" w14:textId="77777777" w:rsidR="006A0E81" w:rsidRPr="00A82930" w:rsidRDefault="006A0E81" w:rsidP="00673978">
            <w:pPr>
              <w:jc w:val="center"/>
              <w:rPr>
                <w:rFonts w:cs="Times New Roman"/>
                <w:szCs w:val="24"/>
              </w:rPr>
            </w:pPr>
            <w:r w:rsidRPr="00A82930">
              <w:rPr>
                <w:rFonts w:cs="Times New Roman"/>
                <w:szCs w:val="24"/>
                <w:lang w:val="de-DE"/>
              </w:rPr>
              <w:t xml:space="preserve">Regulatory </w:t>
            </w:r>
          </w:p>
        </w:tc>
        <w:tc>
          <w:tcPr>
            <w:tcW w:w="3746" w:type="pct"/>
            <w:vAlign w:val="center"/>
          </w:tcPr>
          <w:p w14:paraId="4C04C47C" w14:textId="77777777" w:rsidR="00810EBB" w:rsidRPr="00A82930" w:rsidRDefault="00810EBB">
            <w:pPr>
              <w:spacing w:after="0" w:afterAutospacing="0"/>
              <w:jc w:val="center"/>
              <w:rPr>
                <w:rFonts w:cs="Times New Roman"/>
                <w:kern w:val="2"/>
                <w:szCs w:val="24"/>
                <w14:ligatures w14:val="standardContextual"/>
              </w:rPr>
            </w:pPr>
            <w:r w:rsidRPr="00A82930">
              <w:rPr>
                <w:rFonts w:cs="Times New Roman"/>
              </w:rPr>
              <w:t>Scott Bishop</w:t>
            </w:r>
          </w:p>
          <w:p w14:paraId="4951FAA0" w14:textId="77777777" w:rsidR="006A0E81" w:rsidRPr="00A82930" w:rsidRDefault="006A0E81" w:rsidP="00673978">
            <w:pPr>
              <w:jc w:val="center"/>
              <w:rPr>
                <w:rFonts w:cs="Times New Roman"/>
                <w:szCs w:val="24"/>
              </w:rPr>
            </w:pPr>
            <w:r w:rsidRPr="00A82930">
              <w:rPr>
                <w:rFonts w:eastAsia="Times New Roman" w:cs="Times New Roman"/>
                <w:szCs w:val="24"/>
              </w:rPr>
              <w:t>VP, Global RA and QA</w:t>
            </w:r>
          </w:p>
        </w:tc>
      </w:tr>
    </w:tbl>
    <w:p w14:paraId="51DA0A01" w14:textId="5402C604" w:rsidR="00E91403" w:rsidRPr="00A82930" w:rsidRDefault="00E91403" w:rsidP="00E91403">
      <w:pPr>
        <w:jc w:val="center"/>
        <w:rPr>
          <w:rFonts w:cs="Times New Roman"/>
          <w:b/>
        </w:rPr>
      </w:pPr>
      <w:r w:rsidRPr="00A82930">
        <w:rPr>
          <w:rFonts w:cs="Times New Roman"/>
          <w:b/>
          <w:bCs/>
          <w:lang w:val="de-DE"/>
        </w:rPr>
        <w:t>Änderungsverlauf</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950"/>
        <w:gridCol w:w="1556"/>
        <w:gridCol w:w="1500"/>
        <w:gridCol w:w="4573"/>
        <w:gridCol w:w="1815"/>
      </w:tblGrid>
      <w:tr w:rsidR="00E91403" w:rsidRPr="00A82930" w14:paraId="38F29FD4" w14:textId="77777777" w:rsidTr="00463EF7">
        <w:tc>
          <w:tcPr>
            <w:tcW w:w="335" w:type="pct"/>
            <w:tcBorders>
              <w:top w:val="single" w:sz="18" w:space="0" w:color="auto"/>
              <w:bottom w:val="double" w:sz="4" w:space="0" w:color="auto"/>
            </w:tcBorders>
            <w:shd w:val="clear" w:color="auto" w:fill="E0E0E0"/>
          </w:tcPr>
          <w:p w14:paraId="34BEB815" w14:textId="77777777" w:rsidR="00E91403" w:rsidRPr="00A82930" w:rsidRDefault="00E91403" w:rsidP="00842611">
            <w:pPr>
              <w:jc w:val="center"/>
              <w:rPr>
                <w:rFonts w:cs="Times New Roman"/>
                <w:b/>
                <w:sz w:val="20"/>
                <w:szCs w:val="20"/>
              </w:rPr>
            </w:pPr>
            <w:r w:rsidRPr="00A82930">
              <w:rPr>
                <w:rFonts w:cs="Times New Roman"/>
                <w:b/>
                <w:bCs/>
                <w:sz w:val="20"/>
                <w:szCs w:val="20"/>
                <w:lang w:val="de-DE"/>
              </w:rPr>
              <w:t>Revision</w:t>
            </w:r>
          </w:p>
        </w:tc>
        <w:tc>
          <w:tcPr>
            <w:tcW w:w="779" w:type="pct"/>
            <w:tcBorders>
              <w:top w:val="single" w:sz="18" w:space="0" w:color="auto"/>
              <w:bottom w:val="double" w:sz="4" w:space="0" w:color="auto"/>
            </w:tcBorders>
            <w:shd w:val="clear" w:color="auto" w:fill="E0E0E0"/>
          </w:tcPr>
          <w:p w14:paraId="13A8D0CD" w14:textId="77777777" w:rsidR="00E91403" w:rsidRPr="00A82930" w:rsidRDefault="00E91403" w:rsidP="00842611">
            <w:pPr>
              <w:jc w:val="center"/>
              <w:rPr>
                <w:rFonts w:cs="Times New Roman"/>
                <w:b/>
                <w:sz w:val="20"/>
                <w:szCs w:val="20"/>
              </w:rPr>
            </w:pPr>
            <w:r w:rsidRPr="00A82930">
              <w:rPr>
                <w:rFonts w:cs="Times New Roman"/>
                <w:b/>
                <w:bCs/>
                <w:sz w:val="20"/>
                <w:szCs w:val="20"/>
                <w:lang w:val="de-DE"/>
              </w:rPr>
              <w:t>Datum</w:t>
            </w:r>
          </w:p>
        </w:tc>
        <w:tc>
          <w:tcPr>
            <w:tcW w:w="752" w:type="pct"/>
            <w:tcBorders>
              <w:top w:val="single" w:sz="18" w:space="0" w:color="auto"/>
              <w:bottom w:val="double" w:sz="4" w:space="0" w:color="auto"/>
            </w:tcBorders>
            <w:shd w:val="clear" w:color="auto" w:fill="E0E0E0"/>
          </w:tcPr>
          <w:p w14:paraId="4E5F13C6" w14:textId="77777777" w:rsidR="00E91403" w:rsidRPr="00A82930" w:rsidRDefault="00E91403" w:rsidP="00842611">
            <w:pPr>
              <w:jc w:val="center"/>
              <w:rPr>
                <w:rFonts w:cs="Times New Roman"/>
                <w:b/>
                <w:sz w:val="20"/>
                <w:szCs w:val="20"/>
              </w:rPr>
            </w:pPr>
            <w:r w:rsidRPr="00A82930">
              <w:rPr>
                <w:rFonts w:cs="Times New Roman"/>
                <w:b/>
                <w:bCs/>
                <w:sz w:val="20"/>
                <w:szCs w:val="20"/>
                <w:lang w:val="de-DE"/>
              </w:rPr>
              <w:t>Abschnitte</w:t>
            </w:r>
          </w:p>
        </w:tc>
        <w:tc>
          <w:tcPr>
            <w:tcW w:w="2230" w:type="pct"/>
            <w:tcBorders>
              <w:top w:val="single" w:sz="18" w:space="0" w:color="auto"/>
              <w:bottom w:val="double" w:sz="4" w:space="0" w:color="auto"/>
            </w:tcBorders>
            <w:shd w:val="clear" w:color="auto" w:fill="E0E0E0"/>
          </w:tcPr>
          <w:p w14:paraId="308681D3" w14:textId="77777777" w:rsidR="00E91403" w:rsidRPr="00A82930" w:rsidRDefault="00E91403" w:rsidP="00842611">
            <w:pPr>
              <w:jc w:val="center"/>
              <w:rPr>
                <w:rFonts w:cs="Times New Roman"/>
                <w:b/>
                <w:sz w:val="20"/>
                <w:szCs w:val="20"/>
              </w:rPr>
            </w:pPr>
            <w:r w:rsidRPr="00A82930">
              <w:rPr>
                <w:rFonts w:cs="Times New Roman"/>
                <w:b/>
                <w:bCs/>
                <w:sz w:val="20"/>
                <w:szCs w:val="20"/>
                <w:lang w:val="de-DE"/>
              </w:rPr>
              <w:t>Beschreibung der Änderung</w:t>
            </w:r>
          </w:p>
        </w:tc>
        <w:tc>
          <w:tcPr>
            <w:tcW w:w="903" w:type="pct"/>
            <w:tcBorders>
              <w:top w:val="single" w:sz="18" w:space="0" w:color="auto"/>
              <w:bottom w:val="double" w:sz="4" w:space="0" w:color="auto"/>
            </w:tcBorders>
            <w:shd w:val="clear" w:color="auto" w:fill="E0E0E0"/>
          </w:tcPr>
          <w:p w14:paraId="332F4EE6" w14:textId="21BEC48C" w:rsidR="00E91403" w:rsidRPr="00A82930" w:rsidRDefault="00F50FFD" w:rsidP="00440750">
            <w:pPr>
              <w:jc w:val="center"/>
              <w:rPr>
                <w:rFonts w:cs="Times New Roman"/>
                <w:b/>
                <w:kern w:val="2"/>
                <w:sz w:val="20"/>
                <w:szCs w:val="24"/>
                <w14:ligatures w14:val="standardContextual"/>
              </w:rPr>
            </w:pPr>
            <w:r w:rsidRPr="00A82930">
              <w:rPr>
                <w:rFonts w:cs="Times New Roman"/>
                <w:b/>
                <w:bCs/>
                <w:sz w:val="20"/>
                <w:szCs w:val="20"/>
                <w:lang w:val="de-DE"/>
              </w:rPr>
              <w:t>Änderungsantrag-Nr.</w:t>
            </w:r>
          </w:p>
        </w:tc>
      </w:tr>
      <w:tr w:rsidR="006D6196" w:rsidRPr="00A82930" w14:paraId="47D66140" w14:textId="77777777" w:rsidTr="00463EF7">
        <w:tc>
          <w:tcPr>
            <w:tcW w:w="335" w:type="pct"/>
            <w:tcBorders>
              <w:top w:val="double" w:sz="4" w:space="0" w:color="auto"/>
              <w:bottom w:val="single" w:sz="4" w:space="0" w:color="auto"/>
            </w:tcBorders>
          </w:tcPr>
          <w:p w14:paraId="4EEA4C6D" w14:textId="4B90CEB9" w:rsidR="006D6196" w:rsidRPr="00A82930" w:rsidRDefault="006D6196" w:rsidP="006D6196">
            <w:pPr>
              <w:jc w:val="center"/>
              <w:rPr>
                <w:rFonts w:cs="Times New Roman"/>
                <w:szCs w:val="24"/>
              </w:rPr>
            </w:pPr>
            <w:r w:rsidRPr="00A82930">
              <w:rPr>
                <w:rFonts w:cs="Times New Roman"/>
                <w:szCs w:val="24"/>
                <w:lang w:val="de-DE"/>
              </w:rPr>
              <w:t>A</w:t>
            </w:r>
          </w:p>
        </w:tc>
        <w:tc>
          <w:tcPr>
            <w:tcW w:w="779" w:type="pct"/>
            <w:tcBorders>
              <w:top w:val="double" w:sz="4" w:space="0" w:color="auto"/>
              <w:bottom w:val="single" w:sz="4" w:space="0" w:color="auto"/>
            </w:tcBorders>
          </w:tcPr>
          <w:p w14:paraId="0D82C539" w14:textId="0439E8D4" w:rsidR="006D6196" w:rsidRPr="00A82930" w:rsidRDefault="006D6196" w:rsidP="006D6196">
            <w:pPr>
              <w:jc w:val="center"/>
              <w:rPr>
                <w:rFonts w:cs="Times New Roman"/>
                <w:kern w:val="2"/>
                <w:szCs w:val="24"/>
                <w14:ligatures w14:val="standardContextual"/>
              </w:rPr>
            </w:pPr>
            <w:r w:rsidRPr="00A82930">
              <w:rPr>
                <w:rFonts w:cs="Times New Roman"/>
                <w:lang w:val="de-DE"/>
              </w:rPr>
              <w:t>10. August 2021</w:t>
            </w:r>
          </w:p>
        </w:tc>
        <w:tc>
          <w:tcPr>
            <w:tcW w:w="752" w:type="pct"/>
            <w:tcBorders>
              <w:top w:val="double" w:sz="4" w:space="0" w:color="auto"/>
              <w:bottom w:val="single" w:sz="4" w:space="0" w:color="auto"/>
            </w:tcBorders>
          </w:tcPr>
          <w:p w14:paraId="6CD4C417" w14:textId="474FA25B" w:rsidR="006D6196" w:rsidRPr="00A82930" w:rsidRDefault="006D6196" w:rsidP="006D6196">
            <w:pPr>
              <w:jc w:val="center"/>
              <w:rPr>
                <w:rFonts w:cs="Times New Roman"/>
                <w:szCs w:val="24"/>
              </w:rPr>
            </w:pPr>
            <w:r w:rsidRPr="00A82930">
              <w:rPr>
                <w:rFonts w:cs="Times New Roman"/>
                <w:szCs w:val="24"/>
                <w:lang w:val="de-DE"/>
              </w:rPr>
              <w:t>Alle</w:t>
            </w:r>
          </w:p>
        </w:tc>
        <w:tc>
          <w:tcPr>
            <w:tcW w:w="2230" w:type="pct"/>
            <w:tcBorders>
              <w:top w:val="double" w:sz="4" w:space="0" w:color="auto"/>
              <w:bottom w:val="single" w:sz="4" w:space="0" w:color="auto"/>
            </w:tcBorders>
          </w:tcPr>
          <w:p w14:paraId="3973A2E3" w14:textId="6859662B" w:rsidR="006D6196" w:rsidRPr="00A82930" w:rsidRDefault="006D6196" w:rsidP="006D6196">
            <w:pPr>
              <w:rPr>
                <w:rFonts w:cs="Times New Roman"/>
                <w:kern w:val="2"/>
                <w:szCs w:val="24"/>
                <w:lang w:val="de-DE"/>
                <w14:ligatures w14:val="standardContextual"/>
              </w:rPr>
            </w:pPr>
            <w:r w:rsidRPr="00A82930">
              <w:rPr>
                <w:rFonts w:cs="Times New Roman"/>
                <w:szCs w:val="24"/>
                <w:lang w:val="de-DE"/>
              </w:rPr>
              <w:t>Erster Bericht – nur für den internen Gebrauch</w:t>
            </w:r>
          </w:p>
        </w:tc>
        <w:tc>
          <w:tcPr>
            <w:tcW w:w="903" w:type="pct"/>
            <w:tcBorders>
              <w:top w:val="double" w:sz="4" w:space="0" w:color="auto"/>
              <w:bottom w:val="single" w:sz="4" w:space="0" w:color="auto"/>
            </w:tcBorders>
          </w:tcPr>
          <w:p w14:paraId="243CB41C" w14:textId="599ED48F" w:rsidR="006D6196" w:rsidRPr="00A82930" w:rsidRDefault="006D6196" w:rsidP="006D6196">
            <w:pPr>
              <w:rPr>
                <w:rFonts w:cs="Times New Roman"/>
                <w:kern w:val="2"/>
                <w:szCs w:val="24"/>
                <w14:ligatures w14:val="standardContextual"/>
              </w:rPr>
            </w:pPr>
            <w:r w:rsidRPr="00A82930">
              <w:rPr>
                <w:rFonts w:cs="Times New Roman"/>
                <w:szCs w:val="24"/>
                <w:lang w:val="de-DE"/>
              </w:rPr>
              <w:t>00103865</w:t>
            </w:r>
          </w:p>
        </w:tc>
      </w:tr>
      <w:tr w:rsidR="00E03D93" w:rsidRPr="00A82930" w14:paraId="495D8A1C" w14:textId="77777777" w:rsidTr="00463EF7">
        <w:tc>
          <w:tcPr>
            <w:tcW w:w="335" w:type="pct"/>
            <w:tcBorders>
              <w:top w:val="single" w:sz="4" w:space="0" w:color="auto"/>
              <w:bottom w:val="single" w:sz="12" w:space="0" w:color="auto"/>
            </w:tcBorders>
          </w:tcPr>
          <w:p w14:paraId="065DAE3E" w14:textId="70DED84E" w:rsidR="00E03D93" w:rsidRPr="00A82930" w:rsidRDefault="00E03D93" w:rsidP="00E03D93">
            <w:pPr>
              <w:jc w:val="center"/>
              <w:rPr>
                <w:rFonts w:cs="Times New Roman"/>
              </w:rPr>
            </w:pPr>
            <w:r w:rsidRPr="00A82930">
              <w:rPr>
                <w:rFonts w:cs="Times New Roman"/>
                <w:szCs w:val="24"/>
                <w:lang w:val="de-DE"/>
              </w:rPr>
              <w:t>B</w:t>
            </w:r>
          </w:p>
        </w:tc>
        <w:tc>
          <w:tcPr>
            <w:tcW w:w="779" w:type="pct"/>
            <w:tcBorders>
              <w:top w:val="single" w:sz="4" w:space="0" w:color="auto"/>
              <w:bottom w:val="single" w:sz="12" w:space="0" w:color="auto"/>
            </w:tcBorders>
          </w:tcPr>
          <w:p w14:paraId="52F239C5" w14:textId="5D9BBDFC" w:rsidR="00E03D93" w:rsidRPr="00A82930" w:rsidRDefault="00A421D7" w:rsidP="00440750">
            <w:pPr>
              <w:jc w:val="center"/>
              <w:rPr>
                <w:rFonts w:cs="Times New Roman"/>
                <w:i/>
                <w:iCs/>
                <w:kern w:val="2"/>
                <w:szCs w:val="24"/>
                <w14:ligatures w14:val="standardContextual"/>
              </w:rPr>
            </w:pPr>
            <w:r w:rsidRPr="00A82930">
              <w:rPr>
                <w:rFonts w:cs="Times New Roman"/>
                <w:lang w:val="de-DE"/>
              </w:rPr>
              <w:t>25. August 2026</w:t>
            </w:r>
          </w:p>
        </w:tc>
        <w:tc>
          <w:tcPr>
            <w:tcW w:w="752" w:type="pct"/>
            <w:tcBorders>
              <w:top w:val="single" w:sz="4" w:space="0" w:color="auto"/>
              <w:bottom w:val="single" w:sz="12" w:space="0" w:color="auto"/>
            </w:tcBorders>
          </w:tcPr>
          <w:p w14:paraId="319F0BB7" w14:textId="7F37E1F6" w:rsidR="00E03D93" w:rsidRPr="00A82930" w:rsidRDefault="00E03D93" w:rsidP="00E03D93">
            <w:pPr>
              <w:jc w:val="center"/>
              <w:rPr>
                <w:rFonts w:cs="Times New Roman"/>
              </w:rPr>
            </w:pPr>
            <w:r w:rsidRPr="00A82930">
              <w:rPr>
                <w:rFonts w:cs="Times New Roman"/>
                <w:szCs w:val="24"/>
                <w:lang w:val="de-DE"/>
              </w:rPr>
              <w:t>Alle</w:t>
            </w:r>
          </w:p>
        </w:tc>
        <w:tc>
          <w:tcPr>
            <w:tcW w:w="2230" w:type="pct"/>
            <w:tcBorders>
              <w:top w:val="single" w:sz="4" w:space="0" w:color="auto"/>
              <w:bottom w:val="single" w:sz="12" w:space="0" w:color="auto"/>
            </w:tcBorders>
          </w:tcPr>
          <w:p w14:paraId="3D913A75" w14:textId="6417D0E0" w:rsidR="00E03D93" w:rsidRPr="00A82930" w:rsidRDefault="00440750" w:rsidP="00440750">
            <w:pPr>
              <w:rPr>
                <w:rFonts w:cs="Times New Roman"/>
                <w:kern w:val="2"/>
                <w:szCs w:val="24"/>
                <w:lang w:val="de-DE"/>
                <w14:ligatures w14:val="standardContextual"/>
              </w:rPr>
            </w:pPr>
            <w:r w:rsidRPr="00A82930">
              <w:rPr>
                <w:rFonts w:cs="Times New Roman"/>
                <w:lang w:val="de-DE"/>
              </w:rPr>
              <w:t xml:space="preserve">Aktualisierung der EU MDR SSCP </w:t>
            </w:r>
          </w:p>
        </w:tc>
        <w:tc>
          <w:tcPr>
            <w:tcW w:w="903" w:type="pct"/>
            <w:tcBorders>
              <w:top w:val="single" w:sz="4" w:space="0" w:color="auto"/>
              <w:bottom w:val="single" w:sz="12" w:space="0" w:color="auto"/>
            </w:tcBorders>
          </w:tcPr>
          <w:p w14:paraId="077C5F38" w14:textId="00765E44" w:rsidR="00E03D93" w:rsidRPr="00A82930" w:rsidRDefault="00CB6BBA" w:rsidP="00440750">
            <w:pPr>
              <w:rPr>
                <w:rFonts w:cs="Times New Roman"/>
                <w:kern w:val="2"/>
                <w:szCs w:val="24"/>
                <w14:ligatures w14:val="standardContextual"/>
              </w:rPr>
            </w:pPr>
            <w:r w:rsidRPr="00A82930">
              <w:rPr>
                <w:rFonts w:cs="Times New Roman"/>
                <w:szCs w:val="24"/>
                <w:lang w:val="de-DE"/>
              </w:rPr>
              <w:t>08401</w:t>
            </w:r>
          </w:p>
        </w:tc>
      </w:tr>
    </w:tbl>
    <w:p w14:paraId="700C8B5F" w14:textId="34A53550" w:rsidR="006F0810" w:rsidRPr="00A82930" w:rsidRDefault="0005411A" w:rsidP="00042B91">
      <w:pPr>
        <w:spacing w:after="0" w:afterAutospacing="0" w:line="240" w:lineRule="auto"/>
        <w:rPr>
          <w:rFonts w:cs="Times New Roman"/>
        </w:rPr>
      </w:pPr>
      <w:r w:rsidRPr="00A82930">
        <w:rPr>
          <w:rFonts w:cs="Times New Roman"/>
          <w:szCs w:val="24"/>
          <w:lang w:val="de-DE"/>
        </w:rPr>
        <w:br w:type="page"/>
      </w:r>
      <w:r w:rsidRPr="00A82930">
        <w:rPr>
          <w:rFonts w:cs="Times New Roman"/>
          <w:lang w:val="de-DE"/>
        </w:rPr>
        <w:lastRenderedPageBreak/>
        <w:t>Inhaltsverzeichnis</w:t>
      </w:r>
    </w:p>
    <w:p w14:paraId="34D81305" w14:textId="6E67B4CD" w:rsidR="007E6DF6" w:rsidRPr="00A82930" w:rsidRDefault="006F0810">
      <w:pPr>
        <w:pStyle w:val="TOC1"/>
        <w:rPr>
          <w:rFonts w:asciiTheme="minorHAnsi" w:eastAsiaTheme="minorEastAsia" w:hAnsiTheme="minorHAnsi" w:cstheme="minorBidi"/>
          <w:noProof/>
          <w:kern w:val="2"/>
          <w:lang w:eastAsia="zh-CN"/>
          <w14:ligatures w14:val="standardContextual"/>
        </w:rPr>
      </w:pPr>
      <w:r w:rsidRPr="00A82930">
        <w:rPr>
          <w:lang w:val="de-DE"/>
        </w:rPr>
        <w:fldChar w:fldCharType="begin"/>
      </w:r>
      <w:r w:rsidRPr="00A82930">
        <w:instrText xml:space="preserve"> TOC \o "1-3" \h \z \u </w:instrText>
      </w:r>
      <w:r w:rsidRPr="00A82930">
        <w:fldChar w:fldCharType="separate"/>
      </w:r>
      <w:hyperlink w:anchor="_Toc240466231" w:history="1">
        <w:r w:rsidR="007E6DF6" w:rsidRPr="00A82930">
          <w:rPr>
            <w:rStyle w:val="Hyperlink"/>
            <w:noProof/>
            <w:lang w:val="de-DE"/>
          </w:rPr>
          <w:t>1.</w:t>
        </w:r>
        <w:r w:rsidR="007E6DF6" w:rsidRPr="00A82930">
          <w:rPr>
            <w:rFonts w:asciiTheme="minorHAnsi" w:eastAsiaTheme="minorEastAsia" w:hAnsiTheme="minorHAnsi" w:cstheme="minorBidi"/>
            <w:noProof/>
            <w:kern w:val="2"/>
            <w:lang w:eastAsia="zh-CN"/>
            <w14:ligatures w14:val="standardContextual"/>
          </w:rPr>
          <w:tab/>
        </w:r>
        <w:r w:rsidR="007E6DF6" w:rsidRPr="00A82930">
          <w:rPr>
            <w:rStyle w:val="Hyperlink"/>
            <w:bCs/>
            <w:noProof/>
            <w:lang w:val="de-DE"/>
          </w:rPr>
          <w:t>Umfang dieser Zusammenfassung der Sicherheit und klinischen Leistung (SSCP):</w:t>
        </w:r>
        <w:r w:rsidR="007E6DF6" w:rsidRPr="00A82930">
          <w:rPr>
            <w:noProof/>
            <w:webHidden/>
          </w:rPr>
          <w:tab/>
        </w:r>
        <w:r w:rsidR="007E6DF6" w:rsidRPr="00A82930">
          <w:rPr>
            <w:noProof/>
            <w:webHidden/>
          </w:rPr>
          <w:fldChar w:fldCharType="begin"/>
        </w:r>
        <w:r w:rsidR="007E6DF6" w:rsidRPr="00A82930">
          <w:rPr>
            <w:noProof/>
            <w:webHidden/>
          </w:rPr>
          <w:instrText xml:space="preserve"> PAGEREF _Toc240466231 \h </w:instrText>
        </w:r>
        <w:r w:rsidR="007E6DF6" w:rsidRPr="00A82930">
          <w:rPr>
            <w:noProof/>
            <w:webHidden/>
          </w:rPr>
        </w:r>
        <w:r w:rsidR="007E6DF6" w:rsidRPr="00A82930">
          <w:rPr>
            <w:noProof/>
            <w:webHidden/>
          </w:rPr>
          <w:fldChar w:fldCharType="separate"/>
        </w:r>
        <w:r w:rsidR="0074240F" w:rsidRPr="00A82930">
          <w:rPr>
            <w:noProof/>
            <w:webHidden/>
          </w:rPr>
          <w:t>3</w:t>
        </w:r>
        <w:r w:rsidR="007E6DF6" w:rsidRPr="00A82930">
          <w:rPr>
            <w:noProof/>
            <w:webHidden/>
          </w:rPr>
          <w:fldChar w:fldCharType="end"/>
        </w:r>
      </w:hyperlink>
    </w:p>
    <w:p w14:paraId="605E793C" w14:textId="0B0402D8"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32" w:history="1">
        <w:r w:rsidRPr="00A82930">
          <w:rPr>
            <w:rStyle w:val="Hyperlink"/>
            <w:noProof/>
          </w:rPr>
          <w:t>1.1.</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Produkt-Handelsname:</w:t>
        </w:r>
        <w:r w:rsidRPr="00A82930">
          <w:rPr>
            <w:noProof/>
            <w:webHidden/>
          </w:rPr>
          <w:tab/>
        </w:r>
        <w:r w:rsidRPr="00A82930">
          <w:rPr>
            <w:noProof/>
            <w:webHidden/>
          </w:rPr>
          <w:fldChar w:fldCharType="begin"/>
        </w:r>
        <w:r w:rsidRPr="00A82930">
          <w:rPr>
            <w:noProof/>
            <w:webHidden/>
          </w:rPr>
          <w:instrText xml:space="preserve"> PAGEREF _Toc240466232 \h </w:instrText>
        </w:r>
        <w:r w:rsidRPr="00A82930">
          <w:rPr>
            <w:noProof/>
            <w:webHidden/>
          </w:rPr>
        </w:r>
        <w:r w:rsidRPr="00A82930">
          <w:rPr>
            <w:noProof/>
            <w:webHidden/>
          </w:rPr>
          <w:fldChar w:fldCharType="separate"/>
        </w:r>
        <w:r w:rsidR="0074240F" w:rsidRPr="00A82930">
          <w:rPr>
            <w:noProof/>
            <w:webHidden/>
          </w:rPr>
          <w:t>3</w:t>
        </w:r>
        <w:r w:rsidRPr="00A82930">
          <w:rPr>
            <w:noProof/>
            <w:webHidden/>
          </w:rPr>
          <w:fldChar w:fldCharType="end"/>
        </w:r>
      </w:hyperlink>
    </w:p>
    <w:p w14:paraId="235DEB82" w14:textId="4293AD28"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33" w:history="1">
        <w:r w:rsidRPr="00A82930">
          <w:rPr>
            <w:rStyle w:val="Hyperlink"/>
            <w:noProof/>
            <w:lang w:val="de-DE"/>
          </w:rPr>
          <w:t>1.2.</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Produktbeschreibung, Basis-UDI-DI und EU-Klassifizierung:</w:t>
        </w:r>
        <w:r w:rsidRPr="00A82930">
          <w:rPr>
            <w:noProof/>
            <w:webHidden/>
          </w:rPr>
          <w:tab/>
        </w:r>
        <w:r w:rsidRPr="00A82930">
          <w:rPr>
            <w:noProof/>
            <w:webHidden/>
          </w:rPr>
          <w:fldChar w:fldCharType="begin"/>
        </w:r>
        <w:r w:rsidRPr="00A82930">
          <w:rPr>
            <w:noProof/>
            <w:webHidden/>
          </w:rPr>
          <w:instrText xml:space="preserve"> PAGEREF _Toc240466233 \h </w:instrText>
        </w:r>
        <w:r w:rsidRPr="00A82930">
          <w:rPr>
            <w:noProof/>
            <w:webHidden/>
          </w:rPr>
        </w:r>
        <w:r w:rsidRPr="00A82930">
          <w:rPr>
            <w:noProof/>
            <w:webHidden/>
          </w:rPr>
          <w:fldChar w:fldCharType="separate"/>
        </w:r>
        <w:r w:rsidR="0074240F" w:rsidRPr="00A82930">
          <w:rPr>
            <w:noProof/>
            <w:webHidden/>
          </w:rPr>
          <w:t>3</w:t>
        </w:r>
        <w:r w:rsidRPr="00A82930">
          <w:rPr>
            <w:noProof/>
            <w:webHidden/>
          </w:rPr>
          <w:fldChar w:fldCharType="end"/>
        </w:r>
      </w:hyperlink>
    </w:p>
    <w:p w14:paraId="6520A59A" w14:textId="1EF9C0CE"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34" w:history="1">
        <w:r w:rsidRPr="00A82930">
          <w:rPr>
            <w:rStyle w:val="Hyperlink"/>
            <w:noProof/>
          </w:rPr>
          <w:t>1.3.</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Jahr, in dem das erste Zertifikat (CE) für das Produkt ausgestellt wurde:</w:t>
        </w:r>
        <w:r w:rsidRPr="00A82930">
          <w:rPr>
            <w:noProof/>
            <w:webHidden/>
          </w:rPr>
          <w:tab/>
        </w:r>
        <w:r w:rsidRPr="00A82930">
          <w:rPr>
            <w:noProof/>
            <w:webHidden/>
          </w:rPr>
          <w:fldChar w:fldCharType="begin"/>
        </w:r>
        <w:r w:rsidRPr="00A82930">
          <w:rPr>
            <w:noProof/>
            <w:webHidden/>
          </w:rPr>
          <w:instrText xml:space="preserve"> PAGEREF _Toc240466234 \h </w:instrText>
        </w:r>
        <w:r w:rsidRPr="00A82930">
          <w:rPr>
            <w:noProof/>
            <w:webHidden/>
          </w:rPr>
        </w:r>
        <w:r w:rsidRPr="00A82930">
          <w:rPr>
            <w:noProof/>
            <w:webHidden/>
          </w:rPr>
          <w:fldChar w:fldCharType="separate"/>
        </w:r>
        <w:r w:rsidR="0074240F" w:rsidRPr="00A82930">
          <w:rPr>
            <w:noProof/>
            <w:webHidden/>
          </w:rPr>
          <w:t>3</w:t>
        </w:r>
        <w:r w:rsidRPr="00A82930">
          <w:rPr>
            <w:noProof/>
            <w:webHidden/>
          </w:rPr>
          <w:fldChar w:fldCharType="end"/>
        </w:r>
      </w:hyperlink>
    </w:p>
    <w:p w14:paraId="307DFACF" w14:textId="66DDD3D1"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35" w:history="1">
        <w:r w:rsidRPr="00A82930">
          <w:rPr>
            <w:rStyle w:val="Hyperlink"/>
            <w:noProof/>
          </w:rPr>
          <w:t>1.4.</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Herstellername, Anschrift und SRN:</w:t>
        </w:r>
        <w:r w:rsidRPr="00A82930">
          <w:rPr>
            <w:noProof/>
            <w:webHidden/>
          </w:rPr>
          <w:tab/>
        </w:r>
        <w:r w:rsidRPr="00A82930">
          <w:rPr>
            <w:noProof/>
            <w:webHidden/>
          </w:rPr>
          <w:fldChar w:fldCharType="begin"/>
        </w:r>
        <w:r w:rsidRPr="00A82930">
          <w:rPr>
            <w:noProof/>
            <w:webHidden/>
          </w:rPr>
          <w:instrText xml:space="preserve"> PAGEREF _Toc240466235 \h </w:instrText>
        </w:r>
        <w:r w:rsidRPr="00A82930">
          <w:rPr>
            <w:noProof/>
            <w:webHidden/>
          </w:rPr>
        </w:r>
        <w:r w:rsidRPr="00A82930">
          <w:rPr>
            <w:noProof/>
            <w:webHidden/>
          </w:rPr>
          <w:fldChar w:fldCharType="separate"/>
        </w:r>
        <w:r w:rsidR="0074240F" w:rsidRPr="00A82930">
          <w:rPr>
            <w:noProof/>
            <w:webHidden/>
          </w:rPr>
          <w:t>3</w:t>
        </w:r>
        <w:r w:rsidRPr="00A82930">
          <w:rPr>
            <w:noProof/>
            <w:webHidden/>
          </w:rPr>
          <w:fldChar w:fldCharType="end"/>
        </w:r>
      </w:hyperlink>
    </w:p>
    <w:p w14:paraId="6C0BA652" w14:textId="03BF3EDF"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36" w:history="1">
        <w:r w:rsidRPr="00A82930">
          <w:rPr>
            <w:rStyle w:val="Hyperlink"/>
            <w:noProof/>
          </w:rPr>
          <w:t>1.5.</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Name und SRN des Bevollmächtigten:</w:t>
        </w:r>
        <w:r w:rsidRPr="00A82930">
          <w:rPr>
            <w:noProof/>
            <w:webHidden/>
          </w:rPr>
          <w:tab/>
        </w:r>
        <w:r w:rsidRPr="00A82930">
          <w:rPr>
            <w:noProof/>
            <w:webHidden/>
          </w:rPr>
          <w:fldChar w:fldCharType="begin"/>
        </w:r>
        <w:r w:rsidRPr="00A82930">
          <w:rPr>
            <w:noProof/>
            <w:webHidden/>
          </w:rPr>
          <w:instrText xml:space="preserve"> PAGEREF _Toc240466236 \h </w:instrText>
        </w:r>
        <w:r w:rsidRPr="00A82930">
          <w:rPr>
            <w:noProof/>
            <w:webHidden/>
          </w:rPr>
        </w:r>
        <w:r w:rsidRPr="00A82930">
          <w:rPr>
            <w:noProof/>
            <w:webHidden/>
          </w:rPr>
          <w:fldChar w:fldCharType="separate"/>
        </w:r>
        <w:r w:rsidR="0074240F" w:rsidRPr="00A82930">
          <w:rPr>
            <w:noProof/>
            <w:webHidden/>
          </w:rPr>
          <w:t>4</w:t>
        </w:r>
        <w:r w:rsidRPr="00A82930">
          <w:rPr>
            <w:noProof/>
            <w:webHidden/>
          </w:rPr>
          <w:fldChar w:fldCharType="end"/>
        </w:r>
      </w:hyperlink>
    </w:p>
    <w:p w14:paraId="15F890CD" w14:textId="3816D783"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37" w:history="1">
        <w:r w:rsidRPr="00A82930">
          <w:rPr>
            <w:rStyle w:val="Hyperlink"/>
            <w:noProof/>
          </w:rPr>
          <w:t>1.6.</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Name der BS und Einzelidentifikationsnummer:</w:t>
        </w:r>
        <w:r w:rsidRPr="00A82930">
          <w:rPr>
            <w:noProof/>
            <w:webHidden/>
          </w:rPr>
          <w:tab/>
        </w:r>
        <w:r w:rsidRPr="00A82930">
          <w:rPr>
            <w:noProof/>
            <w:webHidden/>
          </w:rPr>
          <w:fldChar w:fldCharType="begin"/>
        </w:r>
        <w:r w:rsidRPr="00A82930">
          <w:rPr>
            <w:noProof/>
            <w:webHidden/>
          </w:rPr>
          <w:instrText xml:space="preserve"> PAGEREF _Toc240466237 \h </w:instrText>
        </w:r>
        <w:r w:rsidRPr="00A82930">
          <w:rPr>
            <w:noProof/>
            <w:webHidden/>
          </w:rPr>
        </w:r>
        <w:r w:rsidRPr="00A82930">
          <w:rPr>
            <w:noProof/>
            <w:webHidden/>
          </w:rPr>
          <w:fldChar w:fldCharType="separate"/>
        </w:r>
        <w:r w:rsidR="0074240F" w:rsidRPr="00A82930">
          <w:rPr>
            <w:noProof/>
            <w:webHidden/>
          </w:rPr>
          <w:t>4</w:t>
        </w:r>
        <w:r w:rsidRPr="00A82930">
          <w:rPr>
            <w:noProof/>
            <w:webHidden/>
          </w:rPr>
          <w:fldChar w:fldCharType="end"/>
        </w:r>
      </w:hyperlink>
    </w:p>
    <w:p w14:paraId="7BD7C96F" w14:textId="180F490D"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38" w:history="1">
        <w:r w:rsidRPr="00A82930">
          <w:rPr>
            <w:rStyle w:val="Hyperlink"/>
            <w:noProof/>
          </w:rPr>
          <w:t>2.</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Bestimmungsgemäße Verwendung des Produkts</w:t>
        </w:r>
        <w:r w:rsidRPr="00A82930">
          <w:rPr>
            <w:noProof/>
            <w:webHidden/>
          </w:rPr>
          <w:tab/>
        </w:r>
        <w:r w:rsidRPr="00A82930">
          <w:rPr>
            <w:noProof/>
            <w:webHidden/>
          </w:rPr>
          <w:fldChar w:fldCharType="begin"/>
        </w:r>
        <w:r w:rsidRPr="00A82930">
          <w:rPr>
            <w:noProof/>
            <w:webHidden/>
          </w:rPr>
          <w:instrText xml:space="preserve"> PAGEREF _Toc240466238 \h </w:instrText>
        </w:r>
        <w:r w:rsidRPr="00A82930">
          <w:rPr>
            <w:noProof/>
            <w:webHidden/>
          </w:rPr>
        </w:r>
        <w:r w:rsidRPr="00A82930">
          <w:rPr>
            <w:noProof/>
            <w:webHidden/>
          </w:rPr>
          <w:fldChar w:fldCharType="separate"/>
        </w:r>
        <w:r w:rsidR="0074240F" w:rsidRPr="00A82930">
          <w:rPr>
            <w:noProof/>
            <w:webHidden/>
          </w:rPr>
          <w:t>4</w:t>
        </w:r>
        <w:r w:rsidRPr="00A82930">
          <w:rPr>
            <w:noProof/>
            <w:webHidden/>
          </w:rPr>
          <w:fldChar w:fldCharType="end"/>
        </w:r>
      </w:hyperlink>
    </w:p>
    <w:p w14:paraId="205793AC" w14:textId="3F045FCE"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39" w:history="1">
        <w:r w:rsidRPr="00A82930">
          <w:rPr>
            <w:rStyle w:val="Hyperlink"/>
            <w:noProof/>
          </w:rPr>
          <w:t>2.1.</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Verwendungszweck/Bestimmungsgemäße Verwendung</w:t>
        </w:r>
        <w:r w:rsidRPr="00A82930">
          <w:rPr>
            <w:noProof/>
            <w:webHidden/>
          </w:rPr>
          <w:tab/>
        </w:r>
        <w:r w:rsidRPr="00A82930">
          <w:rPr>
            <w:noProof/>
            <w:webHidden/>
          </w:rPr>
          <w:fldChar w:fldCharType="begin"/>
        </w:r>
        <w:r w:rsidRPr="00A82930">
          <w:rPr>
            <w:noProof/>
            <w:webHidden/>
          </w:rPr>
          <w:instrText xml:space="preserve"> PAGEREF _Toc240466239 \h </w:instrText>
        </w:r>
        <w:r w:rsidRPr="00A82930">
          <w:rPr>
            <w:noProof/>
            <w:webHidden/>
          </w:rPr>
        </w:r>
        <w:r w:rsidRPr="00A82930">
          <w:rPr>
            <w:noProof/>
            <w:webHidden/>
          </w:rPr>
          <w:fldChar w:fldCharType="separate"/>
        </w:r>
        <w:r w:rsidR="0074240F" w:rsidRPr="00A82930">
          <w:rPr>
            <w:noProof/>
            <w:webHidden/>
          </w:rPr>
          <w:t>4</w:t>
        </w:r>
        <w:r w:rsidRPr="00A82930">
          <w:rPr>
            <w:noProof/>
            <w:webHidden/>
          </w:rPr>
          <w:fldChar w:fldCharType="end"/>
        </w:r>
      </w:hyperlink>
    </w:p>
    <w:p w14:paraId="5AC8F9FC" w14:textId="0BBF3AF9"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40" w:history="1">
        <w:r w:rsidRPr="00A82930">
          <w:rPr>
            <w:rStyle w:val="Hyperlink"/>
            <w:noProof/>
          </w:rPr>
          <w:t>2.2.</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Anwendungsgebiete/Vorgesehene Verwendung</w:t>
        </w:r>
        <w:r w:rsidRPr="00A82930">
          <w:rPr>
            <w:noProof/>
            <w:webHidden/>
          </w:rPr>
          <w:tab/>
        </w:r>
        <w:r w:rsidRPr="00A82930">
          <w:rPr>
            <w:noProof/>
            <w:webHidden/>
          </w:rPr>
          <w:fldChar w:fldCharType="begin"/>
        </w:r>
        <w:r w:rsidRPr="00A82930">
          <w:rPr>
            <w:noProof/>
            <w:webHidden/>
          </w:rPr>
          <w:instrText xml:space="preserve"> PAGEREF _Toc240466240 \h </w:instrText>
        </w:r>
        <w:r w:rsidRPr="00A82930">
          <w:rPr>
            <w:noProof/>
            <w:webHidden/>
          </w:rPr>
        </w:r>
        <w:r w:rsidRPr="00A82930">
          <w:rPr>
            <w:noProof/>
            <w:webHidden/>
          </w:rPr>
          <w:fldChar w:fldCharType="separate"/>
        </w:r>
        <w:r w:rsidR="0074240F" w:rsidRPr="00A82930">
          <w:rPr>
            <w:noProof/>
            <w:webHidden/>
          </w:rPr>
          <w:t>4</w:t>
        </w:r>
        <w:r w:rsidRPr="00A82930">
          <w:rPr>
            <w:noProof/>
            <w:webHidden/>
          </w:rPr>
          <w:fldChar w:fldCharType="end"/>
        </w:r>
      </w:hyperlink>
    </w:p>
    <w:p w14:paraId="6B2B23D8" w14:textId="16AFF8E5"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41" w:history="1">
        <w:r w:rsidRPr="00A82930">
          <w:rPr>
            <w:rStyle w:val="Hyperlink"/>
            <w:noProof/>
          </w:rPr>
          <w:t>2.3.</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Vorgesehene Patientengruppe</w:t>
        </w:r>
        <w:r w:rsidRPr="00A82930">
          <w:rPr>
            <w:noProof/>
            <w:webHidden/>
          </w:rPr>
          <w:tab/>
        </w:r>
        <w:r w:rsidRPr="00A82930">
          <w:rPr>
            <w:noProof/>
            <w:webHidden/>
          </w:rPr>
          <w:fldChar w:fldCharType="begin"/>
        </w:r>
        <w:r w:rsidRPr="00A82930">
          <w:rPr>
            <w:noProof/>
            <w:webHidden/>
          </w:rPr>
          <w:instrText xml:space="preserve"> PAGEREF _Toc240466241 \h </w:instrText>
        </w:r>
        <w:r w:rsidRPr="00A82930">
          <w:rPr>
            <w:noProof/>
            <w:webHidden/>
          </w:rPr>
        </w:r>
        <w:r w:rsidRPr="00A82930">
          <w:rPr>
            <w:noProof/>
            <w:webHidden/>
          </w:rPr>
          <w:fldChar w:fldCharType="separate"/>
        </w:r>
        <w:r w:rsidR="0074240F" w:rsidRPr="00A82930">
          <w:rPr>
            <w:noProof/>
            <w:webHidden/>
          </w:rPr>
          <w:t>5</w:t>
        </w:r>
        <w:r w:rsidRPr="00A82930">
          <w:rPr>
            <w:noProof/>
            <w:webHidden/>
          </w:rPr>
          <w:fldChar w:fldCharType="end"/>
        </w:r>
      </w:hyperlink>
    </w:p>
    <w:p w14:paraId="710AF380" w14:textId="391D11E5"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42" w:history="1">
        <w:r w:rsidRPr="00A82930">
          <w:rPr>
            <w:rStyle w:val="Hyperlink"/>
            <w:noProof/>
          </w:rPr>
          <w:t>2.4.</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Kontraindikationen</w:t>
        </w:r>
        <w:r w:rsidRPr="00A82930">
          <w:rPr>
            <w:noProof/>
            <w:webHidden/>
          </w:rPr>
          <w:tab/>
        </w:r>
        <w:r w:rsidRPr="00A82930">
          <w:rPr>
            <w:noProof/>
            <w:webHidden/>
          </w:rPr>
          <w:fldChar w:fldCharType="begin"/>
        </w:r>
        <w:r w:rsidRPr="00A82930">
          <w:rPr>
            <w:noProof/>
            <w:webHidden/>
          </w:rPr>
          <w:instrText xml:space="preserve"> PAGEREF _Toc240466242 \h </w:instrText>
        </w:r>
        <w:r w:rsidRPr="00A82930">
          <w:rPr>
            <w:noProof/>
            <w:webHidden/>
          </w:rPr>
        </w:r>
        <w:r w:rsidRPr="00A82930">
          <w:rPr>
            <w:noProof/>
            <w:webHidden/>
          </w:rPr>
          <w:fldChar w:fldCharType="separate"/>
        </w:r>
        <w:r w:rsidR="0074240F" w:rsidRPr="00A82930">
          <w:rPr>
            <w:noProof/>
            <w:webHidden/>
          </w:rPr>
          <w:t>5</w:t>
        </w:r>
        <w:r w:rsidRPr="00A82930">
          <w:rPr>
            <w:noProof/>
            <w:webHidden/>
          </w:rPr>
          <w:fldChar w:fldCharType="end"/>
        </w:r>
      </w:hyperlink>
    </w:p>
    <w:p w14:paraId="4C2C7434" w14:textId="788D3597"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43" w:history="1">
        <w:r w:rsidRPr="00A82930">
          <w:rPr>
            <w:rStyle w:val="Hyperlink"/>
            <w:noProof/>
          </w:rPr>
          <w:t>3.</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Produktbeschreibung</w:t>
        </w:r>
        <w:r w:rsidRPr="00A82930">
          <w:rPr>
            <w:noProof/>
            <w:webHidden/>
          </w:rPr>
          <w:tab/>
        </w:r>
        <w:r w:rsidRPr="00A82930">
          <w:rPr>
            <w:noProof/>
            <w:webHidden/>
          </w:rPr>
          <w:fldChar w:fldCharType="begin"/>
        </w:r>
        <w:r w:rsidRPr="00A82930">
          <w:rPr>
            <w:noProof/>
            <w:webHidden/>
          </w:rPr>
          <w:instrText xml:space="preserve"> PAGEREF _Toc240466243 \h </w:instrText>
        </w:r>
        <w:r w:rsidRPr="00A82930">
          <w:rPr>
            <w:noProof/>
            <w:webHidden/>
          </w:rPr>
        </w:r>
        <w:r w:rsidRPr="00A82930">
          <w:rPr>
            <w:noProof/>
            <w:webHidden/>
          </w:rPr>
          <w:fldChar w:fldCharType="separate"/>
        </w:r>
        <w:r w:rsidR="0074240F" w:rsidRPr="00A82930">
          <w:rPr>
            <w:noProof/>
            <w:webHidden/>
          </w:rPr>
          <w:t>5</w:t>
        </w:r>
        <w:r w:rsidRPr="00A82930">
          <w:rPr>
            <w:noProof/>
            <w:webHidden/>
          </w:rPr>
          <w:fldChar w:fldCharType="end"/>
        </w:r>
      </w:hyperlink>
    </w:p>
    <w:p w14:paraId="6072CEB9" w14:textId="33FA1EC8"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44" w:history="1">
        <w:r w:rsidRPr="00A82930">
          <w:rPr>
            <w:rStyle w:val="Hyperlink"/>
            <w:noProof/>
          </w:rPr>
          <w:t>3.1.</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Beschreibung des Produkts</w:t>
        </w:r>
        <w:r w:rsidRPr="00A82930">
          <w:rPr>
            <w:noProof/>
            <w:webHidden/>
          </w:rPr>
          <w:tab/>
        </w:r>
        <w:r w:rsidRPr="00A82930">
          <w:rPr>
            <w:noProof/>
            <w:webHidden/>
          </w:rPr>
          <w:fldChar w:fldCharType="begin"/>
        </w:r>
        <w:r w:rsidRPr="00A82930">
          <w:rPr>
            <w:noProof/>
            <w:webHidden/>
          </w:rPr>
          <w:instrText xml:space="preserve"> PAGEREF _Toc240466244 \h </w:instrText>
        </w:r>
        <w:r w:rsidRPr="00A82930">
          <w:rPr>
            <w:noProof/>
            <w:webHidden/>
          </w:rPr>
        </w:r>
        <w:r w:rsidRPr="00A82930">
          <w:rPr>
            <w:noProof/>
            <w:webHidden/>
          </w:rPr>
          <w:fldChar w:fldCharType="separate"/>
        </w:r>
        <w:r w:rsidR="0074240F" w:rsidRPr="00A82930">
          <w:rPr>
            <w:noProof/>
            <w:webHidden/>
          </w:rPr>
          <w:t>5</w:t>
        </w:r>
        <w:r w:rsidRPr="00A82930">
          <w:rPr>
            <w:noProof/>
            <w:webHidden/>
          </w:rPr>
          <w:fldChar w:fldCharType="end"/>
        </w:r>
      </w:hyperlink>
    </w:p>
    <w:p w14:paraId="2F717543" w14:textId="2D8FDB40"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45" w:history="1">
        <w:r w:rsidRPr="00A82930">
          <w:rPr>
            <w:rStyle w:val="Hyperlink"/>
            <w:noProof/>
          </w:rPr>
          <w:t>3.2.</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Bisherige Varianten und ihre Unterschiede</w:t>
        </w:r>
        <w:r w:rsidRPr="00A82930">
          <w:rPr>
            <w:noProof/>
            <w:webHidden/>
          </w:rPr>
          <w:tab/>
        </w:r>
        <w:r w:rsidRPr="00A82930">
          <w:rPr>
            <w:noProof/>
            <w:webHidden/>
          </w:rPr>
          <w:fldChar w:fldCharType="begin"/>
        </w:r>
        <w:r w:rsidRPr="00A82930">
          <w:rPr>
            <w:noProof/>
            <w:webHidden/>
          </w:rPr>
          <w:instrText xml:space="preserve"> PAGEREF _Toc240466245 \h </w:instrText>
        </w:r>
        <w:r w:rsidRPr="00A82930">
          <w:rPr>
            <w:noProof/>
            <w:webHidden/>
          </w:rPr>
        </w:r>
        <w:r w:rsidRPr="00A82930">
          <w:rPr>
            <w:noProof/>
            <w:webHidden/>
          </w:rPr>
          <w:fldChar w:fldCharType="separate"/>
        </w:r>
        <w:r w:rsidR="0074240F" w:rsidRPr="00A82930">
          <w:rPr>
            <w:noProof/>
            <w:webHidden/>
          </w:rPr>
          <w:t>7</w:t>
        </w:r>
        <w:r w:rsidRPr="00A82930">
          <w:rPr>
            <w:noProof/>
            <w:webHidden/>
          </w:rPr>
          <w:fldChar w:fldCharType="end"/>
        </w:r>
      </w:hyperlink>
    </w:p>
    <w:p w14:paraId="2EAC4DF4" w14:textId="25A52F48"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46" w:history="1">
        <w:r w:rsidRPr="00A82930">
          <w:rPr>
            <w:rStyle w:val="Hyperlink"/>
            <w:noProof/>
            <w:kern w:val="36"/>
          </w:rPr>
          <w:t>3.3.</w:t>
        </w:r>
        <w:r w:rsidRPr="00A82930">
          <w:rPr>
            <w:rFonts w:asciiTheme="minorHAnsi" w:eastAsiaTheme="minorEastAsia" w:hAnsiTheme="minorHAnsi" w:cstheme="minorBidi"/>
            <w:noProof/>
            <w:kern w:val="2"/>
            <w:lang w:eastAsia="zh-CN"/>
            <w14:ligatures w14:val="standardContextual"/>
          </w:rPr>
          <w:tab/>
        </w:r>
        <w:r w:rsidRPr="00A82930">
          <w:rPr>
            <w:rStyle w:val="Hyperlink"/>
            <w:noProof/>
            <w:lang w:val="de-DE"/>
          </w:rPr>
          <w:t>Zubehör und sonstige Ausrüstung, die beim Einsetzen oder Entnehmen verwendet werden</w:t>
        </w:r>
        <w:r w:rsidRPr="00A82930">
          <w:rPr>
            <w:noProof/>
            <w:webHidden/>
          </w:rPr>
          <w:tab/>
        </w:r>
        <w:r w:rsidRPr="00A82930">
          <w:rPr>
            <w:noProof/>
            <w:webHidden/>
          </w:rPr>
          <w:fldChar w:fldCharType="begin"/>
        </w:r>
        <w:r w:rsidRPr="00A82930">
          <w:rPr>
            <w:noProof/>
            <w:webHidden/>
          </w:rPr>
          <w:instrText xml:space="preserve"> PAGEREF _Toc240466246 \h </w:instrText>
        </w:r>
        <w:r w:rsidRPr="00A82930">
          <w:rPr>
            <w:noProof/>
            <w:webHidden/>
          </w:rPr>
        </w:r>
        <w:r w:rsidRPr="00A82930">
          <w:rPr>
            <w:noProof/>
            <w:webHidden/>
          </w:rPr>
          <w:fldChar w:fldCharType="separate"/>
        </w:r>
        <w:r w:rsidR="0074240F" w:rsidRPr="00A82930">
          <w:rPr>
            <w:noProof/>
            <w:webHidden/>
          </w:rPr>
          <w:t>7</w:t>
        </w:r>
        <w:r w:rsidRPr="00A82930">
          <w:rPr>
            <w:noProof/>
            <w:webHidden/>
          </w:rPr>
          <w:fldChar w:fldCharType="end"/>
        </w:r>
      </w:hyperlink>
    </w:p>
    <w:p w14:paraId="23374F7A" w14:textId="048C096A"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47" w:history="1">
        <w:r w:rsidRPr="00A82930">
          <w:rPr>
            <w:rStyle w:val="Hyperlink"/>
            <w:noProof/>
          </w:rPr>
          <w:t>4.</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Risiken und Warnungen</w:t>
        </w:r>
        <w:r w:rsidRPr="00A82930">
          <w:rPr>
            <w:noProof/>
            <w:webHidden/>
          </w:rPr>
          <w:tab/>
        </w:r>
        <w:r w:rsidRPr="00A82930">
          <w:rPr>
            <w:noProof/>
            <w:webHidden/>
          </w:rPr>
          <w:fldChar w:fldCharType="begin"/>
        </w:r>
        <w:r w:rsidRPr="00A82930">
          <w:rPr>
            <w:noProof/>
            <w:webHidden/>
          </w:rPr>
          <w:instrText xml:space="preserve"> PAGEREF _Toc240466247 \h </w:instrText>
        </w:r>
        <w:r w:rsidRPr="00A82930">
          <w:rPr>
            <w:noProof/>
            <w:webHidden/>
          </w:rPr>
        </w:r>
        <w:r w:rsidRPr="00A82930">
          <w:rPr>
            <w:noProof/>
            <w:webHidden/>
          </w:rPr>
          <w:fldChar w:fldCharType="separate"/>
        </w:r>
        <w:r w:rsidR="0074240F" w:rsidRPr="00A82930">
          <w:rPr>
            <w:noProof/>
            <w:webHidden/>
          </w:rPr>
          <w:t>8</w:t>
        </w:r>
        <w:r w:rsidRPr="00A82930">
          <w:rPr>
            <w:noProof/>
            <w:webHidden/>
          </w:rPr>
          <w:fldChar w:fldCharType="end"/>
        </w:r>
      </w:hyperlink>
    </w:p>
    <w:p w14:paraId="1BF0B9E3" w14:textId="607E2DDF"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48" w:history="1">
        <w:r w:rsidRPr="00A82930">
          <w:rPr>
            <w:rStyle w:val="Hyperlink"/>
            <w:noProof/>
          </w:rPr>
          <w:t>4.1.</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Restrisiken und unerwünschte Nebeneffekte</w:t>
        </w:r>
        <w:r w:rsidRPr="00A82930">
          <w:rPr>
            <w:noProof/>
            <w:webHidden/>
          </w:rPr>
          <w:tab/>
        </w:r>
        <w:r w:rsidRPr="00A82930">
          <w:rPr>
            <w:noProof/>
            <w:webHidden/>
          </w:rPr>
          <w:fldChar w:fldCharType="begin"/>
        </w:r>
        <w:r w:rsidRPr="00A82930">
          <w:rPr>
            <w:noProof/>
            <w:webHidden/>
          </w:rPr>
          <w:instrText xml:space="preserve"> PAGEREF _Toc240466248 \h </w:instrText>
        </w:r>
        <w:r w:rsidRPr="00A82930">
          <w:rPr>
            <w:noProof/>
            <w:webHidden/>
          </w:rPr>
        </w:r>
        <w:r w:rsidRPr="00A82930">
          <w:rPr>
            <w:noProof/>
            <w:webHidden/>
          </w:rPr>
          <w:fldChar w:fldCharType="separate"/>
        </w:r>
        <w:r w:rsidR="0074240F" w:rsidRPr="00A82930">
          <w:rPr>
            <w:noProof/>
            <w:webHidden/>
          </w:rPr>
          <w:t>8</w:t>
        </w:r>
        <w:r w:rsidRPr="00A82930">
          <w:rPr>
            <w:noProof/>
            <w:webHidden/>
          </w:rPr>
          <w:fldChar w:fldCharType="end"/>
        </w:r>
      </w:hyperlink>
    </w:p>
    <w:p w14:paraId="7D1806A3" w14:textId="55FCCA43"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49" w:history="1">
        <w:r w:rsidRPr="00A82930">
          <w:rPr>
            <w:rStyle w:val="Hyperlink"/>
            <w:noProof/>
          </w:rPr>
          <w:t>4.2.</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Warnhinweise und Vorsichtsmaßnahmen</w:t>
        </w:r>
        <w:r w:rsidRPr="00A82930">
          <w:rPr>
            <w:noProof/>
            <w:webHidden/>
          </w:rPr>
          <w:tab/>
        </w:r>
        <w:r w:rsidRPr="00A82930">
          <w:rPr>
            <w:noProof/>
            <w:webHidden/>
          </w:rPr>
          <w:fldChar w:fldCharType="begin"/>
        </w:r>
        <w:r w:rsidRPr="00A82930">
          <w:rPr>
            <w:noProof/>
            <w:webHidden/>
          </w:rPr>
          <w:instrText xml:space="preserve"> PAGEREF _Toc240466249 \h </w:instrText>
        </w:r>
        <w:r w:rsidRPr="00A82930">
          <w:rPr>
            <w:noProof/>
            <w:webHidden/>
          </w:rPr>
        </w:r>
        <w:r w:rsidRPr="00A82930">
          <w:rPr>
            <w:noProof/>
            <w:webHidden/>
          </w:rPr>
          <w:fldChar w:fldCharType="separate"/>
        </w:r>
        <w:r w:rsidR="0074240F" w:rsidRPr="00A82930">
          <w:rPr>
            <w:noProof/>
            <w:webHidden/>
          </w:rPr>
          <w:t>10</w:t>
        </w:r>
        <w:r w:rsidRPr="00A82930">
          <w:rPr>
            <w:noProof/>
            <w:webHidden/>
          </w:rPr>
          <w:fldChar w:fldCharType="end"/>
        </w:r>
      </w:hyperlink>
    </w:p>
    <w:p w14:paraId="1DC39EDE" w14:textId="3687F9F7"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50" w:history="1">
        <w:r w:rsidRPr="00A82930">
          <w:rPr>
            <w:rStyle w:val="Hyperlink"/>
            <w:noProof/>
            <w:kern w:val="36"/>
          </w:rPr>
          <w:t>4.3.</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MR-Sicherheit</w:t>
        </w:r>
        <w:r w:rsidRPr="00A82930">
          <w:rPr>
            <w:noProof/>
            <w:webHidden/>
          </w:rPr>
          <w:tab/>
        </w:r>
        <w:r w:rsidRPr="00A82930">
          <w:rPr>
            <w:noProof/>
            <w:webHidden/>
          </w:rPr>
          <w:fldChar w:fldCharType="begin"/>
        </w:r>
        <w:r w:rsidRPr="00A82930">
          <w:rPr>
            <w:noProof/>
            <w:webHidden/>
          </w:rPr>
          <w:instrText xml:space="preserve"> PAGEREF _Toc240466250 \h </w:instrText>
        </w:r>
        <w:r w:rsidRPr="00A82930">
          <w:rPr>
            <w:noProof/>
            <w:webHidden/>
          </w:rPr>
        </w:r>
        <w:r w:rsidRPr="00A82930">
          <w:rPr>
            <w:noProof/>
            <w:webHidden/>
          </w:rPr>
          <w:fldChar w:fldCharType="separate"/>
        </w:r>
        <w:r w:rsidR="0074240F" w:rsidRPr="00A82930">
          <w:rPr>
            <w:noProof/>
            <w:webHidden/>
          </w:rPr>
          <w:t>12</w:t>
        </w:r>
        <w:r w:rsidRPr="00A82930">
          <w:rPr>
            <w:noProof/>
            <w:webHidden/>
          </w:rPr>
          <w:fldChar w:fldCharType="end"/>
        </w:r>
      </w:hyperlink>
    </w:p>
    <w:p w14:paraId="74B263AA" w14:textId="5C3B4D01"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51" w:history="1">
        <w:r w:rsidRPr="00A82930">
          <w:rPr>
            <w:rStyle w:val="Hyperlink"/>
            <w:noProof/>
          </w:rPr>
          <w:t>4.4.</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Andere relevante Sicherheitsaspekte, einschließlich einer Zusammenfassung aller Sicherheitskorrekturmaßnahmen im Feld (FSCA einschließlich FSN), sofern zutreffend</w:t>
        </w:r>
        <w:r w:rsidRPr="00A82930">
          <w:rPr>
            <w:noProof/>
            <w:webHidden/>
          </w:rPr>
          <w:tab/>
        </w:r>
        <w:r w:rsidRPr="00A82930">
          <w:rPr>
            <w:noProof/>
            <w:webHidden/>
          </w:rPr>
          <w:fldChar w:fldCharType="begin"/>
        </w:r>
        <w:r w:rsidRPr="00A82930">
          <w:rPr>
            <w:noProof/>
            <w:webHidden/>
          </w:rPr>
          <w:instrText xml:space="preserve"> PAGEREF _Toc240466251 \h </w:instrText>
        </w:r>
        <w:r w:rsidRPr="00A82930">
          <w:rPr>
            <w:noProof/>
            <w:webHidden/>
          </w:rPr>
        </w:r>
        <w:r w:rsidRPr="00A82930">
          <w:rPr>
            <w:noProof/>
            <w:webHidden/>
          </w:rPr>
          <w:fldChar w:fldCharType="separate"/>
        </w:r>
        <w:r w:rsidR="0074240F" w:rsidRPr="00A82930">
          <w:rPr>
            <w:noProof/>
            <w:webHidden/>
          </w:rPr>
          <w:t>12</w:t>
        </w:r>
        <w:r w:rsidRPr="00A82930">
          <w:rPr>
            <w:noProof/>
            <w:webHidden/>
          </w:rPr>
          <w:fldChar w:fldCharType="end"/>
        </w:r>
      </w:hyperlink>
    </w:p>
    <w:p w14:paraId="7AA679B9" w14:textId="05386EE8"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52" w:history="1">
        <w:r w:rsidRPr="00A82930">
          <w:rPr>
            <w:rStyle w:val="Hyperlink"/>
            <w:noProof/>
          </w:rPr>
          <w:t>5.</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Zusammenfassung der klinischen Bewertung und der klinischen Nachbeobachtung nach dem Inverkehrbringen (PMCF)</w:t>
        </w:r>
        <w:r w:rsidRPr="00A82930">
          <w:rPr>
            <w:noProof/>
            <w:webHidden/>
          </w:rPr>
          <w:tab/>
        </w:r>
        <w:r w:rsidRPr="00A82930">
          <w:rPr>
            <w:noProof/>
            <w:webHidden/>
          </w:rPr>
          <w:fldChar w:fldCharType="begin"/>
        </w:r>
        <w:r w:rsidRPr="00A82930">
          <w:rPr>
            <w:noProof/>
            <w:webHidden/>
          </w:rPr>
          <w:instrText xml:space="preserve"> PAGEREF _Toc240466252 \h </w:instrText>
        </w:r>
        <w:r w:rsidRPr="00A82930">
          <w:rPr>
            <w:noProof/>
            <w:webHidden/>
          </w:rPr>
        </w:r>
        <w:r w:rsidRPr="00A82930">
          <w:rPr>
            <w:noProof/>
            <w:webHidden/>
          </w:rPr>
          <w:fldChar w:fldCharType="separate"/>
        </w:r>
        <w:r w:rsidR="0074240F" w:rsidRPr="00A82930">
          <w:rPr>
            <w:noProof/>
            <w:webHidden/>
          </w:rPr>
          <w:t>13</w:t>
        </w:r>
        <w:r w:rsidRPr="00A82930">
          <w:rPr>
            <w:noProof/>
            <w:webHidden/>
          </w:rPr>
          <w:fldChar w:fldCharType="end"/>
        </w:r>
      </w:hyperlink>
    </w:p>
    <w:p w14:paraId="5F98AFE8" w14:textId="5CBBAFF5"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53" w:history="1">
        <w:r w:rsidRPr="00A82930">
          <w:rPr>
            <w:rStyle w:val="Hyperlink"/>
            <w:noProof/>
          </w:rPr>
          <w:t>5.1.</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Zusammenfassung der klinischen Daten zu einem gleichwertigen Produkt, falls zutreffend</w:t>
        </w:r>
        <w:r w:rsidRPr="00A82930">
          <w:rPr>
            <w:noProof/>
            <w:webHidden/>
          </w:rPr>
          <w:tab/>
        </w:r>
        <w:r w:rsidRPr="00A82930">
          <w:rPr>
            <w:noProof/>
            <w:webHidden/>
          </w:rPr>
          <w:fldChar w:fldCharType="begin"/>
        </w:r>
        <w:r w:rsidRPr="00A82930">
          <w:rPr>
            <w:noProof/>
            <w:webHidden/>
          </w:rPr>
          <w:instrText xml:space="preserve"> PAGEREF _Toc240466253 \h </w:instrText>
        </w:r>
        <w:r w:rsidRPr="00A82930">
          <w:rPr>
            <w:noProof/>
            <w:webHidden/>
          </w:rPr>
        </w:r>
        <w:r w:rsidRPr="00A82930">
          <w:rPr>
            <w:noProof/>
            <w:webHidden/>
          </w:rPr>
          <w:fldChar w:fldCharType="separate"/>
        </w:r>
        <w:r w:rsidR="0074240F" w:rsidRPr="00A82930">
          <w:rPr>
            <w:noProof/>
            <w:webHidden/>
          </w:rPr>
          <w:t>13</w:t>
        </w:r>
        <w:r w:rsidRPr="00A82930">
          <w:rPr>
            <w:noProof/>
            <w:webHidden/>
          </w:rPr>
          <w:fldChar w:fldCharType="end"/>
        </w:r>
      </w:hyperlink>
    </w:p>
    <w:p w14:paraId="7FA1414D" w14:textId="484BE512"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54" w:history="1">
        <w:r w:rsidRPr="00A82930">
          <w:rPr>
            <w:rStyle w:val="Hyperlink"/>
            <w:noProof/>
          </w:rPr>
          <w:t>5.2.</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Zusammenfassung der klinischen Daten aus durchgeführten Prüfungen des Produkts vor der CE-Kennzeichnung, falls zutreffend</w:t>
        </w:r>
        <w:r w:rsidRPr="00A82930">
          <w:rPr>
            <w:noProof/>
            <w:webHidden/>
          </w:rPr>
          <w:tab/>
        </w:r>
        <w:r w:rsidRPr="00A82930">
          <w:rPr>
            <w:noProof/>
            <w:webHidden/>
          </w:rPr>
          <w:fldChar w:fldCharType="begin"/>
        </w:r>
        <w:r w:rsidRPr="00A82930">
          <w:rPr>
            <w:noProof/>
            <w:webHidden/>
          </w:rPr>
          <w:instrText xml:space="preserve"> PAGEREF _Toc240466254 \h </w:instrText>
        </w:r>
        <w:r w:rsidRPr="00A82930">
          <w:rPr>
            <w:noProof/>
            <w:webHidden/>
          </w:rPr>
        </w:r>
        <w:r w:rsidRPr="00A82930">
          <w:rPr>
            <w:noProof/>
            <w:webHidden/>
          </w:rPr>
          <w:fldChar w:fldCharType="separate"/>
        </w:r>
        <w:r w:rsidR="0074240F" w:rsidRPr="00A82930">
          <w:rPr>
            <w:noProof/>
            <w:webHidden/>
          </w:rPr>
          <w:t>13</w:t>
        </w:r>
        <w:r w:rsidRPr="00A82930">
          <w:rPr>
            <w:noProof/>
            <w:webHidden/>
          </w:rPr>
          <w:fldChar w:fldCharType="end"/>
        </w:r>
      </w:hyperlink>
    </w:p>
    <w:p w14:paraId="685327FF" w14:textId="66BDB210"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55" w:history="1">
        <w:r w:rsidRPr="00A82930">
          <w:rPr>
            <w:rStyle w:val="Hyperlink"/>
            <w:noProof/>
          </w:rPr>
          <w:t>5.3.</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Zusammenfassung der klinischen Daten aus anderen Quellen, falls zutreffend</w:t>
        </w:r>
        <w:r w:rsidRPr="00A82930">
          <w:rPr>
            <w:noProof/>
            <w:webHidden/>
          </w:rPr>
          <w:tab/>
        </w:r>
        <w:r w:rsidRPr="00A82930">
          <w:rPr>
            <w:noProof/>
            <w:webHidden/>
          </w:rPr>
          <w:fldChar w:fldCharType="begin"/>
        </w:r>
        <w:r w:rsidRPr="00A82930">
          <w:rPr>
            <w:noProof/>
            <w:webHidden/>
          </w:rPr>
          <w:instrText xml:space="preserve"> PAGEREF _Toc240466255 \h </w:instrText>
        </w:r>
        <w:r w:rsidRPr="00A82930">
          <w:rPr>
            <w:noProof/>
            <w:webHidden/>
          </w:rPr>
        </w:r>
        <w:r w:rsidRPr="00A82930">
          <w:rPr>
            <w:noProof/>
            <w:webHidden/>
          </w:rPr>
          <w:fldChar w:fldCharType="separate"/>
        </w:r>
        <w:r w:rsidR="0074240F" w:rsidRPr="00A82930">
          <w:rPr>
            <w:noProof/>
            <w:webHidden/>
          </w:rPr>
          <w:t>13</w:t>
        </w:r>
        <w:r w:rsidRPr="00A82930">
          <w:rPr>
            <w:noProof/>
            <w:webHidden/>
          </w:rPr>
          <w:fldChar w:fldCharType="end"/>
        </w:r>
      </w:hyperlink>
    </w:p>
    <w:p w14:paraId="59325998" w14:textId="3955F27A"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56" w:history="1">
        <w:r w:rsidRPr="00A82930">
          <w:rPr>
            <w:rStyle w:val="Hyperlink"/>
            <w:noProof/>
          </w:rPr>
          <w:t>5.4.</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Übergreifende Zusammenfassung der klinischen Leistung und Sicherheit</w:t>
        </w:r>
        <w:r w:rsidRPr="00A82930">
          <w:rPr>
            <w:noProof/>
            <w:webHidden/>
          </w:rPr>
          <w:tab/>
        </w:r>
        <w:r w:rsidRPr="00A82930">
          <w:rPr>
            <w:noProof/>
            <w:webHidden/>
          </w:rPr>
          <w:fldChar w:fldCharType="begin"/>
        </w:r>
        <w:r w:rsidRPr="00A82930">
          <w:rPr>
            <w:noProof/>
            <w:webHidden/>
          </w:rPr>
          <w:instrText xml:space="preserve"> PAGEREF _Toc240466256 \h </w:instrText>
        </w:r>
        <w:r w:rsidRPr="00A82930">
          <w:rPr>
            <w:noProof/>
            <w:webHidden/>
          </w:rPr>
        </w:r>
        <w:r w:rsidRPr="00A82930">
          <w:rPr>
            <w:noProof/>
            <w:webHidden/>
          </w:rPr>
          <w:fldChar w:fldCharType="separate"/>
        </w:r>
        <w:r w:rsidR="0074240F" w:rsidRPr="00A82930">
          <w:rPr>
            <w:noProof/>
            <w:webHidden/>
          </w:rPr>
          <w:t>15</w:t>
        </w:r>
        <w:r w:rsidRPr="00A82930">
          <w:rPr>
            <w:noProof/>
            <w:webHidden/>
          </w:rPr>
          <w:fldChar w:fldCharType="end"/>
        </w:r>
      </w:hyperlink>
    </w:p>
    <w:p w14:paraId="7BA41500" w14:textId="1A5F94E6"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57" w:history="1">
        <w:r w:rsidRPr="00A82930">
          <w:rPr>
            <w:rStyle w:val="Hyperlink"/>
            <w:noProof/>
          </w:rPr>
          <w:t>5.5.</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Laufende oder geplante klinische Nachbeobachtung nach dem Inverkehrbringen</w:t>
        </w:r>
        <w:r w:rsidRPr="00A82930">
          <w:rPr>
            <w:noProof/>
            <w:webHidden/>
          </w:rPr>
          <w:tab/>
        </w:r>
        <w:r w:rsidRPr="00A82930">
          <w:rPr>
            <w:noProof/>
            <w:webHidden/>
          </w:rPr>
          <w:fldChar w:fldCharType="begin"/>
        </w:r>
        <w:r w:rsidRPr="00A82930">
          <w:rPr>
            <w:noProof/>
            <w:webHidden/>
          </w:rPr>
          <w:instrText xml:space="preserve"> PAGEREF _Toc240466257 \h </w:instrText>
        </w:r>
        <w:r w:rsidRPr="00A82930">
          <w:rPr>
            <w:noProof/>
            <w:webHidden/>
          </w:rPr>
        </w:r>
        <w:r w:rsidRPr="00A82930">
          <w:rPr>
            <w:noProof/>
            <w:webHidden/>
          </w:rPr>
          <w:fldChar w:fldCharType="separate"/>
        </w:r>
        <w:r w:rsidR="0074240F" w:rsidRPr="00A82930">
          <w:rPr>
            <w:noProof/>
            <w:webHidden/>
          </w:rPr>
          <w:t>17</w:t>
        </w:r>
        <w:r w:rsidRPr="00A82930">
          <w:rPr>
            <w:noProof/>
            <w:webHidden/>
          </w:rPr>
          <w:fldChar w:fldCharType="end"/>
        </w:r>
      </w:hyperlink>
    </w:p>
    <w:p w14:paraId="60C699B5" w14:textId="2C6EDCC1"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58" w:history="1">
        <w:r w:rsidRPr="00A82930">
          <w:rPr>
            <w:rStyle w:val="Hyperlink"/>
            <w:noProof/>
          </w:rPr>
          <w:t>6.</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Mögliche diagnostische oder therapeutische Alternativen</w:t>
        </w:r>
        <w:r w:rsidRPr="00A82930">
          <w:rPr>
            <w:noProof/>
            <w:webHidden/>
          </w:rPr>
          <w:tab/>
        </w:r>
        <w:r w:rsidRPr="00A82930">
          <w:rPr>
            <w:noProof/>
            <w:webHidden/>
          </w:rPr>
          <w:fldChar w:fldCharType="begin"/>
        </w:r>
        <w:r w:rsidRPr="00A82930">
          <w:rPr>
            <w:noProof/>
            <w:webHidden/>
          </w:rPr>
          <w:instrText xml:space="preserve"> PAGEREF _Toc240466258 \h </w:instrText>
        </w:r>
        <w:r w:rsidRPr="00A82930">
          <w:rPr>
            <w:noProof/>
            <w:webHidden/>
          </w:rPr>
        </w:r>
        <w:r w:rsidRPr="00A82930">
          <w:rPr>
            <w:noProof/>
            <w:webHidden/>
          </w:rPr>
          <w:fldChar w:fldCharType="separate"/>
        </w:r>
        <w:r w:rsidR="0074240F" w:rsidRPr="00A82930">
          <w:rPr>
            <w:noProof/>
            <w:webHidden/>
          </w:rPr>
          <w:t>18</w:t>
        </w:r>
        <w:r w:rsidRPr="00A82930">
          <w:rPr>
            <w:noProof/>
            <w:webHidden/>
          </w:rPr>
          <w:fldChar w:fldCharType="end"/>
        </w:r>
      </w:hyperlink>
    </w:p>
    <w:p w14:paraId="3E03A692" w14:textId="07F69EA6"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59" w:history="1">
        <w:r w:rsidRPr="00A82930">
          <w:rPr>
            <w:rStyle w:val="Hyperlink"/>
            <w:noProof/>
          </w:rPr>
          <w:t>7.</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Vorgeschlagenes Profil und Schulung für Benutzer</w:t>
        </w:r>
        <w:r w:rsidRPr="00A82930">
          <w:rPr>
            <w:noProof/>
            <w:webHidden/>
          </w:rPr>
          <w:tab/>
        </w:r>
        <w:r w:rsidRPr="00A82930">
          <w:rPr>
            <w:noProof/>
            <w:webHidden/>
          </w:rPr>
          <w:fldChar w:fldCharType="begin"/>
        </w:r>
        <w:r w:rsidRPr="00A82930">
          <w:rPr>
            <w:noProof/>
            <w:webHidden/>
          </w:rPr>
          <w:instrText xml:space="preserve"> PAGEREF _Toc240466259 \h </w:instrText>
        </w:r>
        <w:r w:rsidRPr="00A82930">
          <w:rPr>
            <w:noProof/>
            <w:webHidden/>
          </w:rPr>
        </w:r>
        <w:r w:rsidRPr="00A82930">
          <w:rPr>
            <w:noProof/>
            <w:webHidden/>
          </w:rPr>
          <w:fldChar w:fldCharType="separate"/>
        </w:r>
        <w:r w:rsidR="0074240F" w:rsidRPr="00A82930">
          <w:rPr>
            <w:noProof/>
            <w:webHidden/>
          </w:rPr>
          <w:t>18</w:t>
        </w:r>
        <w:r w:rsidRPr="00A82930">
          <w:rPr>
            <w:noProof/>
            <w:webHidden/>
          </w:rPr>
          <w:fldChar w:fldCharType="end"/>
        </w:r>
      </w:hyperlink>
    </w:p>
    <w:p w14:paraId="2D1A0582" w14:textId="42ABAB27"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60" w:history="1">
        <w:r w:rsidRPr="00A82930">
          <w:rPr>
            <w:rStyle w:val="Hyperlink"/>
            <w:noProof/>
          </w:rPr>
          <w:t>8.</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Harmonisierte Normen/Gemeinsame Spezifikationen</w:t>
        </w:r>
        <w:r w:rsidRPr="00A82930">
          <w:rPr>
            <w:noProof/>
            <w:webHidden/>
          </w:rPr>
          <w:tab/>
        </w:r>
        <w:r w:rsidRPr="00A82930">
          <w:rPr>
            <w:noProof/>
            <w:webHidden/>
          </w:rPr>
          <w:fldChar w:fldCharType="begin"/>
        </w:r>
        <w:r w:rsidRPr="00A82930">
          <w:rPr>
            <w:noProof/>
            <w:webHidden/>
          </w:rPr>
          <w:instrText xml:space="preserve"> PAGEREF _Toc240466260 \h </w:instrText>
        </w:r>
        <w:r w:rsidRPr="00A82930">
          <w:rPr>
            <w:noProof/>
            <w:webHidden/>
          </w:rPr>
        </w:r>
        <w:r w:rsidRPr="00A82930">
          <w:rPr>
            <w:noProof/>
            <w:webHidden/>
          </w:rPr>
          <w:fldChar w:fldCharType="separate"/>
        </w:r>
        <w:r w:rsidR="0074240F" w:rsidRPr="00A82930">
          <w:rPr>
            <w:noProof/>
            <w:webHidden/>
          </w:rPr>
          <w:t>18</w:t>
        </w:r>
        <w:r w:rsidRPr="00A82930">
          <w:rPr>
            <w:noProof/>
            <w:webHidden/>
          </w:rPr>
          <w:fldChar w:fldCharType="end"/>
        </w:r>
      </w:hyperlink>
    </w:p>
    <w:p w14:paraId="5A52173A" w14:textId="639F3C23"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61" w:history="1">
        <w:r w:rsidRPr="00A82930">
          <w:rPr>
            <w:rStyle w:val="Hyperlink"/>
            <w:noProof/>
          </w:rPr>
          <w:t>9.</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B. Zusammenfassung der Sicherheit und Leistung für Patienten/Laien</w:t>
        </w:r>
        <w:r w:rsidRPr="00A82930">
          <w:rPr>
            <w:noProof/>
            <w:webHidden/>
          </w:rPr>
          <w:tab/>
        </w:r>
        <w:r w:rsidRPr="00A82930">
          <w:rPr>
            <w:noProof/>
            <w:webHidden/>
          </w:rPr>
          <w:fldChar w:fldCharType="begin"/>
        </w:r>
        <w:r w:rsidRPr="00A82930">
          <w:rPr>
            <w:noProof/>
            <w:webHidden/>
          </w:rPr>
          <w:instrText xml:space="preserve"> PAGEREF _Toc240466261 \h </w:instrText>
        </w:r>
        <w:r w:rsidRPr="00A82930">
          <w:rPr>
            <w:noProof/>
            <w:webHidden/>
          </w:rPr>
        </w:r>
        <w:r w:rsidRPr="00A82930">
          <w:rPr>
            <w:noProof/>
            <w:webHidden/>
          </w:rPr>
          <w:fldChar w:fldCharType="separate"/>
        </w:r>
        <w:r w:rsidR="0074240F" w:rsidRPr="00A82930">
          <w:rPr>
            <w:noProof/>
            <w:webHidden/>
          </w:rPr>
          <w:t>22</w:t>
        </w:r>
        <w:r w:rsidRPr="00A82930">
          <w:rPr>
            <w:noProof/>
            <w:webHidden/>
          </w:rPr>
          <w:fldChar w:fldCharType="end"/>
        </w:r>
      </w:hyperlink>
    </w:p>
    <w:p w14:paraId="1A520575" w14:textId="2D62D891" w:rsidR="007E6DF6" w:rsidRPr="00A82930" w:rsidRDefault="007E6DF6">
      <w:pPr>
        <w:pStyle w:val="TOC1"/>
        <w:rPr>
          <w:rFonts w:asciiTheme="minorHAnsi" w:eastAsiaTheme="minorEastAsia" w:hAnsiTheme="minorHAnsi" w:cstheme="minorBidi"/>
          <w:noProof/>
          <w:kern w:val="2"/>
          <w:lang w:eastAsia="zh-CN"/>
          <w14:ligatures w14:val="standardContextual"/>
        </w:rPr>
      </w:pPr>
      <w:hyperlink w:anchor="_Toc240466262" w:history="1">
        <w:r w:rsidRPr="00A82930">
          <w:rPr>
            <w:rStyle w:val="Hyperlink"/>
            <w:noProof/>
          </w:rPr>
          <w:t>10.</w:t>
        </w:r>
        <w:r w:rsidRPr="00A82930">
          <w:rPr>
            <w:rFonts w:asciiTheme="minorHAnsi" w:eastAsiaTheme="minorEastAsia" w:hAnsiTheme="minorHAnsi" w:cstheme="minorBidi"/>
            <w:noProof/>
            <w:kern w:val="2"/>
            <w:lang w:eastAsia="zh-CN"/>
            <w14:ligatures w14:val="standardContextual"/>
          </w:rPr>
          <w:tab/>
        </w:r>
        <w:r w:rsidRPr="00A82930">
          <w:rPr>
            <w:rStyle w:val="Hyperlink"/>
            <w:bCs/>
            <w:noProof/>
            <w:lang w:val="de-DE"/>
          </w:rPr>
          <w:t>Änderungsverlauf</w:t>
        </w:r>
        <w:r w:rsidRPr="00A82930">
          <w:rPr>
            <w:noProof/>
            <w:webHidden/>
          </w:rPr>
          <w:tab/>
        </w:r>
        <w:r w:rsidRPr="00A82930">
          <w:rPr>
            <w:noProof/>
            <w:webHidden/>
          </w:rPr>
          <w:fldChar w:fldCharType="begin"/>
        </w:r>
        <w:r w:rsidRPr="00A82930">
          <w:rPr>
            <w:noProof/>
            <w:webHidden/>
          </w:rPr>
          <w:instrText xml:space="preserve"> PAGEREF _Toc240466262 \h </w:instrText>
        </w:r>
        <w:r w:rsidRPr="00A82930">
          <w:rPr>
            <w:noProof/>
            <w:webHidden/>
          </w:rPr>
        </w:r>
        <w:r w:rsidRPr="00A82930">
          <w:rPr>
            <w:noProof/>
            <w:webHidden/>
          </w:rPr>
          <w:fldChar w:fldCharType="separate"/>
        </w:r>
        <w:r w:rsidR="0074240F" w:rsidRPr="00A82930">
          <w:rPr>
            <w:noProof/>
            <w:webHidden/>
          </w:rPr>
          <w:t>26</w:t>
        </w:r>
        <w:r w:rsidRPr="00A82930">
          <w:rPr>
            <w:noProof/>
            <w:webHidden/>
          </w:rPr>
          <w:fldChar w:fldCharType="end"/>
        </w:r>
      </w:hyperlink>
    </w:p>
    <w:p w14:paraId="29D6E5E3" w14:textId="57A816DE" w:rsidR="006F0810" w:rsidRPr="00A82930" w:rsidRDefault="006F0810" w:rsidP="00042B91">
      <w:pPr>
        <w:spacing w:after="0" w:afterAutospacing="0" w:line="240" w:lineRule="auto"/>
        <w:rPr>
          <w:rFonts w:cs="Times New Roman"/>
        </w:rPr>
      </w:pPr>
      <w:r w:rsidRPr="00A82930">
        <w:rPr>
          <w:rFonts w:cs="Times New Roman"/>
        </w:rPr>
        <w:fldChar w:fldCharType="end"/>
      </w:r>
    </w:p>
    <w:p w14:paraId="343DF155" w14:textId="77777777" w:rsidR="006F0810" w:rsidRPr="00A82930" w:rsidRDefault="006F0810" w:rsidP="00042B91">
      <w:pPr>
        <w:spacing w:after="0" w:afterAutospacing="0" w:line="240" w:lineRule="auto"/>
        <w:rPr>
          <w:rFonts w:cs="Times New Roman"/>
        </w:rPr>
      </w:pPr>
      <w:r w:rsidRPr="00A82930">
        <w:rPr>
          <w:rFonts w:cs="Times New Roman"/>
          <w:lang w:val="de-DE"/>
        </w:rPr>
        <w:br w:type="page"/>
      </w:r>
    </w:p>
    <w:p w14:paraId="453DC774" w14:textId="77777777" w:rsidR="00221CEF" w:rsidRPr="00A82930" w:rsidRDefault="00221CEF" w:rsidP="00042B91">
      <w:pPr>
        <w:pStyle w:val="Heading7"/>
        <w:spacing w:after="0" w:afterAutospacing="0"/>
        <w:rPr>
          <w:lang w:val="de-DE"/>
        </w:rPr>
      </w:pPr>
      <w:r w:rsidRPr="00A82930">
        <w:rPr>
          <w:bCs/>
          <w:lang w:val="de-DE"/>
        </w:rPr>
        <w:lastRenderedPageBreak/>
        <w:t>Zusammenfassung der Sicherheit und klinischen Leistung</w:t>
      </w:r>
    </w:p>
    <w:p w14:paraId="17C8E0D2" w14:textId="77777777" w:rsidR="00F21D73" w:rsidRPr="00A82930" w:rsidRDefault="00F21D73" w:rsidP="00042B91">
      <w:pPr>
        <w:spacing w:after="0" w:afterAutospacing="0" w:line="240" w:lineRule="auto"/>
        <w:rPr>
          <w:rFonts w:cs="Times New Roman"/>
          <w:lang w:val="de-DE"/>
        </w:rPr>
      </w:pPr>
    </w:p>
    <w:p w14:paraId="3B0AAAED" w14:textId="77777777" w:rsidR="00193762" w:rsidRPr="00A82930" w:rsidRDefault="00193762" w:rsidP="00193762">
      <w:pPr>
        <w:spacing w:after="0" w:afterAutospacing="0" w:line="240" w:lineRule="auto"/>
        <w:rPr>
          <w:rFonts w:cs="Times New Roman"/>
          <w:lang w:val="de-DE"/>
        </w:rPr>
      </w:pPr>
      <w:r w:rsidRPr="00A82930">
        <w:rPr>
          <w:rFonts w:cs="Times New Roman"/>
          <w:lang w:val="de-DE"/>
        </w:rPr>
        <w:t>Diese Zusammenfassung der Sicherheit und klinische Leistung (SSCP) soll der Öffentlichkeit gemäß Artikel 32 der Verordnung (EU) 2017/745 einen Überblick über die Sicherheit und die klinische Leistung des Produkts bieten.</w:t>
      </w:r>
    </w:p>
    <w:p w14:paraId="234C0E2E" w14:textId="77777777" w:rsidR="00193762" w:rsidRPr="00A82930" w:rsidRDefault="00193762" w:rsidP="00193762">
      <w:pPr>
        <w:spacing w:after="0" w:afterAutospacing="0" w:line="240" w:lineRule="auto"/>
        <w:rPr>
          <w:rFonts w:cs="Times New Roman"/>
          <w:lang w:val="de-DE"/>
        </w:rPr>
      </w:pPr>
    </w:p>
    <w:p w14:paraId="37C8CA83" w14:textId="77777777" w:rsidR="00193762" w:rsidRPr="00A82930" w:rsidRDefault="00193762" w:rsidP="00193762">
      <w:pPr>
        <w:spacing w:after="0" w:afterAutospacing="0" w:line="240" w:lineRule="auto"/>
        <w:rPr>
          <w:rFonts w:cs="Times New Roman"/>
          <w:lang w:val="de-DE"/>
        </w:rPr>
      </w:pPr>
      <w:r w:rsidRPr="00A82930">
        <w:rPr>
          <w:rFonts w:cs="Times New Roman"/>
          <w:lang w:val="de-DE"/>
        </w:rPr>
        <w:t>Die SSCP soll weder die Gebrauchsanweisung noch andere vom Hersteller bereitgestellte Informationen ersetzen, noch dient sie dazu, diagnostische oder therapeutische Ratschläge zu erteilen.</w:t>
      </w:r>
    </w:p>
    <w:p w14:paraId="2D0DC83A" w14:textId="77777777" w:rsidR="00193762" w:rsidRPr="00A82930" w:rsidRDefault="00193762" w:rsidP="00193762">
      <w:pPr>
        <w:spacing w:after="0" w:afterAutospacing="0" w:line="240" w:lineRule="auto"/>
        <w:rPr>
          <w:rFonts w:cs="Times New Roman"/>
          <w:lang w:val="de-DE"/>
        </w:rPr>
      </w:pPr>
    </w:p>
    <w:p w14:paraId="57958E5A" w14:textId="39C2A980" w:rsidR="00221CEF" w:rsidRPr="00A82930" w:rsidRDefault="00193762" w:rsidP="006B1B2D">
      <w:pPr>
        <w:spacing w:after="0" w:afterAutospacing="0" w:line="240" w:lineRule="auto"/>
        <w:rPr>
          <w:rFonts w:cs="Times New Roman"/>
          <w:lang w:val="de-DE"/>
        </w:rPr>
      </w:pPr>
      <w:r w:rsidRPr="00A82930">
        <w:rPr>
          <w:rFonts w:cs="Times New Roman"/>
          <w:lang w:val="de-DE"/>
        </w:rPr>
        <w:t xml:space="preserve">Diese SSCP enthält Informationen, die sich an medizinisches Fachpersonal richten, sowie einen eigenen Abschnitt, der für Patienten und Laien verfasst wurde. </w:t>
      </w:r>
    </w:p>
    <w:p w14:paraId="18A77BED" w14:textId="77777777" w:rsidR="00042B91" w:rsidRPr="00A82930" w:rsidRDefault="00042B91" w:rsidP="00042B91">
      <w:pPr>
        <w:spacing w:after="0" w:afterAutospacing="0" w:line="240" w:lineRule="auto"/>
        <w:rPr>
          <w:rFonts w:cs="Times New Roman"/>
          <w:lang w:val="de-DE"/>
        </w:rPr>
      </w:pPr>
    </w:p>
    <w:p w14:paraId="6E5276B4" w14:textId="2AFD9220" w:rsidR="00042B91" w:rsidRPr="00A82930" w:rsidRDefault="006F0810" w:rsidP="00170FE5">
      <w:pPr>
        <w:pStyle w:val="Heading1"/>
        <w:numPr>
          <w:ilvl w:val="0"/>
          <w:numId w:val="2"/>
        </w:numPr>
        <w:rPr>
          <w:rFonts w:cs="Times New Roman"/>
          <w:color w:val="auto"/>
          <w:lang w:val="de-DE"/>
        </w:rPr>
      </w:pPr>
      <w:bookmarkStart w:id="0" w:name="_Toc240466231"/>
      <w:r w:rsidRPr="00A82930">
        <w:rPr>
          <w:rFonts w:cs="Times New Roman"/>
          <w:bCs/>
          <w:color w:val="auto"/>
          <w:lang w:val="de-DE"/>
        </w:rPr>
        <w:t>Umfang dieser Zusammenfassung der Sicherheit und klinischen Leistung (SSCP):</w:t>
      </w:r>
      <w:bookmarkEnd w:id="0"/>
    </w:p>
    <w:p w14:paraId="5CDBAEA3" w14:textId="77777777" w:rsidR="00042B91" w:rsidRPr="00A82930" w:rsidRDefault="00042B91" w:rsidP="00042B91">
      <w:pPr>
        <w:spacing w:after="0" w:afterAutospacing="0" w:line="240" w:lineRule="auto"/>
        <w:rPr>
          <w:rFonts w:cs="Times New Roman"/>
          <w:lang w:val="de-DE"/>
        </w:rPr>
      </w:pPr>
    </w:p>
    <w:p w14:paraId="45E5BCB2" w14:textId="6E901CD2" w:rsidR="00AA2E04" w:rsidRPr="00A82930" w:rsidRDefault="00221CEF" w:rsidP="00042B91">
      <w:pPr>
        <w:pStyle w:val="Heading1"/>
        <w:rPr>
          <w:rFonts w:cs="Times New Roman"/>
          <w:color w:val="auto"/>
        </w:rPr>
      </w:pPr>
      <w:bookmarkStart w:id="1" w:name="_Toc240466232"/>
      <w:r w:rsidRPr="00A82930">
        <w:rPr>
          <w:rFonts w:cs="Times New Roman"/>
          <w:bCs/>
          <w:color w:val="auto"/>
          <w:lang w:val="de-DE"/>
        </w:rPr>
        <w:t>Produkt-Handelsname:</w:t>
      </w:r>
      <w:bookmarkEnd w:id="1"/>
      <w:r w:rsidRPr="00A82930">
        <w:rPr>
          <w:rFonts w:cs="Times New Roman"/>
          <w:bCs/>
          <w:color w:val="auto"/>
          <w:lang w:val="de-DE"/>
        </w:rPr>
        <w:t xml:space="preserve"> </w:t>
      </w:r>
    </w:p>
    <w:p w14:paraId="0DCE76AD" w14:textId="77777777" w:rsidR="00810EBB" w:rsidRPr="00A82930" w:rsidRDefault="00810EBB">
      <w:pPr>
        <w:rPr>
          <w:rFonts w:cs="Times New Roman"/>
          <w:kern w:val="2"/>
          <w:szCs w:val="24"/>
          <w:lang w:val="de-DE"/>
          <w14:ligatures w14:val="standardContextual"/>
        </w:rPr>
      </w:pPr>
      <w:r w:rsidRPr="00A82930">
        <w:rPr>
          <w:rFonts w:cs="Times New Roman"/>
          <w:lang w:val="de-DE"/>
        </w:rPr>
        <w:t>Option™ ELITE Rückholbares Vena-Cava-Filtersystem</w:t>
      </w:r>
    </w:p>
    <w:p w14:paraId="7E6E8DB0" w14:textId="23280863" w:rsidR="00221CEF" w:rsidRPr="00A82930" w:rsidRDefault="00221CEF" w:rsidP="00042B91">
      <w:pPr>
        <w:pStyle w:val="Heading1"/>
        <w:rPr>
          <w:rFonts w:cs="Times New Roman"/>
          <w:color w:val="auto"/>
          <w:lang w:val="de-DE"/>
        </w:rPr>
      </w:pPr>
      <w:bookmarkStart w:id="2" w:name="_Toc240466233"/>
      <w:r w:rsidRPr="00A82930">
        <w:rPr>
          <w:rFonts w:cs="Times New Roman"/>
          <w:bCs/>
          <w:color w:val="auto"/>
          <w:lang w:val="de-DE"/>
        </w:rPr>
        <w:t>Produktbeschreibung, Basis-UDI-DI und EU-Klassifizierung:</w:t>
      </w:r>
      <w:bookmarkEnd w:id="2"/>
    </w:p>
    <w:tbl>
      <w:tblPr>
        <w:tblStyle w:val="TableGrid60004231"/>
        <w:tblW w:w="5181" w:type="pct"/>
        <w:jc w:val="left"/>
        <w:tblInd w:w="0" w:type="dxa"/>
        <w:tblLayout w:type="fixed"/>
        <w:tblLook w:val="04A0" w:firstRow="1" w:lastRow="0" w:firstColumn="1" w:lastColumn="0" w:noHBand="0" w:noVBand="1"/>
      </w:tblPr>
      <w:tblGrid>
        <w:gridCol w:w="2063"/>
        <w:gridCol w:w="1568"/>
        <w:gridCol w:w="932"/>
        <w:gridCol w:w="1303"/>
        <w:gridCol w:w="1306"/>
        <w:gridCol w:w="1773"/>
        <w:gridCol w:w="1863"/>
      </w:tblGrid>
      <w:tr w:rsidR="0056502C" w:rsidRPr="00A82930" w14:paraId="7A6A7407" w14:textId="77777777" w:rsidTr="00673978">
        <w:trPr>
          <w:cnfStyle w:val="100000000000" w:firstRow="1" w:lastRow="0" w:firstColumn="0" w:lastColumn="0" w:oddVBand="0" w:evenVBand="0" w:oddHBand="0" w:evenHBand="0" w:firstRowFirstColumn="0" w:firstRowLastColumn="0" w:lastRowFirstColumn="0" w:lastRowLastColumn="0"/>
          <w:tblHeader/>
          <w:jc w:val="left"/>
        </w:trPr>
        <w:tc>
          <w:tcPr>
            <w:tcW w:w="954" w:type="pct"/>
            <w:shd w:val="clear" w:color="auto" w:fill="D9D9D9" w:themeFill="background1" w:themeFillShade="D9"/>
            <w:vAlign w:val="center"/>
          </w:tcPr>
          <w:p w14:paraId="1B96BED2" w14:textId="77777777" w:rsidR="007C1BDC" w:rsidRPr="00A82930" w:rsidRDefault="007C1BDC" w:rsidP="001D5C82">
            <w:pPr>
              <w:pStyle w:val="TableHeader"/>
              <w:spacing w:before="0" w:after="0"/>
              <w:rPr>
                <w:rFonts w:ascii="Times New Roman" w:hAnsi="Times New Roman"/>
                <w:sz w:val="20"/>
                <w:szCs w:val="20"/>
              </w:rPr>
            </w:pPr>
            <w:bookmarkStart w:id="3" w:name="_Hlk196921546"/>
            <w:r w:rsidRPr="00A82930">
              <w:rPr>
                <w:rFonts w:ascii="Times New Roman" w:hAnsi="Times New Roman"/>
                <w:bCs/>
                <w:sz w:val="20"/>
                <w:szCs w:val="20"/>
                <w:lang w:val="de-DE"/>
              </w:rPr>
              <w:t>Produktname/Produktbeschreibung</w:t>
            </w:r>
          </w:p>
        </w:tc>
        <w:tc>
          <w:tcPr>
            <w:tcW w:w="725" w:type="pct"/>
            <w:shd w:val="clear" w:color="auto" w:fill="D9D9D9" w:themeFill="background1" w:themeFillShade="D9"/>
            <w:vAlign w:val="center"/>
          </w:tcPr>
          <w:p w14:paraId="01233CDC" w14:textId="77777777" w:rsidR="007C1BDC" w:rsidRPr="00A82930" w:rsidRDefault="007C1BDC" w:rsidP="001D5C82">
            <w:pPr>
              <w:pStyle w:val="TableHeader"/>
              <w:spacing w:before="0" w:after="0"/>
              <w:rPr>
                <w:rFonts w:ascii="Times New Roman" w:hAnsi="Times New Roman"/>
                <w:sz w:val="20"/>
                <w:szCs w:val="20"/>
              </w:rPr>
            </w:pPr>
            <w:r w:rsidRPr="00A82930">
              <w:rPr>
                <w:rFonts w:ascii="Times New Roman" w:hAnsi="Times New Roman"/>
                <w:bCs/>
                <w:sz w:val="20"/>
                <w:szCs w:val="20"/>
                <w:lang w:val="de-DE"/>
              </w:rPr>
              <w:t>Modell-/Katalognummer</w:t>
            </w:r>
          </w:p>
        </w:tc>
        <w:tc>
          <w:tcPr>
            <w:tcW w:w="431" w:type="pct"/>
            <w:shd w:val="clear" w:color="auto" w:fill="D9D9D9" w:themeFill="background1" w:themeFillShade="D9"/>
            <w:vAlign w:val="center"/>
          </w:tcPr>
          <w:p w14:paraId="3FE26ABC" w14:textId="77777777" w:rsidR="007C1BDC" w:rsidRPr="00A82930" w:rsidRDefault="007C1BDC" w:rsidP="001D5C82">
            <w:pPr>
              <w:pStyle w:val="TableHeader"/>
              <w:spacing w:before="0" w:after="0"/>
              <w:rPr>
                <w:rFonts w:ascii="Times New Roman" w:hAnsi="Times New Roman"/>
                <w:sz w:val="20"/>
                <w:szCs w:val="20"/>
              </w:rPr>
            </w:pPr>
            <w:r w:rsidRPr="00A82930">
              <w:rPr>
                <w:rFonts w:ascii="Times New Roman" w:hAnsi="Times New Roman"/>
                <w:bCs/>
                <w:sz w:val="20"/>
                <w:szCs w:val="20"/>
                <w:lang w:val="de-DE"/>
              </w:rPr>
              <w:t>GMDN-Code</w:t>
            </w:r>
          </w:p>
        </w:tc>
        <w:tc>
          <w:tcPr>
            <w:tcW w:w="603" w:type="pct"/>
            <w:shd w:val="clear" w:color="auto" w:fill="D9D9D9" w:themeFill="background1" w:themeFillShade="D9"/>
            <w:vAlign w:val="center"/>
          </w:tcPr>
          <w:p w14:paraId="6C258B95" w14:textId="77777777" w:rsidR="007C1BDC" w:rsidRPr="00A82930" w:rsidRDefault="007C1BDC" w:rsidP="001D5C82">
            <w:pPr>
              <w:pStyle w:val="TableHeader"/>
              <w:spacing w:before="0" w:after="0"/>
              <w:rPr>
                <w:rFonts w:ascii="Times New Roman" w:hAnsi="Times New Roman"/>
                <w:sz w:val="20"/>
                <w:szCs w:val="20"/>
              </w:rPr>
            </w:pPr>
            <w:r w:rsidRPr="00A82930">
              <w:rPr>
                <w:rFonts w:ascii="Times New Roman" w:hAnsi="Times New Roman"/>
                <w:bCs/>
                <w:sz w:val="20"/>
                <w:szCs w:val="20"/>
                <w:lang w:val="de-DE"/>
              </w:rPr>
              <w:t>EMDN-Code</w:t>
            </w:r>
          </w:p>
        </w:tc>
        <w:tc>
          <w:tcPr>
            <w:tcW w:w="604" w:type="pct"/>
            <w:shd w:val="clear" w:color="auto" w:fill="D9D9D9" w:themeFill="background1" w:themeFillShade="D9"/>
            <w:vAlign w:val="center"/>
          </w:tcPr>
          <w:p w14:paraId="7768BDE6" w14:textId="77777777" w:rsidR="007C1BDC" w:rsidRPr="00A82930" w:rsidRDefault="007C1BDC" w:rsidP="001D5C82">
            <w:pPr>
              <w:pStyle w:val="TableHeader"/>
              <w:spacing w:before="0" w:after="0"/>
              <w:rPr>
                <w:rFonts w:ascii="Times New Roman" w:hAnsi="Times New Roman"/>
                <w:sz w:val="20"/>
                <w:szCs w:val="20"/>
              </w:rPr>
            </w:pPr>
            <w:r w:rsidRPr="00A82930">
              <w:rPr>
                <w:rFonts w:ascii="Times New Roman" w:hAnsi="Times New Roman"/>
                <w:bCs/>
                <w:sz w:val="20"/>
                <w:szCs w:val="20"/>
                <w:lang w:val="de-DE"/>
              </w:rPr>
              <w:t>EU-MDR-Produktklasse/Regel</w:t>
            </w:r>
          </w:p>
        </w:tc>
        <w:tc>
          <w:tcPr>
            <w:tcW w:w="820" w:type="pct"/>
            <w:shd w:val="clear" w:color="auto" w:fill="D9D9D9" w:themeFill="background1" w:themeFillShade="D9"/>
            <w:vAlign w:val="center"/>
          </w:tcPr>
          <w:p w14:paraId="084A1A9E" w14:textId="77777777" w:rsidR="007C1BDC" w:rsidRPr="00A82930" w:rsidRDefault="007C1BDC" w:rsidP="001D5C82">
            <w:pPr>
              <w:pStyle w:val="TableHeader"/>
              <w:spacing w:before="0" w:after="0"/>
              <w:rPr>
                <w:rFonts w:ascii="Times New Roman" w:hAnsi="Times New Roman"/>
                <w:sz w:val="20"/>
                <w:szCs w:val="20"/>
              </w:rPr>
            </w:pPr>
            <w:r w:rsidRPr="00A82930">
              <w:rPr>
                <w:rFonts w:ascii="Times New Roman" w:hAnsi="Times New Roman"/>
                <w:bCs/>
                <w:sz w:val="20"/>
                <w:szCs w:val="20"/>
                <w:lang w:val="de-DE"/>
              </w:rPr>
              <w:t>Basis-UDI-DI</w:t>
            </w:r>
          </w:p>
        </w:tc>
        <w:tc>
          <w:tcPr>
            <w:tcW w:w="862" w:type="pct"/>
            <w:shd w:val="clear" w:color="auto" w:fill="D9D9D9" w:themeFill="background1" w:themeFillShade="D9"/>
          </w:tcPr>
          <w:p w14:paraId="1DEBCED5" w14:textId="77777777" w:rsidR="007C1BDC" w:rsidRPr="00A82930" w:rsidRDefault="007C1BDC" w:rsidP="001D5C82">
            <w:pPr>
              <w:pStyle w:val="TableHeader"/>
              <w:spacing w:before="0" w:after="0"/>
              <w:rPr>
                <w:rFonts w:ascii="Times New Roman" w:hAnsi="Times New Roman"/>
                <w:sz w:val="20"/>
                <w:szCs w:val="20"/>
              </w:rPr>
            </w:pPr>
            <w:r w:rsidRPr="00A82930">
              <w:rPr>
                <w:rFonts w:ascii="Times New Roman" w:hAnsi="Times New Roman"/>
                <w:bCs/>
                <w:sz w:val="20"/>
                <w:szCs w:val="20"/>
                <w:lang w:val="de-DE"/>
              </w:rPr>
              <w:t>UDI-DI</w:t>
            </w:r>
          </w:p>
        </w:tc>
      </w:tr>
      <w:tr w:rsidR="007C1BDC" w:rsidRPr="00A82930" w14:paraId="364F5B01" w14:textId="77777777" w:rsidTr="00673978">
        <w:trPr>
          <w:trHeight w:val="908"/>
          <w:jc w:val="left"/>
        </w:trPr>
        <w:tc>
          <w:tcPr>
            <w:tcW w:w="954" w:type="pct"/>
            <w:vAlign w:val="center"/>
          </w:tcPr>
          <w:p w14:paraId="4671C265" w14:textId="6A892602" w:rsidR="00810EBB" w:rsidRPr="00A82930" w:rsidRDefault="00810EBB">
            <w:pPr>
              <w:pStyle w:val="TableEntry"/>
              <w:keepNext/>
              <w:spacing w:before="0" w:after="0"/>
              <w:jc w:val="center"/>
              <w:rPr>
                <w:rFonts w:ascii="Times New Roman" w:hAnsi="Times New Roman"/>
                <w:kern w:val="2"/>
                <w:szCs w:val="20"/>
                <w:lang w:val="de-DE"/>
                <w14:ligatures w14:val="standardContextual"/>
              </w:rPr>
            </w:pPr>
            <w:bookmarkStart w:id="4" w:name="_Hlk531895722"/>
            <w:r w:rsidRPr="00A82930">
              <w:rPr>
                <w:rFonts w:ascii="Times New Roman" w:hAnsi="Times New Roman"/>
                <w:lang w:val="de-DE"/>
              </w:rPr>
              <w:t>Option ELITE Rückholbares Vena-Cava-Filtersystem</w:t>
            </w:r>
          </w:p>
          <w:p w14:paraId="450E6F1A" w14:textId="77777777" w:rsidR="007C1BDC" w:rsidRPr="00A82930" w:rsidRDefault="007C1BDC" w:rsidP="001D5C82">
            <w:pPr>
              <w:pStyle w:val="TableEntry"/>
              <w:keepNext/>
              <w:spacing w:before="0" w:after="0"/>
              <w:jc w:val="center"/>
              <w:rPr>
                <w:rFonts w:ascii="Times New Roman" w:hAnsi="Times New Roman"/>
                <w:szCs w:val="20"/>
              </w:rPr>
            </w:pPr>
            <w:r w:rsidRPr="00A82930">
              <w:rPr>
                <w:rFonts w:ascii="Times New Roman" w:hAnsi="Times New Roman"/>
                <w:szCs w:val="20"/>
                <w:lang w:val="de-DE"/>
              </w:rPr>
              <w:t>(70 cm)</w:t>
            </w:r>
          </w:p>
        </w:tc>
        <w:tc>
          <w:tcPr>
            <w:tcW w:w="725" w:type="pct"/>
            <w:vAlign w:val="center"/>
          </w:tcPr>
          <w:p w14:paraId="55C90984" w14:textId="77777777" w:rsidR="007C1BDC" w:rsidRPr="00A82930" w:rsidRDefault="007C1BDC" w:rsidP="001D5C82">
            <w:pPr>
              <w:pStyle w:val="TableEntry"/>
              <w:keepNext/>
              <w:spacing w:before="0" w:after="0"/>
              <w:jc w:val="center"/>
              <w:rPr>
                <w:rFonts w:ascii="Times New Roman" w:hAnsi="Times New Roman"/>
                <w:szCs w:val="20"/>
              </w:rPr>
            </w:pPr>
            <w:r w:rsidRPr="00A82930">
              <w:rPr>
                <w:rFonts w:ascii="Times New Roman" w:hAnsi="Times New Roman"/>
                <w:szCs w:val="20"/>
              </w:rPr>
              <w:t>352506070E</w:t>
            </w:r>
          </w:p>
        </w:tc>
        <w:tc>
          <w:tcPr>
            <w:tcW w:w="431" w:type="pct"/>
            <w:vMerge w:val="restart"/>
            <w:vAlign w:val="center"/>
          </w:tcPr>
          <w:p w14:paraId="1C7EFB53" w14:textId="77777777" w:rsidR="007C1BDC" w:rsidRPr="00A82930" w:rsidRDefault="007C1BDC" w:rsidP="001D5C82">
            <w:pPr>
              <w:pStyle w:val="TableEntry"/>
              <w:keepNext/>
              <w:spacing w:before="0" w:after="0"/>
              <w:jc w:val="center"/>
              <w:rPr>
                <w:rFonts w:ascii="Times New Roman" w:hAnsi="Times New Roman"/>
                <w:szCs w:val="20"/>
              </w:rPr>
            </w:pPr>
          </w:p>
          <w:p w14:paraId="4E7C67FB" w14:textId="77777777" w:rsidR="007C1BDC" w:rsidRPr="00A82930" w:rsidRDefault="007C1BDC" w:rsidP="001D5C82">
            <w:pPr>
              <w:pStyle w:val="TableEntry"/>
              <w:keepNext/>
              <w:spacing w:before="0" w:after="0"/>
              <w:jc w:val="center"/>
              <w:rPr>
                <w:rFonts w:ascii="Times New Roman" w:hAnsi="Times New Roman"/>
                <w:szCs w:val="20"/>
              </w:rPr>
            </w:pPr>
            <w:r w:rsidRPr="00A82930">
              <w:rPr>
                <w:rFonts w:ascii="Times New Roman" w:hAnsi="Times New Roman"/>
                <w:szCs w:val="20"/>
              </w:rPr>
              <w:t>44864</w:t>
            </w:r>
          </w:p>
          <w:p w14:paraId="15ADF74E" w14:textId="77777777" w:rsidR="007C1BDC" w:rsidRPr="00A82930" w:rsidRDefault="007C1BDC" w:rsidP="001D5C82">
            <w:pPr>
              <w:pStyle w:val="TableEntry"/>
              <w:keepNext/>
              <w:spacing w:before="0" w:after="0"/>
              <w:jc w:val="center"/>
              <w:rPr>
                <w:rFonts w:ascii="Times New Roman" w:hAnsi="Times New Roman"/>
                <w:szCs w:val="20"/>
              </w:rPr>
            </w:pPr>
          </w:p>
          <w:p w14:paraId="4DF52D1F" w14:textId="77777777" w:rsidR="007C1BDC" w:rsidRPr="00A82930" w:rsidRDefault="007C1BDC" w:rsidP="001D5C82">
            <w:pPr>
              <w:pStyle w:val="TableEntry"/>
              <w:keepNext/>
              <w:spacing w:before="0" w:after="0"/>
              <w:jc w:val="center"/>
              <w:rPr>
                <w:rFonts w:ascii="Times New Roman" w:hAnsi="Times New Roman"/>
                <w:szCs w:val="20"/>
              </w:rPr>
            </w:pPr>
          </w:p>
        </w:tc>
        <w:tc>
          <w:tcPr>
            <w:tcW w:w="603" w:type="pct"/>
            <w:vMerge w:val="restart"/>
            <w:vAlign w:val="center"/>
          </w:tcPr>
          <w:p w14:paraId="51D0EA88" w14:textId="77777777" w:rsidR="007C1BDC" w:rsidRPr="00A82930" w:rsidRDefault="007C1BDC" w:rsidP="001D5C82">
            <w:pPr>
              <w:pStyle w:val="TableEntry"/>
              <w:keepNext/>
              <w:spacing w:before="0" w:after="0"/>
              <w:jc w:val="center"/>
              <w:rPr>
                <w:rFonts w:ascii="Times New Roman" w:hAnsi="Times New Roman"/>
                <w:szCs w:val="20"/>
              </w:rPr>
            </w:pPr>
          </w:p>
          <w:p w14:paraId="56C24F4D" w14:textId="77777777" w:rsidR="007C1BDC" w:rsidRPr="00A82930" w:rsidRDefault="007C1BDC" w:rsidP="001D5C82">
            <w:pPr>
              <w:pStyle w:val="TableEntry"/>
              <w:keepNext/>
              <w:spacing w:before="0" w:after="0"/>
              <w:jc w:val="center"/>
              <w:rPr>
                <w:rFonts w:ascii="Times New Roman" w:hAnsi="Times New Roman"/>
                <w:szCs w:val="20"/>
              </w:rPr>
            </w:pPr>
            <w:r w:rsidRPr="00A82930">
              <w:rPr>
                <w:rFonts w:ascii="Times New Roman" w:hAnsi="Times New Roman"/>
                <w:szCs w:val="20"/>
              </w:rPr>
              <w:t>C01050101</w:t>
            </w:r>
          </w:p>
          <w:p w14:paraId="77692C63" w14:textId="77777777" w:rsidR="007C1BDC" w:rsidRPr="00A82930" w:rsidRDefault="007C1BDC" w:rsidP="001D5C82">
            <w:pPr>
              <w:pStyle w:val="TableEntry"/>
              <w:keepNext/>
              <w:spacing w:before="0" w:after="0"/>
              <w:jc w:val="center"/>
              <w:rPr>
                <w:rFonts w:ascii="Times New Roman" w:hAnsi="Times New Roman"/>
                <w:szCs w:val="20"/>
              </w:rPr>
            </w:pPr>
          </w:p>
          <w:p w14:paraId="18D8D5FE" w14:textId="77777777" w:rsidR="007C1BDC" w:rsidRPr="00A82930" w:rsidRDefault="007C1BDC" w:rsidP="001D5C82">
            <w:pPr>
              <w:pStyle w:val="TableEntry"/>
              <w:keepNext/>
              <w:spacing w:before="0" w:after="0"/>
              <w:jc w:val="center"/>
              <w:rPr>
                <w:rFonts w:ascii="Times New Roman" w:hAnsi="Times New Roman"/>
                <w:szCs w:val="20"/>
              </w:rPr>
            </w:pPr>
          </w:p>
        </w:tc>
        <w:tc>
          <w:tcPr>
            <w:tcW w:w="604" w:type="pct"/>
            <w:vMerge w:val="restart"/>
            <w:vAlign w:val="center"/>
          </w:tcPr>
          <w:p w14:paraId="519626D9" w14:textId="77777777" w:rsidR="007C1BDC" w:rsidRPr="00A82930" w:rsidRDefault="007C1BDC" w:rsidP="001D5C82">
            <w:pPr>
              <w:pStyle w:val="TableEntry"/>
              <w:keepNext/>
              <w:spacing w:before="0" w:after="0"/>
              <w:jc w:val="center"/>
              <w:rPr>
                <w:rFonts w:ascii="Times New Roman" w:hAnsi="Times New Roman"/>
                <w:szCs w:val="20"/>
              </w:rPr>
            </w:pPr>
            <w:r w:rsidRPr="00A82930">
              <w:rPr>
                <w:rFonts w:ascii="Times New Roman" w:hAnsi="Times New Roman"/>
                <w:szCs w:val="20"/>
                <w:lang w:val="de-DE"/>
              </w:rPr>
              <w:t xml:space="preserve">III/Regel 8 </w:t>
            </w:r>
          </w:p>
          <w:p w14:paraId="085D27CE" w14:textId="77777777" w:rsidR="007C1BDC" w:rsidRPr="00A82930" w:rsidRDefault="007C1BDC" w:rsidP="001D5C82">
            <w:pPr>
              <w:pStyle w:val="TableEntry"/>
              <w:keepNext/>
              <w:spacing w:before="0" w:after="0"/>
              <w:jc w:val="center"/>
              <w:rPr>
                <w:rFonts w:ascii="Times New Roman" w:hAnsi="Times New Roman"/>
                <w:szCs w:val="20"/>
              </w:rPr>
            </w:pPr>
          </w:p>
        </w:tc>
        <w:tc>
          <w:tcPr>
            <w:tcW w:w="820" w:type="pct"/>
            <w:vMerge w:val="restart"/>
            <w:vAlign w:val="center"/>
          </w:tcPr>
          <w:p w14:paraId="78CCBC8F" w14:textId="77777777" w:rsidR="007C1BDC" w:rsidRPr="00A82930" w:rsidRDefault="007C1BDC" w:rsidP="001D5C82">
            <w:pPr>
              <w:pStyle w:val="TableEntry"/>
              <w:keepNext/>
              <w:spacing w:before="0" w:after="0"/>
              <w:ind w:left="-104" w:right="-105"/>
              <w:jc w:val="center"/>
              <w:rPr>
                <w:rFonts w:ascii="Times New Roman" w:hAnsi="Times New Roman"/>
                <w:szCs w:val="20"/>
              </w:rPr>
            </w:pPr>
            <w:r w:rsidRPr="00A82930">
              <w:rPr>
                <w:rFonts w:ascii="Times New Roman" w:hAnsi="Times New Roman"/>
                <w:szCs w:val="20"/>
              </w:rPr>
              <w:t>08863332800012P</w:t>
            </w:r>
          </w:p>
          <w:p w14:paraId="616AB907" w14:textId="77777777" w:rsidR="007C1BDC" w:rsidRPr="00A82930" w:rsidRDefault="007C1BDC" w:rsidP="001D5C82">
            <w:pPr>
              <w:pStyle w:val="TableEntry"/>
              <w:keepNext/>
              <w:spacing w:before="0" w:after="0"/>
              <w:rPr>
                <w:rFonts w:ascii="Times New Roman" w:hAnsi="Times New Roman"/>
                <w:szCs w:val="20"/>
              </w:rPr>
            </w:pPr>
          </w:p>
        </w:tc>
        <w:tc>
          <w:tcPr>
            <w:tcW w:w="862" w:type="pct"/>
          </w:tcPr>
          <w:p w14:paraId="56491DC7" w14:textId="77777777" w:rsidR="007C1BDC" w:rsidRPr="00A82930"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A82930" w:rsidRDefault="007C1BDC" w:rsidP="001D5C82">
            <w:pPr>
              <w:pStyle w:val="TableEntry"/>
              <w:keepNext/>
              <w:tabs>
                <w:tab w:val="left" w:pos="90"/>
              </w:tabs>
              <w:spacing w:before="0" w:after="0"/>
              <w:ind w:right="-90"/>
              <w:rPr>
                <w:rFonts w:ascii="Times New Roman" w:hAnsi="Times New Roman"/>
                <w:szCs w:val="20"/>
              </w:rPr>
            </w:pPr>
            <w:r w:rsidRPr="00A82930">
              <w:rPr>
                <w:rFonts w:ascii="Times New Roman" w:hAnsi="Times New Roman"/>
                <w:szCs w:val="20"/>
              </w:rPr>
              <w:t>00886333217151</w:t>
            </w:r>
          </w:p>
          <w:p w14:paraId="2F5DA352" w14:textId="77777777" w:rsidR="007C1BDC" w:rsidRPr="00A82930" w:rsidRDefault="007C1BDC" w:rsidP="001D5C82">
            <w:pPr>
              <w:spacing w:after="0" w:afterAutospacing="0"/>
              <w:jc w:val="center"/>
              <w:rPr>
                <w:rFonts w:cs="Times New Roman"/>
                <w:sz w:val="20"/>
                <w:szCs w:val="20"/>
              </w:rPr>
            </w:pPr>
          </w:p>
        </w:tc>
      </w:tr>
      <w:tr w:rsidR="007C1BDC" w:rsidRPr="00A82930" w14:paraId="1BE3C70F" w14:textId="77777777" w:rsidTr="00673978">
        <w:trPr>
          <w:jc w:val="left"/>
        </w:trPr>
        <w:tc>
          <w:tcPr>
            <w:tcW w:w="954" w:type="pct"/>
            <w:vAlign w:val="center"/>
          </w:tcPr>
          <w:p w14:paraId="1D630384" w14:textId="77777777" w:rsidR="007C1BDC" w:rsidRPr="00A82930" w:rsidRDefault="007C1BDC" w:rsidP="001D5C82">
            <w:pPr>
              <w:pStyle w:val="TableEntry"/>
              <w:keepNext/>
              <w:spacing w:before="0" w:after="0"/>
              <w:jc w:val="center"/>
              <w:rPr>
                <w:rFonts w:ascii="Times New Roman" w:hAnsi="Times New Roman"/>
                <w:szCs w:val="20"/>
                <w:lang w:val="de-DE"/>
              </w:rPr>
            </w:pPr>
            <w:r w:rsidRPr="00A82930">
              <w:rPr>
                <w:rFonts w:ascii="Times New Roman" w:hAnsi="Times New Roman"/>
                <w:szCs w:val="20"/>
                <w:lang w:val="de-DE"/>
              </w:rPr>
              <w:t>Option Elite Rückholbares Vena-Cava-Filtersystem (100 cm)</w:t>
            </w:r>
          </w:p>
        </w:tc>
        <w:tc>
          <w:tcPr>
            <w:tcW w:w="725" w:type="pct"/>
            <w:vAlign w:val="center"/>
          </w:tcPr>
          <w:p w14:paraId="7A8AA3BC" w14:textId="77777777" w:rsidR="007C1BDC" w:rsidRPr="00A82930" w:rsidRDefault="007C1BDC" w:rsidP="001D5C82">
            <w:pPr>
              <w:pStyle w:val="TableEntry"/>
              <w:keepNext/>
              <w:spacing w:before="0" w:after="0"/>
              <w:jc w:val="center"/>
              <w:rPr>
                <w:rFonts w:ascii="Times New Roman" w:hAnsi="Times New Roman"/>
                <w:szCs w:val="20"/>
                <w:lang w:val="de-DE"/>
              </w:rPr>
            </w:pPr>
            <w:r w:rsidRPr="00A82930">
              <w:rPr>
                <w:rFonts w:ascii="Times New Roman" w:hAnsi="Times New Roman"/>
                <w:szCs w:val="20"/>
                <w:lang w:val="de-DE"/>
              </w:rPr>
              <w:t>352506100E</w:t>
            </w:r>
          </w:p>
        </w:tc>
        <w:tc>
          <w:tcPr>
            <w:tcW w:w="431" w:type="pct"/>
            <w:vMerge/>
            <w:vAlign w:val="center"/>
          </w:tcPr>
          <w:p w14:paraId="33B859C2" w14:textId="77777777" w:rsidR="007C1BDC" w:rsidRPr="00A82930" w:rsidRDefault="007C1BDC" w:rsidP="001D5C82">
            <w:pPr>
              <w:pStyle w:val="TableEntry"/>
              <w:keepNext/>
              <w:spacing w:before="0" w:after="0"/>
              <w:jc w:val="center"/>
              <w:rPr>
                <w:rFonts w:ascii="Times New Roman" w:hAnsi="Times New Roman"/>
                <w:szCs w:val="20"/>
                <w:lang w:val="de-DE"/>
              </w:rPr>
            </w:pPr>
          </w:p>
        </w:tc>
        <w:tc>
          <w:tcPr>
            <w:tcW w:w="603" w:type="pct"/>
            <w:vMerge/>
            <w:vAlign w:val="center"/>
          </w:tcPr>
          <w:p w14:paraId="4258480F" w14:textId="77777777" w:rsidR="007C1BDC" w:rsidRPr="00A82930" w:rsidRDefault="007C1BDC" w:rsidP="001D5C82">
            <w:pPr>
              <w:pStyle w:val="TableEntry"/>
              <w:keepNext/>
              <w:spacing w:before="0" w:after="0"/>
              <w:jc w:val="center"/>
              <w:rPr>
                <w:rFonts w:ascii="Times New Roman" w:hAnsi="Times New Roman"/>
                <w:szCs w:val="20"/>
                <w:lang w:val="de-DE"/>
              </w:rPr>
            </w:pPr>
          </w:p>
        </w:tc>
        <w:tc>
          <w:tcPr>
            <w:tcW w:w="604" w:type="pct"/>
            <w:vMerge/>
            <w:vAlign w:val="center"/>
          </w:tcPr>
          <w:p w14:paraId="4FD14675" w14:textId="77777777" w:rsidR="007C1BDC" w:rsidRPr="00A82930" w:rsidRDefault="007C1BDC" w:rsidP="001D5C82">
            <w:pPr>
              <w:pStyle w:val="TableEntry"/>
              <w:keepNext/>
              <w:spacing w:before="0" w:after="0"/>
              <w:jc w:val="center"/>
              <w:rPr>
                <w:rFonts w:ascii="Times New Roman" w:hAnsi="Times New Roman"/>
                <w:szCs w:val="20"/>
                <w:lang w:val="de-DE"/>
              </w:rPr>
            </w:pPr>
          </w:p>
        </w:tc>
        <w:tc>
          <w:tcPr>
            <w:tcW w:w="820" w:type="pct"/>
            <w:vMerge/>
            <w:vAlign w:val="center"/>
          </w:tcPr>
          <w:p w14:paraId="2A88DCA2" w14:textId="77777777" w:rsidR="007C1BDC" w:rsidRPr="00A82930" w:rsidRDefault="007C1BDC" w:rsidP="001D5C82">
            <w:pPr>
              <w:pStyle w:val="TableEntry"/>
              <w:keepNext/>
              <w:spacing w:before="0" w:after="0"/>
              <w:jc w:val="center"/>
              <w:rPr>
                <w:rFonts w:ascii="Times New Roman" w:hAnsi="Times New Roman"/>
                <w:szCs w:val="20"/>
                <w:lang w:val="de-DE"/>
              </w:rPr>
            </w:pPr>
          </w:p>
        </w:tc>
        <w:tc>
          <w:tcPr>
            <w:tcW w:w="862" w:type="pct"/>
          </w:tcPr>
          <w:p w14:paraId="5F84FC6E" w14:textId="77777777" w:rsidR="007C1BDC" w:rsidRPr="00A82930" w:rsidRDefault="007C1BDC" w:rsidP="001D5C82">
            <w:pPr>
              <w:spacing w:after="0" w:afterAutospacing="0"/>
              <w:jc w:val="center"/>
              <w:rPr>
                <w:rFonts w:cs="Times New Roman"/>
                <w:sz w:val="20"/>
                <w:szCs w:val="20"/>
                <w:lang w:val="de-DE"/>
              </w:rPr>
            </w:pPr>
          </w:p>
          <w:p w14:paraId="0BD4F00A" w14:textId="77777777" w:rsidR="007C1BDC" w:rsidRPr="00A82930" w:rsidRDefault="007C1BDC" w:rsidP="001D5C82">
            <w:pPr>
              <w:spacing w:after="0" w:afterAutospacing="0"/>
              <w:jc w:val="center"/>
              <w:rPr>
                <w:rFonts w:cs="Times New Roman"/>
                <w:sz w:val="20"/>
                <w:szCs w:val="20"/>
                <w:lang w:val="de-DE"/>
              </w:rPr>
            </w:pPr>
            <w:r w:rsidRPr="00A82930">
              <w:rPr>
                <w:rFonts w:cs="Times New Roman"/>
                <w:sz w:val="20"/>
                <w:szCs w:val="20"/>
                <w:lang w:val="de-DE"/>
              </w:rPr>
              <w:t>00886333222346</w:t>
            </w:r>
          </w:p>
          <w:p w14:paraId="03096E94" w14:textId="77777777" w:rsidR="007C1BDC" w:rsidRPr="00A82930" w:rsidRDefault="007C1BDC" w:rsidP="001D5C82">
            <w:pPr>
              <w:pStyle w:val="TableEntry"/>
              <w:keepNext/>
              <w:spacing w:before="0" w:after="0"/>
              <w:jc w:val="center"/>
              <w:rPr>
                <w:rFonts w:ascii="Times New Roman" w:hAnsi="Times New Roman"/>
                <w:szCs w:val="20"/>
                <w:lang w:val="de-DE"/>
              </w:rPr>
            </w:pPr>
          </w:p>
        </w:tc>
      </w:tr>
      <w:bookmarkEnd w:id="3"/>
      <w:bookmarkEnd w:id="4"/>
    </w:tbl>
    <w:p w14:paraId="2DAE4D4B" w14:textId="77777777" w:rsidR="00AA2E04" w:rsidRPr="00A82930" w:rsidRDefault="00AA2E04" w:rsidP="007C1BDC">
      <w:pPr>
        <w:pStyle w:val="Heading1"/>
        <w:numPr>
          <w:ilvl w:val="0"/>
          <w:numId w:val="0"/>
        </w:numPr>
        <w:rPr>
          <w:rFonts w:cs="Times New Roman"/>
          <w:color w:val="auto"/>
          <w:lang w:val="de-DE"/>
        </w:rPr>
      </w:pPr>
    </w:p>
    <w:p w14:paraId="4B18C73D" w14:textId="72C79B52" w:rsidR="009855C3" w:rsidRPr="00A82930" w:rsidRDefault="009855C3" w:rsidP="00042B91">
      <w:pPr>
        <w:pStyle w:val="Heading1"/>
        <w:rPr>
          <w:rFonts w:cs="Times New Roman"/>
          <w:color w:val="auto"/>
          <w:lang w:val="de-DE"/>
        </w:rPr>
      </w:pPr>
      <w:bookmarkStart w:id="5" w:name="_Toc240466234"/>
      <w:r w:rsidRPr="00A82930">
        <w:rPr>
          <w:rFonts w:cs="Times New Roman"/>
          <w:bCs/>
          <w:color w:val="auto"/>
          <w:lang w:val="de-DE"/>
        </w:rPr>
        <w:t>Jahr, in dem das erste Zertifikat (CE) für das Produkt ausgestellt wurde:</w:t>
      </w:r>
      <w:bookmarkEnd w:id="5"/>
      <w:r w:rsidRPr="00A82930">
        <w:rPr>
          <w:rFonts w:cs="Times New Roman"/>
          <w:bCs/>
          <w:color w:val="auto"/>
          <w:lang w:val="de-DE"/>
        </w:rPr>
        <w:t xml:space="preserve"> </w:t>
      </w:r>
    </w:p>
    <w:p w14:paraId="57C04B49" w14:textId="77777777" w:rsidR="001E7BAC" w:rsidRPr="00A82930" w:rsidRDefault="001E7BAC">
      <w:pPr>
        <w:spacing w:after="0" w:afterAutospacing="0"/>
        <w:rPr>
          <w:rFonts w:cs="Times New Roman"/>
          <w:kern w:val="2"/>
          <w:szCs w:val="24"/>
          <w:lang w:val="de-DE"/>
          <w14:ligatures w14:val="standardContextual"/>
        </w:rPr>
      </w:pPr>
      <w:r w:rsidRPr="00A82930">
        <w:rPr>
          <w:rFonts w:cs="Times New Roman"/>
          <w:lang w:val="de-DE"/>
        </w:rPr>
        <w:t>Das rückholbare Option ELITE Vena-Cava-Filtersystem erhielt im Juni 2016 erstmals die CE-Kennzeichnung in Europa gemäß der Richtlinie 93/42/EWG und gilt als älteres Produkt.</w:t>
      </w:r>
    </w:p>
    <w:p w14:paraId="4A54B62E" w14:textId="77777777" w:rsidR="00ED2AD5" w:rsidRPr="00A82930" w:rsidRDefault="00ED2AD5" w:rsidP="00042B91">
      <w:pPr>
        <w:spacing w:after="0" w:afterAutospacing="0" w:line="240" w:lineRule="auto"/>
        <w:rPr>
          <w:rFonts w:cs="Times New Roman"/>
          <w:lang w:val="de-DE"/>
        </w:rPr>
      </w:pPr>
    </w:p>
    <w:p w14:paraId="10A04209" w14:textId="0A040B86" w:rsidR="009855C3" w:rsidRPr="00A82930" w:rsidRDefault="009855C3" w:rsidP="00042B91">
      <w:pPr>
        <w:pStyle w:val="Heading1"/>
        <w:rPr>
          <w:rFonts w:cs="Times New Roman"/>
          <w:color w:val="auto"/>
        </w:rPr>
      </w:pPr>
      <w:r w:rsidRPr="00A82930">
        <w:rPr>
          <w:rFonts w:cs="Times New Roman"/>
          <w:bCs/>
          <w:color w:val="auto"/>
          <w:lang w:val="de-DE"/>
        </w:rPr>
        <w:t xml:space="preserve"> </w:t>
      </w:r>
      <w:bookmarkStart w:id="6" w:name="_Toc240466235"/>
      <w:r w:rsidRPr="00A82930">
        <w:rPr>
          <w:rFonts w:cs="Times New Roman"/>
          <w:bCs/>
          <w:color w:val="auto"/>
          <w:lang w:val="de-DE"/>
        </w:rPr>
        <w:t>Herstellername, Anschrift und SRN:</w:t>
      </w:r>
      <w:bookmarkEnd w:id="6"/>
    </w:p>
    <w:tbl>
      <w:tblPr>
        <w:tblStyle w:val="TableGrid1"/>
        <w:tblW w:w="5000" w:type="pct"/>
        <w:tblLook w:val="04A0" w:firstRow="1" w:lastRow="0" w:firstColumn="1" w:lastColumn="0" w:noHBand="0" w:noVBand="1"/>
      </w:tblPr>
      <w:tblGrid>
        <w:gridCol w:w="4675"/>
        <w:gridCol w:w="5755"/>
      </w:tblGrid>
      <w:tr w:rsidR="00073095" w:rsidRPr="00A82930" w14:paraId="72727275" w14:textId="77777777" w:rsidTr="00673978">
        <w:tc>
          <w:tcPr>
            <w:tcW w:w="5000" w:type="pct"/>
            <w:gridSpan w:val="2"/>
            <w:shd w:val="clear" w:color="auto" w:fill="D9D9D9" w:themeFill="background1" w:themeFillShade="D9"/>
          </w:tcPr>
          <w:p w14:paraId="20839186" w14:textId="77777777" w:rsidR="00073095" w:rsidRPr="00A82930" w:rsidRDefault="00073095" w:rsidP="00673978">
            <w:pPr>
              <w:spacing w:after="0" w:afterAutospacing="0"/>
              <w:jc w:val="center"/>
              <w:rPr>
                <w:b/>
                <w:bCs/>
                <w:szCs w:val="24"/>
              </w:rPr>
            </w:pPr>
            <w:r w:rsidRPr="00A82930">
              <w:rPr>
                <w:b/>
                <w:bCs/>
                <w:szCs w:val="24"/>
                <w:lang w:val="de-DE"/>
              </w:rPr>
              <w:t>Herstellerinformationen</w:t>
            </w:r>
          </w:p>
        </w:tc>
      </w:tr>
      <w:tr w:rsidR="00073095" w:rsidRPr="00A82930" w14:paraId="77333DD2" w14:textId="77777777" w:rsidTr="00673978">
        <w:trPr>
          <w:trHeight w:val="489"/>
        </w:trPr>
        <w:tc>
          <w:tcPr>
            <w:tcW w:w="2241" w:type="pct"/>
          </w:tcPr>
          <w:p w14:paraId="2B9DD5DC" w14:textId="77777777" w:rsidR="00073095" w:rsidRPr="00A82930" w:rsidRDefault="00073095" w:rsidP="00673978">
            <w:pPr>
              <w:spacing w:after="0" w:afterAutospacing="0"/>
              <w:jc w:val="both"/>
              <w:rPr>
                <w:spacing w:val="-5"/>
                <w:szCs w:val="24"/>
              </w:rPr>
            </w:pPr>
            <w:r w:rsidRPr="00A82930">
              <w:rPr>
                <w:szCs w:val="24"/>
                <w:lang w:val="de-DE"/>
              </w:rPr>
              <w:t>Hersteller-SRN: US-MF-000002324</w:t>
            </w:r>
          </w:p>
        </w:tc>
        <w:tc>
          <w:tcPr>
            <w:tcW w:w="2759" w:type="pct"/>
          </w:tcPr>
          <w:p w14:paraId="61222D5D" w14:textId="77777777" w:rsidR="00073095" w:rsidRPr="00A82930" w:rsidRDefault="00073095" w:rsidP="00673978">
            <w:pPr>
              <w:spacing w:after="0" w:afterAutospacing="0"/>
              <w:rPr>
                <w:szCs w:val="24"/>
              </w:rPr>
            </w:pPr>
            <w:r w:rsidRPr="00A82930">
              <w:rPr>
                <w:szCs w:val="24"/>
              </w:rPr>
              <w:t>Herstellername: Argon Medical Devices, Inc.</w:t>
            </w:r>
          </w:p>
        </w:tc>
      </w:tr>
      <w:tr w:rsidR="00073095" w:rsidRPr="00A82930" w14:paraId="7C59C028" w14:textId="77777777" w:rsidTr="00673978">
        <w:trPr>
          <w:trHeight w:val="525"/>
        </w:trPr>
        <w:tc>
          <w:tcPr>
            <w:tcW w:w="2241" w:type="pct"/>
          </w:tcPr>
          <w:p w14:paraId="03D796DB" w14:textId="77777777" w:rsidR="00073095" w:rsidRPr="00A82930" w:rsidRDefault="00073095" w:rsidP="00880FE6">
            <w:pPr>
              <w:spacing w:after="0" w:afterAutospacing="0"/>
              <w:rPr>
                <w:spacing w:val="-2"/>
                <w:szCs w:val="24"/>
                <w:lang w:val="de-DE"/>
              </w:rPr>
            </w:pPr>
            <w:r w:rsidRPr="00A82930">
              <w:rPr>
                <w:szCs w:val="24"/>
                <w:lang w:val="de-DE"/>
              </w:rPr>
              <w:t>Vor- und Nachname des Ansprechpartners: Scott Bishop</w:t>
            </w:r>
          </w:p>
        </w:tc>
        <w:tc>
          <w:tcPr>
            <w:tcW w:w="2759" w:type="pct"/>
          </w:tcPr>
          <w:p w14:paraId="00C302E3" w14:textId="77777777" w:rsidR="00073095" w:rsidRPr="00A82930" w:rsidRDefault="00073095" w:rsidP="00673978">
            <w:pPr>
              <w:widowControl w:val="0"/>
              <w:autoSpaceDE w:val="0"/>
              <w:autoSpaceDN w:val="0"/>
              <w:spacing w:before="42" w:after="0" w:afterAutospacing="0"/>
              <w:rPr>
                <w:spacing w:val="-2"/>
                <w:szCs w:val="24"/>
              </w:rPr>
            </w:pPr>
            <w:r w:rsidRPr="00A82930">
              <w:rPr>
                <w:szCs w:val="24"/>
                <w:lang w:val="de-DE"/>
              </w:rPr>
              <w:t>E-Mail:</w:t>
            </w:r>
            <w:r w:rsidRPr="00A82930">
              <w:rPr>
                <w:sz w:val="22"/>
                <w:lang w:val="de-DE"/>
              </w:rPr>
              <w:t xml:space="preserve"> </w:t>
            </w:r>
            <w:hyperlink r:id="rId7" w:history="1">
              <w:r w:rsidRPr="00A82930">
                <w:rPr>
                  <w:szCs w:val="24"/>
                  <w:u w:val="single"/>
                  <w:lang w:val="de-DE"/>
                </w:rPr>
                <w:t>RegCompliance@argonmedical.com</w:t>
              </w:r>
            </w:hyperlink>
          </w:p>
          <w:p w14:paraId="54528233" w14:textId="77777777" w:rsidR="00073095" w:rsidRPr="00A82930" w:rsidRDefault="00073095" w:rsidP="00673978">
            <w:pPr>
              <w:spacing w:after="0" w:afterAutospacing="0"/>
              <w:rPr>
                <w:szCs w:val="24"/>
              </w:rPr>
            </w:pPr>
          </w:p>
        </w:tc>
      </w:tr>
      <w:tr w:rsidR="00073095" w:rsidRPr="00A82930" w14:paraId="33682D6A" w14:textId="77777777" w:rsidTr="00673978">
        <w:trPr>
          <w:trHeight w:val="525"/>
        </w:trPr>
        <w:tc>
          <w:tcPr>
            <w:tcW w:w="2241" w:type="pct"/>
          </w:tcPr>
          <w:p w14:paraId="1A2DBDD6" w14:textId="77777777" w:rsidR="00073095" w:rsidRPr="00A82930" w:rsidRDefault="00073095" w:rsidP="00673978">
            <w:pPr>
              <w:widowControl w:val="0"/>
              <w:autoSpaceDE w:val="0"/>
              <w:autoSpaceDN w:val="0"/>
              <w:spacing w:before="42" w:after="0" w:afterAutospacing="0"/>
              <w:rPr>
                <w:spacing w:val="-2"/>
                <w:szCs w:val="24"/>
              </w:rPr>
            </w:pPr>
            <w:r w:rsidRPr="00A82930">
              <w:rPr>
                <w:szCs w:val="24"/>
                <w:lang w:val="de-DE"/>
              </w:rPr>
              <w:t>Telefonnummer: 903-675-9321</w:t>
            </w:r>
          </w:p>
        </w:tc>
        <w:tc>
          <w:tcPr>
            <w:tcW w:w="2759" w:type="pct"/>
          </w:tcPr>
          <w:p w14:paraId="67D88598" w14:textId="77777777" w:rsidR="00073095" w:rsidRPr="00A82930" w:rsidRDefault="00073095" w:rsidP="00673978">
            <w:pPr>
              <w:widowControl w:val="0"/>
              <w:autoSpaceDE w:val="0"/>
              <w:autoSpaceDN w:val="0"/>
              <w:spacing w:after="0" w:afterAutospacing="0"/>
              <w:rPr>
                <w:spacing w:val="-2"/>
                <w:szCs w:val="24"/>
              </w:rPr>
            </w:pPr>
            <w:r w:rsidRPr="00A82930">
              <w:rPr>
                <w:szCs w:val="24"/>
              </w:rPr>
              <w:t>Adresse:</w:t>
            </w:r>
          </w:p>
          <w:p w14:paraId="788A03AA" w14:textId="77777777" w:rsidR="00073095" w:rsidRPr="00A82930" w:rsidRDefault="00073095" w:rsidP="00673978">
            <w:pPr>
              <w:widowControl w:val="0"/>
              <w:autoSpaceDE w:val="0"/>
              <w:autoSpaceDN w:val="0"/>
              <w:spacing w:after="0" w:afterAutospacing="0"/>
              <w:rPr>
                <w:spacing w:val="-2"/>
                <w:szCs w:val="24"/>
              </w:rPr>
            </w:pPr>
            <w:r w:rsidRPr="00A82930">
              <w:rPr>
                <w:szCs w:val="24"/>
              </w:rPr>
              <w:t>1445 Flat Creek Rd.</w:t>
            </w:r>
          </w:p>
          <w:p w14:paraId="61BB7CBA" w14:textId="77777777" w:rsidR="00073095" w:rsidRPr="00A82930" w:rsidRDefault="00073095" w:rsidP="00673978">
            <w:pPr>
              <w:widowControl w:val="0"/>
              <w:autoSpaceDE w:val="0"/>
              <w:autoSpaceDN w:val="0"/>
              <w:spacing w:after="0" w:afterAutospacing="0"/>
              <w:rPr>
                <w:spacing w:val="-2"/>
                <w:szCs w:val="24"/>
              </w:rPr>
            </w:pPr>
            <w:r w:rsidRPr="00A82930">
              <w:rPr>
                <w:szCs w:val="24"/>
              </w:rPr>
              <w:t>Athens, Texas 75751</w:t>
            </w:r>
          </w:p>
          <w:p w14:paraId="70ACE207" w14:textId="77777777" w:rsidR="00073095" w:rsidRPr="00A82930" w:rsidRDefault="00073095" w:rsidP="00673978">
            <w:pPr>
              <w:widowControl w:val="0"/>
              <w:autoSpaceDE w:val="0"/>
              <w:autoSpaceDN w:val="0"/>
              <w:spacing w:after="0" w:afterAutospacing="0"/>
              <w:rPr>
                <w:spacing w:val="-2"/>
                <w:szCs w:val="24"/>
              </w:rPr>
            </w:pPr>
            <w:r w:rsidRPr="00A82930">
              <w:rPr>
                <w:szCs w:val="24"/>
                <w:lang w:val="de-DE"/>
              </w:rPr>
              <w:t>USA</w:t>
            </w:r>
          </w:p>
        </w:tc>
      </w:tr>
    </w:tbl>
    <w:p w14:paraId="4632F76F" w14:textId="77777777" w:rsidR="00073095" w:rsidRPr="00A82930" w:rsidRDefault="00073095" w:rsidP="00073095">
      <w:pPr>
        <w:rPr>
          <w:rFonts w:cs="Times New Roman"/>
        </w:rPr>
      </w:pPr>
    </w:p>
    <w:p w14:paraId="2E5002E8" w14:textId="77777777" w:rsidR="00D20FA4" w:rsidRPr="00A82930" w:rsidRDefault="00D20FA4" w:rsidP="00042B91">
      <w:pPr>
        <w:spacing w:after="0" w:afterAutospacing="0" w:line="240" w:lineRule="auto"/>
        <w:ind w:left="1440"/>
        <w:rPr>
          <w:rFonts w:cs="Times New Roman"/>
        </w:rPr>
      </w:pPr>
    </w:p>
    <w:p w14:paraId="6EA52BDE" w14:textId="5E722CED" w:rsidR="009855C3" w:rsidRPr="00A82930" w:rsidRDefault="00887E5D" w:rsidP="00042B91">
      <w:pPr>
        <w:pStyle w:val="Heading1"/>
        <w:rPr>
          <w:rFonts w:cs="Times New Roman"/>
          <w:color w:val="auto"/>
          <w:lang w:val="de-DE"/>
        </w:rPr>
      </w:pPr>
      <w:bookmarkStart w:id="7" w:name="_Toc240466236"/>
      <w:r w:rsidRPr="00A82930">
        <w:rPr>
          <w:rFonts w:cs="Times New Roman"/>
          <w:bCs/>
          <w:color w:val="auto"/>
          <w:lang w:val="de-DE"/>
        </w:rPr>
        <w:t>Name und SRN des Bevollmächtigten:</w:t>
      </w:r>
      <w:bookmarkEnd w:id="7"/>
    </w:p>
    <w:tbl>
      <w:tblPr>
        <w:tblStyle w:val="TableGrid2"/>
        <w:tblW w:w="5000" w:type="pct"/>
        <w:tblLook w:val="04A0" w:firstRow="1" w:lastRow="0" w:firstColumn="1" w:lastColumn="0" w:noHBand="0" w:noVBand="1"/>
      </w:tblPr>
      <w:tblGrid>
        <w:gridCol w:w="4675"/>
        <w:gridCol w:w="5755"/>
      </w:tblGrid>
      <w:tr w:rsidR="00822A60" w:rsidRPr="00A82930" w14:paraId="3DBDEBA3" w14:textId="77777777" w:rsidTr="00673978">
        <w:tc>
          <w:tcPr>
            <w:tcW w:w="5000" w:type="pct"/>
            <w:gridSpan w:val="2"/>
            <w:shd w:val="clear" w:color="auto" w:fill="D9D9D9" w:themeFill="background1" w:themeFillShade="D9"/>
          </w:tcPr>
          <w:p w14:paraId="171FE5C1" w14:textId="77777777" w:rsidR="00822A60" w:rsidRPr="00A82930" w:rsidRDefault="00822A60" w:rsidP="00673978">
            <w:pPr>
              <w:spacing w:after="0" w:afterAutospacing="0"/>
              <w:jc w:val="center"/>
              <w:rPr>
                <w:b/>
                <w:bCs/>
                <w:szCs w:val="24"/>
              </w:rPr>
            </w:pPr>
            <w:r w:rsidRPr="00A82930">
              <w:rPr>
                <w:b/>
                <w:bCs/>
                <w:szCs w:val="24"/>
                <w:lang w:val="de-DE"/>
              </w:rPr>
              <w:t>Informationen zum Bevollmächtigten</w:t>
            </w:r>
          </w:p>
        </w:tc>
      </w:tr>
      <w:tr w:rsidR="00822A60" w:rsidRPr="00A82930" w14:paraId="46680F2F" w14:textId="77777777" w:rsidTr="00673978">
        <w:trPr>
          <w:trHeight w:val="489"/>
        </w:trPr>
        <w:tc>
          <w:tcPr>
            <w:tcW w:w="2241" w:type="pct"/>
          </w:tcPr>
          <w:p w14:paraId="3A05B3D7" w14:textId="77777777" w:rsidR="00822A60" w:rsidRPr="00A82930" w:rsidRDefault="00822A60" w:rsidP="00673978">
            <w:pPr>
              <w:spacing w:after="0" w:afterAutospacing="0"/>
              <w:jc w:val="both"/>
              <w:rPr>
                <w:spacing w:val="-5"/>
                <w:szCs w:val="24"/>
              </w:rPr>
            </w:pPr>
            <w:r w:rsidRPr="00A82930">
              <w:rPr>
                <w:szCs w:val="24"/>
                <w:lang w:val="de-DE"/>
              </w:rPr>
              <w:t>SRN: NL-AR-000000116</w:t>
            </w:r>
          </w:p>
        </w:tc>
        <w:tc>
          <w:tcPr>
            <w:tcW w:w="2759" w:type="pct"/>
          </w:tcPr>
          <w:p w14:paraId="07D120F7" w14:textId="77777777" w:rsidR="00822A60" w:rsidRPr="00A82930" w:rsidRDefault="00822A60" w:rsidP="00673978">
            <w:pPr>
              <w:widowControl w:val="0"/>
              <w:autoSpaceDE w:val="0"/>
              <w:autoSpaceDN w:val="0"/>
              <w:spacing w:before="119" w:after="0" w:afterAutospacing="0"/>
              <w:rPr>
                <w:bCs/>
                <w:szCs w:val="24"/>
                <w:lang w:val="de-DE"/>
              </w:rPr>
            </w:pPr>
            <w:r w:rsidRPr="00A82930">
              <w:rPr>
                <w:szCs w:val="24"/>
                <w:lang w:val="de-DE"/>
              </w:rPr>
              <w:t>Name der Organisation des Bevollmächtigten:</w:t>
            </w:r>
          </w:p>
          <w:p w14:paraId="7CEA5FBF" w14:textId="77777777" w:rsidR="00822A60" w:rsidRPr="00A82930" w:rsidRDefault="00822A60" w:rsidP="00673978">
            <w:pPr>
              <w:spacing w:after="0" w:afterAutospacing="0"/>
              <w:rPr>
                <w:szCs w:val="24"/>
              </w:rPr>
            </w:pPr>
            <w:r w:rsidRPr="00A82930">
              <w:rPr>
                <w:szCs w:val="24"/>
                <w:lang w:val="de-DE"/>
              </w:rPr>
              <w:t>Emergo Europe</w:t>
            </w:r>
          </w:p>
        </w:tc>
      </w:tr>
      <w:tr w:rsidR="00822A60" w:rsidRPr="00A82930" w14:paraId="517BBC08" w14:textId="77777777" w:rsidTr="00673978">
        <w:trPr>
          <w:trHeight w:val="525"/>
        </w:trPr>
        <w:tc>
          <w:tcPr>
            <w:tcW w:w="2241" w:type="pct"/>
          </w:tcPr>
          <w:p w14:paraId="211B4E06" w14:textId="77777777" w:rsidR="00822A60" w:rsidRPr="00A82930" w:rsidRDefault="00822A60" w:rsidP="00673978">
            <w:pPr>
              <w:spacing w:after="0" w:afterAutospacing="0"/>
              <w:jc w:val="both"/>
              <w:rPr>
                <w:spacing w:val="-2"/>
                <w:szCs w:val="24"/>
              </w:rPr>
            </w:pPr>
            <w:r w:rsidRPr="00A82930">
              <w:rPr>
                <w:szCs w:val="24"/>
                <w:lang w:val="de-DE"/>
              </w:rPr>
              <w:t>Ansprechpartner: Vigilance Team</w:t>
            </w:r>
          </w:p>
        </w:tc>
        <w:tc>
          <w:tcPr>
            <w:tcW w:w="2759" w:type="pct"/>
          </w:tcPr>
          <w:p w14:paraId="2F8D0EC1" w14:textId="77777777" w:rsidR="00822A60" w:rsidRPr="00A82930" w:rsidRDefault="00822A60" w:rsidP="00673978">
            <w:pPr>
              <w:widowControl w:val="0"/>
              <w:autoSpaceDE w:val="0"/>
              <w:autoSpaceDN w:val="0"/>
              <w:spacing w:before="39" w:after="0" w:afterAutospacing="0"/>
              <w:rPr>
                <w:spacing w:val="-2"/>
                <w:szCs w:val="24"/>
                <w:lang w:val="it-IT"/>
              </w:rPr>
            </w:pPr>
            <w:r w:rsidRPr="00A82930">
              <w:rPr>
                <w:szCs w:val="24"/>
                <w:lang w:val="it-IT"/>
              </w:rPr>
              <w:t xml:space="preserve">E-Mail: </w:t>
            </w:r>
            <w:hyperlink r:id="rId8" w:history="1">
              <w:r w:rsidRPr="00A82930">
                <w:rPr>
                  <w:szCs w:val="24"/>
                  <w:u w:val="single"/>
                  <w:lang w:val="it-IT"/>
                </w:rPr>
                <w:t>EmergoVigilance@ul.com</w:t>
              </w:r>
            </w:hyperlink>
          </w:p>
        </w:tc>
      </w:tr>
      <w:tr w:rsidR="00822A60" w:rsidRPr="00A82930" w14:paraId="2B0FE335" w14:textId="77777777" w:rsidTr="00673978">
        <w:trPr>
          <w:trHeight w:val="525"/>
        </w:trPr>
        <w:tc>
          <w:tcPr>
            <w:tcW w:w="2241" w:type="pct"/>
          </w:tcPr>
          <w:p w14:paraId="12E96869" w14:textId="77777777" w:rsidR="00822A60" w:rsidRPr="00A82930" w:rsidRDefault="00822A60" w:rsidP="00673978">
            <w:pPr>
              <w:widowControl w:val="0"/>
              <w:autoSpaceDE w:val="0"/>
              <w:autoSpaceDN w:val="0"/>
              <w:spacing w:before="42" w:after="0" w:afterAutospacing="0"/>
              <w:rPr>
                <w:spacing w:val="-2"/>
                <w:szCs w:val="24"/>
              </w:rPr>
            </w:pPr>
            <w:r w:rsidRPr="00A82930">
              <w:rPr>
                <w:szCs w:val="24"/>
                <w:lang w:val="de-DE"/>
              </w:rPr>
              <w:t>Telefonnummer: +31-70-345-8570</w:t>
            </w:r>
          </w:p>
          <w:p w14:paraId="1F572E08" w14:textId="77777777" w:rsidR="00822A60" w:rsidRPr="00A82930" w:rsidRDefault="00822A60" w:rsidP="00673978">
            <w:pPr>
              <w:widowControl w:val="0"/>
              <w:autoSpaceDE w:val="0"/>
              <w:autoSpaceDN w:val="0"/>
              <w:spacing w:before="42" w:after="0" w:afterAutospacing="0"/>
              <w:rPr>
                <w:spacing w:val="-2"/>
                <w:szCs w:val="24"/>
              </w:rPr>
            </w:pPr>
            <w:r w:rsidRPr="00A82930">
              <w:rPr>
                <w:szCs w:val="24"/>
                <w:lang w:val="de-DE"/>
              </w:rPr>
              <w:t>Fax:+31 (0)70 346 7299</w:t>
            </w:r>
          </w:p>
        </w:tc>
        <w:tc>
          <w:tcPr>
            <w:tcW w:w="2759" w:type="pct"/>
          </w:tcPr>
          <w:p w14:paraId="6E8DB0FC" w14:textId="77777777" w:rsidR="00822A60" w:rsidRPr="00A82930" w:rsidRDefault="00822A60" w:rsidP="00673978">
            <w:pPr>
              <w:widowControl w:val="0"/>
              <w:autoSpaceDE w:val="0"/>
              <w:autoSpaceDN w:val="0"/>
              <w:spacing w:after="0" w:afterAutospacing="0"/>
              <w:rPr>
                <w:spacing w:val="-2"/>
                <w:szCs w:val="24"/>
                <w:lang w:val="de-DE"/>
              </w:rPr>
            </w:pPr>
            <w:r w:rsidRPr="00A82930">
              <w:rPr>
                <w:szCs w:val="24"/>
                <w:lang w:val="de-DE"/>
              </w:rPr>
              <w:t>Adresse:</w:t>
            </w:r>
          </w:p>
          <w:p w14:paraId="4CCBA9B5" w14:textId="77777777" w:rsidR="00822A60" w:rsidRPr="00A82930" w:rsidRDefault="00822A60" w:rsidP="00673978">
            <w:pPr>
              <w:widowControl w:val="0"/>
              <w:autoSpaceDE w:val="0"/>
              <w:autoSpaceDN w:val="0"/>
              <w:spacing w:after="0" w:afterAutospacing="0"/>
              <w:rPr>
                <w:spacing w:val="-2"/>
                <w:szCs w:val="24"/>
                <w:lang w:val="de-DE"/>
              </w:rPr>
            </w:pPr>
            <w:r w:rsidRPr="00A82930">
              <w:rPr>
                <w:szCs w:val="24"/>
                <w:lang w:val="de-DE"/>
              </w:rPr>
              <w:t>Hausnummer und Name:</w:t>
            </w:r>
            <w:r w:rsidRPr="00A82930">
              <w:rPr>
                <w:sz w:val="22"/>
                <w:lang w:val="de-DE"/>
              </w:rPr>
              <w:t xml:space="preserve"> 60 </w:t>
            </w:r>
            <w:r w:rsidRPr="00A82930">
              <w:rPr>
                <w:szCs w:val="24"/>
                <w:lang w:val="de-DE"/>
              </w:rPr>
              <w:t>Westervoortsedijk</w:t>
            </w:r>
          </w:p>
          <w:p w14:paraId="3C3A6FD4" w14:textId="77777777" w:rsidR="00822A60" w:rsidRPr="00A82930" w:rsidRDefault="00822A60" w:rsidP="00673978">
            <w:pPr>
              <w:widowControl w:val="0"/>
              <w:autoSpaceDE w:val="0"/>
              <w:autoSpaceDN w:val="0"/>
              <w:spacing w:after="0" w:afterAutospacing="0"/>
              <w:rPr>
                <w:spacing w:val="-2"/>
                <w:szCs w:val="24"/>
                <w:lang w:val="de-DE"/>
              </w:rPr>
            </w:pPr>
            <w:r w:rsidRPr="00A82930">
              <w:rPr>
                <w:szCs w:val="24"/>
                <w:lang w:val="de-DE"/>
              </w:rPr>
              <w:t>Stadt: Arnheim</w:t>
            </w:r>
          </w:p>
          <w:p w14:paraId="28E0E126" w14:textId="77777777" w:rsidR="00822A60" w:rsidRPr="00A82930" w:rsidRDefault="00822A60" w:rsidP="00673978">
            <w:pPr>
              <w:widowControl w:val="0"/>
              <w:autoSpaceDE w:val="0"/>
              <w:autoSpaceDN w:val="0"/>
              <w:spacing w:after="0" w:afterAutospacing="0"/>
              <w:rPr>
                <w:spacing w:val="-2"/>
                <w:szCs w:val="24"/>
              </w:rPr>
            </w:pPr>
            <w:r w:rsidRPr="00A82930">
              <w:rPr>
                <w:szCs w:val="24"/>
                <w:lang w:val="de-DE"/>
              </w:rPr>
              <w:t>Postleitzahl: 6827 AT</w:t>
            </w:r>
          </w:p>
          <w:p w14:paraId="562A2D12" w14:textId="77777777" w:rsidR="00822A60" w:rsidRPr="00A82930" w:rsidRDefault="00822A60" w:rsidP="00673978">
            <w:pPr>
              <w:widowControl w:val="0"/>
              <w:autoSpaceDE w:val="0"/>
              <w:autoSpaceDN w:val="0"/>
              <w:spacing w:after="0" w:afterAutospacing="0"/>
              <w:rPr>
                <w:spacing w:val="-2"/>
                <w:szCs w:val="24"/>
              </w:rPr>
            </w:pPr>
            <w:r w:rsidRPr="00A82930">
              <w:rPr>
                <w:szCs w:val="24"/>
                <w:lang w:val="de-DE"/>
              </w:rPr>
              <w:t>Land: Niederlande</w:t>
            </w:r>
          </w:p>
        </w:tc>
      </w:tr>
    </w:tbl>
    <w:p w14:paraId="1624A296" w14:textId="77777777" w:rsidR="009855C3" w:rsidRPr="00A82930" w:rsidRDefault="009855C3" w:rsidP="00042B91">
      <w:pPr>
        <w:spacing w:after="0" w:afterAutospacing="0" w:line="240" w:lineRule="auto"/>
        <w:ind w:left="1440"/>
        <w:rPr>
          <w:rFonts w:cs="Times New Roman"/>
        </w:rPr>
      </w:pPr>
    </w:p>
    <w:p w14:paraId="1107ED26" w14:textId="53B7693C" w:rsidR="009855C3" w:rsidRPr="00A82930" w:rsidRDefault="009855C3" w:rsidP="00042B91">
      <w:pPr>
        <w:pStyle w:val="Heading1"/>
        <w:rPr>
          <w:rFonts w:cs="Times New Roman"/>
          <w:color w:val="auto"/>
          <w:lang w:val="de-DE"/>
        </w:rPr>
      </w:pPr>
      <w:bookmarkStart w:id="8" w:name="_Toc240466237"/>
      <w:r w:rsidRPr="00A82930">
        <w:rPr>
          <w:rFonts w:cs="Times New Roman"/>
          <w:bCs/>
          <w:color w:val="auto"/>
          <w:lang w:val="de-DE"/>
        </w:rPr>
        <w:t>Name der BS und Einzelidentifikationsnummer:</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A82930"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A82930" w:rsidRDefault="00090E96" w:rsidP="00673978">
            <w:pPr>
              <w:suppressAutoHyphens/>
              <w:spacing w:after="0" w:afterAutospacing="0" w:line="240" w:lineRule="exact"/>
              <w:jc w:val="center"/>
              <w:rPr>
                <w:rFonts w:cs="Times New Roman"/>
                <w:szCs w:val="24"/>
              </w:rPr>
            </w:pPr>
            <w:r w:rsidRPr="00A82930">
              <w:rPr>
                <w:rFonts w:eastAsia="Times New Roman" w:cs="Times New Roman"/>
                <w:b/>
                <w:bCs/>
                <w:szCs w:val="24"/>
                <w:lang w:val="de-DE"/>
              </w:rPr>
              <w:t>Benannte Stelle</w:t>
            </w:r>
          </w:p>
        </w:tc>
      </w:tr>
      <w:tr w:rsidR="00090E96" w:rsidRPr="00A82930" w14:paraId="1344DB68" w14:textId="77777777" w:rsidTr="00673978">
        <w:trPr>
          <w:trHeight w:val="350"/>
          <w:jc w:val="center"/>
        </w:trPr>
        <w:tc>
          <w:tcPr>
            <w:tcW w:w="1830" w:type="pct"/>
          </w:tcPr>
          <w:p w14:paraId="245943D7" w14:textId="77777777" w:rsidR="00090E96" w:rsidRPr="00A82930" w:rsidRDefault="00090E96" w:rsidP="00673978">
            <w:pPr>
              <w:suppressAutoHyphens/>
              <w:spacing w:after="0" w:afterAutospacing="0" w:line="240" w:lineRule="exact"/>
              <w:ind w:left="150"/>
              <w:rPr>
                <w:rFonts w:eastAsia="Times New Roman" w:cs="Times New Roman"/>
                <w:bCs/>
                <w:szCs w:val="24"/>
              </w:rPr>
            </w:pPr>
            <w:r w:rsidRPr="00A82930">
              <w:rPr>
                <w:rFonts w:eastAsia="Times New Roman" w:cs="Times New Roman"/>
                <w:szCs w:val="24"/>
                <w:lang w:val="de-DE"/>
              </w:rPr>
              <w:t>Name:</w:t>
            </w:r>
          </w:p>
        </w:tc>
        <w:tc>
          <w:tcPr>
            <w:tcW w:w="3170" w:type="pct"/>
          </w:tcPr>
          <w:p w14:paraId="0F8C4522" w14:textId="77777777" w:rsidR="00090E96" w:rsidRPr="00A82930" w:rsidRDefault="00090E96" w:rsidP="00673978">
            <w:pPr>
              <w:suppressAutoHyphens/>
              <w:spacing w:after="0" w:afterAutospacing="0" w:line="240" w:lineRule="exact"/>
              <w:rPr>
                <w:rFonts w:eastAsia="Times New Roman" w:cs="Times New Roman"/>
                <w:bCs/>
                <w:szCs w:val="24"/>
              </w:rPr>
            </w:pPr>
            <w:r w:rsidRPr="00A82930">
              <w:rPr>
                <w:rFonts w:cs="Times New Roman"/>
                <w:szCs w:val="24"/>
              </w:rPr>
              <w:t>The British Standards Institution (BSI) Group the Netherlands B.V.</w:t>
            </w:r>
          </w:p>
        </w:tc>
      </w:tr>
      <w:tr w:rsidR="00090E96" w:rsidRPr="00A82930" w14:paraId="52C91E0C" w14:textId="77777777" w:rsidTr="00673978">
        <w:trPr>
          <w:trHeight w:val="728"/>
          <w:jc w:val="center"/>
        </w:trPr>
        <w:tc>
          <w:tcPr>
            <w:tcW w:w="1830" w:type="pct"/>
          </w:tcPr>
          <w:p w14:paraId="53A1E525" w14:textId="77777777" w:rsidR="00090E96" w:rsidRPr="00A82930" w:rsidRDefault="00090E96" w:rsidP="00673978">
            <w:pPr>
              <w:suppressAutoHyphens/>
              <w:spacing w:after="0" w:afterAutospacing="0" w:line="240" w:lineRule="exact"/>
              <w:ind w:left="150"/>
              <w:contextualSpacing/>
              <w:rPr>
                <w:rFonts w:eastAsia="Times New Roman" w:cs="Times New Roman"/>
                <w:bCs/>
                <w:szCs w:val="24"/>
              </w:rPr>
            </w:pPr>
            <w:r w:rsidRPr="00A82930">
              <w:rPr>
                <w:rFonts w:eastAsia="Times New Roman" w:cs="Times New Roman"/>
                <w:szCs w:val="24"/>
                <w:lang w:val="de-DE"/>
              </w:rPr>
              <w:t>Adresse:</w:t>
            </w:r>
          </w:p>
        </w:tc>
        <w:tc>
          <w:tcPr>
            <w:tcW w:w="3170" w:type="pct"/>
          </w:tcPr>
          <w:p w14:paraId="04E09769" w14:textId="77777777" w:rsidR="00090E96" w:rsidRPr="00A82930" w:rsidRDefault="00090E96" w:rsidP="00673978">
            <w:pPr>
              <w:suppressAutoHyphens/>
              <w:spacing w:after="0" w:afterAutospacing="0" w:line="240" w:lineRule="exact"/>
              <w:contextualSpacing/>
              <w:rPr>
                <w:rFonts w:eastAsia="Times New Roman" w:cs="Times New Roman"/>
                <w:bCs/>
                <w:szCs w:val="24"/>
                <w:lang w:val="de-DE"/>
              </w:rPr>
            </w:pPr>
            <w:r w:rsidRPr="00A82930">
              <w:rPr>
                <w:rFonts w:eastAsia="Times New Roman" w:cs="Times New Roman"/>
                <w:szCs w:val="24"/>
                <w:lang w:val="de-DE"/>
              </w:rPr>
              <w:t>John M. Keynesplein 9</w:t>
            </w:r>
          </w:p>
          <w:p w14:paraId="371D37E4" w14:textId="77777777" w:rsidR="00090E96" w:rsidRPr="00A82930" w:rsidRDefault="00090E96" w:rsidP="00673978">
            <w:pPr>
              <w:suppressAutoHyphens/>
              <w:spacing w:after="0" w:afterAutospacing="0" w:line="240" w:lineRule="exact"/>
              <w:contextualSpacing/>
              <w:rPr>
                <w:rFonts w:eastAsia="Times New Roman" w:cs="Times New Roman"/>
                <w:bCs/>
                <w:szCs w:val="24"/>
                <w:lang w:val="de-DE"/>
              </w:rPr>
            </w:pPr>
            <w:r w:rsidRPr="00A82930">
              <w:rPr>
                <w:rFonts w:eastAsia="Times New Roman" w:cs="Times New Roman"/>
                <w:szCs w:val="24"/>
                <w:lang w:val="de-DE"/>
              </w:rPr>
              <w:t>1066 EP Amsterdam</w:t>
            </w:r>
          </w:p>
          <w:p w14:paraId="76F5E7C3" w14:textId="77777777" w:rsidR="00090E96" w:rsidRPr="00A82930" w:rsidRDefault="00090E96" w:rsidP="00673978">
            <w:pPr>
              <w:suppressAutoHyphens/>
              <w:spacing w:after="0" w:afterAutospacing="0" w:line="240" w:lineRule="exact"/>
              <w:contextualSpacing/>
              <w:rPr>
                <w:rFonts w:eastAsia="Times New Roman" w:cs="Times New Roman"/>
                <w:bCs/>
                <w:szCs w:val="24"/>
                <w:lang w:val="de-DE"/>
              </w:rPr>
            </w:pPr>
            <w:r w:rsidRPr="00A82930">
              <w:rPr>
                <w:rFonts w:eastAsia="Times New Roman" w:cs="Times New Roman"/>
                <w:szCs w:val="24"/>
                <w:lang w:val="de-DE"/>
              </w:rPr>
              <w:t xml:space="preserve"> Die Niederlande</w:t>
            </w:r>
          </w:p>
        </w:tc>
      </w:tr>
      <w:tr w:rsidR="00090E96" w:rsidRPr="00A82930" w14:paraId="37C1E17C" w14:textId="77777777" w:rsidTr="00673978">
        <w:trPr>
          <w:trHeight w:val="351"/>
          <w:jc w:val="center"/>
        </w:trPr>
        <w:tc>
          <w:tcPr>
            <w:tcW w:w="1830" w:type="pct"/>
          </w:tcPr>
          <w:p w14:paraId="08929618" w14:textId="77777777" w:rsidR="00090E96" w:rsidRPr="00A82930" w:rsidRDefault="00090E96" w:rsidP="00673978">
            <w:pPr>
              <w:suppressAutoHyphens/>
              <w:spacing w:after="0" w:afterAutospacing="0" w:line="240" w:lineRule="exact"/>
              <w:ind w:left="150"/>
              <w:contextualSpacing/>
              <w:rPr>
                <w:rFonts w:eastAsia="Times New Roman" w:cs="Times New Roman"/>
                <w:bCs/>
                <w:szCs w:val="24"/>
              </w:rPr>
            </w:pPr>
            <w:r w:rsidRPr="00A82930">
              <w:rPr>
                <w:rFonts w:eastAsia="Times New Roman" w:cs="Times New Roman"/>
                <w:szCs w:val="24"/>
                <w:lang w:val="de-DE"/>
              </w:rPr>
              <w:t>Website:</w:t>
            </w:r>
          </w:p>
        </w:tc>
        <w:tc>
          <w:tcPr>
            <w:tcW w:w="3170" w:type="pct"/>
          </w:tcPr>
          <w:p w14:paraId="7A94C120" w14:textId="77777777" w:rsidR="00090E96" w:rsidRPr="00A82930" w:rsidRDefault="00090E96" w:rsidP="00673978">
            <w:pPr>
              <w:suppressAutoHyphens/>
              <w:spacing w:after="0" w:afterAutospacing="0" w:line="240" w:lineRule="exact"/>
              <w:contextualSpacing/>
              <w:rPr>
                <w:rFonts w:eastAsia="Times New Roman" w:cs="Times New Roman"/>
                <w:bCs/>
                <w:szCs w:val="24"/>
              </w:rPr>
            </w:pPr>
            <w:hyperlink r:id="rId9" w:history="1">
              <w:r w:rsidRPr="00A82930">
                <w:rPr>
                  <w:rFonts w:eastAsia="Times New Roman" w:cs="Times New Roman"/>
                  <w:szCs w:val="24"/>
                  <w:u w:val="single"/>
                  <w:lang w:val="de-DE"/>
                </w:rPr>
                <w:t>www.bsigroup.com</w:t>
              </w:r>
            </w:hyperlink>
            <w:r w:rsidRPr="00A82930">
              <w:rPr>
                <w:rFonts w:eastAsia="Times New Roman" w:cs="Times New Roman"/>
                <w:szCs w:val="24"/>
                <w:lang w:val="de-DE"/>
              </w:rPr>
              <w:t xml:space="preserve"> </w:t>
            </w:r>
          </w:p>
        </w:tc>
      </w:tr>
      <w:tr w:rsidR="00090E96" w:rsidRPr="00A82930" w14:paraId="6CA81DC2" w14:textId="77777777" w:rsidTr="00673978">
        <w:trPr>
          <w:trHeight w:val="355"/>
          <w:jc w:val="center"/>
        </w:trPr>
        <w:tc>
          <w:tcPr>
            <w:tcW w:w="1830" w:type="pct"/>
          </w:tcPr>
          <w:p w14:paraId="23F42B70" w14:textId="77777777" w:rsidR="00090E96" w:rsidRPr="00A82930" w:rsidRDefault="00090E96" w:rsidP="00673978">
            <w:pPr>
              <w:suppressAutoHyphens/>
              <w:spacing w:after="0" w:afterAutospacing="0" w:line="240" w:lineRule="exact"/>
              <w:ind w:left="150"/>
              <w:rPr>
                <w:rFonts w:eastAsia="Times New Roman" w:cs="Times New Roman"/>
                <w:bCs/>
                <w:szCs w:val="24"/>
              </w:rPr>
            </w:pPr>
            <w:r w:rsidRPr="00A82930">
              <w:rPr>
                <w:rFonts w:eastAsia="Times New Roman" w:cs="Times New Roman"/>
                <w:szCs w:val="24"/>
                <w:lang w:val="de-DE"/>
              </w:rPr>
              <w:t>Telefon:</w:t>
            </w:r>
          </w:p>
        </w:tc>
        <w:tc>
          <w:tcPr>
            <w:tcW w:w="3170" w:type="pct"/>
          </w:tcPr>
          <w:p w14:paraId="693335E9" w14:textId="77777777" w:rsidR="00090E96" w:rsidRPr="00A82930" w:rsidRDefault="00090E96" w:rsidP="00673978">
            <w:pPr>
              <w:suppressAutoHyphens/>
              <w:spacing w:after="0" w:afterAutospacing="0" w:line="240" w:lineRule="exact"/>
              <w:rPr>
                <w:rFonts w:eastAsia="Times New Roman" w:cs="Times New Roman"/>
                <w:bCs/>
                <w:szCs w:val="24"/>
              </w:rPr>
            </w:pPr>
            <w:r w:rsidRPr="00A82930">
              <w:rPr>
                <w:rFonts w:eastAsia="Times New Roman" w:cs="Times New Roman"/>
                <w:szCs w:val="24"/>
              </w:rPr>
              <w:t>+31 (0)20 346 07 80</w:t>
            </w:r>
          </w:p>
        </w:tc>
      </w:tr>
      <w:tr w:rsidR="00090E96" w:rsidRPr="00A82930" w14:paraId="3B8D7876" w14:textId="77777777" w:rsidTr="00673978">
        <w:trPr>
          <w:trHeight w:val="355"/>
          <w:jc w:val="center"/>
        </w:trPr>
        <w:tc>
          <w:tcPr>
            <w:tcW w:w="1830" w:type="pct"/>
          </w:tcPr>
          <w:p w14:paraId="088A8DD2" w14:textId="77777777" w:rsidR="00090E96" w:rsidRPr="00A82930" w:rsidRDefault="00090E96" w:rsidP="00673978">
            <w:pPr>
              <w:suppressAutoHyphens/>
              <w:spacing w:after="0" w:afterAutospacing="0" w:line="240" w:lineRule="exact"/>
              <w:ind w:left="150"/>
              <w:rPr>
                <w:rFonts w:eastAsia="Times New Roman" w:cs="Times New Roman"/>
                <w:bCs/>
                <w:szCs w:val="24"/>
              </w:rPr>
            </w:pPr>
            <w:r w:rsidRPr="00A82930">
              <w:rPr>
                <w:rFonts w:eastAsia="Times New Roman" w:cs="Times New Roman"/>
                <w:szCs w:val="24"/>
                <w:lang w:val="de-DE"/>
              </w:rPr>
              <w:t>Fax:</w:t>
            </w:r>
          </w:p>
        </w:tc>
        <w:tc>
          <w:tcPr>
            <w:tcW w:w="3170" w:type="pct"/>
          </w:tcPr>
          <w:p w14:paraId="466F6BF5" w14:textId="77777777" w:rsidR="00090E96" w:rsidRPr="00A82930" w:rsidRDefault="00090E96" w:rsidP="00673978">
            <w:pPr>
              <w:suppressAutoHyphens/>
              <w:spacing w:after="0" w:afterAutospacing="0" w:line="240" w:lineRule="exact"/>
              <w:rPr>
                <w:rFonts w:eastAsia="Times New Roman" w:cs="Times New Roman"/>
                <w:bCs/>
                <w:szCs w:val="24"/>
              </w:rPr>
            </w:pPr>
            <w:r w:rsidRPr="00A82930">
              <w:rPr>
                <w:rFonts w:eastAsia="Times New Roman" w:cs="Times New Roman"/>
                <w:szCs w:val="24"/>
              </w:rPr>
              <w:t>+31 (0)20 346 07 81</w:t>
            </w:r>
          </w:p>
        </w:tc>
      </w:tr>
      <w:tr w:rsidR="00090E96" w:rsidRPr="00A82930" w14:paraId="49A13223" w14:textId="77777777" w:rsidTr="00673978">
        <w:trPr>
          <w:trHeight w:val="323"/>
          <w:jc w:val="center"/>
        </w:trPr>
        <w:tc>
          <w:tcPr>
            <w:tcW w:w="1830" w:type="pct"/>
          </w:tcPr>
          <w:p w14:paraId="3D531445" w14:textId="77777777" w:rsidR="00090E96" w:rsidRPr="00A82930" w:rsidRDefault="00090E96" w:rsidP="00673978">
            <w:pPr>
              <w:tabs>
                <w:tab w:val="left" w:pos="3150"/>
              </w:tabs>
              <w:suppressAutoHyphens/>
              <w:spacing w:after="0" w:afterAutospacing="0" w:line="240" w:lineRule="exact"/>
              <w:rPr>
                <w:rFonts w:eastAsia="Times New Roman" w:cs="Times New Roman"/>
                <w:bCs/>
                <w:szCs w:val="24"/>
              </w:rPr>
            </w:pPr>
            <w:r w:rsidRPr="00A82930">
              <w:rPr>
                <w:rFonts w:eastAsia="Times New Roman" w:cs="Times New Roman"/>
                <w:szCs w:val="24"/>
                <w:lang w:val="de-DE"/>
              </w:rPr>
              <w:t>Nummer der benannten Stelle:</w:t>
            </w:r>
            <w:r w:rsidRPr="00A82930">
              <w:rPr>
                <w:rFonts w:eastAsia="Times New Roman" w:cs="Times New Roman"/>
                <w:szCs w:val="24"/>
                <w:lang w:val="de-DE"/>
              </w:rPr>
              <w:tab/>
            </w:r>
          </w:p>
        </w:tc>
        <w:tc>
          <w:tcPr>
            <w:tcW w:w="3170" w:type="pct"/>
          </w:tcPr>
          <w:p w14:paraId="373D66E5" w14:textId="77777777" w:rsidR="00090E96" w:rsidRPr="00A82930" w:rsidRDefault="00090E96" w:rsidP="00673978">
            <w:pPr>
              <w:tabs>
                <w:tab w:val="left" w:pos="3150"/>
              </w:tabs>
              <w:suppressAutoHyphens/>
              <w:spacing w:after="0" w:afterAutospacing="0" w:line="240" w:lineRule="exact"/>
              <w:ind w:left="150"/>
              <w:rPr>
                <w:rFonts w:eastAsia="Times New Roman" w:cs="Times New Roman"/>
                <w:bCs/>
                <w:szCs w:val="24"/>
              </w:rPr>
            </w:pPr>
            <w:r w:rsidRPr="00A82930">
              <w:rPr>
                <w:rFonts w:eastAsia="Times New Roman" w:cs="Times New Roman"/>
                <w:szCs w:val="24"/>
              </w:rPr>
              <w:t>2797</w:t>
            </w:r>
          </w:p>
        </w:tc>
      </w:tr>
    </w:tbl>
    <w:p w14:paraId="2F66D247" w14:textId="77777777" w:rsidR="008D0B21" w:rsidRPr="00A82930" w:rsidRDefault="008D0B21" w:rsidP="00042B91">
      <w:pPr>
        <w:spacing w:after="0" w:afterAutospacing="0" w:line="240" w:lineRule="auto"/>
        <w:rPr>
          <w:rFonts w:cs="Times New Roman"/>
        </w:rPr>
      </w:pPr>
    </w:p>
    <w:p w14:paraId="708F564C" w14:textId="77777777" w:rsidR="00AA2E04" w:rsidRPr="00A82930" w:rsidRDefault="00AA2E04" w:rsidP="00170FE5">
      <w:pPr>
        <w:pStyle w:val="Heading1"/>
        <w:numPr>
          <w:ilvl w:val="0"/>
          <w:numId w:val="2"/>
        </w:numPr>
        <w:rPr>
          <w:rFonts w:cs="Times New Roman"/>
          <w:color w:val="auto"/>
        </w:rPr>
      </w:pPr>
      <w:bookmarkStart w:id="9" w:name="_Toc240466238"/>
      <w:r w:rsidRPr="00A82930">
        <w:rPr>
          <w:rFonts w:cs="Times New Roman"/>
          <w:bCs/>
          <w:color w:val="auto"/>
          <w:lang w:val="de-DE"/>
        </w:rPr>
        <w:t>Bestimmungsgemäße Verwendung des Produkts</w:t>
      </w:r>
      <w:bookmarkEnd w:id="9"/>
      <w:r w:rsidRPr="00A82930">
        <w:rPr>
          <w:rFonts w:cs="Times New Roman"/>
          <w:bCs/>
          <w:color w:val="auto"/>
          <w:lang w:val="de-DE"/>
        </w:rPr>
        <w:t xml:space="preserve"> </w:t>
      </w:r>
    </w:p>
    <w:p w14:paraId="6E6725A9" w14:textId="77777777" w:rsidR="003C58E5" w:rsidRPr="00A82930" w:rsidRDefault="003C58E5" w:rsidP="003C58E5">
      <w:pPr>
        <w:spacing w:after="0" w:afterAutospacing="0" w:line="240" w:lineRule="auto"/>
        <w:rPr>
          <w:rFonts w:cs="Times New Roman"/>
        </w:rPr>
      </w:pPr>
      <w:r w:rsidRPr="00A82930">
        <w:rPr>
          <w:rFonts w:cs="Times New Roman"/>
          <w:lang w:val="de-DE"/>
        </w:rPr>
        <w:t xml:space="preserve">Referenznummern in der Gebrauchsanweisung: </w:t>
      </w:r>
    </w:p>
    <w:p w14:paraId="5CC3EE9B" w14:textId="2F195B18" w:rsidR="00042B91" w:rsidRPr="00A82930" w:rsidRDefault="003C58E5" w:rsidP="003C58E5">
      <w:pPr>
        <w:spacing w:after="0" w:afterAutospacing="0" w:line="240" w:lineRule="auto"/>
        <w:rPr>
          <w:rFonts w:cs="Times New Roman"/>
        </w:rPr>
      </w:pPr>
      <w:r w:rsidRPr="00A82930">
        <w:rPr>
          <w:rFonts w:cs="Times New Roman"/>
          <w:lang w:val="de-DE"/>
        </w:rPr>
        <w:t>P-2017-0205-00 M Rev A (Option ELITE Rückholbarer Vena-Cava-Filter 100cm)</w:t>
      </w:r>
    </w:p>
    <w:p w14:paraId="77553003" w14:textId="5793DB10" w:rsidR="003C58E5" w:rsidRPr="00A82930" w:rsidRDefault="005102F2" w:rsidP="005102F2">
      <w:pPr>
        <w:spacing w:after="0" w:afterAutospacing="0" w:line="240" w:lineRule="auto"/>
        <w:rPr>
          <w:rFonts w:cs="Times New Roman"/>
        </w:rPr>
      </w:pPr>
      <w:r w:rsidRPr="00A82930">
        <w:rPr>
          <w:rFonts w:cs="Times New Roman"/>
          <w:lang w:val="de-DE"/>
        </w:rPr>
        <w:t>P-2017-0184-00 M Rev A (Option ELITE Rückholbarer Vena-Cava-Filter 70cm)</w:t>
      </w:r>
    </w:p>
    <w:p w14:paraId="57845318" w14:textId="77777777" w:rsidR="005102F2" w:rsidRPr="00A82930" w:rsidRDefault="005102F2" w:rsidP="005102F2">
      <w:pPr>
        <w:spacing w:after="0" w:afterAutospacing="0" w:line="240" w:lineRule="auto"/>
        <w:rPr>
          <w:rFonts w:cs="Times New Roman"/>
        </w:rPr>
      </w:pPr>
    </w:p>
    <w:p w14:paraId="39A6DB15" w14:textId="1BFF7896" w:rsidR="006F0810" w:rsidRPr="00A82930" w:rsidRDefault="00B7112F" w:rsidP="00042B91">
      <w:pPr>
        <w:pStyle w:val="Heading1"/>
        <w:rPr>
          <w:rFonts w:cs="Times New Roman"/>
          <w:color w:val="auto"/>
        </w:rPr>
      </w:pPr>
      <w:r w:rsidRPr="00A82930">
        <w:rPr>
          <w:rFonts w:cs="Times New Roman"/>
          <w:bCs/>
          <w:color w:val="auto"/>
          <w:lang w:val="de-DE"/>
        </w:rPr>
        <w:t xml:space="preserve"> </w:t>
      </w:r>
      <w:bookmarkStart w:id="10" w:name="_Toc240466239"/>
      <w:r w:rsidRPr="00A82930">
        <w:rPr>
          <w:rFonts w:cs="Times New Roman"/>
          <w:bCs/>
          <w:color w:val="auto"/>
          <w:lang w:val="de-DE"/>
        </w:rPr>
        <w:t>Verwendungszweck/Bestimmungsgemäße Verwendung</w:t>
      </w:r>
      <w:bookmarkEnd w:id="10"/>
    </w:p>
    <w:p w14:paraId="093AAF84" w14:textId="6BB0E4BC" w:rsidR="00B3395E" w:rsidRPr="00A82930" w:rsidRDefault="00B3395E">
      <w:pPr>
        <w:spacing w:after="0" w:afterAutospacing="0"/>
        <w:rPr>
          <w:rFonts w:cs="Times New Roman"/>
          <w:kern w:val="2"/>
          <w:szCs w:val="24"/>
          <w:lang w:val="de-DE"/>
          <w14:ligatures w14:val="standardContextual"/>
        </w:rPr>
      </w:pPr>
      <w:r w:rsidRPr="00A82930">
        <w:rPr>
          <w:rFonts w:cs="Times New Roman"/>
          <w:lang w:val="de-DE"/>
        </w:rPr>
        <w:t>Das Option ELITE-System mit rückholbarem IVC-Filter ist zur Prävention von Lungenembolien (PE) durch perkutanes Einsetzen in die unteren Hohlvene (IVC) vorgesehen.</w:t>
      </w:r>
    </w:p>
    <w:p w14:paraId="75F63BFA" w14:textId="77777777" w:rsidR="00E9108A" w:rsidRPr="00A82930" w:rsidRDefault="00E9108A" w:rsidP="00042B91">
      <w:pPr>
        <w:spacing w:after="0" w:afterAutospacing="0" w:line="240" w:lineRule="auto"/>
        <w:rPr>
          <w:rFonts w:cs="Times New Roman"/>
          <w:iCs/>
          <w:lang w:val="de-DE"/>
        </w:rPr>
      </w:pPr>
    </w:p>
    <w:p w14:paraId="0540FB4C" w14:textId="46686191" w:rsidR="006F0810" w:rsidRPr="00A82930" w:rsidRDefault="006F0810" w:rsidP="00042B91">
      <w:pPr>
        <w:pStyle w:val="Heading1"/>
        <w:rPr>
          <w:rFonts w:cs="Times New Roman"/>
          <w:color w:val="auto"/>
        </w:rPr>
      </w:pPr>
      <w:bookmarkStart w:id="11" w:name="_Toc240466240"/>
      <w:r w:rsidRPr="00A82930">
        <w:rPr>
          <w:rFonts w:cs="Times New Roman"/>
          <w:bCs/>
          <w:color w:val="auto"/>
          <w:lang w:val="de-DE"/>
        </w:rPr>
        <w:t>Anwendungsgebiete/Vorgesehene Verwendung</w:t>
      </w:r>
      <w:bookmarkEnd w:id="11"/>
    </w:p>
    <w:p w14:paraId="56CCFFAC" w14:textId="30B2DC55" w:rsidR="00B3395E" w:rsidRPr="00A82930" w:rsidRDefault="00B3395E">
      <w:pPr>
        <w:spacing w:after="0" w:afterAutospacing="0"/>
        <w:rPr>
          <w:rFonts w:cs="Times New Roman"/>
          <w:kern w:val="2"/>
          <w:szCs w:val="24"/>
          <w:lang w:val="de-DE"/>
          <w14:ligatures w14:val="standardContextual"/>
        </w:rPr>
      </w:pPr>
      <w:r w:rsidRPr="00A82930">
        <w:rPr>
          <w:rFonts w:cs="Times New Roman"/>
          <w:lang w:val="de-DE"/>
        </w:rPr>
        <w:t>Das Option ELITE-System mit rückholbarem IVC-Filter ist zur Vorbeugung rezidivierender Lungenembolien (LE) durch perkutanes Einsetzen in die unteren Hohlvene (IVC) bei folgenden Erkrankungen indiziert:</w:t>
      </w:r>
    </w:p>
    <w:p w14:paraId="3FE5B12C" w14:textId="77777777" w:rsidR="00B3395E" w:rsidRPr="00A82930" w:rsidRDefault="00B3395E">
      <w:pPr>
        <w:pStyle w:val="ListParagraph"/>
        <w:numPr>
          <w:ilvl w:val="0"/>
          <w:numId w:val="18"/>
        </w:numPr>
        <w:rPr>
          <w:rFonts w:cs="Times New Roman"/>
          <w:kern w:val="2"/>
          <w:szCs w:val="24"/>
          <w14:ligatures w14:val="standardContextual"/>
        </w:rPr>
      </w:pPr>
      <w:r w:rsidRPr="00A82930">
        <w:rPr>
          <w:rFonts w:cs="Times New Roman"/>
          <w:lang w:val="de-DE"/>
        </w:rPr>
        <w:t>Lungenthromboembolie, wenn Antikoagulanzien kontraindiziert sind</w:t>
      </w:r>
    </w:p>
    <w:p w14:paraId="2DFBF3E2" w14:textId="77777777" w:rsidR="00B3395E" w:rsidRPr="00A82930" w:rsidRDefault="00B3395E">
      <w:pPr>
        <w:pStyle w:val="ListParagraph"/>
        <w:numPr>
          <w:ilvl w:val="0"/>
          <w:numId w:val="18"/>
        </w:numPr>
        <w:rPr>
          <w:rFonts w:cs="Times New Roman"/>
          <w:kern w:val="2"/>
          <w:szCs w:val="24"/>
          <w:lang w:val="de-DE"/>
          <w14:ligatures w14:val="standardContextual"/>
        </w:rPr>
      </w:pPr>
      <w:r w:rsidRPr="00A82930">
        <w:rPr>
          <w:rFonts w:cs="Times New Roman"/>
          <w:lang w:val="de-DE"/>
        </w:rPr>
        <w:t>Versagen der gerinnungshemmenden Therapie bei thromboembolischen Erkrankungen</w:t>
      </w:r>
    </w:p>
    <w:p w14:paraId="5982E51F" w14:textId="77777777" w:rsidR="00B3395E" w:rsidRPr="00A82930" w:rsidRDefault="00B3395E">
      <w:pPr>
        <w:pStyle w:val="ListParagraph"/>
        <w:numPr>
          <w:ilvl w:val="0"/>
          <w:numId w:val="18"/>
        </w:numPr>
        <w:rPr>
          <w:rFonts w:cs="Times New Roman"/>
          <w:kern w:val="2"/>
          <w:szCs w:val="24"/>
          <w:lang w:val="de-DE"/>
          <w14:ligatures w14:val="standardContextual"/>
        </w:rPr>
      </w:pPr>
      <w:r w:rsidRPr="00A82930">
        <w:rPr>
          <w:rFonts w:cs="Times New Roman"/>
          <w:lang w:val="de-DE"/>
        </w:rPr>
        <w:t>Notfallbehandlung nach massiver Lungenembolie, bei der der erwartete Nutzen einer konventionellen Therapie reduziert ist</w:t>
      </w:r>
    </w:p>
    <w:p w14:paraId="23D3A8CD" w14:textId="77777777" w:rsidR="00B3395E" w:rsidRPr="00A82930" w:rsidRDefault="00B3395E">
      <w:pPr>
        <w:pStyle w:val="ListParagraph"/>
        <w:numPr>
          <w:ilvl w:val="0"/>
          <w:numId w:val="18"/>
        </w:numPr>
        <w:rPr>
          <w:rFonts w:cs="Times New Roman"/>
          <w:kern w:val="2"/>
          <w:szCs w:val="24"/>
          <w:lang w:val="de-DE"/>
          <w14:ligatures w14:val="standardContextual"/>
        </w:rPr>
      </w:pPr>
      <w:r w:rsidRPr="00A82930">
        <w:rPr>
          <w:rFonts w:cs="Times New Roman"/>
          <w:lang w:val="de-DE"/>
        </w:rPr>
        <w:lastRenderedPageBreak/>
        <w:t>Chronische, rezidivierende Lungenembolie, bei der die Antikoagulanzientherapie versagt hat oder kontraindiziert ist.</w:t>
      </w:r>
    </w:p>
    <w:p w14:paraId="480F4934" w14:textId="4C24BAF7" w:rsidR="00B3395E" w:rsidRPr="00A82930" w:rsidRDefault="00B3395E">
      <w:pPr>
        <w:spacing w:after="0" w:afterAutospacing="0"/>
        <w:rPr>
          <w:rFonts w:cs="Times New Roman"/>
          <w:kern w:val="2"/>
          <w:szCs w:val="24"/>
          <w:lang w:val="de-DE"/>
          <w14:ligatures w14:val="standardContextual"/>
        </w:rPr>
      </w:pPr>
      <w:r w:rsidRPr="00A82930">
        <w:rPr>
          <w:rFonts w:cs="Times New Roman"/>
          <w:lang w:val="de-DE"/>
        </w:rPr>
        <w:t>Das Option ELITE-System mit rückholbarem IVC-Filter kann bei Patienten, die keinen Filter mehr benötigen, gemäß der beiliegenden Anleitung entfernt werden. Die Rückholung des Filters kann nur über den jugularen Zugang erfolgen.</w:t>
      </w:r>
    </w:p>
    <w:p w14:paraId="5A3613A1" w14:textId="77777777" w:rsidR="00B3395E" w:rsidRPr="00A82930" w:rsidRDefault="00B3395E">
      <w:pPr>
        <w:spacing w:after="0" w:afterAutospacing="0"/>
        <w:rPr>
          <w:rFonts w:cs="Times New Roman"/>
          <w:kern w:val="2"/>
          <w:szCs w:val="24"/>
          <w:lang w:val="de-DE"/>
          <w14:ligatures w14:val="standardContextual"/>
        </w:rPr>
      </w:pPr>
      <w:r w:rsidRPr="00A82930">
        <w:rPr>
          <w:rFonts w:cs="Times New Roman"/>
          <w:lang w:val="de-DE"/>
        </w:rPr>
        <w:t>Der angiographische Gefäßdilatator dient der angiographischen Visualisierung und linearen Messung des Gefäßsystems, wenn er in Verbindung mit der Zufuhr von röntgendichten Kontrastmitteln in die Hohlvene verwendet wird.</w:t>
      </w:r>
    </w:p>
    <w:p w14:paraId="250F03AC" w14:textId="77777777" w:rsidR="00042B91" w:rsidRPr="00A82930" w:rsidRDefault="00042B91" w:rsidP="00042B91">
      <w:pPr>
        <w:spacing w:after="0" w:afterAutospacing="0" w:line="240" w:lineRule="auto"/>
        <w:rPr>
          <w:rFonts w:cs="Times New Roman"/>
          <w:i/>
          <w:lang w:val="de-DE"/>
        </w:rPr>
      </w:pPr>
    </w:p>
    <w:p w14:paraId="498EAE44" w14:textId="02C55BE1" w:rsidR="00D20FA4" w:rsidRPr="00A82930" w:rsidRDefault="00DC675B" w:rsidP="00042B91">
      <w:pPr>
        <w:pStyle w:val="Heading1"/>
        <w:rPr>
          <w:rFonts w:cs="Times New Roman"/>
          <w:color w:val="auto"/>
        </w:rPr>
      </w:pPr>
      <w:bookmarkStart w:id="12" w:name="_Toc240466241"/>
      <w:r w:rsidRPr="00A82930">
        <w:rPr>
          <w:rFonts w:cs="Times New Roman"/>
          <w:bCs/>
          <w:color w:val="auto"/>
          <w:lang w:val="de-DE"/>
        </w:rPr>
        <w:t>Vorgesehene Patientengruppe</w:t>
      </w:r>
      <w:bookmarkEnd w:id="12"/>
      <w:r w:rsidRPr="00A82930">
        <w:rPr>
          <w:rFonts w:cs="Times New Roman"/>
          <w:bCs/>
          <w:color w:val="auto"/>
          <w:lang w:val="de-DE"/>
        </w:rPr>
        <w:t xml:space="preserve">   </w:t>
      </w:r>
    </w:p>
    <w:p w14:paraId="6DC618E8" w14:textId="0B796BAE" w:rsidR="00B3395E" w:rsidRPr="00A82930" w:rsidRDefault="00B3395E">
      <w:pPr>
        <w:spacing w:after="0" w:afterAutospacing="0"/>
        <w:rPr>
          <w:rFonts w:cs="Times New Roman"/>
          <w:kern w:val="2"/>
          <w:szCs w:val="24"/>
          <w:lang w:val="de-DE"/>
          <w14:ligatures w14:val="standardContextual"/>
        </w:rPr>
      </w:pPr>
      <w:r w:rsidRPr="00A82930">
        <w:rPr>
          <w:rFonts w:cs="Times New Roman"/>
          <w:lang w:val="de-DE"/>
        </w:rPr>
        <w:t>Das Option ELITE-System mit rückholbarem IVC-Filter ist für Patienten mit einer Vorgeschichte chronischer oder wiederkehrender Lungenembolien vorgesehen, bei denen eine Antikoagulanzientherapie kontraindiziert ist oder versagt hat, sowie für Patienten, die nach einer massiven Lungenembolie eine Notfallbehandlung benötigen, bei der der zu erwartende Nutzen einer konventionellen Therapie eingeschränkt ist.</w:t>
      </w:r>
    </w:p>
    <w:p w14:paraId="6240E34C" w14:textId="77777777" w:rsidR="00042B91" w:rsidRPr="00A82930" w:rsidRDefault="00042B91" w:rsidP="00042B91">
      <w:pPr>
        <w:spacing w:after="0" w:afterAutospacing="0" w:line="240" w:lineRule="auto"/>
        <w:rPr>
          <w:rFonts w:cs="Times New Roman"/>
          <w:i/>
          <w:lang w:val="de-DE"/>
        </w:rPr>
      </w:pPr>
    </w:p>
    <w:p w14:paraId="28F544BD" w14:textId="4F93A450" w:rsidR="006F0810" w:rsidRPr="00A82930" w:rsidRDefault="006F0810" w:rsidP="00042B91">
      <w:pPr>
        <w:pStyle w:val="Heading1"/>
        <w:rPr>
          <w:rFonts w:cs="Times New Roman"/>
          <w:color w:val="auto"/>
        </w:rPr>
      </w:pPr>
      <w:bookmarkStart w:id="13" w:name="_Toc240466242"/>
      <w:r w:rsidRPr="00A82930">
        <w:rPr>
          <w:rFonts w:cs="Times New Roman"/>
          <w:bCs/>
          <w:color w:val="auto"/>
          <w:lang w:val="de-DE"/>
        </w:rPr>
        <w:t>Kontraindikationen</w:t>
      </w:r>
      <w:bookmarkEnd w:id="13"/>
    </w:p>
    <w:p w14:paraId="778D710E" w14:textId="7AED5F45" w:rsidR="00B3395E" w:rsidRPr="00A82930" w:rsidRDefault="00B3395E">
      <w:pPr>
        <w:spacing w:after="0" w:afterAutospacing="0"/>
        <w:rPr>
          <w:rFonts w:cs="Times New Roman"/>
          <w:kern w:val="2"/>
          <w:szCs w:val="24"/>
          <w:lang w:val="de-DE"/>
          <w14:ligatures w14:val="standardContextual"/>
        </w:rPr>
      </w:pPr>
      <w:r w:rsidRPr="00A82930">
        <w:rPr>
          <w:rFonts w:cs="Times New Roman"/>
          <w:lang w:val="de-DE"/>
        </w:rPr>
        <w:t>Das Option ELITE-System mit rückholbarem IVC-Filter sollte nicht implantiert werden, wenn eine der folgenden Bedingungen vorliegt:</w:t>
      </w:r>
    </w:p>
    <w:p w14:paraId="42D3D80B" w14:textId="77777777" w:rsidR="00B3395E" w:rsidRPr="00A82930" w:rsidRDefault="00B3395E" w:rsidP="00B3395E">
      <w:pPr>
        <w:pStyle w:val="ListParagraph"/>
        <w:numPr>
          <w:ilvl w:val="0"/>
          <w:numId w:val="6"/>
        </w:numPr>
        <w:rPr>
          <w:rFonts w:cs="Times New Roman"/>
          <w:kern w:val="2"/>
          <w:szCs w:val="24"/>
          <w:lang w:val="de-DE"/>
          <w14:ligatures w14:val="standardContextual"/>
        </w:rPr>
      </w:pPr>
      <w:r w:rsidRPr="00A82930">
        <w:rPr>
          <w:rFonts w:cs="Times New Roman"/>
          <w:lang w:val="de-DE"/>
        </w:rPr>
        <w:t>Der Patient hat einen Durchmesser der unteren Hohlvene von mehr als 32 mm.</w:t>
      </w:r>
    </w:p>
    <w:p w14:paraId="25F60FD3" w14:textId="77777777" w:rsidR="00B3395E" w:rsidRPr="00A82930" w:rsidRDefault="00B3395E" w:rsidP="00B3395E">
      <w:pPr>
        <w:pStyle w:val="ListParagraph"/>
        <w:numPr>
          <w:ilvl w:val="0"/>
          <w:numId w:val="6"/>
        </w:numPr>
        <w:rPr>
          <w:rFonts w:cs="Times New Roman"/>
          <w:kern w:val="2"/>
          <w:szCs w:val="24"/>
          <w:lang w:val="de-DE"/>
          <w14:ligatures w14:val="standardContextual"/>
        </w:rPr>
      </w:pPr>
      <w:r w:rsidRPr="00A82930">
        <w:rPr>
          <w:rFonts w:cs="Times New Roman"/>
          <w:lang w:val="de-DE"/>
        </w:rPr>
        <w:t>Der Patient ist gefährdet für eine septische Embolie.</w:t>
      </w:r>
    </w:p>
    <w:p w14:paraId="082E970E" w14:textId="77777777" w:rsidR="00B3395E" w:rsidRPr="00A82930" w:rsidRDefault="00B3395E" w:rsidP="00B3395E">
      <w:pPr>
        <w:pStyle w:val="ListParagraph"/>
        <w:numPr>
          <w:ilvl w:val="0"/>
          <w:numId w:val="6"/>
        </w:numPr>
        <w:rPr>
          <w:rFonts w:cs="Times New Roman"/>
          <w:kern w:val="2"/>
          <w:szCs w:val="24"/>
          <w:lang w:val="de-DE"/>
          <w14:ligatures w14:val="standardContextual"/>
        </w:rPr>
      </w:pPr>
      <w:r w:rsidRPr="00A82930">
        <w:rPr>
          <w:rFonts w:cs="Times New Roman"/>
          <w:lang w:val="de-DE"/>
        </w:rPr>
        <w:t>Der Patient hat eine bestätigte Bakteriämie.</w:t>
      </w:r>
    </w:p>
    <w:p w14:paraId="34390526" w14:textId="77777777" w:rsidR="00B3395E" w:rsidRPr="00A82930" w:rsidRDefault="00B3395E" w:rsidP="00B3395E">
      <w:pPr>
        <w:pStyle w:val="ListParagraph"/>
        <w:numPr>
          <w:ilvl w:val="0"/>
          <w:numId w:val="6"/>
        </w:numPr>
        <w:rPr>
          <w:rFonts w:cs="Times New Roman"/>
          <w:kern w:val="2"/>
          <w:szCs w:val="24"/>
          <w:lang w:val="de-DE"/>
          <w14:ligatures w14:val="standardContextual"/>
        </w:rPr>
      </w:pPr>
      <w:r w:rsidRPr="00A82930">
        <w:rPr>
          <w:rFonts w:cs="Times New Roman"/>
          <w:lang w:val="de-DE"/>
        </w:rPr>
        <w:t>Der Patient hat eine bekannte Überempfindlichkeit gegenüber Nickel- oder Titanlegierungen.</w:t>
      </w:r>
    </w:p>
    <w:p w14:paraId="57782400" w14:textId="77777777" w:rsidR="00B3395E" w:rsidRPr="00A82930" w:rsidRDefault="00B3395E" w:rsidP="00B3395E">
      <w:pPr>
        <w:pStyle w:val="ListParagraph"/>
        <w:numPr>
          <w:ilvl w:val="0"/>
          <w:numId w:val="6"/>
        </w:numPr>
        <w:rPr>
          <w:rFonts w:cs="Times New Roman"/>
          <w:kern w:val="2"/>
          <w:szCs w:val="24"/>
          <w14:ligatures w14:val="standardContextual"/>
        </w:rPr>
      </w:pPr>
      <w:r w:rsidRPr="00A82930">
        <w:rPr>
          <w:rFonts w:cs="Times New Roman"/>
          <w:lang w:val="de-DE"/>
        </w:rPr>
        <w:t>Schwangere Patientinnen, bei der die Bestrahlung durch Fluoroskopie den Fötus gefährden kann. Risiken und Nutzen sind sorgfältig abzuwägen.</w:t>
      </w:r>
    </w:p>
    <w:p w14:paraId="15CBF9BA" w14:textId="2539FC5B" w:rsidR="00457931" w:rsidRPr="00A82930" w:rsidRDefault="00B3395E" w:rsidP="00181ED5">
      <w:pPr>
        <w:pStyle w:val="ListParagraph"/>
        <w:numPr>
          <w:ilvl w:val="0"/>
          <w:numId w:val="6"/>
        </w:numPr>
        <w:rPr>
          <w:rFonts w:cs="Times New Roman"/>
          <w:kern w:val="2"/>
          <w:szCs w:val="24"/>
          <w:lang w:val="de-DE"/>
          <w14:ligatures w14:val="standardContextual"/>
        </w:rPr>
      </w:pPr>
      <w:r w:rsidRPr="00A82930">
        <w:rPr>
          <w:rFonts w:cs="Times New Roman"/>
          <w:lang w:val="de-DE"/>
        </w:rPr>
        <w:t>Beim 100-cm-System sollte die juguläre Ausrichtung nicht für den poplitealen Zugang und die femorale Ausrichtung nicht für den antecubitalen Zugang verwendet werden. Verwenden Sie für den jeweiligen Zugang stets die für die Kartusche vorgesehene Ausrichtung. Die Verwendung einer falschen Kartuschenausrichtung für einen der beiden Zugänge kann zu einer verkehrten Platzierung führen, was bei Patienten schwerwiegende unerwünschte Ereignisse verursachen kann.</w:t>
      </w:r>
    </w:p>
    <w:p w14:paraId="74820815" w14:textId="77777777" w:rsidR="00B3395E" w:rsidRPr="00A82930" w:rsidRDefault="00B3395E">
      <w:pPr>
        <w:spacing w:after="0" w:afterAutospacing="0"/>
        <w:rPr>
          <w:rFonts w:cs="Times New Roman"/>
          <w:kern w:val="2"/>
          <w:szCs w:val="24"/>
          <w:lang w:val="de-DE"/>
          <w14:ligatures w14:val="standardContextual"/>
        </w:rPr>
      </w:pPr>
      <w:r w:rsidRPr="00A82930">
        <w:rPr>
          <w:rFonts w:cs="Times New Roman"/>
          <w:lang w:val="de-DE"/>
        </w:rPr>
        <w:t>Es sind keine Kontraindikationen für die Anwendung des angiographischen Gefäßdilatators bekannt.</w:t>
      </w:r>
    </w:p>
    <w:p w14:paraId="645ACDFD" w14:textId="77777777" w:rsidR="00760400" w:rsidRPr="00A82930" w:rsidRDefault="00760400" w:rsidP="00042B91">
      <w:pPr>
        <w:pStyle w:val="ListParagraph"/>
        <w:spacing w:after="0" w:afterAutospacing="0" w:line="240" w:lineRule="auto"/>
        <w:rPr>
          <w:rFonts w:cs="Times New Roman"/>
          <w:lang w:val="de-DE"/>
        </w:rPr>
      </w:pPr>
    </w:p>
    <w:p w14:paraId="0A9D601E" w14:textId="53FB771D" w:rsidR="00760400" w:rsidRPr="00A82930" w:rsidRDefault="00D20FA4" w:rsidP="00170FE5">
      <w:pPr>
        <w:pStyle w:val="Heading1"/>
        <w:numPr>
          <w:ilvl w:val="0"/>
          <w:numId w:val="2"/>
        </w:numPr>
        <w:rPr>
          <w:rFonts w:cs="Times New Roman"/>
          <w:color w:val="auto"/>
        </w:rPr>
      </w:pPr>
      <w:bookmarkStart w:id="14" w:name="_Toc240466243"/>
      <w:r w:rsidRPr="00A82930">
        <w:rPr>
          <w:rFonts w:cs="Times New Roman"/>
          <w:bCs/>
          <w:color w:val="auto"/>
          <w:lang w:val="de-DE"/>
        </w:rPr>
        <w:t>Produktbeschreibung</w:t>
      </w:r>
      <w:bookmarkEnd w:id="14"/>
    </w:p>
    <w:p w14:paraId="7115673A" w14:textId="77777777" w:rsidR="00042B91" w:rsidRPr="00A82930" w:rsidRDefault="00042B91" w:rsidP="00042B91">
      <w:pPr>
        <w:spacing w:after="0" w:afterAutospacing="0" w:line="240" w:lineRule="auto"/>
        <w:rPr>
          <w:rFonts w:cs="Times New Roman"/>
        </w:rPr>
      </w:pPr>
    </w:p>
    <w:p w14:paraId="33649869" w14:textId="52085753" w:rsidR="00D20FA4" w:rsidRPr="00A82930" w:rsidRDefault="00D20FA4" w:rsidP="00042B91">
      <w:pPr>
        <w:pStyle w:val="Heading1"/>
        <w:rPr>
          <w:rFonts w:cs="Times New Roman"/>
          <w:color w:val="auto"/>
        </w:rPr>
      </w:pPr>
      <w:bookmarkStart w:id="15" w:name="_Toc240466244"/>
      <w:r w:rsidRPr="00A82930">
        <w:rPr>
          <w:rFonts w:cs="Times New Roman"/>
          <w:bCs/>
          <w:color w:val="auto"/>
          <w:lang w:val="de-DE"/>
        </w:rPr>
        <w:t>Beschreibung des Produkts</w:t>
      </w:r>
      <w:bookmarkEnd w:id="15"/>
      <w:r w:rsidRPr="00A82930">
        <w:rPr>
          <w:rFonts w:cs="Times New Roman"/>
          <w:bCs/>
          <w:color w:val="auto"/>
          <w:lang w:val="de-DE"/>
        </w:rPr>
        <w:t xml:space="preserve"> </w:t>
      </w:r>
    </w:p>
    <w:p w14:paraId="4E6984B9" w14:textId="77777777" w:rsidR="004A3746" w:rsidRPr="00A82930" w:rsidRDefault="004A3746" w:rsidP="00042B91">
      <w:pPr>
        <w:spacing w:after="0" w:afterAutospacing="0" w:line="240" w:lineRule="auto"/>
        <w:rPr>
          <w:rFonts w:cs="Times New Roman"/>
          <w:i/>
        </w:rPr>
      </w:pPr>
    </w:p>
    <w:p w14:paraId="7EFEB1CF" w14:textId="06E78531" w:rsidR="00B3395E" w:rsidRPr="00A82930" w:rsidRDefault="00B3395E">
      <w:pPr>
        <w:spacing w:after="0" w:afterAutospacing="0"/>
        <w:rPr>
          <w:rFonts w:cs="Times New Roman"/>
          <w:kern w:val="2"/>
          <w:szCs w:val="24"/>
          <w:lang w:val="de-DE"/>
          <w14:ligatures w14:val="standardContextual"/>
        </w:rPr>
      </w:pPr>
      <w:r w:rsidRPr="00A82930">
        <w:rPr>
          <w:rFonts w:cs="Times New Roman"/>
          <w:lang w:val="de-DE"/>
        </w:rPr>
        <w:t xml:space="preserve">Der Option ELITE Vena-Cava-Filter ist für das perkutanes Einsetzen in die unteren Hohlvene (IVC) vorgesehen. Der rückholbare Option ELITE IVC-Filter ist zur Vorbeugung einer Lungenembolie (PE) bestimmt und ausschließlich zum einmaligen Gebrauch vorgesehen. Der Lieferumfang ist steril nach einem </w:t>
      </w:r>
      <w:r w:rsidRPr="00A82930">
        <w:rPr>
          <w:rFonts w:cs="Times New Roman"/>
          <w:lang w:val="de-DE"/>
        </w:rPr>
        <w:lastRenderedPageBreak/>
        <w:t>Ethylenoxid (EO-)Verfahren. Dieses Medizinprodukt ist nachweislich pyrogenfrei, wodurch sichergestellt ist, dass es bei der Anwendung keine schädlichen pyrogenen Substanzen freisetzt. Der Filter ist röntgendicht, wodurch eine klare Darstellung des Medizinprodukts während bildgebender Verfahren ermöglicht wird.</w:t>
      </w:r>
    </w:p>
    <w:p w14:paraId="3C0B7C35" w14:textId="77777777" w:rsidR="00EB4F95" w:rsidRPr="00A82930" w:rsidRDefault="00EB4F95">
      <w:pPr>
        <w:spacing w:after="0" w:afterAutospacing="0"/>
        <w:rPr>
          <w:rFonts w:cs="Times New Roman"/>
          <w:kern w:val="2"/>
          <w:szCs w:val="24"/>
          <w:lang w:val="de-DE"/>
          <w14:ligatures w14:val="standardContextual"/>
        </w:rPr>
      </w:pPr>
      <w:r w:rsidRPr="00A82930">
        <w:rPr>
          <w:rFonts w:cs="Times New Roman"/>
          <w:lang w:val="de-DE"/>
        </w:rPr>
        <w:t>Das 70-cm-System ist für die Einführung über den jugulären oder femoralen Zugang vorgesehen, während das 100-cm-System für die Einführung über den antecubitalen oder poplitealen Zugang vorgesehen ist.</w:t>
      </w:r>
    </w:p>
    <w:p w14:paraId="2E546626" w14:textId="77777777" w:rsidR="004A3746" w:rsidRPr="00A82930" w:rsidRDefault="004A3746" w:rsidP="004A3746">
      <w:pPr>
        <w:spacing w:after="0" w:afterAutospacing="0" w:line="240" w:lineRule="auto"/>
        <w:rPr>
          <w:rFonts w:cs="Times New Roman"/>
          <w:iCs/>
          <w:lang w:val="de-DE"/>
        </w:rPr>
      </w:pPr>
    </w:p>
    <w:p w14:paraId="37EF38C1" w14:textId="28263D1F" w:rsidR="00B3395E" w:rsidRPr="00A82930" w:rsidRDefault="00B3395E">
      <w:pPr>
        <w:spacing w:after="0" w:afterAutospacing="0"/>
        <w:rPr>
          <w:rFonts w:cs="Times New Roman"/>
          <w:kern w:val="2"/>
          <w:szCs w:val="24"/>
          <w:lang w:val="de-DE"/>
          <w14:ligatures w14:val="standardContextual"/>
        </w:rPr>
      </w:pPr>
      <w:r w:rsidRPr="00A82930">
        <w:rPr>
          <w:rFonts w:cs="Times New Roman"/>
          <w:lang w:val="de-DE"/>
        </w:rPr>
        <w:t>Der selbstzentrierende rückholbare Option ELITE IVC-Filter wird aus einem Rohr aus einer Nickel-Titan-Legierung (Nitinol) lasergeschnitten. Der rückholbare Option ELITE IVC-Filter besteht aus Nitinol-Streben mit Formgedächtnis, die von einem zentralen Punkt ausgehen, und ist auf eine optimale Gerinnselabfangung ausgelegt. Sechs (6) Rückhalteanker (Rückhaltehaken) befinden sich am kaudalen Ende des Filters. Diese Anker dienen der Fixierung des Filters an der Gefäßwand. Der rückholbare Option ELITE IVC-Filter ist für den Einsatz bei einem Durchmesser der Hohlvene von bis zu 32 mm vorgesehen. Am kranialen Ende befindet sich mittig ein Rückholhaken.</w:t>
      </w:r>
    </w:p>
    <w:p w14:paraId="78A65CAD" w14:textId="77777777" w:rsidR="004A3746" w:rsidRPr="00A82930" w:rsidRDefault="004A3746" w:rsidP="004A3746">
      <w:pPr>
        <w:spacing w:after="0" w:afterAutospacing="0" w:line="240" w:lineRule="auto"/>
        <w:rPr>
          <w:rFonts w:cs="Times New Roman"/>
          <w:iCs/>
          <w:lang w:val="de-DE"/>
        </w:rPr>
      </w:pPr>
    </w:p>
    <w:p w14:paraId="63979F2E" w14:textId="3EBA5D8D" w:rsidR="00B3395E" w:rsidRPr="00A82930" w:rsidRDefault="00B3395E">
      <w:pPr>
        <w:spacing w:after="0" w:afterAutospacing="0"/>
        <w:rPr>
          <w:rFonts w:cs="Times New Roman"/>
          <w:kern w:val="2"/>
          <w:szCs w:val="24"/>
          <w:lang w:val="de-DE"/>
          <w14:ligatures w14:val="standardContextual"/>
        </w:rPr>
      </w:pPr>
      <w:r w:rsidRPr="00A82930">
        <w:rPr>
          <w:rFonts w:cs="Times New Roman"/>
          <w:lang w:val="de-DE"/>
        </w:rPr>
        <w:t>Der vorgespannte rückholbare Option ELITE IVC-Filter ist flexibel und dehnt sich beim Entfalten auf den Innendurchmesser der unteren Hohlvene (IVC) aus. Der Filter übt eine nach außen gerichtete Radialkraft auf die luminalen Oberfläche der Hohlvene aus, um eine korrekte Positionierung und Stabilität zu gewährleisten.</w:t>
      </w:r>
    </w:p>
    <w:p w14:paraId="6BE607C4" w14:textId="77777777" w:rsidR="004A3746" w:rsidRPr="00A82930" w:rsidRDefault="004A3746" w:rsidP="004A3746">
      <w:pPr>
        <w:spacing w:after="0" w:afterAutospacing="0" w:line="240" w:lineRule="auto"/>
        <w:rPr>
          <w:rFonts w:cs="Times New Roman"/>
          <w:iCs/>
          <w:lang w:val="de-DE"/>
        </w:rPr>
      </w:pPr>
    </w:p>
    <w:p w14:paraId="1A396849" w14:textId="77777777" w:rsidR="00B3395E" w:rsidRPr="00A82930" w:rsidRDefault="00B3395E">
      <w:pPr>
        <w:spacing w:after="0" w:afterAutospacing="0"/>
        <w:rPr>
          <w:rFonts w:cs="Times New Roman"/>
          <w:kern w:val="2"/>
          <w:szCs w:val="24"/>
          <w:lang w:val="de-DE"/>
          <w14:ligatures w14:val="standardContextual"/>
        </w:rPr>
      </w:pPr>
      <w:r w:rsidRPr="00A82930">
        <w:rPr>
          <w:rFonts w:cs="Times New Roman"/>
          <w:lang w:val="de-DE"/>
        </w:rPr>
        <w:t>Das Komplettsystem umfasst folgende Komponenten:</w:t>
      </w:r>
    </w:p>
    <w:p w14:paraId="6BF3C09B" w14:textId="77777777" w:rsidR="00B3395E" w:rsidRPr="00A82930" w:rsidRDefault="00B3395E">
      <w:pPr>
        <w:spacing w:after="0" w:afterAutospacing="0"/>
        <w:rPr>
          <w:rFonts w:cs="Times New Roman"/>
          <w:kern w:val="2"/>
          <w:szCs w:val="24"/>
          <w:lang w:val="de-DE"/>
          <w14:ligatures w14:val="standardContextual"/>
        </w:rPr>
      </w:pPr>
      <w:r w:rsidRPr="00A82930">
        <w:rPr>
          <w:rFonts w:cs="Times New Roman"/>
          <w:lang w:val="de-DE"/>
        </w:rPr>
        <w:t>A. Katheter-Einführschleuse</w:t>
      </w:r>
    </w:p>
    <w:p w14:paraId="2DC9F5A8" w14:textId="77777777" w:rsidR="00B3395E" w:rsidRPr="00A82930" w:rsidRDefault="00B3395E">
      <w:pPr>
        <w:spacing w:after="0" w:afterAutospacing="0"/>
        <w:rPr>
          <w:rFonts w:cs="Times New Roman"/>
          <w:kern w:val="2"/>
          <w:szCs w:val="24"/>
          <w:lang w:val="de-DE"/>
          <w14:ligatures w14:val="standardContextual"/>
        </w:rPr>
      </w:pPr>
      <w:r w:rsidRPr="00A82930">
        <w:rPr>
          <w:rFonts w:cs="Times New Roman"/>
          <w:lang w:val="de-DE"/>
        </w:rPr>
        <w:t>B. Angiographischer Gefäßdilatator</w:t>
      </w:r>
    </w:p>
    <w:p w14:paraId="27736DE0" w14:textId="77777777" w:rsidR="00B3395E" w:rsidRPr="00A82930" w:rsidRDefault="00B3395E">
      <w:pPr>
        <w:spacing w:after="0" w:afterAutospacing="0"/>
        <w:rPr>
          <w:rFonts w:cs="Times New Roman"/>
          <w:kern w:val="2"/>
          <w:szCs w:val="24"/>
          <w:lang w:val="de-DE"/>
          <w14:ligatures w14:val="standardContextual"/>
        </w:rPr>
      </w:pPr>
      <w:r w:rsidRPr="00A82930">
        <w:rPr>
          <w:rFonts w:cs="Times New Roman"/>
          <w:lang w:val="de-DE"/>
        </w:rPr>
        <w:t>C. Pusher mit Entfaltungsmarker</w:t>
      </w:r>
    </w:p>
    <w:p w14:paraId="3A66461F" w14:textId="77777777" w:rsidR="00B3395E" w:rsidRPr="00A82930" w:rsidRDefault="00B3395E">
      <w:pPr>
        <w:spacing w:after="0" w:afterAutospacing="0"/>
        <w:rPr>
          <w:rFonts w:cs="Times New Roman"/>
          <w:kern w:val="2"/>
          <w:szCs w:val="24"/>
          <w:lang w:val="de-DE"/>
          <w14:ligatures w14:val="standardContextual"/>
        </w:rPr>
      </w:pPr>
      <w:r w:rsidRPr="00A82930">
        <w:rPr>
          <w:rFonts w:cs="Times New Roman"/>
          <w:lang w:val="de-DE"/>
        </w:rPr>
        <w:t>D. Option™ ELITE Rückholbares IVC-Filtersystem in Kartusche</w:t>
      </w:r>
    </w:p>
    <w:p w14:paraId="295A7591" w14:textId="77777777" w:rsidR="00B3395E" w:rsidRPr="00A82930" w:rsidRDefault="00B3395E">
      <w:pPr>
        <w:spacing w:after="0" w:afterAutospacing="0"/>
        <w:rPr>
          <w:rFonts w:cs="Times New Roman"/>
          <w:kern w:val="2"/>
          <w:szCs w:val="24"/>
          <w:lang w:val="de-DE"/>
          <w14:ligatures w14:val="standardContextual"/>
        </w:rPr>
      </w:pPr>
      <w:r w:rsidRPr="00A82930">
        <w:rPr>
          <w:rFonts w:cs="Times New Roman"/>
          <w:lang w:val="de-DE"/>
        </w:rPr>
        <w:t>E. Kappe für Einführschleuse</w:t>
      </w:r>
    </w:p>
    <w:p w14:paraId="163CBA0E" w14:textId="77777777" w:rsidR="004A3746" w:rsidRPr="00A82930" w:rsidRDefault="004A3746" w:rsidP="004A3746">
      <w:pPr>
        <w:spacing w:after="0" w:afterAutospacing="0" w:line="240" w:lineRule="auto"/>
        <w:rPr>
          <w:rFonts w:cs="Times New Roman"/>
          <w:iCs/>
          <w:lang w:val="de-DE"/>
        </w:rPr>
      </w:pPr>
    </w:p>
    <w:p w14:paraId="2791EC18" w14:textId="09652CE0" w:rsidR="00B3395E" w:rsidRPr="00A82930" w:rsidRDefault="00655670">
      <w:pPr>
        <w:spacing w:after="0" w:afterAutospacing="0"/>
        <w:rPr>
          <w:rFonts w:cs="Times New Roman"/>
          <w:kern w:val="2"/>
          <w:szCs w:val="24"/>
          <w:lang w:val="de-DE"/>
          <w14:ligatures w14:val="standardContextual"/>
        </w:rPr>
      </w:pPr>
      <w:r w:rsidRPr="00A82930">
        <w:rPr>
          <w:rFonts w:cs="Times New Roman"/>
          <w:lang w:val="de-DE"/>
        </w:rPr>
        <w:t>Das System umfasst den in einer Kartusche untergebrachten Filter, eine 5F-ID-Katheter-Einführschleuse mit einem angiographischen Gefäßdilatator mit offenem Ende sowie einen Pusher mit Entfaltungsmarker.</w:t>
      </w:r>
    </w:p>
    <w:p w14:paraId="5C5B296D" w14:textId="77777777" w:rsidR="00A2306C" w:rsidRPr="00A82930" w:rsidRDefault="00A2306C" w:rsidP="004A3746">
      <w:pPr>
        <w:spacing w:after="0" w:afterAutospacing="0" w:line="240" w:lineRule="auto"/>
        <w:rPr>
          <w:rFonts w:cs="Times New Roman"/>
          <w:iCs/>
          <w:lang w:val="de-DE"/>
        </w:rPr>
      </w:pPr>
    </w:p>
    <w:p w14:paraId="57A699E9" w14:textId="77777777" w:rsidR="00B3395E" w:rsidRPr="00A82930" w:rsidRDefault="00B3395E">
      <w:pPr>
        <w:spacing w:after="0" w:afterAutospacing="0"/>
        <w:rPr>
          <w:rFonts w:cs="Times New Roman"/>
          <w:kern w:val="2"/>
          <w:szCs w:val="24"/>
          <w:lang w:val="de-DE"/>
          <w14:ligatures w14:val="standardContextual"/>
        </w:rPr>
      </w:pPr>
      <w:r w:rsidRPr="00A82930">
        <w:rPr>
          <w:rFonts w:cs="Times New Roman"/>
          <w:lang w:val="de-DE"/>
        </w:rPr>
        <w:t>Der angiographische Gefäßdilatator hat seitliche Löcher und 2 röntgendichte Markierungen, die 32 mm (zwischen den Markerbändern) voneinander getrennt sind, die eine lineare Messung der unteren Hohlvene ermöglichen und die angiographische Visualisierung bei Verabreichung von röntgendichtem Kontrastmittel unterstützen. Der Pusher schiebt den Filter durch die Katheter-Einführschleuse bis zur Entfaltungsmarkierung vor und dient anschließend dazu, den Filter während des Freilegens in Position zu halten. Die Position des distalen Endes der Katheter-Einführschleuse kann durch Drehen der gesamten Vorrichtung kontrolliert werden, um die Katheter-Einführschleuse in der Mitte der Hohlvene zu positionieren.</w:t>
      </w:r>
    </w:p>
    <w:p w14:paraId="48C2D3C1" w14:textId="77777777" w:rsidR="003B7152" w:rsidRPr="00A82930" w:rsidRDefault="003B7152">
      <w:pPr>
        <w:spacing w:after="0" w:afterAutospacing="0"/>
        <w:rPr>
          <w:rFonts w:cs="Times New Roman"/>
          <w:lang w:val="de-DE"/>
        </w:rPr>
      </w:pPr>
    </w:p>
    <w:p w14:paraId="5B8DD9F0" w14:textId="5E03899A" w:rsidR="00B3395E" w:rsidRPr="00A82930" w:rsidRDefault="00B3395E">
      <w:pPr>
        <w:spacing w:after="0" w:afterAutospacing="0"/>
        <w:rPr>
          <w:rFonts w:cs="Times New Roman"/>
          <w:kern w:val="2"/>
          <w:szCs w:val="24"/>
          <w:lang w:val="de-DE"/>
          <w14:ligatures w14:val="standardContextual"/>
        </w:rPr>
      </w:pPr>
      <w:r w:rsidRPr="00A82930">
        <w:rPr>
          <w:rFonts w:cs="Times New Roman"/>
          <w:lang w:val="de-DE"/>
        </w:rPr>
        <w:t xml:space="preserve">Die Filterkartusche enthält den rückholbaren Option ELITE IVC-Filter. Auf dem Kartuschenkörper sind Text und farbige Pfeile aufgedruckt, die die Montageausrichtung kennzeichnen, femoral ist grün und jugular </w:t>
      </w:r>
      <w:r w:rsidRPr="00A82930">
        <w:rPr>
          <w:rFonts w:cs="Times New Roman"/>
          <w:lang w:val="de-DE"/>
        </w:rPr>
        <w:lastRenderedPageBreak/>
        <w:t>ist blau gedruckt. Beim 70-cm-System zeigt der Pfeil der gewünschten Zugangsstelle in das Verbindungsstück der Katheter-Einführschleuse. Beim 100-cm-System wird die femorale Seite der Filterkartusche für den femoralen und den poplitealen Zugang verwendet, während die juguläre Seite der Filterkartusche für den jugulären und den antecubitalen Zugang zum Einsatz kommt. Der Pfeil der gewünschten Zugangsstelle zeigt in das Verbindungsstück der Katheter-Einführschleuse.</w:t>
      </w:r>
    </w:p>
    <w:p w14:paraId="19796238" w14:textId="77777777" w:rsidR="00042B91" w:rsidRPr="00A82930" w:rsidRDefault="00042B91" w:rsidP="00042B91">
      <w:pPr>
        <w:spacing w:after="0" w:afterAutospacing="0" w:line="240" w:lineRule="auto"/>
        <w:rPr>
          <w:rFonts w:cs="Times New Roman"/>
          <w:i/>
          <w:lang w:val="de-DE"/>
        </w:rPr>
      </w:pPr>
    </w:p>
    <w:p w14:paraId="4C7769AE" w14:textId="77777777" w:rsidR="00D20FA4" w:rsidRPr="00A82930" w:rsidRDefault="00D20FA4" w:rsidP="00042B91">
      <w:pPr>
        <w:pStyle w:val="Heading1"/>
        <w:rPr>
          <w:rFonts w:cs="Times New Roman"/>
          <w:color w:val="auto"/>
        </w:rPr>
      </w:pPr>
      <w:bookmarkStart w:id="16" w:name="_Toc240466245"/>
      <w:r w:rsidRPr="00A82930">
        <w:rPr>
          <w:rFonts w:cs="Times New Roman"/>
          <w:bCs/>
          <w:color w:val="auto"/>
          <w:lang w:val="de-DE"/>
        </w:rPr>
        <w:t>Bisherige Varianten und ihre Unterschiede</w:t>
      </w:r>
      <w:bookmarkEnd w:id="16"/>
    </w:p>
    <w:p w14:paraId="1F483F2E" w14:textId="77777777" w:rsidR="0037766D" w:rsidRPr="00A82930" w:rsidRDefault="0037766D" w:rsidP="0068418E">
      <w:pPr>
        <w:spacing w:after="0" w:afterAutospacing="0" w:line="240" w:lineRule="auto"/>
        <w:rPr>
          <w:rFonts w:cs="Times New Roman"/>
          <w:iCs/>
        </w:rPr>
      </w:pPr>
    </w:p>
    <w:p w14:paraId="6B899DC5" w14:textId="595BDCC6" w:rsidR="0068418E" w:rsidRPr="00A82930" w:rsidRDefault="0068418E" w:rsidP="0068418E">
      <w:pPr>
        <w:spacing w:after="0" w:afterAutospacing="0" w:line="240" w:lineRule="auto"/>
        <w:rPr>
          <w:rFonts w:cs="Times New Roman"/>
          <w:iCs/>
          <w:lang w:val="de-DE"/>
        </w:rPr>
      </w:pPr>
      <w:r w:rsidRPr="00A82930">
        <w:rPr>
          <w:rFonts w:cs="Times New Roman"/>
          <w:lang w:val="de-DE"/>
        </w:rPr>
        <w:t>Der Option ELITE ist ein Medizinprodukt der zweiten Generation, das auf der Grundlage des ursprünglichen Option Vena-Cava-Filters entwickelt wurde. Zu den wichtigsten konstruktiven Änderungen zählte die Verringerung des Profils des Filters und des Einführsystems, um die Leistung bei gewundener Anatomie zu verbessern. Konkret verfügte der Option über drei kleine und drei große Haltehaken, während der Option ELITE zur besseren Fixierung sechs kleine Haken aufweist. Auch die Einführschleuse wurde modifiziert, wobei von einer geflochtenen verstärkten Schleuse (0,071") auf eine spiralförmig verstärkte Schleuse (0,073") umgestellt wurde.</w:t>
      </w:r>
    </w:p>
    <w:p w14:paraId="19766CE7" w14:textId="77777777" w:rsidR="0068418E" w:rsidRPr="00A82930" w:rsidRDefault="0068418E" w:rsidP="0068418E">
      <w:pPr>
        <w:spacing w:after="0" w:afterAutospacing="0" w:line="240" w:lineRule="auto"/>
        <w:rPr>
          <w:rFonts w:cs="Times New Roman"/>
          <w:iCs/>
          <w:lang w:val="de-DE"/>
        </w:rPr>
      </w:pPr>
    </w:p>
    <w:p w14:paraId="6F13053D" w14:textId="6F3CA7C4" w:rsidR="002B1395" w:rsidRPr="00A82930" w:rsidRDefault="0068418E" w:rsidP="0068418E">
      <w:pPr>
        <w:spacing w:after="0" w:afterAutospacing="0" w:line="240" w:lineRule="auto"/>
        <w:rPr>
          <w:rFonts w:cs="Times New Roman"/>
          <w:iCs/>
          <w:lang w:val="de-DE"/>
        </w:rPr>
      </w:pPr>
      <w:r w:rsidRPr="00A82930">
        <w:rPr>
          <w:rFonts w:cs="Times New Roman"/>
          <w:lang w:val="de-DE"/>
        </w:rPr>
        <w:t>Im Jahr 2015 wurde ein 100-cm-Einführsystem eingeführt, um neben dem jugulären und dem femoralen Zugang auch die Implantation über den antekubitalen und den poplitealen Zugang zu ermöglichen. Trotz dieser Weiterentwicklungen blieben die grundlegenden Indikationen, Materialien und Leistungsmerkmale über alle Varianten hinweg unverändert, wodurch die wesentliche Gleichwertigkeit gewahrt blieb.</w:t>
      </w:r>
    </w:p>
    <w:p w14:paraId="6DE7912E" w14:textId="77777777" w:rsidR="00F77497" w:rsidRPr="00A82930" w:rsidRDefault="00F77497" w:rsidP="002B1395">
      <w:pPr>
        <w:spacing w:after="0" w:afterAutospacing="0" w:line="240" w:lineRule="auto"/>
        <w:rPr>
          <w:rFonts w:cs="Times New Roman"/>
          <w:iCs/>
          <w:lang w:val="de-DE"/>
        </w:rPr>
      </w:pPr>
    </w:p>
    <w:p w14:paraId="380CB14B" w14:textId="62E395A7" w:rsidR="00C27094" w:rsidRPr="00A82930" w:rsidRDefault="00C27094" w:rsidP="007E6DF6">
      <w:pPr>
        <w:pStyle w:val="Heading1"/>
        <w:rPr>
          <w:kern w:val="36"/>
          <w:szCs w:val="24"/>
          <w:lang w:val="de-DE"/>
          <w14:ligatures w14:val="standardContextual"/>
        </w:rPr>
      </w:pPr>
      <w:bookmarkStart w:id="17" w:name="_Toc240466246"/>
      <w:r w:rsidRPr="00A82930">
        <w:rPr>
          <w:lang w:val="de-DE"/>
        </w:rPr>
        <w:t>Zubehör und sonstige Ausrüstung, die beim Einsetzen oder Entnehmen verwendet werden</w:t>
      </w:r>
      <w:bookmarkEnd w:id="17"/>
    </w:p>
    <w:p w14:paraId="19F57FFB" w14:textId="77777777" w:rsidR="00521477" w:rsidRPr="00A82930" w:rsidRDefault="00521477" w:rsidP="00CF26DC">
      <w:pPr>
        <w:spacing w:after="0" w:afterAutospacing="0" w:line="240" w:lineRule="auto"/>
        <w:rPr>
          <w:rFonts w:cs="Times New Roman"/>
          <w:iCs/>
          <w:lang w:val="de-DE"/>
        </w:rPr>
      </w:pPr>
    </w:p>
    <w:p w14:paraId="4DDE2DE8" w14:textId="77777777" w:rsidR="00FA4FD4" w:rsidRPr="00A82930" w:rsidRDefault="00FA4FD4">
      <w:pPr>
        <w:spacing w:after="0" w:afterAutospacing="0"/>
        <w:rPr>
          <w:rFonts w:cs="Times New Roman"/>
          <w:kern w:val="2"/>
          <w:szCs w:val="24"/>
          <w:lang w:val="de-DE"/>
          <w14:ligatures w14:val="standardContextual"/>
        </w:rPr>
      </w:pPr>
      <w:r w:rsidRPr="00A82930">
        <w:rPr>
          <w:rFonts w:cs="Times New Roman"/>
          <w:lang w:val="de-DE"/>
        </w:rPr>
        <w:t>Das rückholbare Option ELITE Vena-Cava-Filtersystem wird als Einführset mit Komponenten geliefert, die für die perkutane Einführung und Implantation des Filters verwendet werden. Geräte zum Entfernen des Filters sind im Einführset nicht enthalten.</w:t>
      </w:r>
    </w:p>
    <w:p w14:paraId="05038986" w14:textId="77777777" w:rsidR="00CF26DC" w:rsidRPr="00A82930" w:rsidRDefault="00CF26DC" w:rsidP="00CF26DC">
      <w:pPr>
        <w:spacing w:after="0" w:afterAutospacing="0" w:line="240" w:lineRule="auto"/>
        <w:rPr>
          <w:rFonts w:cs="Times New Roman"/>
          <w:iCs/>
          <w:lang w:val="de-DE"/>
        </w:rPr>
      </w:pPr>
    </w:p>
    <w:p w14:paraId="73BF87D5" w14:textId="77777777" w:rsidR="00CF26DC" w:rsidRPr="00A82930" w:rsidRDefault="00CF26DC" w:rsidP="00CF26DC">
      <w:pPr>
        <w:spacing w:after="0" w:afterAutospacing="0" w:line="240" w:lineRule="auto"/>
        <w:rPr>
          <w:rFonts w:cs="Times New Roman"/>
          <w:b/>
          <w:bCs/>
          <w:iCs/>
        </w:rPr>
      </w:pPr>
      <w:r w:rsidRPr="00A82930">
        <w:rPr>
          <w:rFonts w:cs="Times New Roman"/>
          <w:b/>
          <w:bCs/>
          <w:lang w:val="de-DE"/>
        </w:rPr>
        <w:t>Im Set enthaltenes Zubehör:</w:t>
      </w:r>
    </w:p>
    <w:p w14:paraId="422C530C" w14:textId="49173F1A" w:rsidR="00CF26DC" w:rsidRPr="00A82930" w:rsidRDefault="00CF26DC" w:rsidP="00921507">
      <w:pPr>
        <w:pStyle w:val="ListParagraph"/>
        <w:numPr>
          <w:ilvl w:val="0"/>
          <w:numId w:val="9"/>
        </w:numPr>
        <w:spacing w:after="0" w:afterAutospacing="0" w:line="240" w:lineRule="auto"/>
        <w:rPr>
          <w:rFonts w:cs="Times New Roman"/>
          <w:iCs/>
          <w:lang w:val="de-DE"/>
        </w:rPr>
      </w:pPr>
      <w:r w:rsidRPr="00A82930">
        <w:rPr>
          <w:rFonts w:cs="Times New Roman"/>
          <w:lang w:val="de-DE"/>
        </w:rPr>
        <w:t>Katheter-Einführschleuse – Dient dazu, den Filter in die richtige Position innerhalb der unteren Hohlvene (IVC) zu führen.</w:t>
      </w:r>
    </w:p>
    <w:p w14:paraId="7CD54F16" w14:textId="0BBA713C" w:rsidR="00CF26DC" w:rsidRPr="00A82930" w:rsidRDefault="00CF26DC" w:rsidP="00921507">
      <w:pPr>
        <w:pStyle w:val="ListParagraph"/>
        <w:numPr>
          <w:ilvl w:val="0"/>
          <w:numId w:val="9"/>
        </w:numPr>
        <w:spacing w:after="0" w:afterAutospacing="0" w:line="240" w:lineRule="auto"/>
        <w:rPr>
          <w:rFonts w:cs="Times New Roman"/>
          <w:iCs/>
          <w:lang w:val="de-DE"/>
        </w:rPr>
      </w:pPr>
      <w:r w:rsidRPr="00A82930">
        <w:rPr>
          <w:rFonts w:cs="Times New Roman"/>
          <w:lang w:val="de-DE"/>
        </w:rPr>
        <w:t>Angiographischer Gefäßdilatator – Erleichtert den Gefäßzugang und trägt zur Erweiterung des Gefäßes für das Einführen der Schleuse bei.</w:t>
      </w:r>
    </w:p>
    <w:p w14:paraId="2F09C520" w14:textId="503EE418" w:rsidR="00CF26DC" w:rsidRPr="00A82930" w:rsidRDefault="00CF26DC" w:rsidP="00921507">
      <w:pPr>
        <w:pStyle w:val="ListParagraph"/>
        <w:numPr>
          <w:ilvl w:val="0"/>
          <w:numId w:val="10"/>
        </w:numPr>
        <w:spacing w:after="0" w:afterAutospacing="0" w:line="240" w:lineRule="auto"/>
        <w:rPr>
          <w:rFonts w:cs="Times New Roman"/>
          <w:iCs/>
          <w:lang w:val="de-DE"/>
        </w:rPr>
      </w:pPr>
      <w:r w:rsidRPr="00A82930">
        <w:rPr>
          <w:rFonts w:cs="Times New Roman"/>
          <w:lang w:val="de-DE"/>
        </w:rPr>
        <w:t>Pusher mit Entfaltungsmarker – Dient dazu, den Filter aus dem Einführsystem in die Zielstelle innerhalb der unteren Hohlvene (IVC) vorzuschieben und dort zu entfalten.</w:t>
      </w:r>
    </w:p>
    <w:p w14:paraId="7D5262B4" w14:textId="4E528F37" w:rsidR="00CF26DC" w:rsidRPr="00A82930" w:rsidRDefault="00CF26DC" w:rsidP="00921507">
      <w:pPr>
        <w:pStyle w:val="ListParagraph"/>
        <w:numPr>
          <w:ilvl w:val="0"/>
          <w:numId w:val="10"/>
        </w:numPr>
        <w:spacing w:after="0" w:afterAutospacing="0" w:line="240" w:lineRule="auto"/>
        <w:rPr>
          <w:rFonts w:cs="Times New Roman"/>
          <w:iCs/>
          <w:lang w:val="de-DE"/>
        </w:rPr>
      </w:pPr>
      <w:r w:rsidRPr="00A82930">
        <w:rPr>
          <w:rFonts w:cs="Times New Roman"/>
          <w:lang w:val="de-DE"/>
        </w:rPr>
        <w:t>Filter in Einführkartusche – Enthält den vorinstallierten Option ELITE Filter, der sofort bereit für die Einführung ist.</w:t>
      </w:r>
    </w:p>
    <w:p w14:paraId="4B37BA85" w14:textId="15A7F844" w:rsidR="00CF26DC" w:rsidRPr="00A82930" w:rsidRDefault="00FA4FD4" w:rsidP="00D023C2">
      <w:pPr>
        <w:pStyle w:val="ListParagraph"/>
        <w:numPr>
          <w:ilvl w:val="0"/>
          <w:numId w:val="10"/>
        </w:numPr>
        <w:rPr>
          <w:rFonts w:cs="Times New Roman"/>
          <w:iCs/>
          <w:lang w:val="de-DE"/>
        </w:rPr>
      </w:pPr>
      <w:r w:rsidRPr="00A82930">
        <w:rPr>
          <w:rFonts w:cs="Times New Roman"/>
          <w:lang w:val="de-DE"/>
        </w:rPr>
        <w:t>Die Kappe für die Einführschleuse ist im Einführset enthalten.</w:t>
      </w:r>
    </w:p>
    <w:p w14:paraId="3DB13247" w14:textId="77777777" w:rsidR="00C27094" w:rsidRPr="00A82930" w:rsidRDefault="00C27094">
      <w:pPr>
        <w:spacing w:after="0" w:afterAutospacing="0"/>
        <w:rPr>
          <w:rFonts w:cs="Times New Roman"/>
          <w:kern w:val="2"/>
          <w:szCs w:val="24"/>
          <w:lang w:val="de-DE"/>
          <w14:ligatures w14:val="standardContextual"/>
        </w:rPr>
      </w:pPr>
      <w:r w:rsidRPr="00A82930">
        <w:rPr>
          <w:rFonts w:cs="Times New Roman"/>
          <w:b/>
          <w:bCs/>
          <w:lang w:val="de-DE"/>
        </w:rPr>
        <w:t>Sonstige Ausrüstung, die gegebenenfalls beim Einsetzen oder Entnehmen verwendet wird:</w:t>
      </w:r>
    </w:p>
    <w:p w14:paraId="7CA95F6F" w14:textId="77777777" w:rsidR="00C27094" w:rsidRPr="00A82930" w:rsidRDefault="00C27094" w:rsidP="00C27094">
      <w:pPr>
        <w:pStyle w:val="ListParagraph"/>
        <w:numPr>
          <w:ilvl w:val="0"/>
          <w:numId w:val="8"/>
        </w:numPr>
        <w:rPr>
          <w:rFonts w:cs="Times New Roman"/>
          <w:kern w:val="2"/>
          <w:szCs w:val="24"/>
          <w:lang w:val="de-DE"/>
          <w14:ligatures w14:val="standardContextual"/>
        </w:rPr>
      </w:pPr>
      <w:r w:rsidRPr="00A82930">
        <w:rPr>
          <w:rFonts w:cs="Times New Roman"/>
          <w:lang w:val="de-DE"/>
        </w:rPr>
        <w:t>Für die Visualisierung während des Einsetzens und Entfernens von Filtern sind fluoroskopische Bildgebungsgeräte erforderlich.</w:t>
      </w:r>
    </w:p>
    <w:p w14:paraId="05B1E7A9" w14:textId="77777777" w:rsidR="00C27094" w:rsidRPr="00A82930" w:rsidRDefault="00C27094" w:rsidP="00C27094">
      <w:pPr>
        <w:pStyle w:val="ListParagraph"/>
        <w:numPr>
          <w:ilvl w:val="0"/>
          <w:numId w:val="8"/>
        </w:numPr>
        <w:rPr>
          <w:rFonts w:cs="Times New Roman"/>
          <w:kern w:val="2"/>
          <w:szCs w:val="24"/>
          <w:lang w:val="de-DE"/>
          <w14:ligatures w14:val="standardContextual"/>
        </w:rPr>
      </w:pPr>
      <w:r w:rsidRPr="00A82930">
        <w:rPr>
          <w:rFonts w:cs="Times New Roman"/>
          <w:lang w:val="de-DE"/>
        </w:rPr>
        <w:lastRenderedPageBreak/>
        <w:t>Die während der Einführung verwendeten Führungsdrähte sind nicht im Option ELITE Einführset enthalten und sollten gemäß den geltenden Herstelleranweisungen und dem jeweiligen Verfahrensansatz ausgewählt und verwendet werden.</w:t>
      </w:r>
    </w:p>
    <w:p w14:paraId="6DD10736" w14:textId="0F9EAA8A" w:rsidR="00CF26DC" w:rsidRPr="00A82930" w:rsidRDefault="00C27094" w:rsidP="00D023C2">
      <w:pPr>
        <w:pStyle w:val="ListParagraph"/>
        <w:numPr>
          <w:ilvl w:val="0"/>
          <w:numId w:val="8"/>
        </w:numPr>
        <w:rPr>
          <w:rFonts w:cs="Times New Roman"/>
          <w:kern w:val="2"/>
          <w:szCs w:val="24"/>
          <w:lang w:val="de-DE"/>
          <w14:ligatures w14:val="standardContextual"/>
        </w:rPr>
      </w:pPr>
      <w:r w:rsidRPr="00A82930">
        <w:rPr>
          <w:rFonts w:cs="Times New Roman"/>
          <w:lang w:val="de-DE"/>
        </w:rPr>
        <w:t>Geräte zum Entfernen, wie Schlingen, Entfernungskatheter und Zubehör, sind nicht im Option ELITE Einführset enthalten und sollten nur bei klinischer Indikation und gemäß den geltenden Herstelleranweisungen verwendet werden. Die Entfernung wird über Schleusen mit einem Außendurchmesser von mindestens 8 Ch empfohlen.</w:t>
      </w:r>
    </w:p>
    <w:p w14:paraId="070E91AA" w14:textId="77777777" w:rsidR="00CF26DC" w:rsidRPr="00A82930" w:rsidRDefault="00CF26DC" w:rsidP="00CF26DC">
      <w:pPr>
        <w:spacing w:after="0" w:afterAutospacing="0" w:line="240" w:lineRule="auto"/>
        <w:rPr>
          <w:rFonts w:cs="Times New Roman"/>
          <w:b/>
          <w:bCs/>
          <w:iCs/>
          <w:lang w:val="de-DE"/>
        </w:rPr>
      </w:pPr>
      <w:r w:rsidRPr="00A82930">
        <w:rPr>
          <w:rFonts w:cs="Times New Roman"/>
          <w:b/>
          <w:bCs/>
          <w:lang w:val="de-DE"/>
        </w:rPr>
        <w:t>Verwendung in Kombination mit anderen Produkten:</w:t>
      </w:r>
    </w:p>
    <w:p w14:paraId="45E3717C" w14:textId="77777777" w:rsidR="00C27094" w:rsidRPr="00A82930" w:rsidRDefault="00C27094" w:rsidP="00C27094">
      <w:pPr>
        <w:pStyle w:val="ListParagraph"/>
        <w:numPr>
          <w:ilvl w:val="0"/>
          <w:numId w:val="7"/>
        </w:numPr>
        <w:rPr>
          <w:rFonts w:cs="Times New Roman"/>
          <w:kern w:val="2"/>
          <w:szCs w:val="24"/>
          <w:lang w:val="de-DE"/>
          <w14:ligatures w14:val="standardContextual"/>
        </w:rPr>
      </w:pPr>
      <w:r w:rsidRPr="00A82930">
        <w:rPr>
          <w:rFonts w:cs="Times New Roman"/>
          <w:lang w:val="de-DE"/>
        </w:rPr>
        <w:t>Der Option ELITE Filter ist als mechanische Vorrichtung zur Vorbeugung einer wiederkehrenden Lungenembolie konzipiert, indem er die Migration von Thromben in der unteren Hohlvene (IVC) unterbindet.</w:t>
      </w:r>
    </w:p>
    <w:p w14:paraId="52C1B30C" w14:textId="28090024" w:rsidR="00CF26DC" w:rsidRPr="00A82930" w:rsidRDefault="00C27094" w:rsidP="00D023C2">
      <w:pPr>
        <w:pStyle w:val="ListParagraph"/>
        <w:numPr>
          <w:ilvl w:val="0"/>
          <w:numId w:val="7"/>
        </w:numPr>
        <w:rPr>
          <w:rFonts w:cs="Times New Roman"/>
          <w:kern w:val="2"/>
          <w:szCs w:val="24"/>
          <w:lang w:val="de-DE"/>
          <w14:ligatures w14:val="standardContextual"/>
        </w:rPr>
      </w:pPr>
      <w:r w:rsidRPr="00A82930">
        <w:rPr>
          <w:rFonts w:cs="Times New Roman"/>
          <w:lang w:val="de-DE"/>
        </w:rPr>
        <w:t>Das Produkt enthält oder gibt keine medizinische Substanz ab. Eine etwaige Antikoagulationstherapie oder sonstige Behandlung wird vom behandelnden Arzt auf der Grundlage des klinischen Zustands des Patienten gesondert festgelegt.</w:t>
      </w:r>
    </w:p>
    <w:p w14:paraId="14C2EFF7" w14:textId="24FFB826" w:rsidR="00CF26DC" w:rsidRPr="00A82930" w:rsidRDefault="00FA4FD4" w:rsidP="00181ED5">
      <w:pPr>
        <w:spacing w:after="0" w:afterAutospacing="0"/>
        <w:rPr>
          <w:rFonts w:cs="Times New Roman"/>
          <w:kern w:val="2"/>
          <w:szCs w:val="24"/>
          <w:lang w:val="de-DE"/>
          <w14:ligatures w14:val="standardContextual"/>
        </w:rPr>
      </w:pPr>
      <w:r w:rsidRPr="00A82930">
        <w:rPr>
          <w:rFonts w:cs="Times New Roman"/>
          <w:lang w:val="de-DE"/>
        </w:rPr>
        <w:t>Das Option ELITE Einführset wird steril für den Einmalgebrauch geliefert und ist für die Anwendung durch geschulte Ärzte oder medizinisches Fachpersonal bestimmt.</w:t>
      </w:r>
    </w:p>
    <w:p w14:paraId="17CCC4B6" w14:textId="77777777" w:rsidR="00042B91" w:rsidRPr="00A82930" w:rsidRDefault="00042B91" w:rsidP="00042B91">
      <w:pPr>
        <w:spacing w:after="0" w:afterAutospacing="0" w:line="240" w:lineRule="auto"/>
        <w:rPr>
          <w:rFonts w:cs="Times New Roman"/>
          <w:i/>
          <w:lang w:val="de-DE"/>
        </w:rPr>
      </w:pPr>
    </w:p>
    <w:p w14:paraId="45C0A245" w14:textId="61A622A4" w:rsidR="008745ED" w:rsidRPr="00A82930" w:rsidRDefault="008745ED" w:rsidP="00170FE5">
      <w:pPr>
        <w:pStyle w:val="Heading1"/>
        <w:numPr>
          <w:ilvl w:val="0"/>
          <w:numId w:val="2"/>
        </w:numPr>
        <w:rPr>
          <w:rFonts w:cs="Times New Roman"/>
          <w:color w:val="auto"/>
        </w:rPr>
      </w:pPr>
      <w:bookmarkStart w:id="18" w:name="_Toc240466247"/>
      <w:r w:rsidRPr="00A82930">
        <w:rPr>
          <w:rFonts w:cs="Times New Roman"/>
          <w:bCs/>
          <w:color w:val="auto"/>
          <w:lang w:val="de-DE"/>
        </w:rPr>
        <w:t>Risiken und Warnungen</w:t>
      </w:r>
      <w:bookmarkEnd w:id="18"/>
    </w:p>
    <w:p w14:paraId="3D8BE6E3" w14:textId="77777777" w:rsidR="00042B91" w:rsidRPr="00A82930" w:rsidRDefault="00042B91" w:rsidP="00042B91">
      <w:pPr>
        <w:spacing w:after="0" w:afterAutospacing="0" w:line="240" w:lineRule="auto"/>
        <w:rPr>
          <w:rFonts w:cs="Times New Roman"/>
        </w:rPr>
      </w:pPr>
    </w:p>
    <w:p w14:paraId="23B3DF1D" w14:textId="769AD98E" w:rsidR="00A94684" w:rsidRPr="00A82930" w:rsidRDefault="008745ED" w:rsidP="0060258C">
      <w:pPr>
        <w:pStyle w:val="Heading1"/>
        <w:rPr>
          <w:rFonts w:cs="Times New Roman"/>
          <w:color w:val="auto"/>
        </w:rPr>
      </w:pPr>
      <w:bookmarkStart w:id="19" w:name="_Toc240466248"/>
      <w:r w:rsidRPr="00A82930">
        <w:rPr>
          <w:rFonts w:cs="Times New Roman"/>
          <w:bCs/>
          <w:color w:val="auto"/>
          <w:lang w:val="de-DE"/>
        </w:rPr>
        <w:t>Restrisiken und unerwünschte Nebeneffekte</w:t>
      </w:r>
      <w:bookmarkEnd w:id="19"/>
    </w:p>
    <w:p w14:paraId="151630FD" w14:textId="558297B9" w:rsidR="005F4CCD" w:rsidRPr="00A82930" w:rsidRDefault="005F4CCD">
      <w:pPr>
        <w:rPr>
          <w:rFonts w:cs="Times New Roman"/>
          <w:kern w:val="2"/>
          <w:szCs w:val="24"/>
          <w:lang w:val="de-DE"/>
          <w14:ligatures w14:val="standardContextual"/>
        </w:rPr>
      </w:pPr>
      <w:r w:rsidRPr="00A82930">
        <w:rPr>
          <w:rFonts w:cs="Times New Roman"/>
          <w:lang w:val="de-DE"/>
        </w:rPr>
        <w:t>Trotz der bei der Konstruktion, Herstellung und klinischen Anwendung getroffenen Risikokontrollmaßnahmen ist das rückholbare Option ELITE Vena-Cava-Filtersystem mit Restrisiken verbunden, die implantierbaren Vena-Cava-Filtern sowie deren Einsetz-, Verweildauer- und Entnahmeverfahren innewohnen. Komplikationen können jederzeit während der Implantation, der Verweilzeit oder zum Zeitpunkt oder nach der Filterrückholung auftreten.</w:t>
      </w:r>
    </w:p>
    <w:p w14:paraId="75D0C8D4" w14:textId="77777777" w:rsidR="005F4CCD" w:rsidRPr="00A82930" w:rsidRDefault="005F4CCD">
      <w:pPr>
        <w:rPr>
          <w:rFonts w:cs="Times New Roman"/>
          <w:kern w:val="2"/>
          <w:szCs w:val="24"/>
          <w:lang w:val="de-DE"/>
          <w14:ligatures w14:val="standardContextual"/>
        </w:rPr>
      </w:pPr>
      <w:r w:rsidRPr="00A82930">
        <w:rPr>
          <w:rFonts w:cs="Times New Roman"/>
          <w:lang w:val="de-DE"/>
        </w:rPr>
        <w:t>Zu den möglichen unerwünschten Nebenwirkungen und Komplikationen zählen unter anderem die folgenden:</w:t>
      </w:r>
    </w:p>
    <w:p w14:paraId="3AEE4E31" w14:textId="77777777" w:rsidR="00A94684" w:rsidRPr="00A82930" w:rsidRDefault="00A94684" w:rsidP="00921507">
      <w:pPr>
        <w:pStyle w:val="NormalWeb"/>
        <w:numPr>
          <w:ilvl w:val="0"/>
          <w:numId w:val="11"/>
        </w:numPr>
      </w:pPr>
      <w:r w:rsidRPr="00A82930">
        <w:rPr>
          <w:rStyle w:val="Strong"/>
          <w:b w:val="0"/>
          <w:bCs w:val="0"/>
          <w:lang w:val="de-DE"/>
        </w:rPr>
        <w:t>Produktbezogene Risiken</w:t>
      </w:r>
    </w:p>
    <w:p w14:paraId="79074972" w14:textId="77777777" w:rsidR="005F4CCD" w:rsidRPr="00A82930" w:rsidRDefault="005F4CCD" w:rsidP="005F4CCD">
      <w:pPr>
        <w:numPr>
          <w:ilvl w:val="1"/>
          <w:numId w:val="11"/>
        </w:numPr>
        <w:rPr>
          <w:rFonts w:cs="Times New Roman"/>
          <w:kern w:val="2"/>
          <w:szCs w:val="24"/>
          <w:lang w:val="de-DE"/>
          <w14:ligatures w14:val="standardContextual"/>
        </w:rPr>
      </w:pPr>
      <w:r w:rsidRPr="00A82930">
        <w:rPr>
          <w:rFonts w:cs="Times New Roman"/>
          <w:lang w:val="de-DE"/>
        </w:rPr>
        <w:t>Falsche Positionierung oder Ausrichtung, Bewegung, Verschiebung, Neigung oder Fehlplatzierung des Filters in der unteren Hohlvene</w:t>
      </w:r>
    </w:p>
    <w:p w14:paraId="2EA13F74" w14:textId="77777777" w:rsidR="005F4CCD" w:rsidRPr="00A82930" w:rsidRDefault="005F4CCD" w:rsidP="005F4CCD">
      <w:pPr>
        <w:numPr>
          <w:ilvl w:val="1"/>
          <w:numId w:val="11"/>
        </w:numPr>
        <w:rPr>
          <w:rFonts w:cs="Times New Roman"/>
          <w:kern w:val="2"/>
          <w:szCs w:val="24"/>
          <w:lang w:val="de-DE"/>
          <w14:ligatures w14:val="standardContextual"/>
        </w:rPr>
      </w:pPr>
      <w:r w:rsidRPr="00A82930">
        <w:rPr>
          <w:rFonts w:cs="Times New Roman"/>
          <w:lang w:val="de-DE"/>
        </w:rPr>
        <w:t>Schwierigkeiten oder die Unmöglichkeit, den Filter nach der Implantation wieder zu entfernen, einschließlich der Notwendigkeit eines weiteren Eingriffs oder einer weiteren Behandlungsmethode, um das Verfahren abzuschließen</w:t>
      </w:r>
    </w:p>
    <w:p w14:paraId="4FE3311F" w14:textId="77777777" w:rsidR="005F4CCD" w:rsidRPr="00A82930" w:rsidRDefault="005F4CCD" w:rsidP="005F4CCD">
      <w:pPr>
        <w:numPr>
          <w:ilvl w:val="1"/>
          <w:numId w:val="11"/>
        </w:numPr>
        <w:rPr>
          <w:rFonts w:cs="Times New Roman"/>
          <w:kern w:val="2"/>
          <w:szCs w:val="24"/>
          <w:lang w:val="de-DE"/>
          <w14:ligatures w14:val="standardContextual"/>
        </w:rPr>
      </w:pPr>
      <w:r w:rsidRPr="00A82930">
        <w:rPr>
          <w:rFonts w:cs="Times New Roman"/>
          <w:lang w:val="de-DE"/>
        </w:rPr>
        <w:t>Bruch, Fehlfunktion, Riss, Verformung, Verschiebung von Bauteilen des Produkts oder die Unmöglichkeit, das implantierte Produkt wieder zu entfernen</w:t>
      </w:r>
    </w:p>
    <w:p w14:paraId="1B5DF1A4" w14:textId="77777777" w:rsidR="005F4CCD" w:rsidRPr="00A82930" w:rsidRDefault="005F4CCD" w:rsidP="005F4CCD">
      <w:pPr>
        <w:numPr>
          <w:ilvl w:val="1"/>
          <w:numId w:val="11"/>
        </w:numPr>
        <w:rPr>
          <w:rFonts w:cs="Times New Roman"/>
          <w:kern w:val="2"/>
          <w:szCs w:val="24"/>
          <w:lang w:val="de-DE"/>
          <w14:ligatures w14:val="standardContextual"/>
        </w:rPr>
      </w:pPr>
      <w:r w:rsidRPr="00A82930">
        <w:rPr>
          <w:rFonts w:cs="Times New Roman"/>
          <w:lang w:val="de-DE"/>
        </w:rPr>
        <w:lastRenderedPageBreak/>
        <w:t>Komplikationen im Zusammenhang mit dem Filter, darunter Perforation, Migration, Bruch, Neigung/Fehlstellung, Vena-Cava-Thrombose oder -Okklusion sowie Komplikationen im Zusammenhang mit der Entfernung</w:t>
      </w:r>
    </w:p>
    <w:p w14:paraId="4D0E60D4" w14:textId="77777777" w:rsidR="00A94684" w:rsidRPr="00A82930" w:rsidRDefault="00A94684" w:rsidP="00921507">
      <w:pPr>
        <w:pStyle w:val="NormalWeb"/>
        <w:numPr>
          <w:ilvl w:val="0"/>
          <w:numId w:val="11"/>
        </w:numPr>
      </w:pPr>
      <w:r w:rsidRPr="00A82930">
        <w:rPr>
          <w:rStyle w:val="Strong"/>
          <w:b w:val="0"/>
          <w:bCs w:val="0"/>
          <w:lang w:val="de-DE"/>
        </w:rPr>
        <w:t>Gefäß- und Thromboserisiken</w:t>
      </w:r>
    </w:p>
    <w:p w14:paraId="6CD7B40B" w14:textId="77777777" w:rsidR="005F4CCD" w:rsidRPr="00A82930" w:rsidRDefault="005F4CCD" w:rsidP="005F4CCD">
      <w:pPr>
        <w:numPr>
          <w:ilvl w:val="1"/>
          <w:numId w:val="11"/>
        </w:numPr>
        <w:rPr>
          <w:rFonts w:cs="Times New Roman"/>
          <w:kern w:val="2"/>
          <w:szCs w:val="24"/>
          <w:lang w:val="de-DE"/>
          <w14:ligatures w14:val="standardContextual"/>
        </w:rPr>
      </w:pPr>
      <w:r w:rsidRPr="00A82930">
        <w:rPr>
          <w:rFonts w:cs="Times New Roman"/>
          <w:lang w:val="de-DE"/>
        </w:rPr>
        <w:t>Thromboembolische Ereignisse, einschließlich neu auftretender oder sich verschlimmernder tiefer Venenthrombosen, akuter oder rezidivierender Lungenembolien, Luftembolien oder der Bildung von Blutgerinnseln im oder um den Filter herum</w:t>
      </w:r>
    </w:p>
    <w:p w14:paraId="3D3CE9CC" w14:textId="77777777" w:rsidR="005F4CCD" w:rsidRPr="00A82930" w:rsidRDefault="005F4CCD" w:rsidP="005F4CCD">
      <w:pPr>
        <w:numPr>
          <w:ilvl w:val="1"/>
          <w:numId w:val="11"/>
        </w:numPr>
        <w:rPr>
          <w:rFonts w:cs="Times New Roman"/>
          <w:kern w:val="2"/>
          <w:szCs w:val="24"/>
          <w:lang w:val="de-DE"/>
          <w14:ligatures w14:val="standardContextual"/>
        </w:rPr>
      </w:pPr>
      <w:r w:rsidRPr="00A82930">
        <w:rPr>
          <w:rFonts w:cs="Times New Roman"/>
          <w:lang w:val="de-DE"/>
        </w:rPr>
        <w:t>Vena-cava-Stenose, partielle oder vollständige Vena-cava-Okklusion, Vena-cava-Thrombose, Vasospasmus oder verminderte bzw. beeinträchtigte Durchblutung</w:t>
      </w:r>
    </w:p>
    <w:p w14:paraId="28EB7EB4" w14:textId="77777777" w:rsidR="005F4CCD" w:rsidRPr="00A82930" w:rsidRDefault="005F4CCD" w:rsidP="005F4CCD">
      <w:pPr>
        <w:numPr>
          <w:ilvl w:val="1"/>
          <w:numId w:val="11"/>
        </w:numPr>
        <w:rPr>
          <w:rFonts w:cs="Times New Roman"/>
          <w:kern w:val="2"/>
          <w:szCs w:val="24"/>
          <w:lang w:val="de-DE"/>
          <w14:ligatures w14:val="standardContextual"/>
        </w:rPr>
      </w:pPr>
      <w:r w:rsidRPr="00A82930">
        <w:rPr>
          <w:rFonts w:cs="Times New Roman"/>
          <w:lang w:val="de-DE"/>
        </w:rPr>
        <w:t>Verletzung oder Schädigung der Hohlvene oder anderer Gefäße, einschließlich Perforation, Penetration, Ruptur, Dissektion, Extravasation von Kontrastmitteln oder Verletzung von an die Hohlvene angrenzenden Organen, die möglicherweise eine medizinische, chirurgische oder interventionelle Behandlung erfordern</w:t>
      </w:r>
    </w:p>
    <w:p w14:paraId="7118DADA" w14:textId="77777777" w:rsidR="00A94684" w:rsidRPr="00A82930" w:rsidRDefault="00A94684" w:rsidP="00921507">
      <w:pPr>
        <w:pStyle w:val="NormalWeb"/>
        <w:numPr>
          <w:ilvl w:val="0"/>
          <w:numId w:val="11"/>
        </w:numPr>
      </w:pPr>
      <w:r w:rsidRPr="00A82930">
        <w:rPr>
          <w:rStyle w:val="Strong"/>
          <w:b w:val="0"/>
          <w:bCs w:val="0"/>
          <w:lang w:val="de-DE"/>
        </w:rPr>
        <w:t>Verfahrensbezogene Risiken</w:t>
      </w:r>
    </w:p>
    <w:p w14:paraId="524B6120" w14:textId="77777777" w:rsidR="005F4CCD" w:rsidRPr="00A82930" w:rsidRDefault="005F4CCD" w:rsidP="005F4CCD">
      <w:pPr>
        <w:numPr>
          <w:ilvl w:val="1"/>
          <w:numId w:val="11"/>
        </w:numPr>
        <w:rPr>
          <w:rFonts w:cs="Times New Roman"/>
          <w:kern w:val="2"/>
          <w:szCs w:val="24"/>
          <w:lang w:val="de-DE"/>
          <w14:ligatures w14:val="standardContextual"/>
        </w:rPr>
      </w:pPr>
      <w:r w:rsidRPr="00A82930">
        <w:rPr>
          <w:rFonts w:cs="Times New Roman"/>
          <w:lang w:val="de-DE"/>
        </w:rPr>
        <w:t>Blutungen, Blutergüsse, Hämatome, hämorrhagische Komplikationen, die eine Transfusion oder einen medizinischen Eingriff erfordern, oder sonstige Verletzungen an der Zugangsstelle, einschließlich arteriovenöser Fisteln oder Pseudoaneurysmen</w:t>
      </w:r>
    </w:p>
    <w:p w14:paraId="025787AE" w14:textId="77777777" w:rsidR="005F4CCD" w:rsidRPr="00A82930" w:rsidRDefault="005F4CCD" w:rsidP="005F4CCD">
      <w:pPr>
        <w:numPr>
          <w:ilvl w:val="1"/>
          <w:numId w:val="11"/>
        </w:numPr>
        <w:rPr>
          <w:rFonts w:cs="Times New Roman"/>
          <w:kern w:val="2"/>
          <w:szCs w:val="24"/>
          <w:lang w:val="de-DE"/>
          <w14:ligatures w14:val="standardContextual"/>
        </w:rPr>
      </w:pPr>
      <w:r w:rsidRPr="00A82930">
        <w:rPr>
          <w:rFonts w:cs="Times New Roman"/>
          <w:lang w:val="de-DE"/>
        </w:rPr>
        <w:t>Infektion, die möglicherweise einen medizinischen oder chirurgischen Eingriff erfordert</w:t>
      </w:r>
    </w:p>
    <w:p w14:paraId="4B491F14" w14:textId="77777777" w:rsidR="005F4CCD" w:rsidRPr="00A82930" w:rsidRDefault="005F4CCD" w:rsidP="005F4CCD">
      <w:pPr>
        <w:numPr>
          <w:ilvl w:val="1"/>
          <w:numId w:val="11"/>
        </w:numPr>
        <w:rPr>
          <w:rFonts w:cs="Times New Roman"/>
          <w:kern w:val="2"/>
          <w:szCs w:val="24"/>
          <w:lang w:val="de-DE"/>
          <w14:ligatures w14:val="standardContextual"/>
        </w:rPr>
      </w:pPr>
      <w:r w:rsidRPr="00A82930">
        <w:rPr>
          <w:rFonts w:cs="Times New Roman"/>
          <w:lang w:val="de-DE"/>
        </w:rPr>
        <w:t>Reaktionen auf Kontrastmittel, Medikamente oder Anästhetika, die während des Verfahrens verwendet werden</w:t>
      </w:r>
    </w:p>
    <w:p w14:paraId="28AA3F05" w14:textId="77777777" w:rsidR="00E8141E" w:rsidRPr="00A82930" w:rsidRDefault="00E8141E" w:rsidP="00E8141E">
      <w:pPr>
        <w:pStyle w:val="ListParagraph"/>
        <w:numPr>
          <w:ilvl w:val="1"/>
          <w:numId w:val="11"/>
        </w:numPr>
        <w:rPr>
          <w:rFonts w:cs="Times New Roman"/>
          <w:kern w:val="2"/>
          <w:lang w:val="de-DE"/>
          <w14:ligatures w14:val="standardContextual"/>
        </w:rPr>
      </w:pPr>
      <w:r w:rsidRPr="00A82930">
        <w:rPr>
          <w:rFonts w:cs="Times New Roman"/>
          <w:lang w:val="de-DE"/>
        </w:rPr>
        <w:t>Zu den weiteren schwerwiegenden klinischen Ereignissen können Ateminsuffizienz oder -versagen, Herzrhythmusstörungen, Myokardinfarkt oder koronare Ischämie, zerebrovaskuläre Ereignisse oder andere neurologische Ereignisse, Niereninsuffizienz oder -versagen, neurologische Ausfälle im Zusammenhang mit dem Gefäßzugang, Infarkte, Schädigungen oder Versagen von Zielorganen sowie der Tod zählen.</w:t>
      </w:r>
    </w:p>
    <w:p w14:paraId="2CD3CD34" w14:textId="77777777" w:rsidR="00CE195E" w:rsidRPr="00A82930" w:rsidRDefault="00CE195E">
      <w:pPr>
        <w:rPr>
          <w:rFonts w:cs="Times New Roman"/>
          <w:kern w:val="2"/>
          <w:szCs w:val="24"/>
          <w:lang w:val="de-DE"/>
          <w14:ligatures w14:val="standardContextual"/>
        </w:rPr>
      </w:pPr>
      <w:r w:rsidRPr="00A82930">
        <w:rPr>
          <w:rFonts w:cs="Times New Roman"/>
          <w:lang w:val="de-DE"/>
        </w:rPr>
        <w:t>Diese Risiken sind für rückholbare Vena-cava-Filter gut dokumentiert und wurden im Rahmen klinischer Studien, in der veröffentlichten Fachliteratur sowie durch Überwachungsmaßnahmen nach dem Inverkehrbringen bewertet. Das Auftreten und der Schweregrad dieser Ereignisse können je nach Zustand des Patienten, Dauer der Implantation, zugrunde liegendem thromboembolischen Risiko und klinischer Praxis variieren. Diese Ereignisse können schwerwiegend sein und einen Krankenhausaufenthalt, eine medizinische Behandlung, einen chirurgischen Eingriff oder eine interventionelle Behandlung erfordern. Auf Grundlage der verfügbaren klinischen Erkenntnisse und der bislang ausgewerteten Daten aus der Zeit nach dem Inverkehrbringen wurden keine neuen Sicherheitsbedenken festgestellt, die zusätzliche Risikokontrollmaßnahmen oder Änderungen an der aktuellen Nutzen-Risiko-Abwägung für das Option ELITE Produkt erfordern würden.</w:t>
      </w:r>
    </w:p>
    <w:p w14:paraId="631404EA" w14:textId="77777777" w:rsidR="00CE195E" w:rsidRPr="00A82930" w:rsidRDefault="00CE195E">
      <w:pPr>
        <w:rPr>
          <w:rFonts w:cs="Times New Roman"/>
          <w:kern w:val="2"/>
          <w:szCs w:val="24"/>
          <w:lang w:val="de-DE"/>
          <w14:ligatures w14:val="standardContextual"/>
        </w:rPr>
      </w:pPr>
      <w:r w:rsidRPr="00A82930">
        <w:rPr>
          <w:rFonts w:cs="Times New Roman"/>
          <w:lang w:val="de-DE"/>
        </w:rPr>
        <w:t xml:space="preserve">Bei bestimmungsgemäßer Anwendung gemäß der Gebrauchsanweisung und den geltenden klinischen Leitlinien werden die identifizierten Restrisiken im Verhältnis zum klinischen Nutzen der Verringerung des Risikos einer Lungenembolie bei Patienten, bei denen eine Antikoagulationstherapie kontraindiziert oder unwirksam ist, als akzeptabel angesehen. Der behandelnde Arzt kann in regelmäßigen Abständen eine </w:t>
      </w:r>
      <w:r w:rsidRPr="00A82930">
        <w:rPr>
          <w:rFonts w:cs="Times New Roman"/>
          <w:lang w:val="de-DE"/>
        </w:rPr>
        <w:lastRenderedPageBreak/>
        <w:t>klinische Überprüfung der weiterhin bestehenden Notwendigkeit einer IVC-Filtration vornehmen. Bei Patienten, bei denen das ursprüngliche Risiko einer Lungenembolie nicht mehr besteht und bei denen eine Entfernung klinisch angezeigt ist, kann die Entfernung des Filters gemäß der Gebrauchsanweisung in Betracht gezogen werden, um das Risiko von Komplikationen im Zusammenhang mit einer verlängerten Implantationsdauer zu verringern. Entscheidungen hinsichtlich des Verbleibs oder der Entfernung des Filters sollten individuell getroffen werden, unter Berücksichtigung des allgemeinen klinischen Zustands des Patienten, des thromboembolischen Risikos, des Antikoagulationsstatus, anatomischer Faktoren sowie verfahrenstechnischer Aspekte.</w:t>
      </w:r>
    </w:p>
    <w:p w14:paraId="23429C4B" w14:textId="031063BB" w:rsidR="008745ED" w:rsidRPr="00A82930" w:rsidRDefault="008745ED" w:rsidP="00042B91">
      <w:pPr>
        <w:pStyle w:val="Heading1"/>
        <w:rPr>
          <w:rFonts w:cs="Times New Roman"/>
          <w:color w:val="auto"/>
        </w:rPr>
      </w:pPr>
      <w:bookmarkStart w:id="20" w:name="_Toc240466249"/>
      <w:r w:rsidRPr="00A82930">
        <w:rPr>
          <w:rFonts w:cs="Times New Roman"/>
          <w:bCs/>
          <w:color w:val="auto"/>
          <w:lang w:val="de-DE"/>
        </w:rPr>
        <w:t>Warnhinweise und Vorsichtsmaßnahmen</w:t>
      </w:r>
      <w:bookmarkEnd w:id="20"/>
    </w:p>
    <w:p w14:paraId="4D729B86" w14:textId="598A602D" w:rsidR="008745ED" w:rsidRPr="00A82930" w:rsidRDefault="0097578E" w:rsidP="00042B91">
      <w:pPr>
        <w:spacing w:after="0" w:afterAutospacing="0" w:line="240" w:lineRule="auto"/>
        <w:rPr>
          <w:rFonts w:cs="Times New Roman"/>
          <w:b/>
          <w:bCs/>
          <w:iCs/>
          <w:szCs w:val="24"/>
        </w:rPr>
      </w:pPr>
      <w:r w:rsidRPr="00A82930">
        <w:rPr>
          <w:rFonts w:cs="Times New Roman"/>
          <w:b/>
          <w:bCs/>
          <w:szCs w:val="24"/>
          <w:lang w:val="de-DE"/>
        </w:rPr>
        <w:t>Warnungen:</w:t>
      </w:r>
    </w:p>
    <w:p w14:paraId="3347AC55" w14:textId="77777777" w:rsidR="000C109C" w:rsidRPr="00A82930" w:rsidRDefault="000C109C">
      <w:pPr>
        <w:pStyle w:val="ListParagraph"/>
        <w:numPr>
          <w:ilvl w:val="0"/>
          <w:numId w:val="20"/>
        </w:numPr>
        <w:rPr>
          <w:rFonts w:cs="Times New Roman"/>
          <w:kern w:val="2"/>
          <w:szCs w:val="24"/>
          <w:lang w:val="de-DE"/>
          <w14:ligatures w14:val="standardContextual"/>
        </w:rPr>
      </w:pPr>
      <w:r w:rsidRPr="00A82930">
        <w:rPr>
          <w:rFonts w:cs="Times New Roman"/>
          <w:lang w:val="de-DE"/>
        </w:rPr>
        <w:t>Lieferumfang STERIL nach einem Ethylenoxid (EO-)Verfahren. Nicht verwenden, wenn die Verpackung oder die Sterilitätsbarriere offen oder beschädigt ist oder wenn das Verfallsdatum überschritten wurde.</w:t>
      </w:r>
    </w:p>
    <w:p w14:paraId="7FD6A140" w14:textId="77777777" w:rsidR="000C109C" w:rsidRPr="00A82930" w:rsidRDefault="000C109C" w:rsidP="000C109C">
      <w:pPr>
        <w:pStyle w:val="ListParagraph"/>
        <w:numPr>
          <w:ilvl w:val="0"/>
          <w:numId w:val="5"/>
        </w:numPr>
        <w:rPr>
          <w:rFonts w:cs="Times New Roman"/>
          <w:kern w:val="2"/>
          <w:szCs w:val="24"/>
          <w:lang w:val="de-DE"/>
          <w14:ligatures w14:val="standardContextual"/>
        </w:rPr>
      </w:pPr>
      <w:r w:rsidRPr="00A82930">
        <w:rPr>
          <w:rFonts w:cs="Times New Roman"/>
          <w:lang w:val="de-DE"/>
        </w:rPr>
        <w:t>Nur zum einmaligen Produkt- und Patientengebrauch. Nicht wiederverwenden, wiederaufbereiten oder resterilisieren. Die Wiederverwendung, Wiederaufbereitung oder Resterilisation kann die strukturelle Integrität des Produkts beeinträchtigen und/oder zum Versagen des Produkts führen, was wiederum zu Verletzungen, Krankheit oder Tod des Patienten führen kann. Die Wiederverwendung, Wiederaufbereitung oder Resterilisation kann auch ein Kontaminationsrisiko des Produkts darstellen und/oder eine Infektion oder Kreuzinfektion des Patienten verursachen, einschließlich, aber nicht beschränkt auf die Übertragung von Infektionskrankheiten von einem Patienten auf einen anderen. Eine Kontamination des Produkts kann zu Verletzungen, Erkrankungen oder zum Tod des Patienten führen.</w:t>
      </w:r>
    </w:p>
    <w:p w14:paraId="7AFD75A3" w14:textId="706DEC6F" w:rsidR="00406633" w:rsidRPr="00A82930" w:rsidRDefault="00406633" w:rsidP="00921507">
      <w:pPr>
        <w:pStyle w:val="ListParagraph"/>
        <w:numPr>
          <w:ilvl w:val="0"/>
          <w:numId w:val="5"/>
        </w:numPr>
        <w:spacing w:after="0" w:afterAutospacing="0" w:line="240" w:lineRule="auto"/>
        <w:rPr>
          <w:rFonts w:cs="Times New Roman"/>
          <w:iCs/>
          <w:szCs w:val="24"/>
          <w:lang w:val="de-DE"/>
        </w:rPr>
      </w:pPr>
      <w:r w:rsidRPr="00A82930">
        <w:rPr>
          <w:rFonts w:cs="Times New Roman"/>
          <w:szCs w:val="24"/>
          <w:lang w:val="de-DE"/>
        </w:rPr>
        <w:t xml:space="preserve">Beim Injizieren von Kontrastmittel durch den angiographischen Gefäßdilatator darf der maximale Druck von 800 psi nicht überschritten werden. </w:t>
      </w:r>
    </w:p>
    <w:p w14:paraId="6896EAAB" w14:textId="6B3CD9E0" w:rsidR="00406633" w:rsidRPr="00A82930" w:rsidRDefault="00406633" w:rsidP="00921507">
      <w:pPr>
        <w:pStyle w:val="ListParagraph"/>
        <w:numPr>
          <w:ilvl w:val="0"/>
          <w:numId w:val="5"/>
        </w:numPr>
        <w:spacing w:after="0" w:afterAutospacing="0" w:line="240" w:lineRule="auto"/>
        <w:rPr>
          <w:rFonts w:cs="Times New Roman"/>
          <w:iCs/>
          <w:szCs w:val="24"/>
          <w:lang w:val="de-DE"/>
        </w:rPr>
      </w:pPr>
      <w:r w:rsidRPr="00A82930">
        <w:rPr>
          <w:rFonts w:cs="Times New Roman"/>
          <w:szCs w:val="24"/>
          <w:lang w:val="de-DE"/>
        </w:rPr>
        <w:t xml:space="preserve">Nach der Filterimplantation kann jede Katheterisierungsprozedur, die den Durchgang einer Vorrichtung durch den Filter erfordert, behindert werden. </w:t>
      </w:r>
    </w:p>
    <w:p w14:paraId="3DF123DA" w14:textId="2EB401D5" w:rsidR="000C109C" w:rsidRPr="00A82930" w:rsidRDefault="000C109C" w:rsidP="000C109C">
      <w:pPr>
        <w:pStyle w:val="ListParagraph"/>
        <w:numPr>
          <w:ilvl w:val="0"/>
          <w:numId w:val="5"/>
        </w:numPr>
        <w:rPr>
          <w:rFonts w:cs="Times New Roman"/>
          <w:iCs/>
          <w:szCs w:val="24"/>
          <w:lang w:val="de-DE"/>
        </w:rPr>
      </w:pPr>
      <w:r w:rsidRPr="00A82930">
        <w:rPr>
          <w:rFonts w:cs="Times New Roman"/>
          <w:lang w:val="de-DE"/>
        </w:rPr>
        <w:t>Das Option ELITE-System mit rückholbarem IVC-Filter wird in einer Kartusche geladen geliefert, die die geeignete Ausrichtung für femorale und jugulare Zugänge anzeigt. Laden Sie niemals einen vollständig ausgeworfenen Filter wieder in die Kartusche, da dies seine Form und Funktion beeinträchtigen und zu einer falschen Filterausrichtung für die ausgewählte Zugangsstelle führen könnte. Niemals einen (teilweise) ausgestoßenen Filter wieder in die Kartusche einlegen, da dies seine Form und Funktion beeinträchtigen könnte.</w:t>
      </w:r>
    </w:p>
    <w:p w14:paraId="621F2918" w14:textId="4AB7255D" w:rsidR="000C109C" w:rsidRPr="00A82930" w:rsidRDefault="000C109C" w:rsidP="000C109C">
      <w:pPr>
        <w:pStyle w:val="ListParagraph"/>
        <w:numPr>
          <w:ilvl w:val="0"/>
          <w:numId w:val="5"/>
        </w:numPr>
        <w:rPr>
          <w:rFonts w:cs="Times New Roman"/>
          <w:iCs/>
          <w:szCs w:val="24"/>
          <w:lang w:val="de-DE"/>
        </w:rPr>
      </w:pPr>
      <w:r w:rsidRPr="00A82930">
        <w:rPr>
          <w:rFonts w:cs="Times New Roman"/>
          <w:lang w:val="de-DE"/>
        </w:rPr>
        <w:t>Das Option ELITE-System mit rückholbarem IVC-Filter sollte nur von Ärzten und medizinischem Fachpersonal verwendet werden, die in diagnostischen und Interventionstechniken, wie dem Einsetzen von Vena-Cava-Filtern, geschult sind.</w:t>
      </w:r>
    </w:p>
    <w:p w14:paraId="1A23D9A8" w14:textId="77777777" w:rsidR="000C109C" w:rsidRPr="00A82930" w:rsidRDefault="000C109C" w:rsidP="000C109C">
      <w:pPr>
        <w:pStyle w:val="ListParagraph"/>
        <w:numPr>
          <w:ilvl w:val="0"/>
          <w:numId w:val="5"/>
        </w:numPr>
        <w:rPr>
          <w:rFonts w:cs="Times New Roman"/>
          <w:iCs/>
          <w:szCs w:val="24"/>
          <w:lang w:val="de-DE"/>
        </w:rPr>
      </w:pPr>
      <w:r w:rsidRPr="00A82930">
        <w:rPr>
          <w:rFonts w:cs="Times New Roman"/>
          <w:lang w:val="de-DE"/>
        </w:rPr>
        <w:t>Dementsprechend haften der Hersteller oder seine Vertriebspartner nicht für direkte Schäden oder Folgeschäden oder Kosten, die sich aus der Verwendung durch ungeschultes Personal ergeben.</w:t>
      </w:r>
    </w:p>
    <w:p w14:paraId="003C4C46" w14:textId="40440FEF" w:rsidR="00406633" w:rsidRPr="00A82930" w:rsidRDefault="00406633" w:rsidP="00921507">
      <w:pPr>
        <w:pStyle w:val="ListParagraph"/>
        <w:numPr>
          <w:ilvl w:val="0"/>
          <w:numId w:val="5"/>
        </w:numPr>
        <w:spacing w:after="0" w:afterAutospacing="0" w:line="240" w:lineRule="auto"/>
        <w:rPr>
          <w:rFonts w:cs="Times New Roman"/>
          <w:iCs/>
          <w:szCs w:val="24"/>
          <w:lang w:val="de-DE"/>
        </w:rPr>
      </w:pPr>
      <w:r w:rsidRPr="00A82930">
        <w:rPr>
          <w:rFonts w:cs="Times New Roman"/>
          <w:szCs w:val="24"/>
          <w:lang w:val="de-DE"/>
        </w:rPr>
        <w:t xml:space="preserve">Personen mit allergischen Reaktionen auf Nickel-Titan-Legierungen (Nitinol) können auf dieses Implantat allergisch reagieren. </w:t>
      </w:r>
    </w:p>
    <w:p w14:paraId="2446D453" w14:textId="724C33DE" w:rsidR="00406633" w:rsidRPr="00A82930" w:rsidRDefault="00406633" w:rsidP="00921507">
      <w:pPr>
        <w:pStyle w:val="ListParagraph"/>
        <w:numPr>
          <w:ilvl w:val="0"/>
          <w:numId w:val="5"/>
        </w:numPr>
        <w:spacing w:after="0" w:afterAutospacing="0" w:line="240" w:lineRule="auto"/>
        <w:rPr>
          <w:rFonts w:cs="Times New Roman"/>
          <w:iCs/>
          <w:szCs w:val="24"/>
          <w:lang w:val="de-DE"/>
        </w:rPr>
      </w:pPr>
      <w:r w:rsidRPr="00A82930">
        <w:rPr>
          <w:rFonts w:cs="Times New Roman"/>
          <w:szCs w:val="24"/>
          <w:lang w:val="de-DE"/>
        </w:rPr>
        <w:t xml:space="preserve">Niemals den Führungsdraht, die Einführschleuse/den Dilatator vorschieben oder den Filter ohne fluoroskopische Führung platzieren. </w:t>
      </w:r>
    </w:p>
    <w:p w14:paraId="4C4C4527" w14:textId="4C19DE6A" w:rsidR="00406633" w:rsidRPr="00A82930" w:rsidRDefault="00406633" w:rsidP="00921507">
      <w:pPr>
        <w:pStyle w:val="ListParagraph"/>
        <w:numPr>
          <w:ilvl w:val="0"/>
          <w:numId w:val="5"/>
        </w:numPr>
        <w:spacing w:after="0" w:afterAutospacing="0" w:line="240" w:lineRule="auto"/>
        <w:rPr>
          <w:rFonts w:cs="Times New Roman"/>
          <w:iCs/>
          <w:szCs w:val="24"/>
          <w:lang w:val="de-DE"/>
        </w:rPr>
      </w:pPr>
      <w:r w:rsidRPr="00A82930">
        <w:rPr>
          <w:rFonts w:cs="Times New Roman"/>
          <w:szCs w:val="24"/>
          <w:lang w:val="de-DE"/>
        </w:rPr>
        <w:lastRenderedPageBreak/>
        <w:t xml:space="preserve">Wenn an der anfänglichen Einführungsstelle ein großer Thrombus beobachtet wird, versuchen Sie die Filtereinführung durch eine andere Stelle. Ein kleiner Thrombus kann mit dem Führungsdraht und der Einführschleuse umgangen werden. </w:t>
      </w:r>
    </w:p>
    <w:p w14:paraId="2505B898" w14:textId="6D423165" w:rsidR="00406633" w:rsidRPr="00A82930" w:rsidRDefault="00406633" w:rsidP="00921507">
      <w:pPr>
        <w:pStyle w:val="ListParagraph"/>
        <w:numPr>
          <w:ilvl w:val="0"/>
          <w:numId w:val="5"/>
        </w:numPr>
        <w:spacing w:after="0" w:afterAutospacing="0" w:line="240" w:lineRule="auto"/>
        <w:rPr>
          <w:rFonts w:cs="Times New Roman"/>
          <w:iCs/>
          <w:szCs w:val="24"/>
          <w:lang w:val="de-DE"/>
        </w:rPr>
      </w:pPr>
      <w:r w:rsidRPr="00A82930">
        <w:rPr>
          <w:rFonts w:cs="Times New Roman"/>
          <w:szCs w:val="24"/>
          <w:lang w:val="de-DE"/>
        </w:rPr>
        <w:t xml:space="preserve">Platzieren Sie einen falsch positionierten oder zurückgeholten Filter niemals erneut. </w:t>
      </w:r>
    </w:p>
    <w:p w14:paraId="4F5CDE7D" w14:textId="77777777" w:rsidR="000C109C" w:rsidRPr="00A82930" w:rsidRDefault="000C109C" w:rsidP="000C109C">
      <w:pPr>
        <w:pStyle w:val="ListParagraph"/>
        <w:numPr>
          <w:ilvl w:val="0"/>
          <w:numId w:val="5"/>
        </w:numPr>
        <w:rPr>
          <w:rFonts w:cs="Times New Roman"/>
          <w:iCs/>
          <w:szCs w:val="24"/>
          <w:lang w:val="de-DE"/>
        </w:rPr>
      </w:pPr>
      <w:r w:rsidRPr="00A82930">
        <w:rPr>
          <w:rFonts w:cs="Times New Roman"/>
          <w:lang w:val="de-DE"/>
        </w:rPr>
        <w:t>Beim Standardverfahren darf der Pusher nach dem Einschieben des Option™ ELITE Filters in die Schleuse nicht zurückgezogen und dann erneut vorgeschoben werden, da dies zu einem vorzeitigen Entfalten des Filters führen kann.</w:t>
      </w:r>
    </w:p>
    <w:p w14:paraId="52232BF6" w14:textId="77777777" w:rsidR="000C109C" w:rsidRPr="00A82930" w:rsidRDefault="000C109C" w:rsidP="000C109C">
      <w:pPr>
        <w:pStyle w:val="ListParagraph"/>
        <w:numPr>
          <w:ilvl w:val="0"/>
          <w:numId w:val="5"/>
        </w:numPr>
        <w:rPr>
          <w:rFonts w:cs="Times New Roman"/>
          <w:iCs/>
          <w:szCs w:val="24"/>
          <w:lang w:val="de-DE"/>
        </w:rPr>
      </w:pPr>
      <w:r w:rsidRPr="00A82930">
        <w:rPr>
          <w:rFonts w:cs="Times New Roman"/>
          <w:lang w:val="de-DE"/>
        </w:rPr>
        <w:t>Beim Standardverfahren muss der Filter vollständig platziert sein, sobald der Pusher-Platzierungsmarker in das Metallrohr der Filterkartusche eintritt, und kann nicht erneut in der Schleuse platziert werden.</w:t>
      </w:r>
    </w:p>
    <w:p w14:paraId="0058F440" w14:textId="6576F1C8" w:rsidR="000C109C" w:rsidRPr="00A82930" w:rsidRDefault="000C109C" w:rsidP="000C109C">
      <w:pPr>
        <w:pStyle w:val="ListParagraph"/>
        <w:numPr>
          <w:ilvl w:val="0"/>
          <w:numId w:val="5"/>
        </w:numPr>
        <w:rPr>
          <w:rFonts w:cs="Times New Roman"/>
          <w:iCs/>
          <w:szCs w:val="24"/>
          <w:lang w:val="de-DE"/>
        </w:rPr>
      </w:pPr>
      <w:r w:rsidRPr="00A82930">
        <w:rPr>
          <w:rFonts w:cs="Times New Roman"/>
          <w:lang w:val="de-DE"/>
        </w:rPr>
        <w:t>Beim Over-the-Wire-Verfahren muss der Filter vollständig platziert sein, sobald der Dilatator-Platzierungsmarker in das Metallrohr der Filterkartusche eintritt, und kann nicht erneut in der Schleuse platziert werden.</w:t>
      </w:r>
      <w:r w:rsidR="001C5CBC" w:rsidRPr="00A82930">
        <w:rPr>
          <w:rFonts w:cs="Times New Roman"/>
          <w:lang w:val="de-DE"/>
        </w:rPr>
        <w:t xml:space="preserve"> </w:t>
      </w:r>
    </w:p>
    <w:p w14:paraId="496FBD6A" w14:textId="77777777" w:rsidR="00B87B98" w:rsidRPr="00A82930" w:rsidRDefault="00B87B98" w:rsidP="00B87B98">
      <w:pPr>
        <w:pStyle w:val="ListParagraph"/>
        <w:numPr>
          <w:ilvl w:val="0"/>
          <w:numId w:val="5"/>
        </w:numPr>
        <w:rPr>
          <w:rFonts w:cs="Times New Roman"/>
          <w:iCs/>
          <w:szCs w:val="24"/>
          <w:lang w:val="de-DE"/>
        </w:rPr>
      </w:pPr>
      <w:r w:rsidRPr="00A82930">
        <w:rPr>
          <w:rFonts w:cs="Times New Roman"/>
          <w:lang w:val="de-DE"/>
        </w:rPr>
        <w:t>Das 100-cm-System ist für einen poplitealen und einen antecubitalen Zugang vorgesehen. Die juguläre Ausrichtung sollte nicht für den poplitealen Zugang verwendet werden, und die femorale Ausrichtung sollte nicht für den antekubitalen Zugang verwendet werden.</w:t>
      </w:r>
    </w:p>
    <w:p w14:paraId="1610D2D5" w14:textId="77777777" w:rsidR="000C109C" w:rsidRPr="00A82930" w:rsidRDefault="000C109C" w:rsidP="000C109C">
      <w:pPr>
        <w:pStyle w:val="ListParagraph"/>
        <w:numPr>
          <w:ilvl w:val="0"/>
          <w:numId w:val="5"/>
        </w:numPr>
        <w:rPr>
          <w:rFonts w:cs="Times New Roman"/>
          <w:iCs/>
          <w:szCs w:val="24"/>
          <w:lang w:val="de-DE"/>
        </w:rPr>
      </w:pPr>
      <w:r w:rsidRPr="00A82930">
        <w:rPr>
          <w:rFonts w:cs="Times New Roman"/>
          <w:lang w:val="de-DE"/>
        </w:rPr>
        <w:t>Sollten während des Einsatzes Schäden an den Komponenten auftreten, muss die Anwendung sofort abgebrochen werden.</w:t>
      </w:r>
    </w:p>
    <w:p w14:paraId="627552C8" w14:textId="01E02E5E" w:rsidR="00406633" w:rsidRPr="00A82930" w:rsidRDefault="000C109C" w:rsidP="00ED5A79">
      <w:pPr>
        <w:pStyle w:val="ListParagraph"/>
        <w:numPr>
          <w:ilvl w:val="0"/>
          <w:numId w:val="5"/>
        </w:numPr>
        <w:rPr>
          <w:rFonts w:cs="Times New Roman"/>
          <w:iCs/>
          <w:szCs w:val="24"/>
          <w:lang w:val="de-DE"/>
        </w:rPr>
      </w:pPr>
      <w:r w:rsidRPr="00A82930">
        <w:rPr>
          <w:rFonts w:cs="Times New Roman"/>
          <w:lang w:val="de-DE"/>
        </w:rPr>
        <w:t>Dieses Produkt darf nicht im Autoklav sterilisiert werden, da dies seine Unversehrtheit und Funktionsfähigkeit beeinträchtigen könnte.</w:t>
      </w:r>
    </w:p>
    <w:p w14:paraId="08FD09C6" w14:textId="0DF9C620" w:rsidR="000C109C" w:rsidRPr="00A82930" w:rsidRDefault="000C109C">
      <w:pPr>
        <w:spacing w:after="0" w:afterAutospacing="0"/>
        <w:rPr>
          <w:rFonts w:cs="Times New Roman"/>
          <w:kern w:val="2"/>
          <w:szCs w:val="24"/>
          <w:lang w:val="de-DE"/>
          <w14:ligatures w14:val="standardContextual"/>
        </w:rPr>
      </w:pPr>
      <w:r w:rsidRPr="00A82930">
        <w:rPr>
          <w:rFonts w:cs="Times New Roman"/>
          <w:b/>
          <w:bCs/>
          <w:lang w:val="de-DE"/>
        </w:rPr>
        <w:t>Warnhinweise für die optionale Filterrückholung:</w:t>
      </w:r>
    </w:p>
    <w:p w14:paraId="248A072D" w14:textId="77777777" w:rsidR="000C109C" w:rsidRPr="00A82930" w:rsidRDefault="000C109C" w:rsidP="000C109C">
      <w:pPr>
        <w:pStyle w:val="ListParagraph"/>
        <w:numPr>
          <w:ilvl w:val="0"/>
          <w:numId w:val="3"/>
        </w:numPr>
        <w:rPr>
          <w:rFonts w:cs="Times New Roman"/>
          <w:kern w:val="2"/>
          <w:szCs w:val="24"/>
          <w:lang w:val="de-DE"/>
          <w14:ligatures w14:val="standardContextual"/>
        </w:rPr>
      </w:pPr>
      <w:r w:rsidRPr="00A82930">
        <w:rPr>
          <w:rFonts w:cs="Times New Roman"/>
          <w:lang w:val="de-DE"/>
        </w:rPr>
        <w:t>Bei der Rückholung des Filters darf nicht zu viel Kraft aufgewendet werden.</w:t>
      </w:r>
    </w:p>
    <w:p w14:paraId="3E3A03FE" w14:textId="77777777" w:rsidR="000C109C" w:rsidRPr="00A82930" w:rsidRDefault="000C109C" w:rsidP="000C109C">
      <w:pPr>
        <w:pStyle w:val="ListParagraph"/>
        <w:numPr>
          <w:ilvl w:val="0"/>
          <w:numId w:val="3"/>
        </w:numPr>
        <w:rPr>
          <w:rFonts w:cs="Times New Roman"/>
          <w:kern w:val="2"/>
          <w:szCs w:val="24"/>
          <w:lang w:val="de-DE"/>
          <w14:ligatures w14:val="standardContextual"/>
        </w:rPr>
      </w:pPr>
      <w:r w:rsidRPr="00A82930">
        <w:rPr>
          <w:rFonts w:cs="Times New Roman"/>
          <w:lang w:val="de-DE"/>
        </w:rPr>
        <w:t>Es sollte nicht versucht werden, den Filter zu entfernen, wenn ein Thrombus im Filter, in der IVC oder in den tiefen Venen vorhanden ist.</w:t>
      </w:r>
    </w:p>
    <w:p w14:paraId="6748148B" w14:textId="77777777" w:rsidR="000C109C" w:rsidRPr="00A82930" w:rsidRDefault="000C109C" w:rsidP="000C109C">
      <w:pPr>
        <w:pStyle w:val="ListParagraph"/>
        <w:numPr>
          <w:ilvl w:val="0"/>
          <w:numId w:val="3"/>
        </w:numPr>
        <w:rPr>
          <w:rFonts w:cs="Times New Roman"/>
          <w:kern w:val="2"/>
          <w:szCs w:val="24"/>
          <w:lang w:val="de-DE"/>
          <w14:ligatures w14:val="standardContextual"/>
        </w:rPr>
      </w:pPr>
      <w:r w:rsidRPr="00A82930">
        <w:rPr>
          <w:rFonts w:cs="Times New Roman"/>
          <w:lang w:val="de-DE"/>
        </w:rPr>
        <w:t>Die Rückholung des Filters ist nur über den jugularen Zugang möglich. Bevor Sie versuchen, den Filter aus der jugularen Zugangsstelle zurückzuholen, vergewissern Sie sich, dass der Rückholhaken des Filters in Richtung Kopfende ausgerichtet ist – d. h. in Richtung der jugularen Zugangsstelle. Der Rückholhaken am Kopfende des Filters ist die Stelle für den endovaskulären Schlingeneingriff.</w:t>
      </w:r>
    </w:p>
    <w:p w14:paraId="7864DA4D" w14:textId="77777777" w:rsidR="000C109C" w:rsidRPr="00A82930" w:rsidRDefault="000C109C" w:rsidP="000C109C">
      <w:pPr>
        <w:pStyle w:val="ListParagraph"/>
        <w:numPr>
          <w:ilvl w:val="0"/>
          <w:numId w:val="3"/>
        </w:numPr>
        <w:rPr>
          <w:rFonts w:cs="Times New Roman"/>
          <w:kern w:val="2"/>
          <w:szCs w:val="24"/>
          <w:lang w:val="de-DE"/>
          <w14:ligatures w14:val="standardContextual"/>
        </w:rPr>
      </w:pPr>
      <w:r w:rsidRPr="00A82930">
        <w:rPr>
          <w:rFonts w:cs="Times New Roman"/>
          <w:lang w:val="de-DE"/>
        </w:rPr>
        <w:t>Die Rückholung des Filters sollte nur von Ärzten und medizinischem Fachpersonal durchgeführt werden, die in perkutanen Interventionstechniken geschult sind.</w:t>
      </w:r>
    </w:p>
    <w:p w14:paraId="2A7F7C45" w14:textId="60A711C6" w:rsidR="008648B6" w:rsidRPr="00A82930" w:rsidRDefault="000C109C" w:rsidP="00F141FB">
      <w:pPr>
        <w:pStyle w:val="ListParagraph"/>
        <w:numPr>
          <w:ilvl w:val="0"/>
          <w:numId w:val="3"/>
        </w:numPr>
        <w:rPr>
          <w:rFonts w:cs="Times New Roman"/>
          <w:kern w:val="2"/>
          <w:szCs w:val="24"/>
          <w:lang w:val="de-DE"/>
          <w14:ligatures w14:val="standardContextual"/>
        </w:rPr>
      </w:pPr>
      <w:r w:rsidRPr="00A82930">
        <w:rPr>
          <w:rFonts w:cs="Times New Roman"/>
          <w:lang w:val="de-DE"/>
        </w:rPr>
        <w:t>Platzieren Sie einen zurückgeholten Filter niemals erneut.</w:t>
      </w:r>
      <w:r w:rsidRPr="00A82930">
        <w:rPr>
          <w:lang w:val="de-DE"/>
        </w:rPr>
        <w:tab/>
      </w:r>
    </w:p>
    <w:p w14:paraId="4A9AC793" w14:textId="34A7371B" w:rsidR="008648B6" w:rsidRPr="00A82930" w:rsidRDefault="008648B6" w:rsidP="00F141FB">
      <w:pPr>
        <w:spacing w:after="0" w:afterAutospacing="0"/>
        <w:rPr>
          <w:rFonts w:cs="Times New Roman"/>
          <w:b/>
          <w:bCs/>
        </w:rPr>
      </w:pPr>
      <w:r w:rsidRPr="00A82930">
        <w:rPr>
          <w:rFonts w:cs="Times New Roman"/>
          <w:b/>
          <w:bCs/>
          <w:lang w:val="de-DE"/>
        </w:rPr>
        <w:t xml:space="preserve">Vorsichtsmaßnahmen: </w:t>
      </w:r>
    </w:p>
    <w:p w14:paraId="2D5B3F67" w14:textId="77777777" w:rsidR="005F73B3" w:rsidRPr="00A82930" w:rsidRDefault="005F73B3" w:rsidP="005F73B3">
      <w:pPr>
        <w:pStyle w:val="ListParagraph"/>
        <w:numPr>
          <w:ilvl w:val="0"/>
          <w:numId w:val="4"/>
        </w:numPr>
        <w:jc w:val="both"/>
        <w:rPr>
          <w:rFonts w:cs="Times New Roman"/>
          <w:kern w:val="2"/>
          <w:szCs w:val="24"/>
          <w:lang w:val="de-DE"/>
          <w14:ligatures w14:val="standardContextual"/>
        </w:rPr>
      </w:pPr>
      <w:r w:rsidRPr="00A82930">
        <w:rPr>
          <w:rFonts w:cs="Times New Roman"/>
          <w:lang w:val="de-DE"/>
        </w:rPr>
        <w:t>Wenn während einer Phase des Verfahrens ein starker Widerstand auftritt, brechen Sie das Verfahren ab und ermitteln Sie die Ursache, bevor Sie fortfahren.</w:t>
      </w:r>
    </w:p>
    <w:p w14:paraId="5F6088A1" w14:textId="77777777" w:rsidR="005F73B3" w:rsidRPr="00A82930" w:rsidRDefault="005F73B3" w:rsidP="005F73B3">
      <w:pPr>
        <w:pStyle w:val="ListParagraph"/>
        <w:numPr>
          <w:ilvl w:val="0"/>
          <w:numId w:val="4"/>
        </w:numPr>
        <w:jc w:val="both"/>
        <w:rPr>
          <w:rFonts w:cs="Times New Roman"/>
          <w:kern w:val="2"/>
          <w:szCs w:val="24"/>
          <w:lang w:val="de-DE"/>
          <w14:ligatures w14:val="standardContextual"/>
        </w:rPr>
      </w:pPr>
      <w:r w:rsidRPr="00A82930">
        <w:rPr>
          <w:rFonts w:cs="Times New Roman"/>
          <w:lang w:val="de-DE"/>
        </w:rPr>
        <w:t>Das Option™ ELITE-System mit rückholbarem IVC-Filter wurde zusammen mit dem zugehörigen Zubehör geprüft und qualifiziert. Die Verwendung anderer Zubehörteile kann zu Komplikationen und/oder einem erfolglosen Verfahren führen.</w:t>
      </w:r>
    </w:p>
    <w:p w14:paraId="4DA9A71F" w14:textId="77777777" w:rsidR="005F73B3" w:rsidRPr="00A82930" w:rsidRDefault="005F73B3" w:rsidP="005F73B3">
      <w:pPr>
        <w:pStyle w:val="ListParagraph"/>
        <w:numPr>
          <w:ilvl w:val="0"/>
          <w:numId w:val="4"/>
        </w:numPr>
        <w:jc w:val="both"/>
        <w:rPr>
          <w:rFonts w:cs="Times New Roman"/>
          <w:kern w:val="2"/>
          <w:szCs w:val="24"/>
          <w:lang w:val="de-DE"/>
          <w14:ligatures w14:val="standardContextual"/>
        </w:rPr>
      </w:pPr>
      <w:r w:rsidRPr="00A82930">
        <w:rPr>
          <w:rFonts w:cs="Times New Roman"/>
          <w:lang w:val="de-DE"/>
        </w:rPr>
        <w:t>Anatomische Abweichungen können das Einführen und Platzieren des Filters erschweren. Die sorgfältige Beachtung dieser Gebrauchsanweisung kann die Einführzeit verkürzen und die Wahrscheinlichkeit von Schwierigkeiten verringern.</w:t>
      </w:r>
    </w:p>
    <w:p w14:paraId="42951DA9" w14:textId="77777777" w:rsidR="005F73B3" w:rsidRPr="00A82930" w:rsidRDefault="005F73B3" w:rsidP="005F73B3">
      <w:pPr>
        <w:pStyle w:val="ListParagraph"/>
        <w:numPr>
          <w:ilvl w:val="0"/>
          <w:numId w:val="4"/>
        </w:numPr>
        <w:jc w:val="both"/>
        <w:rPr>
          <w:rFonts w:cs="Times New Roman"/>
          <w:kern w:val="2"/>
          <w:szCs w:val="24"/>
          <w:lang w:val="de-DE"/>
          <w14:ligatures w14:val="standardContextual"/>
        </w:rPr>
      </w:pPr>
      <w:r w:rsidRPr="00A82930">
        <w:rPr>
          <w:rFonts w:cs="Times New Roman"/>
          <w:lang w:val="de-DE"/>
        </w:rPr>
        <w:lastRenderedPageBreak/>
        <w:t>Wirbelsäulendeformationen: Es ist wichtig, bei Patienten mit signifikanten kyphoskoliotischen Wirbelsäulendeformationen eine Implantation vorsichtig abzuwägen, da die IVC dem allgemeinen Verlauf solcher anatomischen Deformationen folgen kann.</w:t>
      </w:r>
    </w:p>
    <w:p w14:paraId="42EE87AF" w14:textId="77777777" w:rsidR="00B87B98" w:rsidRPr="00A82930" w:rsidRDefault="00B87B98" w:rsidP="00B87B98">
      <w:pPr>
        <w:pStyle w:val="ListParagraph"/>
        <w:numPr>
          <w:ilvl w:val="0"/>
          <w:numId w:val="4"/>
        </w:numPr>
        <w:jc w:val="both"/>
        <w:rPr>
          <w:rFonts w:cs="Times New Roman"/>
          <w:kern w:val="2"/>
          <w:szCs w:val="24"/>
          <w:lang w:val="de-DE"/>
          <w14:ligatures w14:val="standardContextual"/>
        </w:rPr>
      </w:pPr>
      <w:r w:rsidRPr="00A82930">
        <w:rPr>
          <w:rFonts w:cs="Times New Roman"/>
          <w:lang w:val="de-DE"/>
        </w:rPr>
        <w:t>Die Pusher-Komponente dieses Produkts enthält den folgenden Stoff, der als CMR 1B eingestuft ist, in einer Konzentration von mehr als 0,1 Gewichtsprozent: Kobalt; CAS-Nr. 7440-48-4; EG-Nr. 231-158-0. Aktuelle wissenschaftliche Erkenntnisse belegen, dass Medizinprodukte, die aus Kobaltlegierungen oder kobalthaltigen Edelstahllegierungen hergestellt sind, kein erhöhtes Krebsrisiko oder nachteilige Auswirkungen auf die Fortpflanzungsfähigkeit verursachen.</w:t>
      </w:r>
    </w:p>
    <w:p w14:paraId="2ADBDDDB" w14:textId="5656190B" w:rsidR="00EF1058" w:rsidRPr="00A82930" w:rsidRDefault="00EF1058" w:rsidP="00EF1058">
      <w:pPr>
        <w:pStyle w:val="Heading1"/>
        <w:rPr>
          <w:rFonts w:cs="Times New Roman"/>
          <w:color w:val="auto"/>
          <w:kern w:val="36"/>
          <w:szCs w:val="24"/>
          <w14:ligatures w14:val="standardContextual"/>
        </w:rPr>
      </w:pPr>
      <w:bookmarkStart w:id="21" w:name="_Toc240466250"/>
      <w:r w:rsidRPr="00A82930">
        <w:rPr>
          <w:rFonts w:cs="Times New Roman"/>
          <w:bCs/>
          <w:color w:val="auto"/>
          <w:lang w:val="de-DE"/>
        </w:rPr>
        <w:t>MR-Sicherheit</w:t>
      </w:r>
      <w:bookmarkEnd w:id="21"/>
    </w:p>
    <w:p w14:paraId="5126B506" w14:textId="77777777" w:rsidR="00EF1058" w:rsidRPr="00A82930" w:rsidRDefault="00EF1058">
      <w:pPr>
        <w:spacing w:after="0" w:afterAutospacing="0"/>
        <w:rPr>
          <w:rFonts w:cs="Times New Roman"/>
          <w:kern w:val="2"/>
          <w:szCs w:val="24"/>
          <w:lang w:val="de-DE"/>
          <w14:ligatures w14:val="standardContextual"/>
        </w:rPr>
      </w:pPr>
      <w:r w:rsidRPr="00A82930">
        <w:rPr>
          <w:rFonts w:cs="Times New Roman"/>
          <w:lang w:val="de-DE"/>
        </w:rPr>
        <w:t>Nicht-klinische Tests haben gezeigt, dass das Option™ ELITE-System mit rückholbarem IVC-Filter bedingt MR-sicher ist. Ein Patient mit dem Option™ ELITE-System mit rückholbarem IVC-Filter kann unter den folgenden Bedingungen sofort nach der Platzierung sicher gescannt werden:</w:t>
      </w:r>
    </w:p>
    <w:p w14:paraId="7C7D1594" w14:textId="77777777" w:rsidR="00EF1058" w:rsidRPr="00A82930" w:rsidRDefault="00EF1058">
      <w:pPr>
        <w:pStyle w:val="ListParagraph"/>
        <w:numPr>
          <w:ilvl w:val="0"/>
          <w:numId w:val="21"/>
        </w:numPr>
        <w:rPr>
          <w:rFonts w:cs="Times New Roman"/>
          <w:kern w:val="2"/>
          <w14:ligatures w14:val="standardContextual"/>
        </w:rPr>
      </w:pPr>
      <w:r w:rsidRPr="00A82930">
        <w:rPr>
          <w:rFonts w:cs="Times New Roman"/>
          <w:lang w:val="de-DE"/>
        </w:rPr>
        <w:t>Statisches Magnetfeld von 3 Tesla</w:t>
      </w:r>
    </w:p>
    <w:p w14:paraId="65B1C826" w14:textId="77777777" w:rsidR="00EF1058" w:rsidRPr="00A82930" w:rsidRDefault="00EF1058">
      <w:pPr>
        <w:pStyle w:val="ListParagraph"/>
        <w:numPr>
          <w:ilvl w:val="0"/>
          <w:numId w:val="21"/>
        </w:numPr>
        <w:rPr>
          <w:rFonts w:cs="Times New Roman"/>
        </w:rPr>
      </w:pPr>
      <w:r w:rsidRPr="00A82930">
        <w:rPr>
          <w:rFonts w:cs="Times New Roman"/>
          <w:lang w:val="de-DE"/>
        </w:rPr>
        <w:t>Räumliches Gradientenmagnetfeld von 720 Gauß/cm</w:t>
      </w:r>
    </w:p>
    <w:p w14:paraId="70583D88" w14:textId="77777777" w:rsidR="00EF1058" w:rsidRPr="00A82930" w:rsidRDefault="00EF1058">
      <w:pPr>
        <w:pStyle w:val="ListParagraph"/>
        <w:numPr>
          <w:ilvl w:val="0"/>
          <w:numId w:val="21"/>
        </w:numPr>
        <w:rPr>
          <w:rFonts w:cs="Times New Roman"/>
          <w:lang w:val="de-DE"/>
        </w:rPr>
      </w:pPr>
      <w:r w:rsidRPr="00A82930">
        <w:rPr>
          <w:rFonts w:cs="Times New Roman"/>
          <w:lang w:val="de-DE"/>
        </w:rPr>
        <w:t>Maximale durchschnittliche spezifische Absorptionsrate (SAR) des gesamten Körpers von 3,0 W/kg für 15 Minuten Scannen</w:t>
      </w:r>
    </w:p>
    <w:p w14:paraId="0A862649" w14:textId="24DF6098" w:rsidR="00EF1058" w:rsidRPr="00A82930" w:rsidRDefault="00EF1058">
      <w:pPr>
        <w:spacing w:after="0" w:afterAutospacing="0"/>
        <w:rPr>
          <w:rFonts w:cs="Times New Roman"/>
          <w:lang w:val="de-DE"/>
        </w:rPr>
      </w:pPr>
      <w:r w:rsidRPr="00A82930">
        <w:rPr>
          <w:rFonts w:cs="Times New Roman"/>
          <w:lang w:val="de-DE"/>
        </w:rPr>
        <w:t>In nicht-klinischen Tests erzeugte das Option™ ELITE-System mit rückholbarem IVC-Filter einen Temperaturanstieg von weniger als oder gleich 1,70 °C bei einer maximalen durchschnittlichen spezifischen Absorptionsrate (SAR) des gesamten Körpers von 3,0 W/kg für 15 Minuten MR-Scannen in einem 3,0 Tesla MR-Scanner von General Electric Healthcare. Die kalorimetrisch berechnete SAR betrug 2,8 W/kg. Die MR-Bildqualität kann beeinträchtigt werden, wenn sich der interessierende Bereich im exakt gleichen Bereich oder relativ nahe an der Position des Option™ ELITE Filters befindet. Daher kann es erforderlich sein, die MR-Bildgebungsparameter zu optimieren, um das Vorhandensein dieses metallischen Implantats zu kompensieren.</w:t>
      </w:r>
    </w:p>
    <w:p w14:paraId="25CCAD24" w14:textId="77777777" w:rsidR="00EF1058" w:rsidRPr="00A82930" w:rsidRDefault="00EF1058">
      <w:pPr>
        <w:spacing w:after="0" w:afterAutospacing="0"/>
        <w:rPr>
          <w:rFonts w:cs="Times New Roman"/>
          <w:kern w:val="2"/>
          <w:szCs w:val="24"/>
          <w:lang w:val="de-DE"/>
          <w14:ligatures w14:val="standardContextual"/>
        </w:rPr>
      </w:pPr>
    </w:p>
    <w:p w14:paraId="104D71FD" w14:textId="5242FA5D" w:rsidR="000F3BD2" w:rsidRPr="00A82930" w:rsidRDefault="008745ED" w:rsidP="000F3BD2">
      <w:pPr>
        <w:pStyle w:val="Heading1"/>
        <w:rPr>
          <w:rFonts w:cs="Times New Roman"/>
          <w:color w:val="auto"/>
          <w:lang w:val="de-DE"/>
        </w:rPr>
      </w:pPr>
      <w:bookmarkStart w:id="22" w:name="_Toc240466251"/>
      <w:r w:rsidRPr="00A82930">
        <w:rPr>
          <w:rFonts w:cs="Times New Roman"/>
          <w:bCs/>
          <w:color w:val="auto"/>
          <w:lang w:val="de-DE"/>
        </w:rPr>
        <w:t>Andere relevante Sicherheitsaspekte, einschließlich einer Zusammenfassung aller Sicherheitskorrekturmaßnahmen im Feld (FSCA einschließlich FSN), sofern zutreffend</w:t>
      </w:r>
      <w:bookmarkEnd w:id="22"/>
    </w:p>
    <w:p w14:paraId="0AEB5D8B" w14:textId="77777777" w:rsidR="00663763" w:rsidRPr="00A82930" w:rsidRDefault="00663763" w:rsidP="00663763">
      <w:pPr>
        <w:pStyle w:val="NormalWeb"/>
        <w:rPr>
          <w:lang w:val="de-DE"/>
        </w:rPr>
      </w:pPr>
      <w:r w:rsidRPr="00A82930">
        <w:rPr>
          <w:lang w:val="de-DE"/>
        </w:rPr>
        <w:t>Das Sicherheitsprofil des rückholbaren Option ELITE Vena-Cava-Filtersystems entspricht den bekannten Risiken, die mit rückholbaren Filtern in der unteren Hohlvene verbunden sind, darunter Migration, Bruch, Perforation, Thrombose, Embolisation, Filterneigung sowie Komplikationen im Zusammenhang mit Wiederentfernungsverfahren.</w:t>
      </w:r>
    </w:p>
    <w:p w14:paraId="1A7CA2B2" w14:textId="77777777" w:rsidR="00635CB0" w:rsidRPr="00A82930" w:rsidRDefault="00635CB0">
      <w:pPr>
        <w:rPr>
          <w:rFonts w:cs="Times New Roman"/>
          <w:kern w:val="2"/>
          <w:szCs w:val="24"/>
          <w:lang w:val="de-DE"/>
          <w14:ligatures w14:val="standardContextual"/>
        </w:rPr>
      </w:pPr>
      <w:r w:rsidRPr="00A82930">
        <w:rPr>
          <w:rFonts w:cs="Times New Roman"/>
          <w:lang w:val="de-DE"/>
        </w:rPr>
        <w:t>Im Jahr 2023 wurde eine Korrekturmaßnahme zur Produktsicherheit (Field Safety Corrective Action, FSCA) im Zusammenhang mit dem rückholbaren Option ELITE Vena-Cava-Filtersystem eingeleitet, um ein potenzielles Problem hinsichtlich der Produktleistung zu beheben, das die beabsichtigte Filterleistung beeinträchtigen und zu einer Lungenembolie führen könnte. Entsprechende Sicherheitshinweise (Field Safety Notices, FSNs) wurden gemäß den geltenden behördlichen Vorschriften an die betroffenen Kunden bzw. Nutzer versandt.</w:t>
      </w:r>
    </w:p>
    <w:p w14:paraId="4B4CE4B6" w14:textId="77777777" w:rsidR="00A5743D" w:rsidRPr="00A82930" w:rsidRDefault="00A5743D">
      <w:pPr>
        <w:rPr>
          <w:rFonts w:cs="Times New Roman"/>
          <w:kern w:val="2"/>
          <w:szCs w:val="24"/>
          <w:lang w:val="de-DE"/>
          <w14:ligatures w14:val="standardContextual"/>
        </w:rPr>
      </w:pPr>
      <w:r w:rsidRPr="00A82930">
        <w:rPr>
          <w:rFonts w:cs="Times New Roman"/>
          <w:lang w:val="de-DE"/>
        </w:rPr>
        <w:lastRenderedPageBreak/>
        <w:t>Die FSCA sowie die nachfolgenden Daten aus der Zeit nach dem Inverkehrbringen wurden im Rahmen der laufenden Überwachungs- und Vigilanzmaßnahmen nach dem Inverkehrbringen geprüft. Auf Grundlage der bislang geprüften verfügbaren Daten wurden keine neuen Sicherheitshinweise festgestellt, die zusätzliche Maßnahmen zur Risikokontrolle oder eine Änderung der derzeitigen Nutzen-Risiko-Abwägung erfordern würden.</w:t>
      </w:r>
    </w:p>
    <w:p w14:paraId="45ECB646" w14:textId="757F583F" w:rsidR="008745ED" w:rsidRPr="00A82930" w:rsidRDefault="00663763" w:rsidP="00663763">
      <w:pPr>
        <w:pStyle w:val="NormalWeb"/>
        <w:rPr>
          <w:lang w:val="de-DE"/>
        </w:rPr>
      </w:pPr>
      <w:r w:rsidRPr="00A82930">
        <w:rPr>
          <w:lang w:val="de-DE"/>
        </w:rPr>
        <w:t>Das Gesamt-Nutzen-Risiko-Profil des rückholbaren Option ELITE Vena-Cava-Filtersystems bleibt bei Anwendung gemäß der Gebrauchsanweisung akzeptabel.</w:t>
      </w:r>
    </w:p>
    <w:p w14:paraId="21FC0F42" w14:textId="6F4CDE71" w:rsidR="008745ED" w:rsidRPr="00A82930" w:rsidRDefault="008745ED" w:rsidP="00170FE5">
      <w:pPr>
        <w:pStyle w:val="Heading1"/>
        <w:numPr>
          <w:ilvl w:val="0"/>
          <w:numId w:val="2"/>
        </w:numPr>
        <w:rPr>
          <w:rFonts w:cs="Times New Roman"/>
          <w:color w:val="auto"/>
          <w:lang w:val="de-DE"/>
        </w:rPr>
      </w:pPr>
      <w:bookmarkStart w:id="23" w:name="_Toc240466252"/>
      <w:r w:rsidRPr="00A82930">
        <w:rPr>
          <w:rFonts w:cs="Times New Roman"/>
          <w:bCs/>
          <w:color w:val="auto"/>
          <w:lang w:val="de-DE"/>
        </w:rPr>
        <w:t>Zusammenfassung der klinischen Bewertung und der klinischen Nachbeobachtung nach dem Inverkehrbringen (PMCF)</w:t>
      </w:r>
      <w:bookmarkEnd w:id="23"/>
    </w:p>
    <w:p w14:paraId="72FE8271" w14:textId="77777777" w:rsidR="00042B91" w:rsidRPr="00A82930" w:rsidRDefault="00042B91" w:rsidP="00042B91">
      <w:pPr>
        <w:spacing w:after="0" w:afterAutospacing="0" w:line="240" w:lineRule="auto"/>
        <w:rPr>
          <w:rFonts w:cs="Times New Roman"/>
          <w:lang w:val="de-DE"/>
        </w:rPr>
      </w:pPr>
    </w:p>
    <w:p w14:paraId="17975620" w14:textId="0587C87B" w:rsidR="006E5FF7" w:rsidRPr="00A82930" w:rsidRDefault="008745ED" w:rsidP="00265864">
      <w:pPr>
        <w:pStyle w:val="Heading1"/>
        <w:rPr>
          <w:rFonts w:cs="Times New Roman"/>
          <w:color w:val="auto"/>
          <w:lang w:val="de-DE"/>
        </w:rPr>
      </w:pPr>
      <w:bookmarkStart w:id="24" w:name="_Toc240466253"/>
      <w:r w:rsidRPr="00A82930">
        <w:rPr>
          <w:rFonts w:cs="Times New Roman"/>
          <w:bCs/>
          <w:color w:val="auto"/>
          <w:lang w:val="de-DE"/>
        </w:rPr>
        <w:t>Zusammenfassung der klinischen Daten zu einem gleichwertigen Produkt, falls zutreffend</w:t>
      </w:r>
      <w:bookmarkEnd w:id="24"/>
      <w:r w:rsidRPr="00A82930">
        <w:rPr>
          <w:rFonts w:cs="Times New Roman"/>
          <w:bCs/>
          <w:color w:val="auto"/>
          <w:lang w:val="de-DE"/>
        </w:rPr>
        <w:t xml:space="preserve"> </w:t>
      </w:r>
    </w:p>
    <w:p w14:paraId="6B0FE2F5" w14:textId="77777777" w:rsidR="003C50D3" w:rsidRPr="00A82930" w:rsidRDefault="003C50D3" w:rsidP="00513D85">
      <w:pPr>
        <w:spacing w:after="0" w:afterAutospacing="0" w:line="240" w:lineRule="auto"/>
        <w:rPr>
          <w:rFonts w:cs="Times New Roman"/>
          <w:iCs/>
          <w:lang w:val="de-DE"/>
        </w:rPr>
      </w:pPr>
    </w:p>
    <w:p w14:paraId="2AC0557C" w14:textId="68CC98B1" w:rsidR="003A75BD" w:rsidRPr="00A82930" w:rsidRDefault="003A75BD" w:rsidP="003A75BD">
      <w:pPr>
        <w:spacing w:after="0" w:afterAutospacing="0" w:line="240" w:lineRule="auto"/>
        <w:rPr>
          <w:rFonts w:cs="Times New Roman"/>
          <w:iCs/>
          <w:lang w:val="de-DE"/>
        </w:rPr>
      </w:pPr>
      <w:r w:rsidRPr="00A82930">
        <w:rPr>
          <w:rFonts w:cs="Times New Roman"/>
          <w:lang w:val="de-DE"/>
        </w:rPr>
        <w:t>Es wurden keine klinischen Daten eines vergleichbaren Produkts als primäre Belege zur Untermauerung der Sicherheit und der klinischen Leistungsfähigkeit des rückholbaren Option ELITE Vena-Cava-Filtersystems herangezogen. Die klinische Bewertung stützt sich auf gerätespezifische klinische Daten, ergänzt durch aktuelle Fachliteratur zu Vena-cava-Filtern (IVC-Filtern) sowie relevante Daten aus der Marktüberwachung.</w:t>
      </w:r>
    </w:p>
    <w:p w14:paraId="2F9C52F6" w14:textId="77777777" w:rsidR="003A75BD" w:rsidRPr="00A82930" w:rsidRDefault="003A75BD" w:rsidP="003A75BD">
      <w:pPr>
        <w:spacing w:after="0" w:afterAutospacing="0" w:line="240" w:lineRule="auto"/>
        <w:rPr>
          <w:rFonts w:cs="Times New Roman"/>
          <w:iCs/>
          <w:lang w:val="de-DE"/>
        </w:rPr>
      </w:pPr>
    </w:p>
    <w:p w14:paraId="6C62E5D2" w14:textId="77777777" w:rsidR="003C147E" w:rsidRPr="00A82930" w:rsidRDefault="003C147E">
      <w:pPr>
        <w:spacing w:after="0" w:afterAutospacing="0"/>
        <w:rPr>
          <w:rFonts w:cs="Times New Roman"/>
          <w:kern w:val="2"/>
          <w:szCs w:val="24"/>
          <w:lang w:val="de-DE"/>
          <w14:ligatures w14:val="standardContextual"/>
        </w:rPr>
      </w:pPr>
      <w:r w:rsidRPr="00A82930">
        <w:rPr>
          <w:rFonts w:cs="Times New Roman"/>
          <w:lang w:val="de-DE"/>
        </w:rPr>
        <w:t>Das Option ELITE-Produkt ist ein rückholbarer IVC-Filter mit bewährter klinischer Erfolgsbilanz und langjähriger klinischer Anwendung. Soweit erforderlich, wurde im Rahmen der klinischen Bewertung die veröffentlichte Fachliteratur zu ähnlichen rückholbaren IVC-Filtern herangezogen, um die Sicherheits- und Leistungsergebnisse in den Kontext der aktuellen medizinischen Praxis einzuordnen; für die Konformitätsbewertung wurde jedoch nicht auf einen formellen Nachweis der Gleichwertigkeit zurückgegriffen.</w:t>
      </w:r>
    </w:p>
    <w:p w14:paraId="5715ABCA" w14:textId="77777777" w:rsidR="00265864" w:rsidRPr="00A82930" w:rsidRDefault="00265864" w:rsidP="00265864">
      <w:pPr>
        <w:spacing w:after="0" w:afterAutospacing="0" w:line="240" w:lineRule="auto"/>
        <w:rPr>
          <w:rFonts w:cs="Times New Roman"/>
          <w:i/>
          <w:lang w:val="de-DE"/>
        </w:rPr>
      </w:pPr>
    </w:p>
    <w:p w14:paraId="46CE7D79" w14:textId="2B10E133" w:rsidR="008745ED" w:rsidRPr="00A82930" w:rsidRDefault="008745ED" w:rsidP="00042B91">
      <w:pPr>
        <w:pStyle w:val="Heading1"/>
        <w:rPr>
          <w:rFonts w:cs="Times New Roman"/>
          <w:color w:val="auto"/>
          <w:lang w:val="de-DE"/>
        </w:rPr>
      </w:pPr>
      <w:bookmarkStart w:id="25" w:name="_Toc240466254"/>
      <w:r w:rsidRPr="00A82930">
        <w:rPr>
          <w:rFonts w:cs="Times New Roman"/>
          <w:bCs/>
          <w:color w:val="auto"/>
          <w:lang w:val="de-DE"/>
        </w:rPr>
        <w:t>Zusammenfassung der klinischen Daten aus durchgeführten Prüfungen des Produkts vor der CE-Kennzeichnung, falls zutreffend</w:t>
      </w:r>
      <w:bookmarkEnd w:id="25"/>
      <w:r w:rsidRPr="00A82930">
        <w:rPr>
          <w:rFonts w:cs="Times New Roman"/>
          <w:bCs/>
          <w:color w:val="auto"/>
          <w:lang w:val="de-DE"/>
        </w:rPr>
        <w:t xml:space="preserve"> </w:t>
      </w:r>
    </w:p>
    <w:p w14:paraId="206789F9" w14:textId="73A15B57" w:rsidR="00CC4F62" w:rsidRPr="00A82930" w:rsidRDefault="00D845CC">
      <w:pPr>
        <w:rPr>
          <w:rFonts w:cs="Times New Roman"/>
          <w:kern w:val="2"/>
          <w:szCs w:val="24"/>
          <w:lang w:val="de-DE"/>
          <w14:ligatures w14:val="standardContextual"/>
        </w:rPr>
      </w:pPr>
      <w:r w:rsidRPr="00A82930">
        <w:rPr>
          <w:rFonts w:cs="Times New Roman"/>
          <w:lang w:val="de-DE"/>
        </w:rPr>
        <w:t xml:space="preserve">Nicht zutreffend. Es wurden keine klinischen Untersuchungen zum rückholbaren Option ELITE Vena-Cava-Filtersystem identifiziert, die vor der CE-Kennzeichnung durchgeführt wurden. </w:t>
      </w:r>
    </w:p>
    <w:p w14:paraId="49E4AA89" w14:textId="235640E0" w:rsidR="00042B91" w:rsidRPr="00A82930" w:rsidRDefault="008745ED" w:rsidP="00042B91">
      <w:pPr>
        <w:pStyle w:val="Heading1"/>
        <w:rPr>
          <w:rFonts w:cs="Times New Roman"/>
          <w:color w:val="auto"/>
          <w:lang w:val="de-DE"/>
        </w:rPr>
      </w:pPr>
      <w:bookmarkStart w:id="26" w:name="_Toc240466255"/>
      <w:r w:rsidRPr="00A82930">
        <w:rPr>
          <w:rFonts w:cs="Times New Roman"/>
          <w:bCs/>
          <w:color w:val="auto"/>
          <w:lang w:val="de-DE"/>
        </w:rPr>
        <w:t>Zusammenfassung der klinischen Daten aus anderen Quellen, falls zutreffend</w:t>
      </w:r>
      <w:bookmarkEnd w:id="26"/>
      <w:r w:rsidRPr="00A82930">
        <w:rPr>
          <w:rFonts w:cs="Times New Roman"/>
          <w:bCs/>
          <w:color w:val="auto"/>
          <w:lang w:val="de-DE"/>
        </w:rPr>
        <w:t xml:space="preserve"> </w:t>
      </w:r>
    </w:p>
    <w:p w14:paraId="6FC7CABC" w14:textId="650C35F8" w:rsidR="000463DC" w:rsidRPr="00A82930" w:rsidRDefault="00CC4F62" w:rsidP="00201AAB">
      <w:pPr>
        <w:rPr>
          <w:rFonts w:cs="Times New Roman"/>
          <w:kern w:val="2"/>
          <w:szCs w:val="24"/>
          <w:lang w:val="de-DE"/>
          <w14:ligatures w14:val="standardContextual"/>
        </w:rPr>
      </w:pPr>
      <w:r w:rsidRPr="00A82930">
        <w:rPr>
          <w:rFonts w:cs="Times New Roman"/>
          <w:lang w:val="de-DE"/>
        </w:rPr>
        <w:t>Weitere klinische Belege für die Sicherheit und die klinische Leistungsfähigkeit des rückholbaren Option ELITE Vena-Cava-Filtersystems stammen aus veröffentlichter Fachliteratur zu Patienten und Medizinprodukten, aus der aktuellen Fachliteratur zu rückholbaren IVC-Filtern, aus der Überwachung nach dem Inverkehrbringen, aus Vigilanzdaten sowie aus geplanten klinischen Nachbeobachtungsmaßnahmen nach dem Inverkehrbringen. Diese Quellen untermauern die kontextbezogene Auslegung der gerätespezifischen klinischen Nachweise und tragen dazu bei, sicherzustellen, dass das bekannte Sicherheits- und Leistungsprofil während des gesamten Lebenszyklus des Produkts angemessen überwacht wird.</w:t>
      </w:r>
    </w:p>
    <w:p w14:paraId="54474C85" w14:textId="77777777" w:rsidR="00CC4F62" w:rsidRPr="00A82930" w:rsidRDefault="00CC4F62">
      <w:pPr>
        <w:rPr>
          <w:rFonts w:cs="Times New Roman"/>
          <w:kern w:val="2"/>
          <w:szCs w:val="24"/>
          <w:lang w:val="de-DE"/>
          <w14:ligatures w14:val="standardContextual"/>
        </w:rPr>
      </w:pPr>
      <w:r w:rsidRPr="00A82930">
        <w:rPr>
          <w:rFonts w:cs="Times New Roman"/>
          <w:lang w:val="de-DE"/>
        </w:rPr>
        <w:lastRenderedPageBreak/>
        <w:t>Die Literatur zum untersuchten Produkt und die Literatur zu den Vergleichsprodukten werden als separate, nicht zusammengefasste kontextbezogene Evidenzströme ausgewertet. Die Literatur zu Vergleichsprodukten dient dazu, den aktuellen Stand der Technik und die zu erwartenden klinischen Muster für rückholbare IVC-Filter zu beschreiben, während die Literatur zum untersuchten Produkt dazu dient, die Übereinstimmung mit den veröffentlichten Erfahrungen für das Option-ELITE-Gerät zu bewerten. Diese Literaturquellen legen keine Zulassungskriterien fest, ersetzen keine gerätespezifischen klinischen Nachweise und dienen nicht als eigenständige Grundlage für die Feststellung der Konformität.</w:t>
      </w:r>
    </w:p>
    <w:p w14:paraId="3FF3279B" w14:textId="77777777" w:rsidR="005A55B1" w:rsidRPr="00A82930" w:rsidRDefault="005A55B1">
      <w:pPr>
        <w:rPr>
          <w:rFonts w:cs="Times New Roman"/>
          <w:kern w:val="2"/>
          <w:szCs w:val="24"/>
          <w:lang w:val="de-DE"/>
          <w14:ligatures w14:val="standardContextual"/>
        </w:rPr>
      </w:pPr>
      <w:r w:rsidRPr="00A82930">
        <w:rPr>
          <w:rFonts w:cs="Times New Roman"/>
          <w:lang w:val="de-DE"/>
        </w:rPr>
        <w:t>In der Fachliteratur und in Registerdaten beschriebene Erkenntnisse belegen den klinischen Einsatz von rückholbaren IVC-Filtern bei Patientengruppen mit einem Risiko für venöse Thromboembolien, bei Kontraindikationen für eine Antikoagulation, bei versagender Antikoagulation oder bei fortbestehendem Bedarf an Schutz vor Lungenembolien. Diese Daten liefern Hintergrundinformationen zu erwarteten Ergebnissen wie dem Auftreten einer Lungenembolie, einer tiefen Venenthrombose, dem Erfolg der Filterentfernung, dem Erfolg der Filterplatzierung, filterbedingten Komplikationen und der Mortalität, wobei Unterschiede hinsichtlich des Studiendesigns, des Patientenrisikos, der Nachbeobachtungsdauer, der Endpunktdefinitionen und der Angabe der Verweildauer berücksichtigt werden.</w:t>
      </w:r>
    </w:p>
    <w:p w14:paraId="20DC0FE7" w14:textId="77777777" w:rsidR="00CC4F62" w:rsidRPr="00A82930" w:rsidRDefault="00CC4F62">
      <w:pPr>
        <w:rPr>
          <w:rFonts w:cs="Times New Roman"/>
          <w:kern w:val="2"/>
          <w:szCs w:val="24"/>
          <w:lang w:val="de-DE"/>
          <w14:ligatures w14:val="standardContextual"/>
        </w:rPr>
      </w:pPr>
      <w:r w:rsidRPr="00A82930">
        <w:rPr>
          <w:rFonts w:cs="Times New Roman"/>
          <w:lang w:val="de-DE"/>
        </w:rPr>
        <w:t>Im Rahmen der laufenden klinischen Überwachung und der Überwachung nach dem Inverkehrbringen werden zudem Daten aus der Marktüberwachung und der Vigilanz ausgewertet. Diese Quellen umfassen Trends bei Beschwerden, Meldungen im Rahmen der Vigilanz, die Überprüfung von Korrekturmaßnahmen zur Produktsicherheit vor Ort, die Überwachung behördlicher Datenbanken sowie weitere Ergebnisse der Beobachtung nach dem Inverkehrbringen. Anhand der verfügbaren Daten aus aus der Marktüberwachung und der Vigilanz  konnten keine neuen oder sich abzeichnenden Sicherheitssignale festgestellt werden, die über die bekannten und vorhersehbaren Risiken im Zusammenhang mit entfernbaren IVC-Filtern hinausgingen.</w:t>
      </w:r>
    </w:p>
    <w:p w14:paraId="2C23E388" w14:textId="77777777" w:rsidR="00CC4F62" w:rsidRPr="00A82930" w:rsidRDefault="00CC4F62">
      <w:pPr>
        <w:rPr>
          <w:rFonts w:cs="Times New Roman"/>
          <w:kern w:val="2"/>
          <w:szCs w:val="24"/>
          <w:lang w:val="de-DE"/>
          <w14:ligatures w14:val="standardContextual"/>
        </w:rPr>
      </w:pPr>
      <w:r w:rsidRPr="00A82930">
        <w:rPr>
          <w:rFonts w:cs="Times New Roman"/>
          <w:lang w:val="de-DE"/>
        </w:rPr>
        <w:t>Zu den geplanten klinischen Nachbeobachtungsmaßnahmen nach dem Inverkehrbringen gehören allgemeine Nachbeobachtungsmethoden sowie eine gezielte, prospektive, auf einer Level-4-Studie basierende Maßnahme. Bei der Studie handelt es sich um eine Beobachtungsstudie ohne Intervention, deren Ziel es ist, im Rahmen des routinemäßigen klinischen Einsatzes strukturierte Nachbeobachtungsdaten zu erheben, darunter Verweildauer, Entnahmestatus, filterbezogene Sicherheitsendpunkte sowie wichtige klinische Endpunkte. Diese Maßnahmen dienen der Unterstützung einer fortlaufenden Überwachung des Lebenszyklus sowie der Signalerfassung und sind nicht dazu bestimmt, eigenständige langfristige Leistungsangaben zu begründen.</w:t>
      </w:r>
    </w:p>
    <w:p w14:paraId="6A1244C4" w14:textId="77777777" w:rsidR="00CC4F62" w:rsidRPr="00A82930" w:rsidRDefault="00CC4F62">
      <w:pPr>
        <w:rPr>
          <w:rFonts w:cs="Times New Roman"/>
          <w:kern w:val="2"/>
          <w:szCs w:val="24"/>
          <w:lang w:val="de-DE"/>
          <w14:ligatures w14:val="standardContextual"/>
        </w:rPr>
      </w:pPr>
      <w:r w:rsidRPr="00A82930">
        <w:rPr>
          <w:rFonts w:cs="Times New Roman"/>
          <w:lang w:val="de-DE"/>
        </w:rPr>
        <w:t>Die quantitativen Gesamtdaten zu Sicherheit und Leistung, die aus produktbezogenen klinischen Studien und Daten aus der klinischen Nachbeobachtung nach dem Inverkehrbringen stammen, sind in Abschnitt 5.4 zusammengefasst. Abschnitt 5.3 beschränkt sich daher auf die Rolle anderer klinischer Datenquellen und die fortlaufende Gewinnung von Erkenntnissen nach dem Inverkehrbringen zur Unterstützung der kontextbezogenen Interpretation und der fortlaufenden Bestätigung des Nutzen-Risiko-Profils.</w:t>
      </w:r>
    </w:p>
    <w:p w14:paraId="2F0F8771" w14:textId="77777777" w:rsidR="00DA2517" w:rsidRPr="00A82930" w:rsidRDefault="00DA2517" w:rsidP="00B53587">
      <w:pPr>
        <w:pStyle w:val="NormalWeb"/>
        <w:spacing w:before="0" w:beforeAutospacing="0" w:after="0" w:afterAutospacing="0"/>
        <w:rPr>
          <w:lang w:val="de-DE"/>
        </w:rPr>
      </w:pPr>
    </w:p>
    <w:p w14:paraId="0F01E5AD" w14:textId="5DF2BB7A" w:rsidR="008745ED" w:rsidRPr="00A82930" w:rsidRDefault="008745ED" w:rsidP="00042B91">
      <w:pPr>
        <w:pStyle w:val="Heading1"/>
        <w:rPr>
          <w:rFonts w:cs="Times New Roman"/>
          <w:color w:val="auto"/>
          <w:lang w:val="de-DE"/>
        </w:rPr>
      </w:pPr>
      <w:bookmarkStart w:id="27" w:name="_Toc240466256"/>
      <w:r w:rsidRPr="00A82930">
        <w:rPr>
          <w:rFonts w:cs="Times New Roman"/>
          <w:bCs/>
          <w:color w:val="auto"/>
          <w:lang w:val="de-DE"/>
        </w:rPr>
        <w:t>Übergreifende Zusammenfassung der klinischen Leistung und Sicherheit</w:t>
      </w:r>
      <w:bookmarkEnd w:id="27"/>
      <w:r w:rsidRPr="00A82930">
        <w:rPr>
          <w:rFonts w:cs="Times New Roman"/>
          <w:bCs/>
          <w:color w:val="auto"/>
          <w:lang w:val="de-DE"/>
        </w:rPr>
        <w:t xml:space="preserve"> </w:t>
      </w:r>
    </w:p>
    <w:p w14:paraId="0F96955A" w14:textId="77777777" w:rsidR="000C79AF" w:rsidRPr="00A82930" w:rsidRDefault="000C79AF" w:rsidP="000C79AF">
      <w:pPr>
        <w:spacing w:after="0" w:afterAutospacing="0" w:line="240" w:lineRule="auto"/>
        <w:rPr>
          <w:rFonts w:eastAsia="Times New Roman" w:cs="Times New Roman"/>
          <w:szCs w:val="24"/>
          <w:lang w:val="de-DE"/>
        </w:rPr>
      </w:pPr>
    </w:p>
    <w:p w14:paraId="38CA41E2" w14:textId="77777777" w:rsidR="00CC4F62" w:rsidRPr="00A82930" w:rsidRDefault="00CC4F62">
      <w:pPr>
        <w:rPr>
          <w:rFonts w:cs="Times New Roman"/>
          <w:kern w:val="2"/>
          <w:szCs w:val="24"/>
          <w:lang w:val="de-DE"/>
          <w14:ligatures w14:val="standardContextual"/>
        </w:rPr>
      </w:pPr>
      <w:r w:rsidRPr="00A82930">
        <w:rPr>
          <w:rFonts w:cs="Times New Roman"/>
          <w:lang w:val="de-DE"/>
        </w:rPr>
        <w:t>Die klinische Bewertung des rückholbaren Option ELITE Vena-Cava-Filtersystems basiert auf der Gesamtheit der verfügbaren klinischen Erkenntnisse, einschließlich produktspezifischer klinischer Studiendaten, Daten aus klinischen Nachbeobachtungsregistern nach dem Inverkehrbringen, veröffentlichter Fachliteratur zu Probanden und Produkten, aktueller Vergleichsliteratur, Daten aus der Überwachung nach dem Inverkehrbringen sowie Vigilanzdaten.</w:t>
      </w:r>
    </w:p>
    <w:p w14:paraId="6CB47CE0" w14:textId="77777777" w:rsidR="00CC4F62" w:rsidRPr="00A82930" w:rsidRDefault="00CC4F62">
      <w:pPr>
        <w:rPr>
          <w:rFonts w:cs="Times New Roman"/>
          <w:kern w:val="2"/>
          <w:szCs w:val="24"/>
          <w:lang w:val="de-DE"/>
          <w14:ligatures w14:val="standardContextual"/>
        </w:rPr>
      </w:pPr>
      <w:r w:rsidRPr="00A82930">
        <w:rPr>
          <w:rFonts w:cs="Times New Roman"/>
          <w:lang w:val="de-DE"/>
        </w:rPr>
        <w:t>In den für dieses Produkt zusammengefassten Datensätzen aus gerätespezifischen klinischen Studien und klinischen Nachbeobachtungen nach dem Inverkehrbringen belegen die folgenden quantitativen Ergebnisse die klinische Leistungsfähigkeit und Sicherheit:</w:t>
      </w:r>
    </w:p>
    <w:tbl>
      <w:tblPr>
        <w:tblW w:w="5000" w:type="pct"/>
        <w:tblCellMar>
          <w:left w:w="0" w:type="dxa"/>
          <w:right w:w="0" w:type="dxa"/>
        </w:tblCellMar>
        <w:tblLook w:val="04A0" w:firstRow="1" w:lastRow="0" w:firstColumn="1" w:lastColumn="0" w:noHBand="0" w:noVBand="1"/>
      </w:tblPr>
      <w:tblGrid>
        <w:gridCol w:w="3242"/>
        <w:gridCol w:w="1872"/>
        <w:gridCol w:w="5306"/>
      </w:tblGrid>
      <w:tr w:rsidR="00C33C05" w:rsidRPr="00A82930" w14:paraId="28955547" w14:textId="77777777">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A82930" w:rsidRDefault="00C33C05">
            <w:pPr>
              <w:spacing w:after="0" w:afterAutospacing="0"/>
              <w:jc w:val="center"/>
              <w:rPr>
                <w:rFonts w:cs="Times New Roman"/>
                <w:kern w:val="2"/>
                <w:szCs w:val="24"/>
                <w14:ligatures w14:val="standardContextual"/>
              </w:rPr>
            </w:pPr>
            <w:r w:rsidRPr="00A82930">
              <w:rPr>
                <w:rFonts w:cs="Times New Roman"/>
                <w:b/>
                <w:bCs/>
                <w:lang w:val="de-DE"/>
              </w:rPr>
              <w:t>Klinischer Endpunkt</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A82930" w:rsidRDefault="00C33C05">
            <w:pPr>
              <w:spacing w:after="0" w:afterAutospacing="0"/>
              <w:jc w:val="center"/>
              <w:rPr>
                <w:rFonts w:cs="Times New Roman"/>
              </w:rPr>
            </w:pPr>
            <w:r w:rsidRPr="00A82930">
              <w:rPr>
                <w:rFonts w:cs="Times New Roman"/>
                <w:b/>
                <w:bCs/>
                <w:lang w:val="de-DE"/>
              </w:rPr>
              <w:t>Quantitatives Ergebnis</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A82930" w:rsidRDefault="00C33C05">
            <w:pPr>
              <w:spacing w:after="0" w:afterAutospacing="0"/>
              <w:jc w:val="center"/>
              <w:rPr>
                <w:rFonts w:cs="Times New Roman"/>
              </w:rPr>
            </w:pPr>
            <w:r w:rsidRPr="00A82930">
              <w:rPr>
                <w:rFonts w:cs="Times New Roman"/>
                <w:b/>
                <w:bCs/>
                <w:lang w:val="de-DE"/>
              </w:rPr>
              <w:t>Interpretation</w:t>
            </w:r>
          </w:p>
        </w:tc>
      </w:tr>
      <w:tr w:rsidR="00C33C05" w:rsidRPr="00A82930" w14:paraId="0FF0A32F"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A82930" w:rsidRDefault="00C33C05">
            <w:pPr>
              <w:spacing w:after="0" w:afterAutospacing="0"/>
              <w:rPr>
                <w:rFonts w:cs="Times New Roman"/>
              </w:rPr>
            </w:pPr>
            <w:r w:rsidRPr="00A82930">
              <w:rPr>
                <w:rFonts w:cs="Times New Roman"/>
                <w:lang w:val="de-DE"/>
              </w:rPr>
              <w:t>Platzierung/technischer Erfolg</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77777777" w:rsidR="00C33C05" w:rsidRPr="00A82930" w:rsidRDefault="00C33C05">
            <w:pPr>
              <w:spacing w:after="0" w:afterAutospacing="0"/>
              <w:rPr>
                <w:rFonts w:cs="Times New Roman"/>
              </w:rPr>
            </w:pPr>
            <w:r w:rsidRPr="00A82930">
              <w:rPr>
                <w:rFonts w:cs="Times New Roman"/>
                <w:lang w:val="de-DE"/>
              </w:rPr>
              <w:t>99,9 % gepoolt; 95 %-KI 99,3–100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A82930" w:rsidRDefault="00C33C05">
            <w:pPr>
              <w:spacing w:after="0" w:afterAutospacing="0"/>
              <w:rPr>
                <w:rFonts w:cs="Times New Roman"/>
                <w:lang w:val="de-DE"/>
              </w:rPr>
            </w:pPr>
            <w:r w:rsidRPr="00A82930">
              <w:rPr>
                <w:rFonts w:cs="Times New Roman"/>
                <w:lang w:val="de-DE"/>
              </w:rPr>
              <w:t>Unterstützt die erfolgreiche Platzierung des Filters unter klinischen Einsatzbedingungen.</w:t>
            </w:r>
          </w:p>
        </w:tc>
      </w:tr>
      <w:tr w:rsidR="00C33C05" w:rsidRPr="00A82930" w14:paraId="02BBA4D5"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A82930" w:rsidRDefault="0088480B" w:rsidP="0088480B">
            <w:pPr>
              <w:spacing w:after="0" w:afterAutospacing="0"/>
              <w:rPr>
                <w:rFonts w:cs="Times New Roman"/>
                <w:kern w:val="2"/>
                <w:szCs w:val="24"/>
                <w:lang w:val="de-DE"/>
                <w14:ligatures w14:val="standardContextual"/>
              </w:rPr>
            </w:pPr>
            <w:r w:rsidRPr="00A82930">
              <w:rPr>
                <w:rFonts w:cs="Times New Roman"/>
                <w:lang w:val="de-DE"/>
              </w:rPr>
              <w:t>Erfolgsquote bei der Entfernung in Fällen mit mindestens einem Entfernungsversuch</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77777777" w:rsidR="00C33C05" w:rsidRPr="00A82930" w:rsidRDefault="00C33C05">
            <w:pPr>
              <w:spacing w:after="0" w:afterAutospacing="0"/>
              <w:rPr>
                <w:rFonts w:cs="Times New Roman"/>
              </w:rPr>
            </w:pPr>
            <w:r w:rsidRPr="00A82930">
              <w:rPr>
                <w:rFonts w:cs="Times New Roman"/>
                <w:lang w:val="de-DE"/>
              </w:rPr>
              <w:t>98,2 % gepoolt; 95 %-KI 96,2–99,3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A82930" w:rsidRDefault="00C33C05">
            <w:pPr>
              <w:spacing w:after="0" w:afterAutospacing="0"/>
              <w:rPr>
                <w:rFonts w:cs="Times New Roman"/>
                <w:lang w:val="de-DE"/>
              </w:rPr>
            </w:pPr>
            <w:r w:rsidRPr="00A82930">
              <w:rPr>
                <w:rFonts w:cs="Times New Roman"/>
                <w:lang w:val="de-DE"/>
              </w:rPr>
              <w:t>Unterstützt eine hohe Erfolgsquote bei der Entfernung, wenn eine Entfernung klinisch indiziert ist und versucht wird.</w:t>
            </w:r>
          </w:p>
        </w:tc>
      </w:tr>
      <w:tr w:rsidR="00C33C05" w:rsidRPr="00A82930" w14:paraId="2ED48A3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F38C5" w14:textId="22E54DF1" w:rsidR="00C33C05" w:rsidRPr="00A82930" w:rsidRDefault="0088480B" w:rsidP="0088480B">
            <w:pPr>
              <w:spacing w:after="0" w:afterAutospacing="0"/>
              <w:rPr>
                <w:rFonts w:cs="Times New Roman"/>
                <w:kern w:val="2"/>
                <w:szCs w:val="24"/>
                <w14:ligatures w14:val="standardContextual"/>
              </w:rPr>
            </w:pPr>
            <w:r w:rsidRPr="00A82930">
              <w:rPr>
                <w:rFonts w:cs="Times New Roman"/>
                <w:lang w:val="de-DE"/>
              </w:rPr>
              <w:t>Rezidivierende Lungenembolie (LE)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1E305" w14:textId="77777777" w:rsidR="00C33C05" w:rsidRPr="00A82930" w:rsidRDefault="00C33C05">
            <w:pPr>
              <w:spacing w:after="0" w:afterAutospacing="0"/>
              <w:rPr>
                <w:rFonts w:cs="Times New Roman"/>
              </w:rPr>
            </w:pPr>
            <w:r w:rsidRPr="00A82930">
              <w:rPr>
                <w:rFonts w:cs="Times New Roman"/>
                <w:lang w:val="de-DE"/>
              </w:rPr>
              <w:t>3,1 % (gepoolt); 95 %-KI 2,0–4,6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EEE30" w14:textId="77777777" w:rsidR="00C33C05" w:rsidRPr="00A82930" w:rsidRDefault="00C33C05">
            <w:pPr>
              <w:spacing w:after="0" w:afterAutospacing="0"/>
              <w:rPr>
                <w:rFonts w:cs="Times New Roman"/>
                <w:lang w:val="de-DE"/>
              </w:rPr>
            </w:pPr>
            <w:r w:rsidRPr="00A82930">
              <w:rPr>
                <w:rFonts w:cs="Times New Roman"/>
                <w:lang w:val="de-DE"/>
              </w:rPr>
              <w:t>Unterhalb des vordefinierten Akzeptanzkriteriums von ≤6 %.</w:t>
            </w:r>
          </w:p>
        </w:tc>
      </w:tr>
      <w:tr w:rsidR="00C33C05" w:rsidRPr="00A82930" w14:paraId="64F9879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C66314" w14:textId="22235DFB" w:rsidR="00C33C05" w:rsidRPr="00A82930" w:rsidRDefault="0088480B" w:rsidP="0088480B">
            <w:pPr>
              <w:spacing w:after="0" w:afterAutospacing="0"/>
              <w:rPr>
                <w:rFonts w:cs="Times New Roman"/>
                <w:kern w:val="2"/>
                <w:szCs w:val="24"/>
                <w:lang w:val="de-DE"/>
                <w14:ligatures w14:val="standardContextual"/>
              </w:rPr>
            </w:pPr>
            <w:r w:rsidRPr="00A82930">
              <w:rPr>
                <w:rFonts w:cs="Times New Roman"/>
                <w:lang w:val="de-DE"/>
              </w:rPr>
              <w:t>Neu aufgetretene oder sich verschlimmernde tiefe Venenthrombose (TVT)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D3B19D" w14:textId="77777777" w:rsidR="00C33C05" w:rsidRPr="00A82930" w:rsidRDefault="00C33C05">
            <w:pPr>
              <w:spacing w:after="0" w:afterAutospacing="0"/>
              <w:rPr>
                <w:rFonts w:cs="Times New Roman"/>
              </w:rPr>
            </w:pPr>
            <w:r w:rsidRPr="00A82930">
              <w:rPr>
                <w:rFonts w:cs="Times New Roman"/>
                <w:lang w:val="de-DE"/>
              </w:rPr>
              <w:t>8,7 % (gepoolt); 95 %-KI 7,0–10,8</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51821E" w14:textId="1A91C9B2" w:rsidR="00C33C05" w:rsidRPr="00A82930" w:rsidRDefault="00CC4F62" w:rsidP="00CC4F62">
            <w:pPr>
              <w:spacing w:after="0" w:afterAutospacing="0"/>
              <w:rPr>
                <w:rFonts w:cs="Times New Roman"/>
                <w:kern w:val="2"/>
                <w:szCs w:val="24"/>
                <w:lang w:val="de-DE"/>
                <w14:ligatures w14:val="standardContextual"/>
              </w:rPr>
            </w:pPr>
            <w:r w:rsidRPr="00A82930">
              <w:rPr>
                <w:rFonts w:cs="Times New Roman"/>
                <w:lang w:val="de-DE"/>
              </w:rPr>
              <w:t>Im Kontext zu betrachten, da das vordefinierte numerische Kriterium für okklusive Thrombosen an der Zugangsstelle von ≤3 % gilt, während dieser zusammengefasste Endpunkt ein breiteres Spektrum an neuen oder sich verschlimmernden TVT-Ereignissen erfasst.</w:t>
            </w:r>
          </w:p>
        </w:tc>
      </w:tr>
      <w:tr w:rsidR="00C33C05" w:rsidRPr="00A82930" w14:paraId="0CA1CC06"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A82930" w:rsidRDefault="0088480B" w:rsidP="0088480B">
            <w:pPr>
              <w:spacing w:after="0" w:afterAutospacing="0"/>
              <w:rPr>
                <w:rFonts w:cs="Times New Roman"/>
                <w:kern w:val="2"/>
                <w:szCs w:val="24"/>
                <w14:ligatures w14:val="standardContextual"/>
              </w:rPr>
            </w:pPr>
            <w:r w:rsidRPr="00A82930">
              <w:rPr>
                <w:rFonts w:cs="Times New Roman"/>
                <w:lang w:val="de-DE"/>
              </w:rPr>
              <w:t>Filterbedingte Komplikationen</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5AA8F" w14:textId="77777777" w:rsidR="00C33C05" w:rsidRPr="00A82930" w:rsidRDefault="00C33C05">
            <w:pPr>
              <w:spacing w:after="0" w:afterAutospacing="0"/>
              <w:rPr>
                <w:rFonts w:cs="Times New Roman"/>
              </w:rPr>
            </w:pPr>
            <w:r w:rsidRPr="00A82930">
              <w:rPr>
                <w:rFonts w:cs="Times New Roman"/>
                <w:lang w:val="de-DE"/>
              </w:rPr>
              <w:t>1,1 % (gepoolt); 95 %-KI 0,8–1,5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A82930" w:rsidRDefault="00CC4F62" w:rsidP="00CC4F62">
            <w:pPr>
              <w:spacing w:after="0" w:afterAutospacing="0"/>
              <w:rPr>
                <w:rFonts w:cs="Times New Roman"/>
                <w:kern w:val="2"/>
                <w:szCs w:val="24"/>
                <w:lang w:val="de-DE"/>
                <w14:ligatures w14:val="standardContextual"/>
              </w:rPr>
            </w:pPr>
            <w:r w:rsidRPr="00A82930">
              <w:rPr>
                <w:rFonts w:cs="Times New Roman"/>
                <w:lang w:val="de-DE"/>
              </w:rPr>
              <w:t>In Übereinstimmung mit dem definierten Endpunkt für filterbedingte Komplikationen, einschließlich Migration, Fraktur, Neigung &gt;15°, Vena-Cava-Perforation, Vena-Cava-Thrombose/-Okklusion sowie Komplikationen im Zusammenhang mit der Entfernung.</w:t>
            </w:r>
          </w:p>
        </w:tc>
      </w:tr>
    </w:tbl>
    <w:p w14:paraId="3051C109" w14:textId="77777777" w:rsidR="00CC09D6" w:rsidRPr="00A82930" w:rsidRDefault="00CC09D6">
      <w:pPr>
        <w:rPr>
          <w:rFonts w:cs="Times New Roman"/>
          <w:color w:val="008000"/>
          <w:lang w:val="de-DE"/>
        </w:rPr>
      </w:pPr>
    </w:p>
    <w:p w14:paraId="51526A1C" w14:textId="537450EF" w:rsidR="005A55B1" w:rsidRPr="00A82930" w:rsidRDefault="005A55B1">
      <w:pPr>
        <w:rPr>
          <w:rFonts w:cs="Times New Roman"/>
          <w:kern w:val="2"/>
          <w:szCs w:val="24"/>
          <w:lang w:val="de-DE"/>
          <w14:ligatures w14:val="standardContextual"/>
        </w:rPr>
      </w:pPr>
      <w:r w:rsidRPr="00A82930">
        <w:rPr>
          <w:rFonts w:cs="Times New Roman"/>
          <w:lang w:val="de-DE"/>
        </w:rPr>
        <w:t>Die Mortalität wurde im Rahmen der klinischen Bewertung als klinisch relevantes Sicherheitskriterium untersucht und ist in den geplanten PMCF-Maßnahmen zur fortlaufenden Überwachung des Nutzen-Risiko-</w:t>
      </w:r>
      <w:r w:rsidRPr="00A82930">
        <w:rPr>
          <w:rFonts w:cs="Times New Roman"/>
          <w:lang w:val="de-DE"/>
        </w:rPr>
        <w:lastRenderedPageBreak/>
        <w:t>Verhältnisses enthalten. Die Gesamtmortalität wird vor dem Hintergrund der zugrunde liegenden Hochrisikopopulation mit thromboembolischer Vorerkrankung, der Begleiterkrankungen sowie der Schwankungen in der Nachbeobachtungszeit interpretiert und wird nicht als Endpunkt für die Leistungsfähigkeit des Produkts oder als Hinweis auf einen klinischen Nutzen dargestellt. Das vordefinierte Sicherheitskriterium bezieht sich auf die produkt- oder verfahrensbedingte Mortalität und nicht auf die Gesamtmortalität. Auf der Grundlage der verfügbaren klinischen Erkenntnisse, der Marktüberwachung nach dem Inverkehrbringen (PMS) sowie der Vigilanzdaten wurden keine gerätespezifischen Hinweise auf eine erhöhte Mortalität festgestellt.</w:t>
      </w:r>
    </w:p>
    <w:p w14:paraId="3A85B801" w14:textId="77777777" w:rsidR="00CC4F62" w:rsidRPr="00A82930" w:rsidRDefault="00CC4F62">
      <w:pPr>
        <w:rPr>
          <w:rFonts w:cs="Times New Roman"/>
          <w:kern w:val="2"/>
          <w:szCs w:val="24"/>
          <w:lang w:val="de-DE"/>
          <w14:ligatures w14:val="standardContextual"/>
        </w:rPr>
      </w:pPr>
      <w:r w:rsidRPr="00A82930">
        <w:rPr>
          <w:rFonts w:cs="Times New Roman"/>
          <w:lang w:val="de-DE"/>
        </w:rPr>
        <w:t>Die zusammengefassten Ergebnisse wurden durch übereinstimmende Befunde aus der PRESERVE-Studie und dem retrospektiven Register der Indiana University untermauert, darunter hohe Erfolgsraten bei der Platzierung und der Entfernung sowie eine Inzidenz von Lungenembolien (PE) unterhalb des vordefinierten Leistungs- und Sicherheitskriteriums. Die Befunde zur tiefen Venenthrombose (TVT) wurden im klinischen Kontext interpretiert, da das numerische Kriterium sich auf okklusive Thrombosen an der Zugangsstelle und nicht auf alle TVT-Ergebnisse bezieht, und die Rate der filterbedingten Komplikationen entsprach weiterhin dem bekannten Risikoprofil für rückholbare IVC-Filter.</w:t>
      </w:r>
    </w:p>
    <w:p w14:paraId="3EDE6561" w14:textId="1B9EE961" w:rsidR="006022AD" w:rsidRPr="00A82930" w:rsidRDefault="00EC2621" w:rsidP="0078716B">
      <w:pPr>
        <w:rPr>
          <w:rFonts w:cs="Times New Roman"/>
          <w:kern w:val="2"/>
          <w:szCs w:val="24"/>
          <w:lang w:val="de-DE"/>
          <w14:ligatures w14:val="standardContextual"/>
        </w:rPr>
      </w:pPr>
      <w:r w:rsidRPr="00A82930">
        <w:rPr>
          <w:rFonts w:cs="Times New Roman"/>
          <w:lang w:val="de-DE"/>
        </w:rPr>
        <w:t>Das beobachtete Sicherheitsprofil steht im Einklang mit den bekannten und vorhersehbaren Risiken bei rückholbaren Vena-Cava-Filtern. Zu den gemeldeten Ereignissen auf Komponentenebene zählten Perforationen, Migrationen, Frakturen, Vena-Cava-Thrombosen/-Okklusionen sowie Komplikationen im Zusammenhang mit der Entfernung. In den klinischen Belegen, den Daten aus der Marktüberwachung nach dem Inverkehrbringen (PMS) oder den Vigilanzdaten wurden weder unerwartete Häufungen noch zeitabhängige mechanische Verschleißerscheinungen noch neue produktspezifische Sicherheitshinweise festgestellt.</w:t>
      </w:r>
    </w:p>
    <w:p w14:paraId="55C78ADA" w14:textId="77777777" w:rsidR="00FA4FD4" w:rsidRPr="00A82930" w:rsidRDefault="00FA4FD4">
      <w:pPr>
        <w:rPr>
          <w:rFonts w:cs="Times New Roman"/>
          <w:kern w:val="2"/>
          <w:szCs w:val="24"/>
          <w:lang w:val="de-DE"/>
          <w14:ligatures w14:val="standardContextual"/>
        </w:rPr>
      </w:pPr>
      <w:r w:rsidRPr="00A82930">
        <w:rPr>
          <w:rFonts w:cs="Times New Roman"/>
          <w:lang w:val="de-DE"/>
        </w:rPr>
        <w:t>Diese Ergebnisse untermauern den beabsichtigten klinischen Nutzen, das Risiko einer klinisch signifikanten Lungenembolie durch die Verhinderung der Thrombusmigration in der unteren Hohlvene bei entsprechend ausgewählten Patienten zu senken, sofern das Produkt gemäß der Gebrauchsanweisung angewendet wird. Es werden keine Angaben zu klinischem Nutzen, Überlegenheit oder unabhängiger Langzeitwirksamkeit gemacht, die über den vorgesehenen Verwendungszweck hinausgehen.</w:t>
      </w:r>
    </w:p>
    <w:p w14:paraId="3DC5CBFB" w14:textId="73DF5313" w:rsidR="00CC4F62" w:rsidRPr="00A82930" w:rsidRDefault="00CC4F62">
      <w:pPr>
        <w:rPr>
          <w:rFonts w:cs="Times New Roman"/>
          <w:kern w:val="2"/>
          <w:szCs w:val="24"/>
          <w:lang w:val="de-DE"/>
          <w14:ligatures w14:val="standardContextual"/>
        </w:rPr>
      </w:pPr>
      <w:r w:rsidRPr="00A82930">
        <w:rPr>
          <w:rFonts w:cs="Times New Roman"/>
          <w:lang w:val="de-DE"/>
        </w:rPr>
        <w:t>Es wurden nach Verweildauer stratifizierte Analysen durchgeführt, um die Ergebnisse über klinisch relevante Implantationsdauer hinweg näher zu charakterisieren. Die Erfolgsrate bei der Entfernung blieb innerhalb und über einen Zeitraum von 175 Tagen hinaus hoch. Einige Befunde hinsichtlich PE, TVT, Vena-Cava-Thrombose und Vena-Cava-Okklusion traten in den Strata mit längerer Verweildauer zahlenmäßig häufiger auf; diese Befunde wurden jedoch im Kontext der bekannten zeitabhängigen Risikomuster für rückholbare IVC-Filter und des zugrunde liegenden Patientenrisikos interpretiert. Für sich genommen haben sie keinen negativen Einfluss auf das gesamte Nutzen-Risiko-Verhältnis.</w:t>
      </w:r>
    </w:p>
    <w:p w14:paraId="27FB6C96" w14:textId="77777777" w:rsidR="006016AB" w:rsidRPr="00A82930" w:rsidRDefault="006016AB">
      <w:pPr>
        <w:rPr>
          <w:rFonts w:cs="Times New Roman"/>
          <w:kern w:val="2"/>
          <w:szCs w:val="24"/>
          <w:lang w:val="de-DE"/>
          <w14:ligatures w14:val="standardContextual"/>
        </w:rPr>
      </w:pPr>
      <w:r w:rsidRPr="00A82930">
        <w:rPr>
          <w:rFonts w:cs="Times New Roman"/>
          <w:lang w:val="de-DE"/>
        </w:rPr>
        <w:t xml:space="preserve">Auf der Grundlage der verfügbaren quantitativen klinischen Daten, der geplanten und laufenden klinischen Nachbeobachtungsmaßnahmen nach dem Inverkehrbringen sowie der fortlaufenden Überwachung nach </w:t>
      </w:r>
      <w:r w:rsidRPr="00A82930">
        <w:rPr>
          <w:rFonts w:cs="Times New Roman"/>
          <w:lang w:val="de-DE"/>
        </w:rPr>
        <w:lastRenderedPageBreak/>
        <w:t>dem Inverkehrbringen ist das gesamte Nutzen-Risiko-Verhältnis des rückholbaren Option ELITE Vena-Cava-Filtersystems für den vorgesehenen Verwendungszweck weiterhin günstig und akzeptabel, sofern es bei entsprechend ausgewählten Patienten gemäß der Gebrauchsanweisung angewendet wird.</w:t>
      </w:r>
    </w:p>
    <w:p w14:paraId="68502EE9" w14:textId="77777777" w:rsidR="00433F6F" w:rsidRPr="00A82930" w:rsidRDefault="00433F6F" w:rsidP="00433F6F">
      <w:pPr>
        <w:spacing w:after="0" w:afterAutospacing="0" w:line="240" w:lineRule="auto"/>
        <w:rPr>
          <w:rFonts w:cs="Times New Roman"/>
          <w:i/>
          <w:lang w:val="de-DE"/>
        </w:rPr>
      </w:pPr>
    </w:p>
    <w:p w14:paraId="34B3D1DE" w14:textId="02CA14F0" w:rsidR="008C789C" w:rsidRPr="00A82930" w:rsidRDefault="008745ED" w:rsidP="000609B2">
      <w:pPr>
        <w:pStyle w:val="Heading1"/>
        <w:rPr>
          <w:rFonts w:cs="Times New Roman"/>
          <w:color w:val="auto"/>
          <w:lang w:val="de-DE"/>
        </w:rPr>
      </w:pPr>
      <w:bookmarkStart w:id="28" w:name="_Toc240466257"/>
      <w:r w:rsidRPr="00A82930">
        <w:rPr>
          <w:rFonts w:cs="Times New Roman"/>
          <w:bCs/>
          <w:color w:val="auto"/>
          <w:lang w:val="de-DE"/>
        </w:rPr>
        <w:t>Laufende oder geplante klinische Nachbeobachtung nach dem Inverkehrbringen</w:t>
      </w:r>
      <w:bookmarkEnd w:id="28"/>
    </w:p>
    <w:p w14:paraId="382804C1" w14:textId="77777777" w:rsidR="00071055" w:rsidRPr="00A82930" w:rsidRDefault="00071055" w:rsidP="006A1E70">
      <w:pPr>
        <w:spacing w:after="0" w:afterAutospacing="0" w:line="240" w:lineRule="auto"/>
        <w:rPr>
          <w:rFonts w:cs="Times New Roman"/>
          <w:iCs/>
          <w:lang w:val="de-DE"/>
        </w:rPr>
      </w:pPr>
    </w:p>
    <w:p w14:paraId="7E87C50F" w14:textId="77777777" w:rsidR="00CC4F62" w:rsidRPr="00A82930" w:rsidRDefault="00CC4F62">
      <w:pPr>
        <w:spacing w:after="0" w:afterAutospacing="0"/>
        <w:rPr>
          <w:rFonts w:cs="Times New Roman"/>
          <w:kern w:val="2"/>
          <w:szCs w:val="24"/>
          <w:lang w:val="de-DE"/>
          <w14:ligatures w14:val="standardContextual"/>
        </w:rPr>
      </w:pPr>
      <w:r w:rsidRPr="00A82930">
        <w:rPr>
          <w:rFonts w:cs="Times New Roman"/>
          <w:lang w:val="de-DE"/>
        </w:rPr>
        <w:t>Im Rahmen der klinischen Nachbeobachtung nach dem Inverkehrbringen des rückholbaren Option ELITE Vena-Cava-Filtersystems werden Maßnahmen durchgeführt, um die Sicherheit und die klinische Leistungsfähigkeit des Produkts während seines gesamten Lebenszyklus kontinuierlich zu überprüfen und sicherzustellen, dass das Nutzen-Risiko-Verhältnis akzeptabel bleibt.</w:t>
      </w:r>
    </w:p>
    <w:p w14:paraId="66079778" w14:textId="77777777" w:rsidR="003C147E" w:rsidRPr="00A82930" w:rsidRDefault="003C147E">
      <w:pPr>
        <w:spacing w:after="0" w:afterAutospacing="0"/>
        <w:rPr>
          <w:rFonts w:cs="Times New Roman"/>
          <w:kern w:val="2"/>
          <w:szCs w:val="24"/>
          <w:lang w:val="de-DE"/>
          <w14:ligatures w14:val="standardContextual"/>
        </w:rPr>
      </w:pPr>
      <w:r w:rsidRPr="00A82930">
        <w:rPr>
          <w:rFonts w:cs="Times New Roman"/>
          <w:lang w:val="de-DE"/>
        </w:rPr>
        <w:t xml:space="preserve">Die PMCF-Aktivitäten umfassen allgemeine PMCF-Methoden, wie beispielsweise systematische und regelmäßige Überprüfungen der einschlägigen veröffentlichten wissenschaftlichen Literatur, sowie die kontinuierliche Erfassung und Auswertung von Daten </w:t>
      </w:r>
      <w:r w:rsidRPr="00A82930">
        <w:rPr>
          <w:rFonts w:cs="Times New Roman"/>
          <w:color w:val="008000"/>
          <w:lang w:val="de-DE"/>
        </w:rPr>
        <w:t>nach dem Inverkehrbringen</w:t>
      </w:r>
      <w:r w:rsidRPr="00A82930">
        <w:rPr>
          <w:rFonts w:cs="Times New Roman"/>
          <w:lang w:val="de-DE"/>
        </w:rPr>
        <w:t>, die aus Beschwerden, Vigilanzmeldungen, sicherheitsrelevanten Korrekturmaßnahmen im Feld sowie Korrektur- und Vorbeugungsmaßnahmen stammen. Zudem werden einschlägige nationale und internationale Vigilanzdatenbanken überwacht, um die Erkennung von Signalen und die Trendanalyse zu unterstützen.</w:t>
      </w:r>
    </w:p>
    <w:p w14:paraId="2783A21A" w14:textId="77777777" w:rsidR="005A2D80" w:rsidRPr="00A82930" w:rsidRDefault="005A2D80">
      <w:pPr>
        <w:spacing w:after="0" w:afterAutospacing="0"/>
        <w:rPr>
          <w:rFonts w:cs="Times New Roman"/>
          <w:kern w:val="2"/>
          <w:szCs w:val="24"/>
          <w:lang w:val="de-DE"/>
          <w14:ligatures w14:val="standardContextual"/>
        </w:rPr>
      </w:pPr>
      <w:r w:rsidRPr="00A82930">
        <w:rPr>
          <w:rFonts w:cs="Times New Roman"/>
          <w:lang w:val="de-DE"/>
        </w:rPr>
        <w:t>Zusätzlich zu den allgemeinen PMCF-Methoden wird für das Option ELITE-Produkt eine gezielte, prospektive PMCF-Level-4-Studie durchgeführt. Die Studie ist eine Beobachtungsstudie ohne interventionellen Charakter und wird von behandelnden Ärzten oder klinischen Einrichtungen anhand von Daten aus der routinemäßigen Nachsorge oder aus Krankenakten durchgeführt; sie dient dazu, die Sicherheit und Leistungsfähigkeit im routinemäßigen klinischen Einsatz, einschließlich Fällen mit verlängerter Verweildauer, näher zu charakterisieren.</w:t>
      </w:r>
    </w:p>
    <w:p w14:paraId="38BE135A" w14:textId="77777777" w:rsidR="006016AB" w:rsidRPr="00A82930" w:rsidRDefault="006016AB">
      <w:pPr>
        <w:spacing w:after="0" w:afterAutospacing="0"/>
        <w:rPr>
          <w:rFonts w:cs="Times New Roman"/>
          <w:kern w:val="2"/>
          <w:szCs w:val="24"/>
          <w:lang w:val="de-DE"/>
          <w14:ligatures w14:val="standardContextual"/>
        </w:rPr>
      </w:pPr>
      <w:r w:rsidRPr="00A82930">
        <w:rPr>
          <w:rFonts w:cs="Times New Roman"/>
          <w:lang w:val="de-DE"/>
        </w:rPr>
        <w:t>Die Studie umfasst erwachsene Patienten, bei denen das Implantat gemäß der Gebrauchsanweisung implantiert wurde, und erfasst die folgenden klinischen Endpunkte und Kontextvariablen:</w:t>
      </w:r>
    </w:p>
    <w:p w14:paraId="3C5EC18A" w14:textId="77777777" w:rsidR="000554E9" w:rsidRPr="00A82930" w:rsidRDefault="000554E9">
      <w:pPr>
        <w:pStyle w:val="ListParagraph"/>
        <w:numPr>
          <w:ilvl w:val="0"/>
          <w:numId w:val="19"/>
        </w:numPr>
        <w:rPr>
          <w:rFonts w:cs="Times New Roman"/>
          <w:kern w:val="2"/>
          <w:lang w:val="de-DE"/>
          <w14:ligatures w14:val="standardContextual"/>
        </w:rPr>
      </w:pPr>
      <w:r w:rsidRPr="00A82930">
        <w:rPr>
          <w:rFonts w:cs="Times New Roman"/>
          <w:lang w:val="de-DE"/>
        </w:rPr>
        <w:t>Platzierung/technischer Erfolg, einschließlich erfolgreicher Filterplatzierung im Rahmen des routinemäßigen klinischen Einsatzes</w:t>
      </w:r>
    </w:p>
    <w:p w14:paraId="32081152" w14:textId="77777777" w:rsidR="008800E3" w:rsidRPr="00A82930" w:rsidRDefault="008800E3">
      <w:pPr>
        <w:pStyle w:val="ListParagraph"/>
        <w:numPr>
          <w:ilvl w:val="0"/>
          <w:numId w:val="19"/>
        </w:numPr>
        <w:rPr>
          <w:rFonts w:cs="Times New Roman"/>
          <w:kern w:val="2"/>
          <w:lang w:val="de-DE"/>
          <w14:ligatures w14:val="standardContextual"/>
        </w:rPr>
      </w:pPr>
      <w:r w:rsidRPr="00A82930">
        <w:rPr>
          <w:rFonts w:cs="Times New Roman"/>
          <w:lang w:val="de-DE"/>
        </w:rPr>
        <w:t>Entfernungsstatus und Erfolg der Entfernung bei Fällen mit mindestens einem Entfernungsversuch</w:t>
      </w:r>
    </w:p>
    <w:p w14:paraId="7A8D4922" w14:textId="77777777" w:rsidR="008800E3" w:rsidRPr="00A82930" w:rsidRDefault="008800E3">
      <w:pPr>
        <w:pStyle w:val="ListParagraph"/>
        <w:numPr>
          <w:ilvl w:val="0"/>
          <w:numId w:val="19"/>
        </w:numPr>
        <w:rPr>
          <w:rFonts w:cs="Times New Roman"/>
        </w:rPr>
      </w:pPr>
      <w:r w:rsidRPr="00A82930">
        <w:rPr>
          <w:rFonts w:cs="Times New Roman"/>
          <w:lang w:val="de-DE"/>
        </w:rPr>
        <w:t>Rezidivierende Lungenembolie (LE)</w:t>
      </w:r>
    </w:p>
    <w:p w14:paraId="193B8F18" w14:textId="77777777" w:rsidR="008800E3" w:rsidRPr="00A82930" w:rsidRDefault="008800E3">
      <w:pPr>
        <w:pStyle w:val="ListParagraph"/>
        <w:numPr>
          <w:ilvl w:val="0"/>
          <w:numId w:val="19"/>
        </w:numPr>
        <w:rPr>
          <w:rFonts w:cs="Times New Roman"/>
          <w:lang w:val="de-DE"/>
        </w:rPr>
      </w:pPr>
      <w:r w:rsidRPr="00A82930">
        <w:rPr>
          <w:rFonts w:cs="Times New Roman"/>
          <w:lang w:val="de-DE"/>
        </w:rPr>
        <w:t>Neu aufgetretene oder sich verschlimmernde tiefe Venenthrombose (TVT)</w:t>
      </w:r>
    </w:p>
    <w:p w14:paraId="1CED5B5F" w14:textId="77777777" w:rsidR="008800E3" w:rsidRPr="00A82930" w:rsidRDefault="008800E3">
      <w:pPr>
        <w:pStyle w:val="ListParagraph"/>
        <w:numPr>
          <w:ilvl w:val="0"/>
          <w:numId w:val="19"/>
        </w:numPr>
        <w:rPr>
          <w:rFonts w:cs="Times New Roman"/>
        </w:rPr>
      </w:pPr>
      <w:r w:rsidRPr="00A82930">
        <w:rPr>
          <w:rFonts w:cs="Times New Roman"/>
          <w:lang w:val="de-DE"/>
        </w:rPr>
        <w:t>Sterblichkeit, soweit bekannt</w:t>
      </w:r>
    </w:p>
    <w:p w14:paraId="58D70235" w14:textId="77777777" w:rsidR="008800E3" w:rsidRPr="00A82930" w:rsidRDefault="008800E3">
      <w:pPr>
        <w:pStyle w:val="ListParagraph"/>
        <w:numPr>
          <w:ilvl w:val="0"/>
          <w:numId w:val="19"/>
        </w:numPr>
        <w:rPr>
          <w:rFonts w:cs="Times New Roman"/>
          <w:lang w:val="de-DE"/>
        </w:rPr>
      </w:pPr>
      <w:r w:rsidRPr="00A82930">
        <w:rPr>
          <w:rFonts w:cs="Times New Roman"/>
          <w:lang w:val="de-DE"/>
        </w:rPr>
        <w:t>Komplikationen im Zusammenhang mit dem Filter, darunter Migration, Bruch, eine Neigung von mehr als 15 Grad, Perforation der Hohlvene, Thrombose oder Okklusion der Hohlvene sowie Komplikationen im Zusammenhang mit der Entfernung</w:t>
      </w:r>
    </w:p>
    <w:p w14:paraId="4B7C9C05" w14:textId="77777777" w:rsidR="008800E3" w:rsidRPr="00A82930" w:rsidRDefault="008800E3">
      <w:pPr>
        <w:pStyle w:val="ListParagraph"/>
        <w:numPr>
          <w:ilvl w:val="0"/>
          <w:numId w:val="19"/>
        </w:numPr>
        <w:rPr>
          <w:rFonts w:cs="Times New Roman"/>
          <w:lang w:val="de-DE"/>
        </w:rPr>
      </w:pPr>
      <w:r w:rsidRPr="00A82930">
        <w:rPr>
          <w:rFonts w:cs="Times New Roman"/>
          <w:lang w:val="de-DE"/>
        </w:rPr>
        <w:t>Verweildauer, einschließlich Fälle mit verlängerter Verweildauer</w:t>
      </w:r>
    </w:p>
    <w:p w14:paraId="1F8E67BD" w14:textId="77777777" w:rsidR="005A2D80" w:rsidRPr="00A82930" w:rsidRDefault="005A2D80">
      <w:pPr>
        <w:spacing w:after="0" w:afterAutospacing="0"/>
        <w:rPr>
          <w:rFonts w:cs="Times New Roman"/>
          <w:kern w:val="2"/>
          <w:szCs w:val="24"/>
          <w:lang w:val="de-DE"/>
          <w14:ligatures w14:val="standardContextual"/>
        </w:rPr>
      </w:pPr>
      <w:r w:rsidRPr="00A82930">
        <w:rPr>
          <w:rFonts w:cs="Times New Roman"/>
          <w:lang w:val="de-DE"/>
        </w:rPr>
        <w:t>Es ist eine angestrebte Stichprobengröße von 300 Probanden vorgesehen, um eine deskriptive Auswertung, die Signalerfassung, die Trendbeobachtung sowie eine repräsentative Abdeckung der erwarteten Verweilzeitverteilungen zu gewährleisten.</w:t>
      </w:r>
    </w:p>
    <w:p w14:paraId="77EB4B98" w14:textId="77777777" w:rsidR="00CC4F62" w:rsidRPr="00A82930" w:rsidRDefault="00CC4F62">
      <w:pPr>
        <w:spacing w:after="0" w:afterAutospacing="0"/>
        <w:rPr>
          <w:rFonts w:cs="Times New Roman"/>
          <w:kern w:val="2"/>
          <w:szCs w:val="24"/>
          <w:lang w:val="de-DE"/>
          <w14:ligatures w14:val="standardContextual"/>
        </w:rPr>
      </w:pPr>
      <w:r w:rsidRPr="00A82930">
        <w:rPr>
          <w:rFonts w:cs="Times New Roman"/>
          <w:lang w:val="de-DE"/>
        </w:rPr>
        <w:t xml:space="preserve">Die Studienergebnisse werden deskriptiv analysiert und anhand vordefinierter klinischer Leistungs- und Sicherheitskriterien, aktueller Benchmarks sowie beobachteter Trends interpretiert. Für Fälle mit </w:t>
      </w:r>
      <w:r w:rsidRPr="00A82930">
        <w:rPr>
          <w:rFonts w:cs="Times New Roman"/>
          <w:lang w:val="de-DE"/>
        </w:rPr>
        <w:lastRenderedPageBreak/>
        <w:t>verlängerter Verweildauer werden keine gesonderten Akzeptanzkriterien definiert, da diese eher eine vorhersehbare Abweichung in der klinischen Praxis darstellen als eine gesonderte beabsichtigte Leistungsbedingung.</w:t>
      </w:r>
    </w:p>
    <w:p w14:paraId="51FFDF35" w14:textId="77777777" w:rsidR="006016AB" w:rsidRPr="00A82930" w:rsidRDefault="006016AB">
      <w:pPr>
        <w:spacing w:after="0" w:afterAutospacing="0"/>
        <w:rPr>
          <w:rFonts w:cs="Times New Roman"/>
          <w:kern w:val="2"/>
          <w:szCs w:val="24"/>
          <w:lang w:val="de-DE"/>
          <w14:ligatures w14:val="standardContextual"/>
        </w:rPr>
      </w:pPr>
      <w:r w:rsidRPr="00A82930">
        <w:rPr>
          <w:rFonts w:cs="Times New Roman"/>
          <w:lang w:val="de-DE"/>
        </w:rPr>
        <w:t>Die Studie soll nach der Fertigstellung und Umsetzung der Maßnahmen beginnen; die Rekrutierung der Teilnehmer wird voraussichtlich etwa 12 bis 24 Monate dauern, und erste Daten werden voraussichtlich etwa 12 Monate nach Beginn der Studie vorliegen. Die Ergebnisse werden im Rahmen der laufenden klinischen Überwachung und der Überwachung nach dem Inverkehrbringen ausgewertet und dienen gegebenenfalls der fortlaufenden Bewertung von Sicherheit, Leistung, Nutzen-Risiko-Verhältnis, Wirksamkeit der Risikokontrolle und Rückverfolgbarkeit der Endpunkte.</w:t>
      </w:r>
    </w:p>
    <w:p w14:paraId="2BEABC48" w14:textId="77777777" w:rsidR="005A2D80" w:rsidRPr="00A82930" w:rsidRDefault="005A2D80">
      <w:pPr>
        <w:spacing w:after="0" w:afterAutospacing="0"/>
        <w:rPr>
          <w:rFonts w:cs="Times New Roman"/>
          <w:kern w:val="2"/>
          <w:szCs w:val="24"/>
          <w:lang w:val="de-DE"/>
          <w14:ligatures w14:val="standardContextual"/>
        </w:rPr>
      </w:pPr>
      <w:r w:rsidRPr="00A82930">
        <w:rPr>
          <w:rFonts w:cs="Times New Roman"/>
          <w:lang w:val="de-DE"/>
        </w:rPr>
        <w:t>Die Level-4-Studie ist eine angemessene, bestätigende Maßnahme im Rahmen des Lebenszyklus und wird nicht aufgrund eines festgestellten Mangels in der klinischen Evidenzbasis durchgeführt. Es können weitere PMCF-Maßnahmen eingeleitet werden, wenn neue Informationen oder sich abzeichnende Trends auf eine mögliche Veränderung der Sicherheit oder Leistungsfähigkeit des Produkts hindeuten.</w:t>
      </w:r>
    </w:p>
    <w:p w14:paraId="54905783" w14:textId="77777777" w:rsidR="00D82761" w:rsidRPr="00A82930" w:rsidRDefault="00D82761" w:rsidP="00D82761">
      <w:pPr>
        <w:spacing w:after="0" w:afterAutospacing="0" w:line="240" w:lineRule="auto"/>
        <w:rPr>
          <w:rFonts w:cs="Times New Roman"/>
          <w:iCs/>
          <w:lang w:val="de-DE"/>
        </w:rPr>
      </w:pPr>
      <w:r w:rsidRPr="00A82930">
        <w:rPr>
          <w:rFonts w:cs="Times New Roman"/>
          <w:lang w:val="de-DE"/>
        </w:rPr>
        <w:t>Soweit verfügbar, werden zudem Informationen aus Registern, multizentrischen Studien und retrospektiven Analysen ausgewertet, um zusätzliche Einblicke in die Leistungsfähigkeit des Produkts und die klinischen Ergebnisse im klinischen Alltag zu gewinnen.</w:t>
      </w:r>
    </w:p>
    <w:p w14:paraId="0773D963" w14:textId="77777777" w:rsidR="007A6CEE" w:rsidRPr="00A82930" w:rsidRDefault="007A6CEE" w:rsidP="007A6CEE">
      <w:pPr>
        <w:spacing w:after="0" w:afterAutospacing="0" w:line="240" w:lineRule="auto"/>
        <w:rPr>
          <w:rFonts w:cs="Times New Roman"/>
          <w:i/>
          <w:lang w:val="de-DE"/>
        </w:rPr>
      </w:pPr>
    </w:p>
    <w:p w14:paraId="748C3FE5" w14:textId="1D19292C" w:rsidR="00760400" w:rsidRPr="00A82930" w:rsidRDefault="00760400" w:rsidP="00170FE5">
      <w:pPr>
        <w:pStyle w:val="Heading1"/>
        <w:numPr>
          <w:ilvl w:val="0"/>
          <w:numId w:val="2"/>
        </w:numPr>
        <w:rPr>
          <w:rFonts w:cs="Times New Roman"/>
          <w:color w:val="auto"/>
        </w:rPr>
      </w:pPr>
      <w:bookmarkStart w:id="29" w:name="_Toc240466258"/>
      <w:r w:rsidRPr="00A82930">
        <w:rPr>
          <w:rFonts w:cs="Times New Roman"/>
          <w:bCs/>
          <w:color w:val="auto"/>
          <w:lang w:val="de-DE"/>
        </w:rPr>
        <w:t>Mögliche diagnostische oder therapeutische Alternativen</w:t>
      </w:r>
      <w:bookmarkEnd w:id="29"/>
      <w:r w:rsidRPr="00A82930">
        <w:rPr>
          <w:rFonts w:cs="Times New Roman"/>
          <w:bCs/>
          <w:color w:val="auto"/>
          <w:lang w:val="de-DE"/>
        </w:rPr>
        <w:t xml:space="preserve"> </w:t>
      </w:r>
    </w:p>
    <w:p w14:paraId="144FF4A9" w14:textId="77777777" w:rsidR="00B20361" w:rsidRPr="00A82930" w:rsidRDefault="00B20361" w:rsidP="00B20361">
      <w:pPr>
        <w:spacing w:after="0" w:afterAutospacing="0" w:line="240" w:lineRule="auto"/>
        <w:rPr>
          <w:rFonts w:eastAsia="Times New Roman" w:cs="Times New Roman"/>
          <w:szCs w:val="24"/>
        </w:rPr>
      </w:pPr>
    </w:p>
    <w:p w14:paraId="4789D360" w14:textId="16C99189" w:rsidR="00750F90" w:rsidRPr="00A82930" w:rsidRDefault="00750F90" w:rsidP="00750F90">
      <w:pPr>
        <w:spacing w:after="0" w:afterAutospacing="0" w:line="240" w:lineRule="auto"/>
        <w:rPr>
          <w:rFonts w:eastAsia="Times New Roman" w:cs="Times New Roman"/>
          <w:szCs w:val="24"/>
          <w:lang w:val="de-DE"/>
        </w:rPr>
      </w:pPr>
      <w:r w:rsidRPr="00A82930">
        <w:rPr>
          <w:rFonts w:eastAsia="Times New Roman" w:cs="Times New Roman"/>
          <w:szCs w:val="24"/>
          <w:lang w:val="de-DE"/>
        </w:rPr>
        <w:t>Je nach klinischem Zustand des Patienten stehen verschiedene diagnostische und therapeutische Möglichkeiten zur Prävention und Behandlung venöser Thromboembolien zur Verfügung. Die medikamentöse Antikoagulation ist nach wie vor die Standardtherapie erster Wahl, kann jedoch bei bestimmten Patienten kontraindiziert sein.</w:t>
      </w:r>
    </w:p>
    <w:p w14:paraId="0D7ED6C1" w14:textId="77777777" w:rsidR="00750F90" w:rsidRPr="00A82930" w:rsidRDefault="00750F90" w:rsidP="00750F90">
      <w:pPr>
        <w:spacing w:after="0" w:afterAutospacing="0" w:line="240" w:lineRule="auto"/>
        <w:rPr>
          <w:rFonts w:eastAsia="Times New Roman" w:cs="Times New Roman"/>
          <w:szCs w:val="24"/>
          <w:lang w:val="de-DE"/>
        </w:rPr>
      </w:pPr>
    </w:p>
    <w:p w14:paraId="56016B86" w14:textId="77777777" w:rsidR="00750F90" w:rsidRPr="00A82930" w:rsidRDefault="00750F90" w:rsidP="00750F90">
      <w:pPr>
        <w:spacing w:after="0" w:afterAutospacing="0" w:line="240" w:lineRule="auto"/>
        <w:rPr>
          <w:rFonts w:eastAsia="Times New Roman" w:cs="Times New Roman"/>
          <w:szCs w:val="24"/>
          <w:lang w:val="de-DE"/>
        </w:rPr>
      </w:pPr>
      <w:r w:rsidRPr="00A82930">
        <w:rPr>
          <w:rFonts w:eastAsia="Times New Roman" w:cs="Times New Roman"/>
          <w:szCs w:val="24"/>
          <w:lang w:val="de-DE"/>
        </w:rPr>
        <w:t>In besonderen Fällen können alternative Maßnahmen wie eine Thrombolyse oder eine chirurgische bzw. mechanische Thrombektomie in Betracht gezogen werden, insbesondere in schweren oder lebensbedrohlichen Situationen. Es sind auch andere Vena-Cava-Filter erhältlich, die sich hinsichtlich ihrer Konstruktion und ihrer klinischen Anwendungseigenschaften unterscheiden können.</w:t>
      </w:r>
    </w:p>
    <w:p w14:paraId="0F86E37A" w14:textId="77777777" w:rsidR="00750F90" w:rsidRPr="00A82930" w:rsidRDefault="00750F90" w:rsidP="00750F90">
      <w:pPr>
        <w:spacing w:after="0" w:afterAutospacing="0" w:line="240" w:lineRule="auto"/>
        <w:rPr>
          <w:rFonts w:eastAsia="Times New Roman" w:cs="Times New Roman"/>
          <w:szCs w:val="24"/>
          <w:lang w:val="de-DE"/>
        </w:rPr>
      </w:pPr>
    </w:p>
    <w:p w14:paraId="6384DA35" w14:textId="77777777" w:rsidR="00FA4FD4" w:rsidRPr="00A82930" w:rsidRDefault="00FA4FD4">
      <w:pPr>
        <w:spacing w:after="0" w:afterAutospacing="0"/>
        <w:rPr>
          <w:rFonts w:cs="Times New Roman"/>
          <w:kern w:val="2"/>
          <w:szCs w:val="24"/>
          <w:lang w:val="de-DE"/>
          <w14:ligatures w14:val="standardContextual"/>
        </w:rPr>
      </w:pPr>
      <w:r w:rsidRPr="00A82930">
        <w:rPr>
          <w:rFonts w:cs="Times New Roman"/>
          <w:lang w:val="de-DE"/>
        </w:rPr>
        <w:t>Filter für die untere Hohlvene, darunter auch das Option ELITE-Implantat, werden bei bestimmten Patienten eingesetzt, wenn eine Antikoagulationstherapie kontraindiziert ist, versagt hat oder abgebrochen werden muss. Die Auswahl und Anwendung des Produkts basieren auf einer individuellen Patientenbeurteilung und dem klinischen Ermessen.</w:t>
      </w:r>
    </w:p>
    <w:p w14:paraId="35F32433" w14:textId="77777777" w:rsidR="00B12DFD" w:rsidRPr="00A82930" w:rsidRDefault="00B12DFD" w:rsidP="00AE01B4">
      <w:pPr>
        <w:spacing w:after="0" w:afterAutospacing="0" w:line="240" w:lineRule="auto"/>
        <w:rPr>
          <w:rFonts w:cs="Times New Roman"/>
          <w:i/>
          <w:lang w:val="de-DE"/>
        </w:rPr>
      </w:pPr>
    </w:p>
    <w:p w14:paraId="2CDE6FBF" w14:textId="77777777" w:rsidR="00042B91" w:rsidRPr="00A82930" w:rsidRDefault="00042B91" w:rsidP="00170FE5">
      <w:pPr>
        <w:pStyle w:val="Heading1"/>
        <w:numPr>
          <w:ilvl w:val="0"/>
          <w:numId w:val="2"/>
        </w:numPr>
        <w:rPr>
          <w:rFonts w:cs="Times New Roman"/>
          <w:color w:val="auto"/>
          <w:lang w:val="de-DE"/>
        </w:rPr>
      </w:pPr>
      <w:bookmarkStart w:id="30" w:name="_Toc240466259"/>
      <w:r w:rsidRPr="00A82930">
        <w:rPr>
          <w:rFonts w:cs="Times New Roman"/>
          <w:bCs/>
          <w:color w:val="auto"/>
          <w:lang w:val="de-DE"/>
        </w:rPr>
        <w:t>Vorgeschlagenes Profil und Schulung für Benutzer</w:t>
      </w:r>
      <w:bookmarkEnd w:id="30"/>
    </w:p>
    <w:p w14:paraId="388557AB" w14:textId="7D2C3667" w:rsidR="004A3F32" w:rsidRPr="00A82930" w:rsidRDefault="00142E9D" w:rsidP="00142E9D">
      <w:pPr>
        <w:spacing w:after="0" w:afterAutospacing="0" w:line="240" w:lineRule="auto"/>
        <w:rPr>
          <w:rFonts w:cs="Times New Roman"/>
          <w:iCs/>
          <w:lang w:val="de-DE"/>
        </w:rPr>
      </w:pPr>
      <w:r w:rsidRPr="00A82930">
        <w:rPr>
          <w:rFonts w:cs="Times New Roman"/>
          <w:lang w:val="de-DE"/>
        </w:rPr>
        <w:t xml:space="preserve">Das Option ELITE-System mit rückholbarem IVC-Filter sollte nur von Ärzten oder medizinischem Fachpersonal verwendet werden, die in diagnostischen und Interventionstechniken, wie der Platzierung von Vena-Cava-Filtern, geschult sind. </w:t>
      </w:r>
    </w:p>
    <w:p w14:paraId="2480649B" w14:textId="77777777" w:rsidR="000B575E" w:rsidRPr="00A82930" w:rsidRDefault="000B575E" w:rsidP="00042B91">
      <w:pPr>
        <w:spacing w:after="0" w:afterAutospacing="0" w:line="240" w:lineRule="auto"/>
        <w:rPr>
          <w:rFonts w:cs="Times New Roman"/>
          <w:i/>
          <w:lang w:val="de-DE"/>
        </w:rPr>
      </w:pPr>
    </w:p>
    <w:p w14:paraId="55F75040" w14:textId="77777777" w:rsidR="00755A10" w:rsidRPr="00A82930" w:rsidRDefault="00755A10" w:rsidP="00042B91">
      <w:pPr>
        <w:spacing w:after="0" w:afterAutospacing="0" w:line="240" w:lineRule="auto"/>
        <w:rPr>
          <w:rFonts w:cs="Times New Roman"/>
          <w:i/>
          <w:lang w:val="de-DE"/>
        </w:rPr>
      </w:pPr>
    </w:p>
    <w:p w14:paraId="3A39338B" w14:textId="2C9E98E0" w:rsidR="000D58E6" w:rsidRPr="00A82930" w:rsidRDefault="00760400" w:rsidP="000D58E6">
      <w:pPr>
        <w:pStyle w:val="Heading1"/>
        <w:numPr>
          <w:ilvl w:val="0"/>
          <w:numId w:val="2"/>
        </w:numPr>
        <w:rPr>
          <w:rFonts w:cs="Times New Roman"/>
          <w:color w:val="auto"/>
        </w:rPr>
      </w:pPr>
      <w:bookmarkStart w:id="31" w:name="_Toc240466260"/>
      <w:r w:rsidRPr="00A82930">
        <w:rPr>
          <w:rFonts w:cs="Times New Roman"/>
          <w:bCs/>
          <w:color w:val="auto"/>
          <w:lang w:val="de-DE"/>
        </w:rPr>
        <w:t>Harmonisierte Normen/Gemeinsame Spezifikationen</w:t>
      </w:r>
      <w:bookmarkEnd w:id="31"/>
    </w:p>
    <w:p w14:paraId="5925C566" w14:textId="77777777" w:rsidR="005E1822" w:rsidRPr="00A82930" w:rsidRDefault="005E1822" w:rsidP="00042B91">
      <w:pPr>
        <w:spacing w:after="0" w:afterAutospacing="0" w:line="240" w:lineRule="auto"/>
        <w:rPr>
          <w:rFonts w:cs="Times New Roman"/>
          <w:iCs/>
        </w:rPr>
      </w:pPr>
    </w:p>
    <w:p w14:paraId="485092C8" w14:textId="77777777" w:rsidR="00E938EC" w:rsidRPr="00A82930" w:rsidRDefault="00E938EC">
      <w:pPr>
        <w:spacing w:after="0" w:afterAutospacing="0"/>
        <w:rPr>
          <w:rFonts w:cs="Times New Roman"/>
          <w:kern w:val="2"/>
          <w:szCs w:val="24"/>
          <w:lang w:val="de-DE"/>
          <w14:ligatures w14:val="standardContextual"/>
        </w:rPr>
      </w:pPr>
      <w:r w:rsidRPr="00A82930">
        <w:rPr>
          <w:rFonts w:cs="Times New Roman"/>
          <w:lang w:val="de-DE"/>
        </w:rPr>
        <w:lastRenderedPageBreak/>
        <w:t>Die nachstehend aufgeführten Dokumente umfassen geltende harmonisierte Normen, sonstige angewandte Normen sowie Leitlinien, die zur Einhaltung der einschlägigen Anforderungen der MDR herangezogen werden. Nicht alle aufgeführten Dokumente sind harmonisierte Normen oder gemeinsame Spezifikationen. Für dieses Produkt konnten keine anwendbaren gemeinsamen Spezifikationen gemäß der Verordnung (EU) 2017/745 ermittelt werden. Ältere MEDDEV-Leitlinien sowie einschlägige MDCG-Leitlinien sind enthalten, sofern sie zur Unterstützung der klinischen Bewertung, der klinischen Nachbeobachtung nach dem Inverkehrbringen, der Überwachung nach dem Inverkehrbringen und der Vigilanzprozesse herangezogen werden.</w:t>
      </w:r>
    </w:p>
    <w:p w14:paraId="4E5CFB3D" w14:textId="77777777" w:rsidR="00E11BBB" w:rsidRPr="00A82930" w:rsidRDefault="00E11BBB" w:rsidP="00042B91">
      <w:pPr>
        <w:spacing w:after="0" w:afterAutospacing="0" w:line="240" w:lineRule="auto"/>
        <w:rPr>
          <w:rFonts w:cs="Times New Roman"/>
          <w:iCs/>
          <w:lang w:val="de-DE"/>
        </w:rPr>
      </w:pPr>
    </w:p>
    <w:tbl>
      <w:tblPr>
        <w:tblW w:w="5000" w:type="pct"/>
        <w:tblCellMar>
          <w:left w:w="0" w:type="dxa"/>
          <w:right w:w="0" w:type="dxa"/>
        </w:tblCellMar>
        <w:tblLook w:val="04A0" w:firstRow="1" w:lastRow="0" w:firstColumn="1" w:lastColumn="0" w:noHBand="0" w:noVBand="1"/>
      </w:tblPr>
      <w:tblGrid>
        <w:gridCol w:w="2383"/>
        <w:gridCol w:w="2560"/>
        <w:gridCol w:w="5477"/>
      </w:tblGrid>
      <w:tr w:rsidR="00E56145" w:rsidRPr="00A82930"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A82930" w:rsidRDefault="00E56145">
            <w:pPr>
              <w:spacing w:after="0" w:afterAutospacing="0"/>
              <w:jc w:val="center"/>
              <w:rPr>
                <w:rFonts w:cs="Times New Roman"/>
                <w:kern w:val="2"/>
                <w:szCs w:val="24"/>
                <w14:ligatures w14:val="standardContextual"/>
              </w:rPr>
            </w:pPr>
            <w:r w:rsidRPr="00A82930">
              <w:rPr>
                <w:rFonts w:cs="Times New Roman"/>
                <w:b/>
                <w:bCs/>
                <w:sz w:val="20"/>
                <w:szCs w:val="20"/>
                <w:lang w:val="de-DE"/>
              </w:rPr>
              <w:t>Kategorie</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A82930" w:rsidRDefault="00E56145">
            <w:pPr>
              <w:spacing w:after="0" w:afterAutospacing="0"/>
              <w:jc w:val="center"/>
              <w:rPr>
                <w:rFonts w:cs="Times New Roman"/>
              </w:rPr>
            </w:pPr>
            <w:r w:rsidRPr="00A82930">
              <w:rPr>
                <w:rFonts w:cs="Times New Roman"/>
                <w:b/>
                <w:bCs/>
                <w:sz w:val="20"/>
                <w:szCs w:val="20"/>
                <w:lang w:val="de-DE"/>
              </w:rPr>
              <w:t>Norm/Leitlinie</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A82930" w:rsidRDefault="00E56145">
            <w:pPr>
              <w:spacing w:after="0" w:afterAutospacing="0"/>
              <w:jc w:val="center"/>
              <w:rPr>
                <w:rFonts w:cs="Times New Roman"/>
              </w:rPr>
            </w:pPr>
            <w:r w:rsidRPr="00A82930">
              <w:rPr>
                <w:rFonts w:cs="Times New Roman"/>
                <w:b/>
                <w:bCs/>
                <w:sz w:val="20"/>
                <w:szCs w:val="20"/>
                <w:lang w:val="de-DE"/>
              </w:rPr>
              <w:t>Umfang und Relevanz</w:t>
            </w:r>
          </w:p>
        </w:tc>
      </w:tr>
      <w:tr w:rsidR="00E56145" w:rsidRPr="00A82930"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A82930" w:rsidRDefault="00E56145">
            <w:pPr>
              <w:spacing w:after="0" w:afterAutospacing="0"/>
              <w:rPr>
                <w:rFonts w:cs="Times New Roman"/>
              </w:rPr>
            </w:pPr>
            <w:r w:rsidRPr="00A82930">
              <w:rPr>
                <w:rFonts w:cs="Times New Roman"/>
                <w:b/>
                <w:bCs/>
                <w:sz w:val="20"/>
                <w:szCs w:val="20"/>
                <w:lang w:val="de-DE"/>
              </w:rPr>
              <w:t>Kennzeichnung und bereitgestellte Informationen</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A82930" w:rsidRDefault="00E56145">
            <w:pPr>
              <w:spacing w:after="0" w:afterAutospacing="0"/>
              <w:rPr>
                <w:rFonts w:cs="Times New Roman"/>
              </w:rPr>
            </w:pPr>
            <w:r w:rsidRPr="00A82930">
              <w:rPr>
                <w:rFonts w:cs="Times New Roman"/>
                <w:sz w:val="20"/>
                <w:szCs w:val="20"/>
                <w:lang w:val="de-DE"/>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A82930" w:rsidRDefault="00E56145">
            <w:pPr>
              <w:spacing w:after="0" w:afterAutospacing="0"/>
              <w:rPr>
                <w:rFonts w:cs="Times New Roman"/>
                <w:lang w:val="de-DE"/>
              </w:rPr>
            </w:pPr>
            <w:r w:rsidRPr="00A82930">
              <w:rPr>
                <w:rFonts w:cs="Times New Roman"/>
                <w:sz w:val="20"/>
                <w:szCs w:val="20"/>
                <w:lang w:val="de-DE"/>
              </w:rPr>
              <w:t>Legt Symbole fest, die auf der Kennzeichnung von Medizinprodukten verwendet werden, um eine klare und einheitliche Vermittlung von Sicherheits- und behördlichen Informationen zu gewährleisten.</w:t>
            </w:r>
          </w:p>
        </w:tc>
      </w:tr>
      <w:tr w:rsidR="00E56145" w:rsidRPr="00A82930"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A82930" w:rsidRDefault="00E56145">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A82930" w:rsidRDefault="00E56145">
            <w:pPr>
              <w:spacing w:after="0" w:afterAutospacing="0"/>
              <w:rPr>
                <w:rFonts w:cs="Times New Roman"/>
              </w:rPr>
            </w:pPr>
            <w:r w:rsidRPr="00A82930">
              <w:rPr>
                <w:rFonts w:cs="Times New Roman"/>
                <w:sz w:val="20"/>
                <w:szCs w:val="20"/>
                <w:lang w:val="de-DE"/>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A82930" w:rsidRDefault="00E56145">
            <w:pPr>
              <w:spacing w:after="0" w:afterAutospacing="0"/>
              <w:rPr>
                <w:rFonts w:cs="Times New Roman"/>
                <w:lang w:val="de-DE"/>
              </w:rPr>
            </w:pPr>
            <w:r w:rsidRPr="00A82930">
              <w:rPr>
                <w:rFonts w:cs="Times New Roman"/>
                <w:sz w:val="20"/>
                <w:szCs w:val="20"/>
                <w:lang w:val="de-DE"/>
              </w:rPr>
              <w:t>Legt Anforderungen an die vom Hersteller bereitgestellten Informationen fest, um eine sichere und wirksame Verwendung des Produkts während seines gesamten Lebenszyklus zu gewährleisten.</w:t>
            </w:r>
          </w:p>
        </w:tc>
      </w:tr>
      <w:tr w:rsidR="00E56145" w:rsidRPr="00A82930"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A82930" w:rsidRDefault="00E56145">
            <w:pPr>
              <w:spacing w:after="0" w:afterAutospacing="0"/>
              <w:rPr>
                <w:rFonts w:cs="Times New Roman"/>
              </w:rPr>
            </w:pPr>
            <w:r w:rsidRPr="00A82930">
              <w:rPr>
                <w:rFonts w:cs="Times New Roman"/>
                <w:b/>
                <w:bCs/>
                <w:sz w:val="20"/>
                <w:szCs w:val="20"/>
                <w:lang w:val="de-DE"/>
              </w:rPr>
              <w:t>Sterilisation und mikrobiologische Sicherheit</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A82930" w:rsidRDefault="00E56145">
            <w:pPr>
              <w:spacing w:after="0" w:afterAutospacing="0"/>
              <w:rPr>
                <w:rFonts w:cs="Times New Roman"/>
              </w:rPr>
            </w:pPr>
            <w:r w:rsidRPr="00A82930">
              <w:rPr>
                <w:rFonts w:cs="Times New Roman"/>
                <w:sz w:val="20"/>
                <w:szCs w:val="20"/>
                <w:lang w:val="de-DE"/>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A82930" w:rsidRDefault="00E56145">
            <w:pPr>
              <w:spacing w:after="0" w:afterAutospacing="0"/>
              <w:rPr>
                <w:rFonts w:cs="Times New Roman"/>
                <w:lang w:val="de-DE"/>
              </w:rPr>
            </w:pPr>
            <w:r w:rsidRPr="00A82930">
              <w:rPr>
                <w:rFonts w:cs="Times New Roman"/>
                <w:sz w:val="20"/>
                <w:szCs w:val="20"/>
                <w:lang w:val="de-DE"/>
              </w:rPr>
              <w:t>Legt Anforderungen für als steril gekennzeichnete Produkte fest und unterstützt die Überprüfung der Endsterilisation.</w:t>
            </w:r>
          </w:p>
        </w:tc>
      </w:tr>
      <w:tr w:rsidR="005F7AEC" w:rsidRPr="00A82930"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A82930" w:rsidRDefault="005F7AEC">
            <w:pPr>
              <w:spacing w:after="0" w:afterAutospacing="0"/>
              <w:rPr>
                <w:rFonts w:cs="Times New Roman"/>
              </w:rPr>
            </w:pPr>
            <w:r w:rsidRPr="00A82930">
              <w:rPr>
                <w:rFonts w:cs="Times New Roman"/>
                <w:sz w:val="20"/>
                <w:szCs w:val="20"/>
                <w:lang w:val="de-DE"/>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A82930" w:rsidRDefault="005F7AEC">
            <w:pPr>
              <w:spacing w:after="0" w:afterAutospacing="0"/>
              <w:rPr>
                <w:rFonts w:cs="Times New Roman"/>
                <w:lang w:val="de-DE"/>
              </w:rPr>
            </w:pPr>
            <w:r w:rsidRPr="00A82930">
              <w:rPr>
                <w:rFonts w:cs="Times New Roman"/>
                <w:sz w:val="20"/>
                <w:szCs w:val="20"/>
                <w:lang w:val="de-DE"/>
              </w:rPr>
              <w:t>Legt die Anforderungen an die Validierung und die routinemäßige Überwachung von Ethylenoxid-Sterilisationsverfahren fest.</w:t>
            </w:r>
          </w:p>
        </w:tc>
      </w:tr>
      <w:tr w:rsidR="005F7AEC" w:rsidRPr="00A82930"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A82930" w:rsidRDefault="005F7AEC">
            <w:pPr>
              <w:spacing w:after="0" w:afterAutospacing="0"/>
              <w:rPr>
                <w:rFonts w:cs="Times New Roman"/>
              </w:rPr>
            </w:pPr>
            <w:r w:rsidRPr="00A82930">
              <w:rPr>
                <w:rFonts w:cs="Times New Roman"/>
                <w:sz w:val="20"/>
                <w:szCs w:val="20"/>
                <w:lang w:val="de-DE"/>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A82930" w:rsidRDefault="005F7AEC">
            <w:pPr>
              <w:spacing w:after="0" w:afterAutospacing="0"/>
              <w:rPr>
                <w:rFonts w:cs="Times New Roman"/>
                <w:lang w:val="de-DE"/>
              </w:rPr>
            </w:pPr>
            <w:r w:rsidRPr="00A82930">
              <w:rPr>
                <w:rFonts w:cs="Times New Roman"/>
                <w:sz w:val="20"/>
                <w:szCs w:val="20"/>
                <w:lang w:val="de-DE"/>
              </w:rPr>
              <w:t>Beschreibt Methoden zur Bestimmung der Keimzahl auf Medizinprodukten vor der Sterilisation.</w:t>
            </w:r>
          </w:p>
        </w:tc>
      </w:tr>
      <w:tr w:rsidR="005F7AEC" w:rsidRPr="00A82930"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A82930" w:rsidRDefault="005F7AEC">
            <w:pPr>
              <w:spacing w:after="0" w:afterAutospacing="0"/>
              <w:rPr>
                <w:rFonts w:cs="Times New Roman"/>
              </w:rPr>
            </w:pPr>
            <w:r w:rsidRPr="00A82930">
              <w:rPr>
                <w:rFonts w:cs="Times New Roman"/>
                <w:sz w:val="20"/>
                <w:szCs w:val="20"/>
                <w:lang w:val="de-DE"/>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A82930" w:rsidRDefault="005F7AEC">
            <w:pPr>
              <w:spacing w:after="0" w:afterAutospacing="0"/>
              <w:rPr>
                <w:rFonts w:cs="Times New Roman"/>
                <w:lang w:val="de-DE"/>
              </w:rPr>
            </w:pPr>
            <w:r w:rsidRPr="00A82930">
              <w:rPr>
                <w:rFonts w:cs="Times New Roman"/>
                <w:sz w:val="20"/>
                <w:szCs w:val="20"/>
                <w:lang w:val="de-DE"/>
              </w:rPr>
              <w:t>Enthält Leitlinien zu den zulässigen Grenzwerten und zur Bewertung von Restkonzentrationen nach der Ethylenoxid-Sterilisation.</w:t>
            </w:r>
          </w:p>
        </w:tc>
      </w:tr>
      <w:tr w:rsidR="005F7AEC" w:rsidRPr="00A82930"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A82930" w:rsidRDefault="005F7AEC">
            <w:pPr>
              <w:spacing w:after="0" w:afterAutospacing="0"/>
              <w:rPr>
                <w:rFonts w:cs="Times New Roman"/>
              </w:rPr>
            </w:pPr>
            <w:r w:rsidRPr="00A82930">
              <w:rPr>
                <w:rFonts w:cs="Times New Roman"/>
                <w:sz w:val="20"/>
                <w:szCs w:val="20"/>
                <w:lang w:val="de-DE"/>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A82930" w:rsidRDefault="005F7AEC">
            <w:pPr>
              <w:spacing w:after="0" w:afterAutospacing="0"/>
              <w:rPr>
                <w:rFonts w:cs="Times New Roman"/>
                <w:lang w:val="de-DE"/>
              </w:rPr>
            </w:pPr>
            <w:r w:rsidRPr="00A82930">
              <w:rPr>
                <w:rFonts w:cs="Times New Roman"/>
                <w:sz w:val="20"/>
                <w:szCs w:val="20"/>
                <w:lang w:val="de-DE"/>
              </w:rPr>
              <w:t>Weitere angewandte Normen zur Prüfung auf bakterielle Endotoxine zur Absicherung der Pyrogensicherheit der betreffenden Produkte.</w:t>
            </w:r>
          </w:p>
        </w:tc>
      </w:tr>
      <w:tr w:rsidR="005F7AEC" w:rsidRPr="00A82930"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A82930" w:rsidRDefault="005F7AEC">
            <w:pPr>
              <w:spacing w:after="0" w:afterAutospacing="0"/>
              <w:rPr>
                <w:rFonts w:cs="Times New Roman"/>
              </w:rPr>
            </w:pPr>
            <w:r w:rsidRPr="00A82930">
              <w:rPr>
                <w:rFonts w:cs="Times New Roman"/>
                <w:sz w:val="20"/>
                <w:szCs w:val="20"/>
                <w:lang w:val="de-DE"/>
              </w:rPr>
              <w:t>ISO 14644-1:2015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A82930" w:rsidRDefault="005F7AEC">
            <w:pPr>
              <w:spacing w:after="0" w:afterAutospacing="0"/>
              <w:rPr>
                <w:rFonts w:cs="Times New Roman"/>
                <w:lang w:val="de-DE"/>
              </w:rPr>
            </w:pPr>
            <w:r w:rsidRPr="00A82930">
              <w:rPr>
                <w:rFonts w:cs="Times New Roman"/>
                <w:sz w:val="20"/>
                <w:szCs w:val="20"/>
                <w:lang w:val="de-DE"/>
              </w:rPr>
              <w:t>Legt die Klassifizierung von Reinräumen und kontrollierten Umgebungen anhand der Partikelkonzentration fest, soweit dies für die Fertigungskontrolle relevant ist.</w:t>
            </w:r>
          </w:p>
        </w:tc>
      </w:tr>
      <w:tr w:rsidR="005F7AEC" w:rsidRPr="00A82930" w14:paraId="383E1574" w14:textId="77777777" w:rsidTr="003D68CE">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A82930" w:rsidRDefault="005F7AEC">
            <w:pPr>
              <w:spacing w:after="0" w:afterAutospacing="0"/>
              <w:rPr>
                <w:rFonts w:cs="Times New Roman"/>
              </w:rPr>
            </w:pPr>
            <w:r w:rsidRPr="00A82930">
              <w:rPr>
                <w:rFonts w:cs="Times New Roman"/>
                <w:sz w:val="20"/>
                <w:szCs w:val="20"/>
                <w:lang w:val="de-DE"/>
              </w:rPr>
              <w:t>ISO 14644-2:2015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A82930" w:rsidRDefault="005F7AEC">
            <w:pPr>
              <w:spacing w:after="0" w:afterAutospacing="0"/>
              <w:rPr>
                <w:rFonts w:cs="Times New Roman"/>
                <w:lang w:val="de-DE"/>
              </w:rPr>
            </w:pPr>
            <w:r w:rsidRPr="00A82930">
              <w:rPr>
                <w:rFonts w:cs="Times New Roman"/>
                <w:sz w:val="20"/>
                <w:szCs w:val="20"/>
                <w:lang w:val="de-DE"/>
              </w:rPr>
              <w:t>Legt die Überwachungsanforderungen für die Leistungsfähigkeit von Reinräumen fest, soweit diese für kontrollierte Fertigungsumgebungen gelten.</w:t>
            </w:r>
          </w:p>
        </w:tc>
      </w:tr>
      <w:tr w:rsidR="005F7AEC" w:rsidRPr="00A82930" w14:paraId="6C748822" w14:textId="77777777" w:rsidTr="00CC2E6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A82930" w:rsidRDefault="005F7AEC">
            <w:pPr>
              <w:spacing w:after="0" w:afterAutospacing="0"/>
              <w:rPr>
                <w:rFonts w:cs="Times New Roman"/>
              </w:rPr>
            </w:pPr>
            <w:r w:rsidRPr="00A82930">
              <w:rPr>
                <w:rFonts w:cs="Times New Roman"/>
                <w:b/>
                <w:bCs/>
                <w:sz w:val="20"/>
                <w:szCs w:val="20"/>
                <w:lang w:val="de-DE"/>
              </w:rPr>
              <w:t>Qualitätsmanagement und Risikomanagement</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A82930" w:rsidRDefault="005F7AEC">
            <w:pPr>
              <w:spacing w:after="0" w:afterAutospacing="0"/>
              <w:rPr>
                <w:rFonts w:cs="Times New Roman"/>
              </w:rPr>
            </w:pPr>
            <w:r w:rsidRPr="00A82930">
              <w:rPr>
                <w:rFonts w:cs="Times New Roman"/>
                <w:sz w:val="20"/>
                <w:szCs w:val="20"/>
                <w:lang w:val="de-DE"/>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A82930" w:rsidRDefault="005F7AEC">
            <w:pPr>
              <w:spacing w:after="0" w:afterAutospacing="0"/>
              <w:rPr>
                <w:rFonts w:cs="Times New Roman"/>
                <w:lang w:val="de-DE"/>
              </w:rPr>
            </w:pPr>
            <w:r w:rsidRPr="00A82930">
              <w:rPr>
                <w:rFonts w:cs="Times New Roman"/>
                <w:sz w:val="20"/>
                <w:szCs w:val="20"/>
                <w:lang w:val="de-DE"/>
              </w:rPr>
              <w:t>Legt Anforderungen an ein Qualitätsmanagementsystem fest, das für die Entwicklung, Herstellung und Aktivitäten nach dem Inverkehrbringen von Medizinprodukten gilt.</w:t>
            </w:r>
          </w:p>
        </w:tc>
      </w:tr>
      <w:tr w:rsidR="005F7AEC" w:rsidRPr="00A82930"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A82930" w:rsidRDefault="005F7AEC">
            <w:pPr>
              <w:spacing w:after="0" w:afterAutospacing="0"/>
              <w:rPr>
                <w:rFonts w:cs="Times New Roman"/>
              </w:rPr>
            </w:pPr>
            <w:r w:rsidRPr="00A82930">
              <w:rPr>
                <w:rFonts w:cs="Times New Roman"/>
                <w:sz w:val="20"/>
                <w:szCs w:val="20"/>
                <w:lang w:val="de-DE"/>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A82930" w:rsidRDefault="005F7AEC">
            <w:pPr>
              <w:spacing w:after="0" w:afterAutospacing="0"/>
              <w:rPr>
                <w:rFonts w:cs="Times New Roman"/>
                <w:lang w:val="de-DE"/>
              </w:rPr>
            </w:pPr>
            <w:r w:rsidRPr="00A82930">
              <w:rPr>
                <w:rFonts w:cs="Times New Roman"/>
                <w:sz w:val="20"/>
                <w:szCs w:val="20"/>
                <w:lang w:val="de-DE"/>
              </w:rPr>
              <w:t>Legt einen systematischen Prozess zur Ermittlung, Bewertung, Beherrschung und Überwachung von Risiken im Zusammenhang mit Medizinprodukten fest.</w:t>
            </w:r>
          </w:p>
        </w:tc>
      </w:tr>
      <w:tr w:rsidR="00E56145" w:rsidRPr="00A82930" w14:paraId="575F629B"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A82930" w:rsidRDefault="00E56145">
            <w:pPr>
              <w:spacing w:after="0" w:afterAutospacing="0"/>
              <w:rPr>
                <w:rFonts w:cs="Times New Roman"/>
                <w:lang w:val="de-DE"/>
              </w:rPr>
            </w:pPr>
            <w:r w:rsidRPr="00A82930">
              <w:rPr>
                <w:rFonts w:cs="Times New Roman"/>
                <w:b/>
                <w:bCs/>
                <w:sz w:val="20"/>
                <w:szCs w:val="20"/>
                <w:lang w:val="de-DE"/>
              </w:rPr>
              <w:t>Intravaskuläre Katheter und vaskuläre Implantate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A82930" w:rsidRDefault="00E56145">
            <w:pPr>
              <w:spacing w:after="0" w:afterAutospacing="0"/>
              <w:rPr>
                <w:rFonts w:cs="Times New Roman"/>
              </w:rPr>
            </w:pPr>
            <w:r w:rsidRPr="00A82930">
              <w:rPr>
                <w:rFonts w:cs="Times New Roman"/>
                <w:sz w:val="20"/>
                <w:szCs w:val="20"/>
                <w:lang w:val="de-DE"/>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A82930" w:rsidRDefault="00E56145">
            <w:pPr>
              <w:spacing w:after="0" w:afterAutospacing="0"/>
              <w:rPr>
                <w:rFonts w:cs="Times New Roman"/>
                <w:lang w:val="de-DE"/>
              </w:rPr>
            </w:pPr>
            <w:r w:rsidRPr="00A82930">
              <w:rPr>
                <w:rFonts w:cs="Times New Roman"/>
                <w:sz w:val="20"/>
                <w:szCs w:val="20"/>
                <w:lang w:val="de-DE"/>
              </w:rPr>
              <w:t>Legt allgemeine Anforderungen an sterile Einweg-Intravaskulärkatheter fest, soweit diese auf Komponenten des Verabreichungssystems zutreffen.</w:t>
            </w:r>
          </w:p>
        </w:tc>
      </w:tr>
      <w:tr w:rsidR="005F7AEC" w:rsidRPr="00A82930" w14:paraId="6B6B55E1" w14:textId="77777777" w:rsidTr="00E56AB5">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156B6FE"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77777777" w:rsidR="005F7AEC" w:rsidRPr="00A82930" w:rsidRDefault="005F7AEC">
            <w:pPr>
              <w:spacing w:after="0" w:afterAutospacing="0"/>
              <w:rPr>
                <w:rFonts w:cs="Times New Roman"/>
              </w:rPr>
            </w:pPr>
            <w:r w:rsidRPr="00A82930">
              <w:rPr>
                <w:rFonts w:cs="Times New Roman"/>
                <w:sz w:val="20"/>
                <w:szCs w:val="20"/>
                <w:lang w:val="de-DE"/>
              </w:rPr>
              <w:t>EN ISO 11070:2014/Amd 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A82930" w:rsidRDefault="005F7AEC">
            <w:pPr>
              <w:spacing w:after="0" w:afterAutospacing="0"/>
              <w:rPr>
                <w:rFonts w:cs="Times New Roman"/>
                <w:lang w:val="de-DE"/>
              </w:rPr>
            </w:pPr>
            <w:r w:rsidRPr="00A82930">
              <w:rPr>
                <w:rFonts w:cs="Times New Roman"/>
                <w:sz w:val="20"/>
                <w:szCs w:val="20"/>
                <w:lang w:val="de-DE"/>
              </w:rPr>
              <w:t>Legt Anforderungen an sterile intravaskuläre Einführhilfen, Dilatatoren und Führungsdrähte für den Einmalgebrauch fest, soweit diese für Komponenten zur Einführung des Produkts relevant sind.</w:t>
            </w:r>
          </w:p>
        </w:tc>
      </w:tr>
      <w:tr w:rsidR="005F7AEC" w:rsidRPr="00A82930" w14:paraId="7B664BA4"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FCA9738"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A82930" w:rsidRDefault="005F7AEC">
            <w:pPr>
              <w:spacing w:after="0" w:afterAutospacing="0"/>
              <w:rPr>
                <w:rFonts w:cs="Times New Roman"/>
              </w:rPr>
            </w:pPr>
            <w:r w:rsidRPr="00A82930">
              <w:rPr>
                <w:rFonts w:cs="Times New Roman"/>
                <w:sz w:val="20"/>
                <w:szCs w:val="20"/>
                <w:lang w:val="de-DE"/>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A82930" w:rsidRDefault="005F7AEC">
            <w:pPr>
              <w:spacing w:after="0" w:afterAutospacing="0"/>
              <w:rPr>
                <w:rFonts w:cs="Times New Roman"/>
                <w:lang w:val="de-DE"/>
              </w:rPr>
            </w:pPr>
            <w:r w:rsidRPr="00A82930">
              <w:rPr>
                <w:rFonts w:cs="Times New Roman"/>
                <w:sz w:val="20"/>
                <w:szCs w:val="20"/>
                <w:lang w:val="de-DE"/>
              </w:rPr>
              <w:t>Behandelt die Anforderungen an endovaskuläre Produkte im Hinblick auf die Sicherheit und Leistungsfähigkeit von vaskulären Implantaten.</w:t>
            </w:r>
          </w:p>
        </w:tc>
      </w:tr>
      <w:tr w:rsidR="005F7AEC" w:rsidRPr="00A82930" w14:paraId="7DD88EF1"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E70C8F8"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A82930" w:rsidRDefault="005F7AEC">
            <w:pPr>
              <w:spacing w:after="0" w:afterAutospacing="0"/>
              <w:rPr>
                <w:rFonts w:cs="Times New Roman"/>
              </w:rPr>
            </w:pPr>
            <w:r w:rsidRPr="00A82930">
              <w:rPr>
                <w:rFonts w:cs="Times New Roman"/>
                <w:sz w:val="20"/>
                <w:szCs w:val="20"/>
                <w:lang w:val="de-DE"/>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A82930" w:rsidRDefault="005F7AEC">
            <w:pPr>
              <w:spacing w:after="0" w:afterAutospacing="0"/>
              <w:rPr>
                <w:rFonts w:cs="Times New Roman"/>
                <w:lang w:val="de-DE"/>
              </w:rPr>
            </w:pPr>
            <w:r w:rsidRPr="00A82930">
              <w:rPr>
                <w:rFonts w:cs="Times New Roman"/>
                <w:sz w:val="20"/>
                <w:szCs w:val="20"/>
                <w:lang w:val="de-DE"/>
              </w:rPr>
              <w:t>Behandelt die Anforderungen an Vena-Cava-Filter hinsichtlich Konstruktion, Leistung und Sicherheitsbewertung.</w:t>
            </w:r>
          </w:p>
        </w:tc>
      </w:tr>
      <w:tr w:rsidR="005F7AEC" w:rsidRPr="00A82930" w14:paraId="2D3A92C2"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7F0A6A3"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A82930" w:rsidRDefault="005F7AEC">
            <w:pPr>
              <w:spacing w:after="0" w:afterAutospacing="0"/>
              <w:rPr>
                <w:rFonts w:cs="Times New Roman"/>
              </w:rPr>
            </w:pPr>
            <w:r w:rsidRPr="00A82930">
              <w:rPr>
                <w:rFonts w:cs="Times New Roman"/>
                <w:sz w:val="20"/>
                <w:szCs w:val="20"/>
                <w:lang w:val="de-DE"/>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A82930" w:rsidRDefault="005F7AEC">
            <w:pPr>
              <w:spacing w:after="0" w:afterAutospacing="0"/>
              <w:rPr>
                <w:rFonts w:cs="Times New Roman"/>
                <w:lang w:val="de-DE"/>
              </w:rPr>
            </w:pPr>
            <w:r w:rsidRPr="00A82930">
              <w:rPr>
                <w:rFonts w:cs="Times New Roman"/>
                <w:sz w:val="20"/>
                <w:szCs w:val="20"/>
                <w:lang w:val="de-DE"/>
              </w:rPr>
              <w:t>Legt gegebenenfalls Anforderungen an Steckverbinder mit kleinem Durchmesser für intravaskuläre oder subkutane Anwendungen fest.</w:t>
            </w:r>
          </w:p>
        </w:tc>
      </w:tr>
      <w:tr w:rsidR="005F7AEC" w:rsidRPr="00A82930" w14:paraId="3A56889A" w14:textId="77777777" w:rsidTr="00E56AB5">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3B1CE695"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A82930" w:rsidRDefault="005F7AEC">
            <w:pPr>
              <w:spacing w:after="0" w:afterAutospacing="0"/>
              <w:rPr>
                <w:rFonts w:cs="Times New Roman"/>
              </w:rPr>
            </w:pPr>
            <w:r w:rsidRPr="00A82930">
              <w:rPr>
                <w:rFonts w:cs="Times New Roman"/>
                <w:sz w:val="20"/>
                <w:szCs w:val="20"/>
                <w:lang w:val="de-DE"/>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A82930" w:rsidRDefault="005F7AEC">
            <w:pPr>
              <w:spacing w:after="0" w:afterAutospacing="0"/>
              <w:rPr>
                <w:rFonts w:cs="Times New Roman"/>
                <w:lang w:val="de-DE"/>
              </w:rPr>
            </w:pPr>
            <w:r w:rsidRPr="00A82930">
              <w:rPr>
                <w:rFonts w:cs="Times New Roman"/>
                <w:sz w:val="20"/>
                <w:szCs w:val="20"/>
                <w:lang w:val="de-DE"/>
              </w:rPr>
              <w:t>Legt gegebenenfalls gängige Prüfverfahren für Steckverbinder mit kleinem Durchmesser fest, die in Anwendungen im Gesundheitswesen zum Einsatz kommen.</w:t>
            </w:r>
          </w:p>
        </w:tc>
      </w:tr>
      <w:tr w:rsidR="00E56145" w:rsidRPr="00A82930" w14:paraId="31F78746" w14:textId="77777777" w:rsidTr="004C323A">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A82930" w:rsidRDefault="00E56145">
            <w:pPr>
              <w:spacing w:after="0" w:afterAutospacing="0"/>
              <w:rPr>
                <w:rFonts w:cs="Times New Roman"/>
              </w:rPr>
            </w:pPr>
            <w:r w:rsidRPr="00A82930">
              <w:rPr>
                <w:rFonts w:cs="Times New Roman"/>
                <w:b/>
                <w:bCs/>
                <w:sz w:val="20"/>
                <w:szCs w:val="20"/>
                <w:lang w:val="de-DE"/>
              </w:rPr>
              <w:t>Biologische Sicherheit</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A82930" w:rsidRDefault="00E56145">
            <w:pPr>
              <w:spacing w:after="0" w:afterAutospacing="0"/>
              <w:rPr>
                <w:rFonts w:cs="Times New Roman"/>
              </w:rPr>
            </w:pPr>
            <w:r w:rsidRPr="00A82930">
              <w:rPr>
                <w:rFonts w:cs="Times New Roman"/>
                <w:sz w:val="20"/>
                <w:szCs w:val="20"/>
                <w:lang w:val="de-DE"/>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A82930" w:rsidRDefault="00E56145">
            <w:pPr>
              <w:spacing w:after="0" w:afterAutospacing="0"/>
              <w:rPr>
                <w:rFonts w:cs="Times New Roman"/>
                <w:lang w:val="de-DE"/>
              </w:rPr>
            </w:pPr>
            <w:r w:rsidRPr="00A82930">
              <w:rPr>
                <w:rFonts w:cs="Times New Roman"/>
                <w:sz w:val="20"/>
                <w:szCs w:val="20"/>
                <w:lang w:val="de-DE"/>
              </w:rPr>
              <w:t>Enthält einen Rahmen für die biologische Bewertung von Medizinprodukten auf der Grundlage der Art und Dauer des Körperkontakts.</w:t>
            </w:r>
          </w:p>
        </w:tc>
      </w:tr>
      <w:tr w:rsidR="005F7AEC" w:rsidRPr="00A82930" w14:paraId="44BF1070" w14:textId="77777777" w:rsidTr="004C323A">
        <w:tc>
          <w:tcPr>
            <w:tcW w:w="988" w:type="pct"/>
            <w:vMerge w:val="restart"/>
            <w:tcBorders>
              <w:top w:val="single" w:sz="8" w:space="0" w:color="auto"/>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000D63B2"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A82930" w:rsidRDefault="005F7AEC">
            <w:pPr>
              <w:spacing w:after="0" w:afterAutospacing="0"/>
              <w:rPr>
                <w:rFonts w:cs="Times New Roman"/>
              </w:rPr>
            </w:pPr>
            <w:r w:rsidRPr="00A82930">
              <w:rPr>
                <w:rFonts w:cs="Times New Roman"/>
                <w:sz w:val="20"/>
                <w:szCs w:val="20"/>
                <w:lang w:val="de-DE"/>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A82930" w:rsidRDefault="005F7AEC">
            <w:pPr>
              <w:spacing w:after="0" w:afterAutospacing="0"/>
              <w:rPr>
                <w:rFonts w:cs="Times New Roman"/>
                <w:lang w:val="de-DE"/>
              </w:rPr>
            </w:pPr>
            <w:r w:rsidRPr="00A82930">
              <w:rPr>
                <w:rFonts w:cs="Times New Roman"/>
                <w:sz w:val="20"/>
                <w:szCs w:val="20"/>
                <w:lang w:val="de-DE"/>
              </w:rPr>
              <w:t>Legt Prüfverfahren zur Bewertung der In-vitro-Zytotoxizität fest.</w:t>
            </w:r>
          </w:p>
        </w:tc>
      </w:tr>
      <w:tr w:rsidR="005F7AEC" w:rsidRPr="00A82930" w14:paraId="74625AA1" w14:textId="77777777" w:rsidTr="004C323A">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70E67080"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A82930" w:rsidRDefault="005F7AEC">
            <w:pPr>
              <w:spacing w:after="0" w:afterAutospacing="0"/>
              <w:rPr>
                <w:rFonts w:cs="Times New Roman"/>
              </w:rPr>
            </w:pPr>
            <w:r w:rsidRPr="00A82930">
              <w:rPr>
                <w:rFonts w:cs="Times New Roman"/>
                <w:sz w:val="20"/>
                <w:szCs w:val="20"/>
                <w:lang w:val="de-DE"/>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A82930" w:rsidRDefault="005F7AEC">
            <w:pPr>
              <w:spacing w:after="0" w:afterAutospacing="0"/>
              <w:rPr>
                <w:rFonts w:cs="Times New Roman"/>
                <w:lang w:val="de-DE"/>
              </w:rPr>
            </w:pPr>
            <w:r w:rsidRPr="00A82930">
              <w:rPr>
                <w:rFonts w:cs="Times New Roman"/>
                <w:sz w:val="20"/>
                <w:szCs w:val="20"/>
                <w:lang w:val="de-DE"/>
              </w:rPr>
              <w:t>Behandelt die Bewertung des Reiz- und Sensibilisierungspotenzials.</w:t>
            </w:r>
          </w:p>
        </w:tc>
      </w:tr>
      <w:tr w:rsidR="005F7AEC" w:rsidRPr="00A82930" w14:paraId="68B78B39" w14:textId="77777777" w:rsidTr="004C323A">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7C3BD2D6"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A82930" w:rsidRDefault="005F7AEC">
            <w:pPr>
              <w:spacing w:after="0" w:afterAutospacing="0"/>
              <w:rPr>
                <w:rFonts w:cs="Times New Roman"/>
              </w:rPr>
            </w:pPr>
            <w:r w:rsidRPr="00A82930">
              <w:rPr>
                <w:rFonts w:cs="Times New Roman"/>
                <w:sz w:val="20"/>
                <w:szCs w:val="20"/>
                <w:lang w:val="de-DE"/>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A82930" w:rsidRDefault="005F7AEC">
            <w:pPr>
              <w:spacing w:after="0" w:afterAutospacing="0"/>
              <w:rPr>
                <w:rFonts w:cs="Times New Roman"/>
                <w:lang w:val="de-DE"/>
              </w:rPr>
            </w:pPr>
            <w:r w:rsidRPr="00A82930">
              <w:rPr>
                <w:rFonts w:cs="Times New Roman"/>
                <w:sz w:val="20"/>
                <w:szCs w:val="20"/>
                <w:lang w:val="de-DE"/>
              </w:rPr>
              <w:t>Legt Anforderungen für die Prüfung auf systemische Toxizität fest.</w:t>
            </w:r>
          </w:p>
        </w:tc>
      </w:tr>
      <w:tr w:rsidR="005F7AEC" w:rsidRPr="00A82930" w14:paraId="0BF771D6" w14:textId="77777777" w:rsidTr="004C323A">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6464F108"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A82930" w:rsidRDefault="005F7AEC">
            <w:pPr>
              <w:spacing w:after="0" w:afterAutospacing="0"/>
              <w:rPr>
                <w:rFonts w:cs="Times New Roman"/>
              </w:rPr>
            </w:pPr>
            <w:r w:rsidRPr="00A82930">
              <w:rPr>
                <w:rFonts w:cs="Times New Roman"/>
                <w:sz w:val="20"/>
                <w:szCs w:val="20"/>
                <w:lang w:val="de-DE"/>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A82930" w:rsidRDefault="005F7AEC">
            <w:pPr>
              <w:spacing w:after="0" w:afterAutospacing="0"/>
              <w:rPr>
                <w:rFonts w:cs="Times New Roman"/>
                <w:lang w:val="de-DE"/>
              </w:rPr>
            </w:pPr>
            <w:r w:rsidRPr="00A82930">
              <w:rPr>
                <w:rFonts w:cs="Times New Roman"/>
                <w:sz w:val="20"/>
                <w:szCs w:val="20"/>
                <w:lang w:val="de-DE"/>
              </w:rPr>
              <w:t>Behandelt die Auswahl von Prüfverfahren für Wechselwirkungen mit Blut, einschließlich Überlegungen zur Hämokompatibilität bei Medizinprodukten, die mit Blut in Kontakt kommen.</w:t>
            </w:r>
          </w:p>
        </w:tc>
      </w:tr>
      <w:tr w:rsidR="005F7AEC" w:rsidRPr="00A82930" w14:paraId="3174A20D" w14:textId="77777777" w:rsidTr="004C323A">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2ED6D66A"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A82930" w:rsidRDefault="005F7AEC">
            <w:pPr>
              <w:spacing w:after="0" w:afterAutospacing="0"/>
              <w:rPr>
                <w:rFonts w:cs="Times New Roman"/>
              </w:rPr>
            </w:pPr>
            <w:r w:rsidRPr="00A82930">
              <w:rPr>
                <w:rFonts w:cs="Times New Roman"/>
                <w:sz w:val="20"/>
                <w:szCs w:val="20"/>
                <w:lang w:val="de-DE"/>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A82930" w:rsidRDefault="005F7AEC">
            <w:pPr>
              <w:spacing w:after="0" w:afterAutospacing="0"/>
              <w:rPr>
                <w:rFonts w:cs="Times New Roman"/>
                <w:lang w:val="de-DE"/>
              </w:rPr>
            </w:pPr>
            <w:r w:rsidRPr="00A82930">
              <w:rPr>
                <w:rFonts w:cs="Times New Roman"/>
                <w:sz w:val="20"/>
                <w:szCs w:val="20"/>
                <w:lang w:val="de-DE"/>
              </w:rPr>
              <w:t>Legt Anforderungen an die Probenvorbereitung und an die Referenzmaterialien fest, die bei biologischen Bewertungsuntersuchungen verwendet werden.</w:t>
            </w:r>
          </w:p>
        </w:tc>
      </w:tr>
      <w:tr w:rsidR="005F7AEC" w:rsidRPr="00A82930" w14:paraId="7060B5F1" w14:textId="77777777" w:rsidTr="004C323A">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6279AA15"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A82930" w:rsidRDefault="005F7AEC">
            <w:pPr>
              <w:spacing w:after="0" w:afterAutospacing="0"/>
              <w:rPr>
                <w:rFonts w:cs="Times New Roman"/>
              </w:rPr>
            </w:pPr>
            <w:r w:rsidRPr="00A82930">
              <w:rPr>
                <w:rFonts w:cs="Times New Roman"/>
                <w:sz w:val="20"/>
                <w:szCs w:val="20"/>
                <w:lang w:val="de-DE"/>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A82930" w:rsidRDefault="005F7AEC">
            <w:pPr>
              <w:spacing w:after="0" w:afterAutospacing="0"/>
              <w:rPr>
                <w:rFonts w:cs="Times New Roman"/>
                <w:lang w:val="de-DE"/>
              </w:rPr>
            </w:pPr>
            <w:r w:rsidRPr="00A82930">
              <w:rPr>
                <w:rFonts w:cs="Times New Roman"/>
                <w:sz w:val="20"/>
                <w:szCs w:val="20"/>
                <w:lang w:val="de-DE"/>
              </w:rPr>
              <w:t>Liefert Leitlinien für die toxikologische Risikobewertung von Bestandteilen medizinischer Produkte zur Unterstützung der biologischen Sicherheitsbewertung.</w:t>
            </w:r>
          </w:p>
        </w:tc>
      </w:tr>
      <w:tr w:rsidR="005F7AEC" w:rsidRPr="00A82930" w14:paraId="74BEDA88" w14:textId="77777777" w:rsidTr="004C323A">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4930C49A"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A82930" w:rsidRDefault="005F7AEC">
            <w:pPr>
              <w:spacing w:after="0" w:afterAutospacing="0"/>
              <w:rPr>
                <w:rFonts w:cs="Times New Roman"/>
              </w:rPr>
            </w:pPr>
            <w:r w:rsidRPr="00A82930">
              <w:rPr>
                <w:rFonts w:cs="Times New Roman"/>
                <w:sz w:val="20"/>
                <w:szCs w:val="20"/>
                <w:lang w:val="de-DE"/>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A82930" w:rsidRDefault="005F7AEC">
            <w:pPr>
              <w:spacing w:after="0" w:afterAutospacing="0"/>
              <w:rPr>
                <w:rFonts w:cs="Times New Roman"/>
                <w:lang w:val="de-DE"/>
              </w:rPr>
            </w:pPr>
            <w:r w:rsidRPr="00A82930">
              <w:rPr>
                <w:rFonts w:cs="Times New Roman"/>
                <w:sz w:val="20"/>
                <w:szCs w:val="20"/>
                <w:lang w:val="de-DE"/>
              </w:rPr>
              <w:t>Behandelt die chemische Charakterisierung von Materialien für Medizinprodukte im Rahmen eines biologischen Risikomanagementprozesses.</w:t>
            </w:r>
          </w:p>
        </w:tc>
      </w:tr>
      <w:tr w:rsidR="00E56145" w:rsidRPr="00A82930" w14:paraId="14F3D973" w14:textId="77777777" w:rsidTr="004C323A">
        <w:tc>
          <w:tcPr>
            <w:tcW w:w="988" w:type="pct"/>
            <w:tcBorders>
              <w:top w:val="single" w:sz="4" w:space="0" w:color="auto"/>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A82930" w:rsidRDefault="00E56145">
            <w:pPr>
              <w:spacing w:after="0" w:afterAutospacing="0"/>
              <w:rPr>
                <w:rFonts w:cs="Times New Roman"/>
              </w:rPr>
            </w:pPr>
            <w:r w:rsidRPr="00A82930">
              <w:rPr>
                <w:rFonts w:cs="Times New Roman"/>
                <w:b/>
                <w:bCs/>
                <w:sz w:val="20"/>
                <w:szCs w:val="20"/>
                <w:lang w:val="de-DE"/>
              </w:rPr>
              <w:t>Klinische Bewertung</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A82930" w:rsidRDefault="00E56145">
            <w:pPr>
              <w:spacing w:after="0" w:afterAutospacing="0"/>
              <w:rPr>
                <w:rFonts w:cs="Times New Roman"/>
              </w:rPr>
            </w:pPr>
            <w:r w:rsidRPr="00A82930">
              <w:rPr>
                <w:rFonts w:cs="Times New Roman"/>
                <w:sz w:val="20"/>
                <w:szCs w:val="20"/>
                <w:lang w:val="de-DE"/>
              </w:rPr>
              <w:t>MEDDEV 2.7/1 Rev.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A82930" w:rsidRDefault="00E56145">
            <w:pPr>
              <w:spacing w:after="0" w:afterAutospacing="0"/>
              <w:rPr>
                <w:rFonts w:cs="Times New Roman"/>
                <w:lang w:val="de-DE"/>
              </w:rPr>
            </w:pPr>
            <w:r w:rsidRPr="00A82930">
              <w:rPr>
                <w:rFonts w:cs="Times New Roman"/>
                <w:sz w:val="20"/>
                <w:szCs w:val="20"/>
                <w:lang w:val="de-DE"/>
              </w:rPr>
              <w:t>Leitlinien zur Unterstützung der Methodik der klinischen Bewertung.</w:t>
            </w:r>
          </w:p>
        </w:tc>
      </w:tr>
      <w:tr w:rsidR="00E56145" w:rsidRPr="00A82930"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A82930" w:rsidRDefault="00E56145">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A82930" w:rsidRDefault="00E56145">
            <w:pPr>
              <w:spacing w:after="0" w:afterAutospacing="0"/>
              <w:rPr>
                <w:rFonts w:cs="Times New Roman"/>
              </w:rPr>
            </w:pPr>
            <w:r w:rsidRPr="00A82930">
              <w:rPr>
                <w:rFonts w:cs="Times New Roman"/>
                <w:sz w:val="20"/>
                <w:szCs w:val="20"/>
                <w:lang w:val="de-DE"/>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A82930" w:rsidRDefault="00E56145">
            <w:pPr>
              <w:spacing w:after="0" w:afterAutospacing="0"/>
              <w:rPr>
                <w:rFonts w:cs="Times New Roman"/>
                <w:lang w:val="de-DE"/>
              </w:rPr>
            </w:pPr>
            <w:r w:rsidRPr="00A82930">
              <w:rPr>
                <w:rFonts w:cs="Times New Roman"/>
                <w:sz w:val="20"/>
                <w:szCs w:val="20"/>
                <w:lang w:val="de-DE"/>
              </w:rPr>
              <w:t>Enthält Leitlinien zu ausreichenden klinischen Nachweisen für bereits auf dem Markt befindliche Medizinprodukte gemäß der Verordnung (EU) 2017/745.</w:t>
            </w:r>
          </w:p>
        </w:tc>
      </w:tr>
      <w:tr w:rsidR="00E56145" w:rsidRPr="00A82930" w14:paraId="0D42665C"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A82930" w:rsidRDefault="00E56145">
            <w:pPr>
              <w:spacing w:after="0" w:afterAutospacing="0"/>
              <w:rPr>
                <w:rFonts w:cs="Times New Roman"/>
              </w:rPr>
            </w:pPr>
            <w:r w:rsidRPr="00A82930">
              <w:rPr>
                <w:rFonts w:cs="Times New Roman"/>
                <w:b/>
                <w:bCs/>
                <w:sz w:val="20"/>
                <w:szCs w:val="20"/>
                <w:lang w:val="de-DE"/>
              </w:rPr>
              <w:t>SSCP-/PMCF-Leitlinien</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A82930" w:rsidRDefault="00E56145">
            <w:pPr>
              <w:spacing w:after="0" w:afterAutospacing="0"/>
              <w:rPr>
                <w:rFonts w:cs="Times New Roman"/>
              </w:rPr>
            </w:pPr>
            <w:r w:rsidRPr="00A82930">
              <w:rPr>
                <w:rFonts w:cs="Times New Roman"/>
                <w:sz w:val="20"/>
                <w:szCs w:val="20"/>
                <w:lang w:val="de-DE"/>
              </w:rPr>
              <w:t>MDCG 2019-9 Rev.1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A82930" w:rsidRDefault="00E56145">
            <w:pPr>
              <w:spacing w:after="0" w:afterAutospacing="0"/>
              <w:rPr>
                <w:rFonts w:cs="Times New Roman"/>
                <w:lang w:val="de-DE"/>
              </w:rPr>
            </w:pPr>
            <w:r w:rsidRPr="00A82930">
              <w:rPr>
                <w:rFonts w:cs="Times New Roman"/>
                <w:sz w:val="20"/>
                <w:szCs w:val="20"/>
                <w:lang w:val="de-DE"/>
              </w:rPr>
              <w:t>Enthält Leitlinien zur Erstellung, Validierung und öffentlichen Bereitstellung der Zusammenfassung der Sicherheit und der klinischen Leistung.</w:t>
            </w:r>
          </w:p>
        </w:tc>
      </w:tr>
      <w:tr w:rsidR="005F7AEC" w:rsidRPr="00A82930" w14:paraId="02991115" w14:textId="77777777" w:rsidTr="003E022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A82930" w:rsidRDefault="005F7AEC">
            <w:pPr>
              <w:spacing w:after="0" w:afterAutospacing="0"/>
              <w:rPr>
                <w:rFonts w:cs="Times New Roman"/>
              </w:rPr>
            </w:pPr>
            <w:r w:rsidRPr="00A82930">
              <w:rPr>
                <w:rFonts w:cs="Times New Roman"/>
                <w:sz w:val="20"/>
                <w:szCs w:val="20"/>
                <w:lang w:val="de-DE"/>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A82930" w:rsidRDefault="005F7AEC">
            <w:pPr>
              <w:spacing w:after="0" w:afterAutospacing="0"/>
              <w:rPr>
                <w:rFonts w:cs="Times New Roman"/>
                <w:lang w:val="de-DE"/>
              </w:rPr>
            </w:pPr>
            <w:r w:rsidRPr="00A82930">
              <w:rPr>
                <w:rFonts w:cs="Times New Roman"/>
                <w:sz w:val="20"/>
                <w:szCs w:val="20"/>
                <w:lang w:val="de-DE"/>
              </w:rPr>
              <w:t>Enthält Leitlinien für die Vorlage des klinischen Nachbeobachtungsplans nach der Markteinführung.</w:t>
            </w:r>
          </w:p>
        </w:tc>
      </w:tr>
      <w:tr w:rsidR="005F7AEC" w:rsidRPr="00A82930" w14:paraId="679DA3F4" w14:textId="77777777" w:rsidTr="003E022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A82930" w:rsidRDefault="005F7AEC">
            <w:pPr>
              <w:spacing w:after="0" w:afterAutospacing="0"/>
              <w:rPr>
                <w:rFonts w:cs="Times New Roman"/>
              </w:rPr>
            </w:pPr>
            <w:r w:rsidRPr="00A82930">
              <w:rPr>
                <w:rFonts w:cs="Times New Roman"/>
                <w:sz w:val="20"/>
                <w:szCs w:val="20"/>
                <w:lang w:val="de-DE"/>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A82930" w:rsidRDefault="005F7AEC">
            <w:pPr>
              <w:spacing w:after="0" w:afterAutospacing="0"/>
              <w:rPr>
                <w:rFonts w:cs="Times New Roman"/>
                <w:lang w:val="de-DE"/>
              </w:rPr>
            </w:pPr>
            <w:r w:rsidRPr="00A82930">
              <w:rPr>
                <w:rFonts w:cs="Times New Roman"/>
                <w:sz w:val="20"/>
                <w:szCs w:val="20"/>
                <w:lang w:val="de-DE"/>
              </w:rPr>
              <w:t>Enthält Leitlinien für die Vorlage des Berichts zur klinischen Nachbeobachtung nach dem Inverkehrbringen sowie für die fortlaufende Bewertung der klinischen Sicherheit und Leistung.</w:t>
            </w:r>
          </w:p>
        </w:tc>
      </w:tr>
      <w:tr w:rsidR="00E56145" w:rsidRPr="00A82930" w14:paraId="22DAFE49"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A82930" w:rsidRDefault="00E56145">
            <w:pPr>
              <w:spacing w:after="0" w:afterAutospacing="0"/>
              <w:rPr>
                <w:rFonts w:cs="Times New Roman"/>
              </w:rPr>
            </w:pPr>
            <w:r w:rsidRPr="00A82930">
              <w:rPr>
                <w:rFonts w:cs="Times New Roman"/>
                <w:b/>
                <w:bCs/>
                <w:sz w:val="20"/>
                <w:szCs w:val="20"/>
                <w:lang w:val="de-DE"/>
              </w:rPr>
              <w:t>Usability Engineering</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A82930" w:rsidRDefault="00E56145">
            <w:pPr>
              <w:spacing w:after="0" w:afterAutospacing="0"/>
              <w:rPr>
                <w:rFonts w:cs="Times New Roman"/>
              </w:rPr>
            </w:pPr>
            <w:r w:rsidRPr="00A82930">
              <w:rPr>
                <w:rFonts w:cs="Times New Roman"/>
                <w:sz w:val="20"/>
                <w:szCs w:val="20"/>
                <w:lang w:val="de-DE"/>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A82930" w:rsidRDefault="00E56145">
            <w:pPr>
              <w:spacing w:after="0" w:afterAutospacing="0"/>
              <w:rPr>
                <w:rFonts w:cs="Times New Roman"/>
                <w:lang w:val="de-DE"/>
              </w:rPr>
            </w:pPr>
            <w:r w:rsidRPr="00A82930">
              <w:rPr>
                <w:rFonts w:cs="Times New Roman"/>
                <w:sz w:val="20"/>
                <w:szCs w:val="20"/>
                <w:lang w:val="de-DE"/>
              </w:rPr>
              <w:t>Legt einen Prozess zum Usability-Engineering fest, um nutzungsbezogene Risiken zu identifizieren und zu mindern.</w:t>
            </w:r>
          </w:p>
        </w:tc>
      </w:tr>
      <w:tr w:rsidR="00E56145" w:rsidRPr="00A82930" w14:paraId="27458A8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A82930" w:rsidRDefault="00E56145">
            <w:pPr>
              <w:spacing w:after="0" w:afterAutospacing="0"/>
              <w:rPr>
                <w:rFonts w:cs="Times New Roman"/>
              </w:rPr>
            </w:pPr>
            <w:r w:rsidRPr="00A82930">
              <w:rPr>
                <w:rFonts w:cs="Times New Roman"/>
                <w:b/>
                <w:bCs/>
                <w:sz w:val="20"/>
                <w:szCs w:val="20"/>
                <w:lang w:val="de-DE"/>
              </w:rPr>
              <w:t>Verpackung und Haltbarkeit</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A82930" w:rsidRDefault="00E56145">
            <w:pPr>
              <w:spacing w:after="0" w:afterAutospacing="0"/>
              <w:rPr>
                <w:rFonts w:cs="Times New Roman"/>
              </w:rPr>
            </w:pPr>
            <w:r w:rsidRPr="00A82930">
              <w:rPr>
                <w:rFonts w:cs="Times New Roman"/>
                <w:sz w:val="20"/>
                <w:szCs w:val="20"/>
                <w:lang w:val="de-DE"/>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A82930" w:rsidRDefault="00E56145">
            <w:pPr>
              <w:spacing w:after="0" w:afterAutospacing="0"/>
              <w:rPr>
                <w:rFonts w:cs="Times New Roman"/>
                <w:lang w:val="de-DE"/>
              </w:rPr>
            </w:pPr>
            <w:r w:rsidRPr="00A82930">
              <w:rPr>
                <w:rFonts w:cs="Times New Roman"/>
                <w:sz w:val="20"/>
                <w:szCs w:val="20"/>
                <w:lang w:val="de-DE"/>
              </w:rPr>
              <w:t>Enthält Anforderungen an Materialien, Sterilbarrieresysteme und Verpackungssysteme.</w:t>
            </w:r>
          </w:p>
        </w:tc>
      </w:tr>
      <w:tr w:rsidR="005F7AEC" w:rsidRPr="00A82930" w14:paraId="65D7BA40" w14:textId="77777777" w:rsidTr="006C44F3">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A82930" w:rsidRDefault="005F7AEC">
            <w:pPr>
              <w:spacing w:after="0" w:afterAutospacing="0"/>
              <w:rPr>
                <w:rFonts w:cs="Times New Roman"/>
              </w:rPr>
            </w:pPr>
            <w:r w:rsidRPr="00A82930">
              <w:rPr>
                <w:rFonts w:cs="Times New Roman"/>
                <w:sz w:val="20"/>
                <w:szCs w:val="20"/>
                <w:lang w:val="de-DE"/>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A82930" w:rsidRDefault="005F7AEC">
            <w:pPr>
              <w:spacing w:after="0" w:afterAutospacing="0"/>
              <w:rPr>
                <w:rFonts w:cs="Times New Roman"/>
                <w:lang w:val="de-DE"/>
              </w:rPr>
            </w:pPr>
            <w:r w:rsidRPr="00A82930">
              <w:rPr>
                <w:rFonts w:cs="Times New Roman"/>
                <w:sz w:val="20"/>
                <w:szCs w:val="20"/>
                <w:lang w:val="de-DE"/>
              </w:rPr>
              <w:t>Legt Anforderungen an die Validierung von Verpackungsprozessen fest.</w:t>
            </w:r>
          </w:p>
        </w:tc>
      </w:tr>
      <w:tr w:rsidR="005F7AEC" w:rsidRPr="00A82930" w14:paraId="626B7972" w14:textId="77777777" w:rsidTr="006C44F3">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5F7AEC" w:rsidRPr="00A82930"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A82930" w:rsidRDefault="005F7AEC">
            <w:pPr>
              <w:spacing w:after="0" w:afterAutospacing="0"/>
              <w:rPr>
                <w:rFonts w:cs="Times New Roman"/>
              </w:rPr>
            </w:pPr>
            <w:r w:rsidRPr="00A82930">
              <w:rPr>
                <w:rFonts w:cs="Times New Roman"/>
                <w:sz w:val="20"/>
                <w:szCs w:val="20"/>
                <w:lang w:val="de-DE"/>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A82930" w:rsidRDefault="005F7AEC">
            <w:pPr>
              <w:spacing w:after="0" w:afterAutospacing="0"/>
              <w:rPr>
                <w:rFonts w:cs="Times New Roman"/>
                <w:lang w:val="de-DE"/>
              </w:rPr>
            </w:pPr>
            <w:r w:rsidRPr="00A82930">
              <w:rPr>
                <w:rFonts w:cs="Times New Roman"/>
                <w:sz w:val="20"/>
                <w:szCs w:val="20"/>
                <w:lang w:val="de-DE"/>
              </w:rPr>
              <w:t>Eine weitere angewandte Norm, die Leitlinien für beschleunigte Alterungsversuche zur Untermauerung von Haltbarkeitsangaben enthält.</w:t>
            </w:r>
          </w:p>
        </w:tc>
      </w:tr>
      <w:tr w:rsidR="00E56145" w:rsidRPr="00A82930" w14:paraId="07B5A577"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A82930" w:rsidRDefault="00E56145">
            <w:pPr>
              <w:spacing w:after="0" w:afterAutospacing="0"/>
              <w:rPr>
                <w:rFonts w:cs="Times New Roman"/>
                <w:lang w:val="de-DE"/>
              </w:rPr>
            </w:pPr>
            <w:r w:rsidRPr="00A82930">
              <w:rPr>
                <w:rFonts w:cs="Times New Roman"/>
                <w:b/>
                <w:bCs/>
                <w:sz w:val="20"/>
                <w:szCs w:val="20"/>
                <w:lang w:val="de-DE"/>
              </w:rPr>
              <w:t>Überwachung nach dem Inverkehrbringen/PMCF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A82930" w:rsidRDefault="00E56145">
            <w:pPr>
              <w:spacing w:after="0" w:afterAutospacing="0"/>
              <w:rPr>
                <w:rFonts w:cs="Times New Roman"/>
              </w:rPr>
            </w:pPr>
            <w:r w:rsidRPr="00A82930">
              <w:rPr>
                <w:rFonts w:cs="Times New Roman"/>
                <w:sz w:val="20"/>
                <w:szCs w:val="20"/>
                <w:lang w:val="de-DE"/>
              </w:rPr>
              <w:t>MEDDEV 2.12/2 Rev.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A82930" w:rsidRDefault="00E56145">
            <w:pPr>
              <w:spacing w:after="0" w:afterAutospacing="0"/>
              <w:rPr>
                <w:rFonts w:cs="Times New Roman"/>
                <w:lang w:val="de-DE"/>
              </w:rPr>
            </w:pPr>
            <w:r w:rsidRPr="00A82930">
              <w:rPr>
                <w:rFonts w:cs="Times New Roman"/>
                <w:sz w:val="20"/>
                <w:szCs w:val="20"/>
                <w:lang w:val="de-DE"/>
              </w:rPr>
              <w:t>Leitlinien zur Unterstützung klinischer Nachbeobachtungsmaßnahmen nach dem Inverkehrbringen, um die anhaltende Sicherheit und Leistungsfähigkeit zu bestätigen.</w:t>
            </w:r>
          </w:p>
        </w:tc>
      </w:tr>
      <w:tr w:rsidR="00E56145" w:rsidRPr="00A82930"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A82930" w:rsidRDefault="00E56145">
            <w:pPr>
              <w:spacing w:after="0" w:afterAutospacing="0"/>
              <w:rPr>
                <w:rFonts w:cs="Times New Roman"/>
              </w:rPr>
            </w:pPr>
            <w:r w:rsidRPr="00A82930">
              <w:rPr>
                <w:rFonts w:cs="Times New Roman"/>
                <w:b/>
                <w:bCs/>
                <w:sz w:val="20"/>
                <w:szCs w:val="20"/>
                <w:lang w:val="de-DE"/>
              </w:rPr>
              <w:t>Vigilanz</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A82930" w:rsidRDefault="00E56145">
            <w:pPr>
              <w:spacing w:after="0" w:afterAutospacing="0"/>
              <w:rPr>
                <w:rFonts w:cs="Times New Roman"/>
              </w:rPr>
            </w:pPr>
            <w:r w:rsidRPr="00A82930">
              <w:rPr>
                <w:rFonts w:cs="Times New Roman"/>
                <w:sz w:val="20"/>
                <w:szCs w:val="20"/>
                <w:lang w:val="de-DE"/>
              </w:rPr>
              <w:t>MEDDEV 2.12/1 Rev.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A82930" w:rsidRDefault="00E56145">
            <w:pPr>
              <w:spacing w:after="0" w:afterAutospacing="0"/>
              <w:rPr>
                <w:rFonts w:cs="Times New Roman"/>
                <w:lang w:val="de-DE"/>
              </w:rPr>
            </w:pPr>
            <w:r w:rsidRPr="00A82930">
              <w:rPr>
                <w:rFonts w:cs="Times New Roman"/>
                <w:sz w:val="20"/>
                <w:szCs w:val="20"/>
                <w:lang w:val="de-DE"/>
              </w:rPr>
              <w:t>Leitfaden zur Unterstützung von Vigilanzprozessen für Medizinprodukte sowie zur Meldung schwerwiegender Vorfälle und von sicherheitsrelevanten Korrekturmaßnahmen im Feld.</w:t>
            </w:r>
          </w:p>
        </w:tc>
      </w:tr>
    </w:tbl>
    <w:p w14:paraId="4EEA1268" w14:textId="77777777" w:rsidR="00D832B0" w:rsidRPr="00A82930" w:rsidRDefault="00D832B0" w:rsidP="00D832B0">
      <w:pPr>
        <w:pStyle w:val="Heading1"/>
        <w:numPr>
          <w:ilvl w:val="0"/>
          <w:numId w:val="0"/>
        </w:numPr>
        <w:rPr>
          <w:rFonts w:cs="Times New Roman"/>
          <w:color w:val="auto"/>
          <w:lang w:val="de-DE"/>
        </w:rPr>
      </w:pPr>
      <w:bookmarkStart w:id="32" w:name="_Toc196514402"/>
      <w:bookmarkStart w:id="33" w:name="_Toc181362707"/>
    </w:p>
    <w:p w14:paraId="62EAB911" w14:textId="77777777" w:rsidR="00D832B0" w:rsidRPr="00A82930" w:rsidRDefault="00D832B0" w:rsidP="00D832B0">
      <w:pPr>
        <w:rPr>
          <w:rFonts w:cs="Times New Roman"/>
          <w:lang w:val="de-DE"/>
        </w:rPr>
      </w:pPr>
    </w:p>
    <w:p w14:paraId="363C2805" w14:textId="77777777" w:rsidR="00D832B0" w:rsidRPr="00A82930" w:rsidRDefault="00D832B0" w:rsidP="00D832B0">
      <w:pPr>
        <w:rPr>
          <w:rFonts w:cs="Times New Roman"/>
          <w:lang w:val="de-DE"/>
        </w:rPr>
      </w:pPr>
    </w:p>
    <w:p w14:paraId="4A453F11" w14:textId="77777777" w:rsidR="00D832B0" w:rsidRPr="00A82930" w:rsidRDefault="00D832B0" w:rsidP="00D832B0">
      <w:pPr>
        <w:rPr>
          <w:rFonts w:cs="Times New Roman"/>
          <w:lang w:val="de-DE"/>
        </w:rPr>
      </w:pPr>
    </w:p>
    <w:p w14:paraId="26763830" w14:textId="77777777" w:rsidR="00D832B0" w:rsidRPr="00A82930" w:rsidRDefault="00D832B0" w:rsidP="00D832B0">
      <w:pPr>
        <w:rPr>
          <w:rFonts w:cs="Times New Roman"/>
          <w:lang w:val="de-DE"/>
        </w:rPr>
      </w:pPr>
    </w:p>
    <w:p w14:paraId="07E1186E" w14:textId="401DB65E" w:rsidR="00C070F9" w:rsidRPr="00A82930" w:rsidRDefault="00C070F9" w:rsidP="00170FE5">
      <w:pPr>
        <w:pStyle w:val="Heading1"/>
        <w:numPr>
          <w:ilvl w:val="0"/>
          <w:numId w:val="2"/>
        </w:numPr>
        <w:rPr>
          <w:rFonts w:cs="Times New Roman"/>
          <w:color w:val="auto"/>
          <w:lang w:val="de-DE"/>
        </w:rPr>
      </w:pPr>
      <w:bookmarkStart w:id="34" w:name="_Toc240466261"/>
      <w:r w:rsidRPr="00A82930">
        <w:rPr>
          <w:rFonts w:cs="Times New Roman"/>
          <w:bCs/>
          <w:color w:val="auto"/>
          <w:lang w:val="de-DE"/>
        </w:rPr>
        <w:lastRenderedPageBreak/>
        <w:t>B. Zusammenfassung der Sicherheit und Leistung für Patienten/Laien</w:t>
      </w:r>
      <w:bookmarkEnd w:id="32"/>
      <w:bookmarkEnd w:id="33"/>
      <w:bookmarkEnd w:id="34"/>
    </w:p>
    <w:p w14:paraId="43787158" w14:textId="77777777" w:rsidR="00721595" w:rsidRPr="00A82930" w:rsidRDefault="00721595" w:rsidP="00721595">
      <w:pPr>
        <w:spacing w:after="0" w:afterAutospacing="0" w:line="240" w:lineRule="auto"/>
        <w:rPr>
          <w:rFonts w:cs="Times New Roman"/>
          <w:szCs w:val="24"/>
          <w:lang w:val="de-DE"/>
        </w:rPr>
      </w:pPr>
    </w:p>
    <w:p w14:paraId="2D546AA7" w14:textId="5969AC1B" w:rsidR="00440750" w:rsidRPr="00A82930" w:rsidRDefault="00440750">
      <w:pPr>
        <w:spacing w:after="0" w:afterAutospacing="0"/>
        <w:rPr>
          <w:rFonts w:cs="Times New Roman"/>
          <w:kern w:val="2"/>
          <w:szCs w:val="24"/>
          <w:lang w:val="de-DE"/>
          <w14:ligatures w14:val="standardContextual"/>
        </w:rPr>
      </w:pPr>
      <w:r w:rsidRPr="00A82930">
        <w:rPr>
          <w:rFonts w:cs="Times New Roman"/>
          <w:b/>
          <w:bCs/>
          <w:lang w:val="de-DE"/>
        </w:rPr>
        <w:t>Produktname:</w:t>
      </w:r>
      <w:r w:rsidRPr="00A82930">
        <w:rPr>
          <w:rFonts w:cs="Times New Roman"/>
          <w:lang w:val="de-DE"/>
        </w:rPr>
        <w:t xml:space="preserve"> Rückholbares Option ELITE Vena-Cava-Filtersystem</w:t>
      </w:r>
      <w:r w:rsidRPr="00A82930">
        <w:rPr>
          <w:rFonts w:cs="Times New Roman"/>
          <w:lang w:val="de-DE"/>
        </w:rPr>
        <w:br/>
      </w:r>
      <w:r w:rsidRPr="00A82930">
        <w:rPr>
          <w:rFonts w:cs="Times New Roman"/>
          <w:b/>
          <w:bCs/>
          <w:lang w:val="de-DE"/>
        </w:rPr>
        <w:t>Dokument:</w:t>
      </w:r>
      <w:r w:rsidRPr="00A82930">
        <w:rPr>
          <w:rFonts w:cs="Times New Roman"/>
          <w:lang w:val="de-DE"/>
        </w:rPr>
        <w:t xml:space="preserve"> Zusammenfassung der Sicherheit und klinischen Leistung</w:t>
      </w:r>
      <w:r w:rsidRPr="00A82930">
        <w:rPr>
          <w:rFonts w:cs="Times New Roman"/>
          <w:lang w:val="de-DE"/>
        </w:rPr>
        <w:br/>
      </w:r>
      <w:r w:rsidRPr="00A82930">
        <w:rPr>
          <w:rFonts w:cs="Times New Roman"/>
          <w:b/>
          <w:bCs/>
          <w:lang w:val="de-DE"/>
        </w:rPr>
        <w:t>Ausstellungsdatum:</w:t>
      </w:r>
      <w:r w:rsidRPr="00A82930">
        <w:rPr>
          <w:rFonts w:cs="Times New Roman"/>
          <w:i/>
          <w:iCs/>
          <w:color w:val="EE0000"/>
          <w:lang w:val="de-DE"/>
        </w:rPr>
        <w:t xml:space="preserve"> </w:t>
      </w:r>
      <w:r w:rsidRPr="00A82930">
        <w:rPr>
          <w:rFonts w:cs="Times New Roman"/>
          <w:lang w:val="de-DE"/>
        </w:rPr>
        <w:t>25. August 2026</w:t>
      </w:r>
    </w:p>
    <w:p w14:paraId="39EB9B49" w14:textId="75610A19" w:rsidR="00662711" w:rsidRPr="00A82930" w:rsidRDefault="00662711" w:rsidP="00662711">
      <w:pPr>
        <w:spacing w:after="0" w:afterAutospacing="0" w:line="240" w:lineRule="auto"/>
        <w:rPr>
          <w:rFonts w:eastAsia="Times New Roman" w:cs="Times New Roman"/>
          <w:szCs w:val="24"/>
          <w:lang w:val="de-DE"/>
        </w:rPr>
      </w:pPr>
    </w:p>
    <w:p w14:paraId="1EB100B6" w14:textId="77777777" w:rsidR="00662711" w:rsidRPr="00A82930" w:rsidRDefault="00662711" w:rsidP="00836337">
      <w:pPr>
        <w:spacing w:after="0" w:afterAutospacing="0" w:line="240" w:lineRule="auto"/>
        <w:rPr>
          <w:rFonts w:eastAsia="Times New Roman" w:cs="Times New Roman"/>
          <w:b/>
          <w:bCs/>
          <w:szCs w:val="24"/>
          <w:lang w:val="de-DE"/>
        </w:rPr>
      </w:pPr>
      <w:r w:rsidRPr="00A82930">
        <w:rPr>
          <w:rFonts w:eastAsia="Times New Roman" w:cs="Times New Roman"/>
          <w:b/>
          <w:bCs/>
          <w:szCs w:val="24"/>
          <w:lang w:val="de-DE"/>
        </w:rPr>
        <w:t>Grund für die Erstellung dieser Zusammenfassung</w:t>
      </w:r>
    </w:p>
    <w:p w14:paraId="3BF0F75F"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Diese Zusammenfassung erklärt, wofür der Option ELITE-Filter verwendet wird und was über seine Sicherheit bekannt ist. Sie ist in einfacher Sprache für Patienten und die Öffentlichkeit verfasst.</w:t>
      </w:r>
    </w:p>
    <w:p w14:paraId="083EFE6D"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Diese Zusammenfassung ersetzt nicht den Rat Ihres Arztes. Sprechen Sie mit Ihrem Arzt, wenn Sie Fragen zu Ihrer Gesundheit oder Ihrer Behandlung haben.</w:t>
      </w:r>
    </w:p>
    <w:p w14:paraId="453387B0" w14:textId="26CD4DBB" w:rsidR="00662711" w:rsidRPr="00A82930" w:rsidRDefault="00662711" w:rsidP="00662711">
      <w:pPr>
        <w:spacing w:after="0" w:afterAutospacing="0" w:line="240" w:lineRule="auto"/>
        <w:rPr>
          <w:rFonts w:eastAsia="Times New Roman" w:cs="Times New Roman"/>
          <w:szCs w:val="24"/>
          <w:lang w:val="de-DE"/>
        </w:rPr>
      </w:pPr>
    </w:p>
    <w:p w14:paraId="64E93E68" w14:textId="77777777" w:rsidR="00662711" w:rsidRPr="00A82930" w:rsidRDefault="00662711" w:rsidP="00836337">
      <w:pPr>
        <w:spacing w:after="0" w:afterAutospacing="0" w:line="240" w:lineRule="auto"/>
        <w:rPr>
          <w:rFonts w:eastAsia="Times New Roman" w:cs="Times New Roman"/>
          <w:b/>
          <w:bCs/>
          <w:szCs w:val="24"/>
          <w:lang w:val="de-DE"/>
        </w:rPr>
      </w:pPr>
      <w:r w:rsidRPr="00A82930">
        <w:rPr>
          <w:rFonts w:eastAsia="Times New Roman" w:cs="Times New Roman"/>
          <w:b/>
          <w:bCs/>
          <w:szCs w:val="24"/>
          <w:lang w:val="de-DE"/>
        </w:rPr>
        <w:t>Produktinformationen</w:t>
      </w:r>
    </w:p>
    <w:p w14:paraId="029B9E79" w14:textId="77777777" w:rsidR="00836337" w:rsidRPr="00A82930" w:rsidRDefault="00836337" w:rsidP="00836337">
      <w:pPr>
        <w:spacing w:after="0" w:afterAutospacing="0" w:line="240" w:lineRule="auto"/>
        <w:rPr>
          <w:rFonts w:eastAsia="Times New Roman" w:cs="Times New Roman"/>
          <w:b/>
          <w:bCs/>
          <w:szCs w:val="24"/>
          <w:lang w:val="de-DE"/>
        </w:rPr>
      </w:pPr>
    </w:p>
    <w:p w14:paraId="630C02F5" w14:textId="77777777" w:rsidR="00662711" w:rsidRPr="00A82930" w:rsidRDefault="00662711" w:rsidP="00662711">
      <w:pPr>
        <w:spacing w:after="0" w:afterAutospacing="0" w:line="240" w:lineRule="auto"/>
        <w:rPr>
          <w:rFonts w:eastAsia="Times New Roman" w:cs="Times New Roman"/>
          <w:szCs w:val="24"/>
          <w:lang w:val="de-DE"/>
        </w:rPr>
      </w:pPr>
      <w:r w:rsidRPr="00A82930">
        <w:rPr>
          <w:rFonts w:eastAsia="Times New Roman" w:cs="Times New Roman"/>
          <w:b/>
          <w:bCs/>
          <w:szCs w:val="24"/>
          <w:lang w:val="de-DE"/>
        </w:rPr>
        <w:t>Produktname:</w:t>
      </w:r>
      <w:r w:rsidRPr="00A82930">
        <w:rPr>
          <w:rFonts w:eastAsia="Times New Roman" w:cs="Times New Roman"/>
          <w:szCs w:val="24"/>
          <w:lang w:val="de-DE"/>
        </w:rPr>
        <w:br/>
        <w:t>Option™ ELITE Rückholbares Vena-Cava-Filtersystem</w:t>
      </w:r>
    </w:p>
    <w:p w14:paraId="5EDA4F69" w14:textId="77777777" w:rsidR="00662711" w:rsidRPr="00A82930" w:rsidRDefault="00662711" w:rsidP="00662711">
      <w:pPr>
        <w:spacing w:after="0" w:afterAutospacing="0" w:line="240" w:lineRule="auto"/>
        <w:rPr>
          <w:rFonts w:eastAsia="Times New Roman" w:cs="Times New Roman"/>
          <w:szCs w:val="24"/>
        </w:rPr>
      </w:pPr>
      <w:r w:rsidRPr="00A82930">
        <w:rPr>
          <w:rFonts w:eastAsia="Times New Roman" w:cs="Times New Roman"/>
          <w:b/>
          <w:bCs/>
          <w:szCs w:val="24"/>
        </w:rPr>
        <w:t>Name des Herstellers:</w:t>
      </w:r>
      <w:r w:rsidRPr="00A82930">
        <w:rPr>
          <w:rFonts w:eastAsia="Times New Roman" w:cs="Times New Roman"/>
          <w:szCs w:val="24"/>
        </w:rPr>
        <w:br/>
        <w:t>Argon Medical Devices, Inc.</w:t>
      </w:r>
      <w:r w:rsidRPr="00A82930">
        <w:rPr>
          <w:rFonts w:eastAsia="Times New Roman" w:cs="Times New Roman"/>
          <w:szCs w:val="24"/>
        </w:rPr>
        <w:br/>
        <w:t>1445 Flat Creek Rd</w:t>
      </w:r>
      <w:r w:rsidRPr="00A82930">
        <w:rPr>
          <w:rFonts w:eastAsia="Times New Roman" w:cs="Times New Roman"/>
          <w:szCs w:val="24"/>
        </w:rPr>
        <w:br/>
        <w:t>Athens, Texas 75751</w:t>
      </w:r>
      <w:r w:rsidRPr="00A82930">
        <w:rPr>
          <w:rFonts w:eastAsia="Times New Roman" w:cs="Times New Roman"/>
          <w:szCs w:val="24"/>
        </w:rPr>
        <w:br/>
        <w:t>USA</w:t>
      </w:r>
    </w:p>
    <w:p w14:paraId="1621E817" w14:textId="77777777" w:rsidR="00810EBB" w:rsidRPr="00A82930" w:rsidRDefault="00810EBB">
      <w:pPr>
        <w:spacing w:after="0" w:afterAutospacing="0"/>
        <w:rPr>
          <w:rFonts w:cs="Times New Roman"/>
          <w:kern w:val="2"/>
          <w:szCs w:val="24"/>
          <w:lang w:val="de-DE"/>
          <w14:ligatures w14:val="standardContextual"/>
        </w:rPr>
      </w:pPr>
      <w:r w:rsidRPr="00A82930">
        <w:rPr>
          <w:rFonts w:cs="Times New Roman"/>
          <w:b/>
          <w:bCs/>
          <w:lang w:val="de-DE"/>
        </w:rPr>
        <w:t>Erste CE-Kennzeichnung in Europa:</w:t>
      </w:r>
      <w:r w:rsidRPr="00A82930">
        <w:rPr>
          <w:rFonts w:cs="Times New Roman"/>
          <w:lang w:val="de-DE"/>
        </w:rPr>
        <w:br/>
        <w:t>Juni 2016</w:t>
      </w:r>
    </w:p>
    <w:p w14:paraId="25506BE2" w14:textId="77777777" w:rsidR="00FE65F7" w:rsidRPr="00A82930" w:rsidRDefault="00FE65F7" w:rsidP="00FE65F7">
      <w:pPr>
        <w:spacing w:after="0" w:afterAutospacing="0" w:line="240" w:lineRule="auto"/>
        <w:rPr>
          <w:rFonts w:cs="Times New Roman"/>
          <w:szCs w:val="24"/>
          <w:lang w:val="de-DE"/>
        </w:rPr>
      </w:pPr>
    </w:p>
    <w:p w14:paraId="6695828D"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In der folgenden Tabelle sind die Produktnamen, Artikelnummern und Produktidentifikationscodes aufgeführt.</w:t>
      </w:r>
    </w:p>
    <w:tbl>
      <w:tblPr>
        <w:tblStyle w:val="TableGrid60004231"/>
        <w:tblW w:w="5000" w:type="pct"/>
        <w:jc w:val="left"/>
        <w:tblInd w:w="0" w:type="dxa"/>
        <w:tblLook w:val="04A0" w:firstRow="1" w:lastRow="0" w:firstColumn="1" w:lastColumn="0" w:noHBand="0" w:noVBand="1"/>
      </w:tblPr>
      <w:tblGrid>
        <w:gridCol w:w="2648"/>
        <w:gridCol w:w="1385"/>
        <w:gridCol w:w="800"/>
        <w:gridCol w:w="1021"/>
        <w:gridCol w:w="1634"/>
        <w:gridCol w:w="1519"/>
        <w:gridCol w:w="1423"/>
      </w:tblGrid>
      <w:tr w:rsidR="00FE65F7" w:rsidRPr="00A82930" w14:paraId="05A10757" w14:textId="77777777" w:rsidTr="009C1E15">
        <w:trPr>
          <w:cnfStyle w:val="100000000000" w:firstRow="1" w:lastRow="0" w:firstColumn="0" w:lastColumn="0" w:oddVBand="0" w:evenVBand="0" w:oddHBand="0" w:evenHBand="0" w:firstRowFirstColumn="0" w:firstRowLastColumn="0" w:lastRowFirstColumn="0" w:lastRowLastColumn="0"/>
          <w:tblHeader/>
          <w:jc w:val="left"/>
        </w:trPr>
        <w:tc>
          <w:tcPr>
            <w:tcW w:w="936" w:type="pct"/>
            <w:shd w:val="clear" w:color="auto" w:fill="D9D9D9" w:themeFill="background1" w:themeFillShade="D9"/>
            <w:vAlign w:val="center"/>
          </w:tcPr>
          <w:p w14:paraId="5A04FBFF" w14:textId="77777777" w:rsidR="00FE65F7" w:rsidRPr="00A82930" w:rsidRDefault="00FE65F7" w:rsidP="005801F4">
            <w:pPr>
              <w:spacing w:after="0" w:afterAutospacing="0"/>
              <w:rPr>
                <w:rFonts w:cs="Times New Roman"/>
                <w:sz w:val="20"/>
                <w:szCs w:val="20"/>
              </w:rPr>
            </w:pPr>
            <w:r w:rsidRPr="00A82930">
              <w:rPr>
                <w:rFonts w:cs="Times New Roman"/>
                <w:sz w:val="20"/>
                <w:szCs w:val="20"/>
                <w:lang w:val="de-DE"/>
              </w:rPr>
              <w:t>Produktname/Produktbeschreibung</w:t>
            </w:r>
          </w:p>
        </w:tc>
        <w:tc>
          <w:tcPr>
            <w:tcW w:w="707" w:type="pct"/>
            <w:shd w:val="clear" w:color="auto" w:fill="D9D9D9" w:themeFill="background1" w:themeFillShade="D9"/>
            <w:vAlign w:val="center"/>
          </w:tcPr>
          <w:p w14:paraId="0C4454E9" w14:textId="77777777" w:rsidR="00FE65F7" w:rsidRPr="00A82930" w:rsidRDefault="00FE65F7" w:rsidP="005801F4">
            <w:pPr>
              <w:spacing w:after="0" w:afterAutospacing="0"/>
              <w:rPr>
                <w:rFonts w:cs="Times New Roman"/>
                <w:sz w:val="20"/>
                <w:szCs w:val="20"/>
              </w:rPr>
            </w:pPr>
            <w:r w:rsidRPr="00A82930">
              <w:rPr>
                <w:rFonts w:cs="Times New Roman"/>
                <w:sz w:val="20"/>
                <w:szCs w:val="20"/>
                <w:lang w:val="de-DE"/>
              </w:rPr>
              <w:t>Modell-/Katalognummer</w:t>
            </w:r>
          </w:p>
        </w:tc>
        <w:tc>
          <w:tcPr>
            <w:tcW w:w="423" w:type="pct"/>
            <w:shd w:val="clear" w:color="auto" w:fill="D9D9D9" w:themeFill="background1" w:themeFillShade="D9"/>
            <w:vAlign w:val="center"/>
          </w:tcPr>
          <w:p w14:paraId="347A1802" w14:textId="77777777" w:rsidR="00FE65F7" w:rsidRPr="00A82930" w:rsidRDefault="00FE65F7" w:rsidP="005801F4">
            <w:pPr>
              <w:spacing w:after="0" w:afterAutospacing="0"/>
              <w:rPr>
                <w:rFonts w:cs="Times New Roman"/>
                <w:sz w:val="20"/>
                <w:szCs w:val="20"/>
              </w:rPr>
            </w:pPr>
            <w:r w:rsidRPr="00A82930">
              <w:rPr>
                <w:rFonts w:cs="Times New Roman"/>
                <w:sz w:val="20"/>
                <w:szCs w:val="20"/>
                <w:lang w:val="de-DE"/>
              </w:rPr>
              <w:t>GMDN-Code</w:t>
            </w:r>
          </w:p>
        </w:tc>
        <w:tc>
          <w:tcPr>
            <w:tcW w:w="575" w:type="pct"/>
            <w:shd w:val="clear" w:color="auto" w:fill="D9D9D9" w:themeFill="background1" w:themeFillShade="D9"/>
            <w:vAlign w:val="center"/>
          </w:tcPr>
          <w:p w14:paraId="4AF7C264" w14:textId="77777777" w:rsidR="00FE65F7" w:rsidRPr="00A82930" w:rsidRDefault="00FE65F7" w:rsidP="005801F4">
            <w:pPr>
              <w:spacing w:after="0" w:afterAutospacing="0"/>
              <w:rPr>
                <w:rFonts w:cs="Times New Roman"/>
                <w:sz w:val="20"/>
                <w:szCs w:val="20"/>
              </w:rPr>
            </w:pPr>
            <w:r w:rsidRPr="00A82930">
              <w:rPr>
                <w:rFonts w:cs="Times New Roman"/>
                <w:sz w:val="20"/>
                <w:szCs w:val="20"/>
                <w:lang w:val="de-DE"/>
              </w:rPr>
              <w:t>EMDN-Code</w:t>
            </w:r>
          </w:p>
        </w:tc>
        <w:tc>
          <w:tcPr>
            <w:tcW w:w="586" w:type="pct"/>
            <w:shd w:val="clear" w:color="auto" w:fill="D9D9D9" w:themeFill="background1" w:themeFillShade="D9"/>
            <w:vAlign w:val="center"/>
          </w:tcPr>
          <w:p w14:paraId="1DE962FA" w14:textId="77777777" w:rsidR="00FE65F7" w:rsidRPr="00A82930" w:rsidRDefault="00FE65F7" w:rsidP="005801F4">
            <w:pPr>
              <w:spacing w:after="0" w:afterAutospacing="0"/>
              <w:rPr>
                <w:rFonts w:cs="Times New Roman"/>
                <w:sz w:val="20"/>
                <w:szCs w:val="20"/>
              </w:rPr>
            </w:pPr>
            <w:r w:rsidRPr="00A82930">
              <w:rPr>
                <w:rFonts w:cs="Times New Roman"/>
                <w:sz w:val="20"/>
                <w:szCs w:val="20"/>
                <w:lang w:val="de-DE"/>
              </w:rPr>
              <w:t>EU-MDR-Produktklasse/Regel</w:t>
            </w:r>
          </w:p>
        </w:tc>
        <w:tc>
          <w:tcPr>
            <w:tcW w:w="828" w:type="pct"/>
            <w:shd w:val="clear" w:color="auto" w:fill="D9D9D9" w:themeFill="background1" w:themeFillShade="D9"/>
            <w:vAlign w:val="center"/>
          </w:tcPr>
          <w:p w14:paraId="1D86D2D6" w14:textId="77777777" w:rsidR="00FE65F7" w:rsidRPr="00A82930" w:rsidRDefault="00FE65F7" w:rsidP="005801F4">
            <w:pPr>
              <w:spacing w:after="0" w:afterAutospacing="0"/>
              <w:rPr>
                <w:rFonts w:cs="Times New Roman"/>
                <w:sz w:val="20"/>
                <w:szCs w:val="20"/>
              </w:rPr>
            </w:pPr>
            <w:r w:rsidRPr="00A82930">
              <w:rPr>
                <w:rFonts w:cs="Times New Roman"/>
                <w:sz w:val="20"/>
                <w:szCs w:val="20"/>
                <w:lang w:val="de-DE"/>
              </w:rPr>
              <w:t>Basis-UDI-DI</w:t>
            </w:r>
          </w:p>
        </w:tc>
        <w:tc>
          <w:tcPr>
            <w:tcW w:w="946" w:type="pct"/>
            <w:shd w:val="clear" w:color="auto" w:fill="D9D9D9" w:themeFill="background1" w:themeFillShade="D9"/>
          </w:tcPr>
          <w:p w14:paraId="58531031" w14:textId="77777777" w:rsidR="00FE65F7" w:rsidRPr="00A82930" w:rsidRDefault="00FE65F7" w:rsidP="005801F4">
            <w:pPr>
              <w:spacing w:after="0" w:afterAutospacing="0"/>
              <w:rPr>
                <w:rFonts w:cs="Times New Roman"/>
                <w:sz w:val="20"/>
                <w:szCs w:val="20"/>
              </w:rPr>
            </w:pPr>
            <w:r w:rsidRPr="00A82930">
              <w:rPr>
                <w:rFonts w:cs="Times New Roman"/>
                <w:sz w:val="20"/>
                <w:szCs w:val="20"/>
                <w:lang w:val="de-DE"/>
              </w:rPr>
              <w:t>UDI-DI</w:t>
            </w:r>
          </w:p>
        </w:tc>
      </w:tr>
      <w:tr w:rsidR="00FE65F7" w:rsidRPr="00A82930" w14:paraId="3D2300E1" w14:textId="77777777" w:rsidTr="009C1E15">
        <w:trPr>
          <w:trHeight w:val="908"/>
          <w:jc w:val="left"/>
        </w:trPr>
        <w:tc>
          <w:tcPr>
            <w:tcW w:w="936" w:type="pct"/>
            <w:vAlign w:val="center"/>
          </w:tcPr>
          <w:p w14:paraId="0DA3386D" w14:textId="77777777" w:rsidR="00FE65F7" w:rsidRPr="00A82930" w:rsidRDefault="00FE65F7" w:rsidP="005801F4">
            <w:pPr>
              <w:spacing w:after="0" w:afterAutospacing="0"/>
              <w:rPr>
                <w:rFonts w:cs="Times New Roman"/>
                <w:sz w:val="20"/>
                <w:szCs w:val="20"/>
                <w:lang w:val="de-DE"/>
              </w:rPr>
            </w:pPr>
            <w:r w:rsidRPr="00A82930">
              <w:rPr>
                <w:rFonts w:cs="Times New Roman"/>
                <w:sz w:val="20"/>
                <w:szCs w:val="20"/>
                <w:lang w:val="de-DE"/>
              </w:rPr>
              <w:t>Option Elite Rückholbares Vena-Cava-Filtersystem</w:t>
            </w:r>
          </w:p>
          <w:p w14:paraId="49B85A54" w14:textId="77777777" w:rsidR="00FE65F7" w:rsidRPr="00A82930" w:rsidRDefault="00FE65F7" w:rsidP="005801F4">
            <w:pPr>
              <w:spacing w:after="0" w:afterAutospacing="0"/>
              <w:rPr>
                <w:rFonts w:cs="Times New Roman"/>
                <w:sz w:val="20"/>
                <w:szCs w:val="20"/>
              </w:rPr>
            </w:pPr>
            <w:r w:rsidRPr="00A82930">
              <w:rPr>
                <w:rFonts w:cs="Times New Roman"/>
                <w:sz w:val="20"/>
                <w:szCs w:val="20"/>
                <w:lang w:val="de-DE"/>
              </w:rPr>
              <w:t>(70 cm)</w:t>
            </w:r>
          </w:p>
        </w:tc>
        <w:tc>
          <w:tcPr>
            <w:tcW w:w="707" w:type="pct"/>
            <w:vAlign w:val="center"/>
          </w:tcPr>
          <w:p w14:paraId="406E3337" w14:textId="77777777" w:rsidR="00FE65F7" w:rsidRPr="00A82930" w:rsidRDefault="00FE65F7" w:rsidP="005801F4">
            <w:pPr>
              <w:spacing w:after="0" w:afterAutospacing="0"/>
              <w:rPr>
                <w:rFonts w:cs="Times New Roman"/>
                <w:sz w:val="20"/>
                <w:szCs w:val="20"/>
              </w:rPr>
            </w:pPr>
            <w:r w:rsidRPr="00A82930">
              <w:rPr>
                <w:rFonts w:cs="Times New Roman"/>
                <w:sz w:val="20"/>
                <w:szCs w:val="20"/>
              </w:rPr>
              <w:t>352506070E</w:t>
            </w:r>
          </w:p>
        </w:tc>
        <w:tc>
          <w:tcPr>
            <w:tcW w:w="423" w:type="pct"/>
            <w:vMerge w:val="restart"/>
            <w:vAlign w:val="center"/>
          </w:tcPr>
          <w:p w14:paraId="5EAF91A1" w14:textId="77777777" w:rsidR="00FE65F7" w:rsidRPr="00A82930" w:rsidRDefault="00FE65F7" w:rsidP="005801F4">
            <w:pPr>
              <w:spacing w:after="0" w:afterAutospacing="0"/>
              <w:rPr>
                <w:rFonts w:cs="Times New Roman"/>
                <w:sz w:val="20"/>
                <w:szCs w:val="20"/>
              </w:rPr>
            </w:pPr>
          </w:p>
          <w:p w14:paraId="1072C6BA" w14:textId="77777777" w:rsidR="00FE65F7" w:rsidRPr="00A82930" w:rsidRDefault="00FE65F7" w:rsidP="005801F4">
            <w:pPr>
              <w:spacing w:after="0" w:afterAutospacing="0"/>
              <w:rPr>
                <w:rFonts w:cs="Times New Roman"/>
                <w:sz w:val="20"/>
                <w:szCs w:val="20"/>
              </w:rPr>
            </w:pPr>
            <w:r w:rsidRPr="00A82930">
              <w:rPr>
                <w:rFonts w:cs="Times New Roman"/>
                <w:sz w:val="20"/>
                <w:szCs w:val="20"/>
              </w:rPr>
              <w:t>44864</w:t>
            </w:r>
          </w:p>
          <w:p w14:paraId="1E3E7D01" w14:textId="77777777" w:rsidR="00FE65F7" w:rsidRPr="00A82930" w:rsidRDefault="00FE65F7" w:rsidP="005801F4">
            <w:pPr>
              <w:spacing w:after="0" w:afterAutospacing="0"/>
              <w:rPr>
                <w:rFonts w:cs="Times New Roman"/>
                <w:sz w:val="20"/>
                <w:szCs w:val="20"/>
              </w:rPr>
            </w:pPr>
          </w:p>
          <w:p w14:paraId="5E4E4203" w14:textId="77777777" w:rsidR="00FE65F7" w:rsidRPr="00A82930" w:rsidRDefault="00FE65F7" w:rsidP="005801F4">
            <w:pPr>
              <w:spacing w:after="0" w:afterAutospacing="0"/>
              <w:rPr>
                <w:rFonts w:cs="Times New Roman"/>
                <w:sz w:val="20"/>
                <w:szCs w:val="20"/>
              </w:rPr>
            </w:pPr>
          </w:p>
        </w:tc>
        <w:tc>
          <w:tcPr>
            <w:tcW w:w="575" w:type="pct"/>
            <w:vMerge w:val="restart"/>
            <w:vAlign w:val="center"/>
          </w:tcPr>
          <w:p w14:paraId="7B476532" w14:textId="77777777" w:rsidR="00FE65F7" w:rsidRPr="00A82930" w:rsidRDefault="00FE65F7" w:rsidP="005801F4">
            <w:pPr>
              <w:spacing w:after="0" w:afterAutospacing="0"/>
              <w:rPr>
                <w:rFonts w:cs="Times New Roman"/>
                <w:sz w:val="20"/>
                <w:szCs w:val="20"/>
              </w:rPr>
            </w:pPr>
          </w:p>
          <w:p w14:paraId="7D0235E2" w14:textId="77777777" w:rsidR="00FE65F7" w:rsidRPr="00A82930" w:rsidRDefault="00FE65F7" w:rsidP="005801F4">
            <w:pPr>
              <w:spacing w:after="0" w:afterAutospacing="0"/>
              <w:rPr>
                <w:rFonts w:cs="Times New Roman"/>
                <w:sz w:val="20"/>
                <w:szCs w:val="20"/>
              </w:rPr>
            </w:pPr>
            <w:r w:rsidRPr="00A82930">
              <w:rPr>
                <w:rFonts w:cs="Times New Roman"/>
                <w:sz w:val="20"/>
                <w:szCs w:val="20"/>
              </w:rPr>
              <w:t>C01050101</w:t>
            </w:r>
          </w:p>
          <w:p w14:paraId="58DA0FB8" w14:textId="77777777" w:rsidR="00FE65F7" w:rsidRPr="00A82930" w:rsidRDefault="00FE65F7" w:rsidP="005801F4">
            <w:pPr>
              <w:spacing w:after="0" w:afterAutospacing="0"/>
              <w:rPr>
                <w:rFonts w:cs="Times New Roman"/>
                <w:sz w:val="20"/>
                <w:szCs w:val="20"/>
              </w:rPr>
            </w:pPr>
          </w:p>
          <w:p w14:paraId="4099DFFC" w14:textId="77777777" w:rsidR="00FE65F7" w:rsidRPr="00A82930" w:rsidRDefault="00FE65F7" w:rsidP="005801F4">
            <w:pPr>
              <w:spacing w:after="0" w:afterAutospacing="0"/>
              <w:rPr>
                <w:rFonts w:cs="Times New Roman"/>
                <w:sz w:val="20"/>
                <w:szCs w:val="20"/>
              </w:rPr>
            </w:pPr>
          </w:p>
        </w:tc>
        <w:tc>
          <w:tcPr>
            <w:tcW w:w="586" w:type="pct"/>
            <w:vMerge w:val="restart"/>
            <w:vAlign w:val="center"/>
          </w:tcPr>
          <w:p w14:paraId="6A328DBA" w14:textId="77777777" w:rsidR="00FE65F7" w:rsidRPr="00A82930" w:rsidRDefault="00FE65F7" w:rsidP="005801F4">
            <w:pPr>
              <w:spacing w:after="0" w:afterAutospacing="0"/>
              <w:rPr>
                <w:rFonts w:cs="Times New Roman"/>
                <w:sz w:val="20"/>
                <w:szCs w:val="20"/>
              </w:rPr>
            </w:pPr>
            <w:r w:rsidRPr="00A82930">
              <w:rPr>
                <w:rFonts w:cs="Times New Roman"/>
                <w:sz w:val="20"/>
                <w:szCs w:val="20"/>
                <w:lang w:val="de-DE"/>
              </w:rPr>
              <w:t xml:space="preserve">III/Regel 8 </w:t>
            </w:r>
          </w:p>
          <w:p w14:paraId="307407D7" w14:textId="77777777" w:rsidR="00FE65F7" w:rsidRPr="00A82930" w:rsidRDefault="00FE65F7" w:rsidP="005801F4">
            <w:pPr>
              <w:spacing w:after="0" w:afterAutospacing="0"/>
              <w:rPr>
                <w:rFonts w:cs="Times New Roman"/>
                <w:sz w:val="20"/>
                <w:szCs w:val="20"/>
              </w:rPr>
            </w:pPr>
          </w:p>
        </w:tc>
        <w:tc>
          <w:tcPr>
            <w:tcW w:w="828" w:type="pct"/>
            <w:vMerge w:val="restart"/>
            <w:vAlign w:val="center"/>
          </w:tcPr>
          <w:p w14:paraId="6E5D92D4" w14:textId="77777777" w:rsidR="00FE65F7" w:rsidRPr="00A82930" w:rsidRDefault="00FE65F7" w:rsidP="005801F4">
            <w:pPr>
              <w:spacing w:after="0" w:afterAutospacing="0"/>
              <w:rPr>
                <w:rFonts w:cs="Times New Roman"/>
                <w:sz w:val="20"/>
                <w:szCs w:val="20"/>
              </w:rPr>
            </w:pPr>
            <w:r w:rsidRPr="00A82930">
              <w:rPr>
                <w:rFonts w:cs="Times New Roman"/>
                <w:sz w:val="20"/>
                <w:szCs w:val="20"/>
              </w:rPr>
              <w:t>08863332800012P</w:t>
            </w:r>
          </w:p>
          <w:p w14:paraId="16D6B30C" w14:textId="77777777" w:rsidR="00FE65F7" w:rsidRPr="00A82930" w:rsidRDefault="00FE65F7" w:rsidP="005801F4">
            <w:pPr>
              <w:spacing w:after="0" w:afterAutospacing="0"/>
              <w:rPr>
                <w:rFonts w:cs="Times New Roman"/>
                <w:sz w:val="20"/>
                <w:szCs w:val="20"/>
              </w:rPr>
            </w:pPr>
          </w:p>
        </w:tc>
        <w:tc>
          <w:tcPr>
            <w:tcW w:w="946" w:type="pct"/>
          </w:tcPr>
          <w:p w14:paraId="459F99B8" w14:textId="77777777" w:rsidR="00FE65F7" w:rsidRPr="00A82930" w:rsidRDefault="00FE65F7" w:rsidP="005801F4">
            <w:pPr>
              <w:spacing w:after="0" w:afterAutospacing="0"/>
              <w:rPr>
                <w:rFonts w:cs="Times New Roman"/>
                <w:sz w:val="20"/>
                <w:szCs w:val="20"/>
              </w:rPr>
            </w:pPr>
          </w:p>
          <w:p w14:paraId="16D8F0D4" w14:textId="77777777" w:rsidR="00FE65F7" w:rsidRPr="00A82930" w:rsidRDefault="00FE65F7" w:rsidP="005801F4">
            <w:pPr>
              <w:spacing w:after="0" w:afterAutospacing="0"/>
              <w:rPr>
                <w:rFonts w:cs="Times New Roman"/>
                <w:sz w:val="20"/>
                <w:szCs w:val="20"/>
              </w:rPr>
            </w:pPr>
            <w:r w:rsidRPr="00A82930">
              <w:rPr>
                <w:rFonts w:cs="Times New Roman"/>
                <w:sz w:val="20"/>
                <w:szCs w:val="20"/>
              </w:rPr>
              <w:t>00886333217151</w:t>
            </w:r>
          </w:p>
          <w:p w14:paraId="1B9BA559" w14:textId="77777777" w:rsidR="00FE65F7" w:rsidRPr="00A82930" w:rsidRDefault="00FE65F7" w:rsidP="005801F4">
            <w:pPr>
              <w:spacing w:after="0" w:afterAutospacing="0"/>
              <w:rPr>
                <w:rFonts w:cs="Times New Roman"/>
                <w:sz w:val="20"/>
                <w:szCs w:val="20"/>
              </w:rPr>
            </w:pPr>
          </w:p>
        </w:tc>
      </w:tr>
      <w:tr w:rsidR="00FE65F7" w:rsidRPr="00A82930" w14:paraId="0AD5CB9D" w14:textId="77777777" w:rsidTr="009C1E15">
        <w:trPr>
          <w:jc w:val="left"/>
        </w:trPr>
        <w:tc>
          <w:tcPr>
            <w:tcW w:w="936" w:type="pct"/>
            <w:vAlign w:val="center"/>
          </w:tcPr>
          <w:p w14:paraId="02E57E66" w14:textId="77777777" w:rsidR="00FE65F7" w:rsidRPr="00A82930" w:rsidRDefault="00FE65F7" w:rsidP="005801F4">
            <w:pPr>
              <w:spacing w:after="0" w:afterAutospacing="0"/>
              <w:rPr>
                <w:rFonts w:cs="Times New Roman"/>
                <w:sz w:val="20"/>
                <w:szCs w:val="20"/>
                <w:lang w:val="de-DE"/>
              </w:rPr>
            </w:pPr>
            <w:r w:rsidRPr="00A82930">
              <w:rPr>
                <w:rFonts w:cs="Times New Roman"/>
                <w:sz w:val="20"/>
                <w:szCs w:val="20"/>
                <w:lang w:val="de-DE"/>
              </w:rPr>
              <w:t>Option Elite Rückholbares Vena-Cava-Filtersystem (100 cm)</w:t>
            </w:r>
          </w:p>
        </w:tc>
        <w:tc>
          <w:tcPr>
            <w:tcW w:w="707" w:type="pct"/>
            <w:vAlign w:val="center"/>
          </w:tcPr>
          <w:p w14:paraId="392ECD8C" w14:textId="77777777" w:rsidR="00FE65F7" w:rsidRPr="00A82930" w:rsidRDefault="00FE65F7" w:rsidP="005801F4">
            <w:pPr>
              <w:spacing w:after="0" w:afterAutospacing="0"/>
              <w:rPr>
                <w:rFonts w:cs="Times New Roman"/>
                <w:sz w:val="20"/>
                <w:szCs w:val="20"/>
                <w:lang w:val="de-DE"/>
              </w:rPr>
            </w:pPr>
            <w:r w:rsidRPr="00A82930">
              <w:rPr>
                <w:rFonts w:cs="Times New Roman"/>
                <w:sz w:val="20"/>
                <w:szCs w:val="20"/>
                <w:lang w:val="de-DE"/>
              </w:rPr>
              <w:t>352506100E</w:t>
            </w:r>
          </w:p>
        </w:tc>
        <w:tc>
          <w:tcPr>
            <w:tcW w:w="423" w:type="pct"/>
            <w:vMerge/>
            <w:vAlign w:val="center"/>
          </w:tcPr>
          <w:p w14:paraId="53903A12" w14:textId="77777777" w:rsidR="00FE65F7" w:rsidRPr="00A82930" w:rsidRDefault="00FE65F7" w:rsidP="005801F4">
            <w:pPr>
              <w:spacing w:after="0" w:afterAutospacing="0"/>
              <w:rPr>
                <w:rFonts w:cs="Times New Roman"/>
                <w:sz w:val="20"/>
                <w:szCs w:val="20"/>
                <w:lang w:val="de-DE"/>
              </w:rPr>
            </w:pPr>
          </w:p>
        </w:tc>
        <w:tc>
          <w:tcPr>
            <w:tcW w:w="575" w:type="pct"/>
            <w:vMerge/>
            <w:vAlign w:val="center"/>
          </w:tcPr>
          <w:p w14:paraId="5F109695" w14:textId="77777777" w:rsidR="00FE65F7" w:rsidRPr="00A82930" w:rsidRDefault="00FE65F7" w:rsidP="005801F4">
            <w:pPr>
              <w:spacing w:after="0" w:afterAutospacing="0"/>
              <w:rPr>
                <w:rFonts w:cs="Times New Roman"/>
                <w:sz w:val="20"/>
                <w:szCs w:val="20"/>
                <w:lang w:val="de-DE"/>
              </w:rPr>
            </w:pPr>
          </w:p>
        </w:tc>
        <w:tc>
          <w:tcPr>
            <w:tcW w:w="586" w:type="pct"/>
            <w:vMerge/>
            <w:vAlign w:val="center"/>
          </w:tcPr>
          <w:p w14:paraId="1A6DCE5D" w14:textId="77777777" w:rsidR="00FE65F7" w:rsidRPr="00A82930" w:rsidRDefault="00FE65F7" w:rsidP="005801F4">
            <w:pPr>
              <w:spacing w:after="0" w:afterAutospacing="0"/>
              <w:rPr>
                <w:rFonts w:cs="Times New Roman"/>
                <w:sz w:val="20"/>
                <w:szCs w:val="20"/>
                <w:lang w:val="de-DE"/>
              </w:rPr>
            </w:pPr>
          </w:p>
        </w:tc>
        <w:tc>
          <w:tcPr>
            <w:tcW w:w="828" w:type="pct"/>
            <w:vMerge/>
            <w:vAlign w:val="center"/>
          </w:tcPr>
          <w:p w14:paraId="01927F69" w14:textId="77777777" w:rsidR="00FE65F7" w:rsidRPr="00A82930" w:rsidRDefault="00FE65F7" w:rsidP="005801F4">
            <w:pPr>
              <w:spacing w:after="0" w:afterAutospacing="0"/>
              <w:rPr>
                <w:rFonts w:cs="Times New Roman"/>
                <w:sz w:val="20"/>
                <w:szCs w:val="20"/>
                <w:lang w:val="de-DE"/>
              </w:rPr>
            </w:pPr>
          </w:p>
        </w:tc>
        <w:tc>
          <w:tcPr>
            <w:tcW w:w="946" w:type="pct"/>
          </w:tcPr>
          <w:p w14:paraId="6C2E8668" w14:textId="77777777" w:rsidR="00FE65F7" w:rsidRPr="00A82930" w:rsidRDefault="00FE65F7" w:rsidP="005801F4">
            <w:pPr>
              <w:spacing w:after="0" w:afterAutospacing="0"/>
              <w:rPr>
                <w:rFonts w:cs="Times New Roman"/>
                <w:sz w:val="20"/>
                <w:szCs w:val="20"/>
                <w:lang w:val="de-DE"/>
              </w:rPr>
            </w:pPr>
          </w:p>
          <w:p w14:paraId="4FE72484" w14:textId="77777777" w:rsidR="00FE65F7" w:rsidRPr="00A82930" w:rsidRDefault="00FE65F7" w:rsidP="005801F4">
            <w:pPr>
              <w:spacing w:after="0" w:afterAutospacing="0"/>
              <w:rPr>
                <w:rFonts w:cs="Times New Roman"/>
                <w:sz w:val="20"/>
                <w:szCs w:val="20"/>
                <w:lang w:val="de-DE"/>
              </w:rPr>
            </w:pPr>
            <w:r w:rsidRPr="00A82930">
              <w:rPr>
                <w:rFonts w:cs="Times New Roman"/>
                <w:sz w:val="20"/>
                <w:szCs w:val="20"/>
                <w:lang w:val="de-DE"/>
              </w:rPr>
              <w:t>00886333222346</w:t>
            </w:r>
          </w:p>
          <w:p w14:paraId="7170AE26" w14:textId="77777777" w:rsidR="00FE65F7" w:rsidRPr="00A82930" w:rsidRDefault="00FE65F7" w:rsidP="005801F4">
            <w:pPr>
              <w:spacing w:after="0" w:afterAutospacing="0"/>
              <w:rPr>
                <w:rFonts w:cs="Times New Roman"/>
                <w:sz w:val="20"/>
                <w:szCs w:val="20"/>
                <w:lang w:val="de-DE"/>
              </w:rPr>
            </w:pPr>
          </w:p>
        </w:tc>
      </w:tr>
    </w:tbl>
    <w:p w14:paraId="4E6A03CC" w14:textId="56D349FE" w:rsidR="00662711" w:rsidRPr="00A82930" w:rsidRDefault="00662711" w:rsidP="00662711">
      <w:pPr>
        <w:spacing w:after="0" w:afterAutospacing="0" w:line="240" w:lineRule="auto"/>
        <w:rPr>
          <w:rFonts w:eastAsia="Times New Roman" w:cs="Times New Roman"/>
          <w:szCs w:val="24"/>
          <w:lang w:val="de-DE"/>
        </w:rPr>
      </w:pPr>
    </w:p>
    <w:p w14:paraId="06F9CA56" w14:textId="77777777" w:rsidR="00FE65F7" w:rsidRPr="00A82930" w:rsidRDefault="00FE65F7" w:rsidP="00662711">
      <w:pPr>
        <w:spacing w:after="0" w:afterAutospacing="0" w:line="240" w:lineRule="auto"/>
        <w:rPr>
          <w:rFonts w:eastAsia="Times New Roman" w:cs="Times New Roman"/>
          <w:szCs w:val="24"/>
          <w:lang w:val="de-DE"/>
        </w:rPr>
      </w:pPr>
    </w:p>
    <w:p w14:paraId="54208E56" w14:textId="77777777" w:rsidR="00662711" w:rsidRPr="00A82930" w:rsidRDefault="00662711" w:rsidP="00657878">
      <w:pPr>
        <w:spacing w:after="0" w:afterAutospacing="0" w:line="240" w:lineRule="auto"/>
        <w:rPr>
          <w:rFonts w:eastAsia="Times New Roman" w:cs="Times New Roman"/>
          <w:b/>
          <w:bCs/>
          <w:szCs w:val="24"/>
          <w:lang w:val="de-DE"/>
        </w:rPr>
      </w:pPr>
      <w:r w:rsidRPr="00A82930">
        <w:rPr>
          <w:rFonts w:eastAsia="Times New Roman" w:cs="Times New Roman"/>
          <w:b/>
          <w:bCs/>
          <w:szCs w:val="24"/>
          <w:lang w:val="de-DE"/>
        </w:rPr>
        <w:t>Wofür wird das Produkt verwendet?</w:t>
      </w:r>
    </w:p>
    <w:p w14:paraId="115BE919" w14:textId="77777777" w:rsidR="00657878" w:rsidRPr="00A82930" w:rsidRDefault="00657878" w:rsidP="00657878">
      <w:pPr>
        <w:spacing w:after="0" w:afterAutospacing="0" w:line="240" w:lineRule="auto"/>
        <w:rPr>
          <w:rFonts w:eastAsia="Times New Roman" w:cs="Times New Roman"/>
          <w:b/>
          <w:bCs/>
          <w:szCs w:val="24"/>
          <w:lang w:val="de-DE"/>
        </w:rPr>
      </w:pPr>
    </w:p>
    <w:p w14:paraId="4684C39B" w14:textId="6D1DEE5A"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Der Option ELITE-Filter trägt dazu bei, das Risiko zu verringern, dass ein Blutgerinnsel in die Lunge gelangt. Ein Blutgerinnsel in der Lunge wird als Lungenembolie oder PE bezeichnet. PE können sehr schwerwiegend sein.</w:t>
      </w:r>
    </w:p>
    <w:p w14:paraId="5613169E"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lastRenderedPageBreak/>
        <w:t>Der Filter wird in eine große Vene im Bauchraum eingesetzt. Diese Vene wird als untere Hohlvene oder Vena cava inferior (IVC) bezeichnet. Die untere Hohlvene transportiert das Blut aus den Beinen zurück zum Herzen.</w:t>
      </w:r>
    </w:p>
    <w:p w14:paraId="3912C9BD"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Der Filter funktioniert wie ein kleines Netz. Es fängt Blutgerinnsel auf, lässt aber das Blut weiterhin durch die Vene fließen.</w:t>
      </w:r>
    </w:p>
    <w:p w14:paraId="72EEEA08" w14:textId="0E0A263F" w:rsidR="00662711" w:rsidRPr="00A82930" w:rsidRDefault="00662711" w:rsidP="00662711">
      <w:pPr>
        <w:spacing w:after="0" w:afterAutospacing="0" w:line="240" w:lineRule="auto"/>
        <w:rPr>
          <w:rFonts w:eastAsia="Times New Roman" w:cs="Times New Roman"/>
          <w:szCs w:val="24"/>
          <w:lang w:val="de-DE"/>
        </w:rPr>
      </w:pPr>
    </w:p>
    <w:p w14:paraId="529525D3" w14:textId="77777777" w:rsidR="00662711" w:rsidRPr="00A82930" w:rsidRDefault="00662711" w:rsidP="00657878">
      <w:pPr>
        <w:spacing w:after="0" w:afterAutospacing="0" w:line="240" w:lineRule="auto"/>
        <w:rPr>
          <w:rFonts w:eastAsia="Times New Roman" w:cs="Times New Roman"/>
          <w:b/>
          <w:bCs/>
          <w:szCs w:val="24"/>
          <w:lang w:val="de-DE"/>
        </w:rPr>
      </w:pPr>
      <w:r w:rsidRPr="00A82930">
        <w:rPr>
          <w:rFonts w:eastAsia="Times New Roman" w:cs="Times New Roman"/>
          <w:b/>
          <w:bCs/>
          <w:szCs w:val="24"/>
          <w:lang w:val="de-DE"/>
        </w:rPr>
        <w:t>Wann wird das Produkt verwendet?</w:t>
      </w:r>
    </w:p>
    <w:p w14:paraId="2D78018E" w14:textId="1C9483B0"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Der Filter kann eingesetzt werden, wenn blutverdünnende Medikamente nicht sicher angewendet werden können, nicht wie erwartet wirken oder aus medizinischen Gründen abgesetzt werden müssen. Er kann auch eingesetzt werden, wenn nach einer massiven Lungenembolie eine Notfallbehandlung erforderlich ist und der zu erwartende Nutzen einer Standardtherapie eingeschränkt ist.</w:t>
      </w:r>
    </w:p>
    <w:p w14:paraId="5B0E599B"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Nur ein Arzt kann entscheiden, ob dieser Filter verwendet werden soll.</w:t>
      </w:r>
    </w:p>
    <w:p w14:paraId="12F51B61" w14:textId="366A0146" w:rsidR="00662711" w:rsidRPr="00A82930" w:rsidRDefault="00662711" w:rsidP="00662711">
      <w:pPr>
        <w:spacing w:after="0" w:afterAutospacing="0" w:line="240" w:lineRule="auto"/>
        <w:rPr>
          <w:rFonts w:eastAsia="Times New Roman" w:cs="Times New Roman"/>
          <w:szCs w:val="24"/>
          <w:lang w:val="de-DE"/>
        </w:rPr>
      </w:pPr>
    </w:p>
    <w:p w14:paraId="602820B1" w14:textId="77777777" w:rsidR="00662711" w:rsidRPr="00A82930" w:rsidRDefault="00662711" w:rsidP="00657878">
      <w:pPr>
        <w:spacing w:after="0" w:afterAutospacing="0" w:line="240" w:lineRule="auto"/>
        <w:rPr>
          <w:rFonts w:eastAsia="Times New Roman" w:cs="Times New Roman"/>
          <w:b/>
          <w:bCs/>
          <w:szCs w:val="24"/>
          <w:lang w:val="de-DE"/>
        </w:rPr>
      </w:pPr>
      <w:r w:rsidRPr="00A82930">
        <w:rPr>
          <w:rFonts w:eastAsia="Times New Roman" w:cs="Times New Roman"/>
          <w:b/>
          <w:bCs/>
          <w:szCs w:val="24"/>
          <w:lang w:val="de-DE"/>
        </w:rPr>
        <w:t>Für wen ist das Produkt gedacht?</w:t>
      </w:r>
    </w:p>
    <w:p w14:paraId="4DDC6C83"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Der Option ELITE-Filter kann bei Erwachsenen eingesetzt werden, die Blutgerinnsel haben, die in die Lunge gelangen könnten. Er kann zum Einsatz kommen, wenn blutverdünnende Medikamente nicht sicher angewendet werden können, nicht ausreichend wirken oder abgesetzt werden müssen. Er kann auch in einem Notfall eingesetzt werden, nachdem ein großes Blutgerinnsel die Lunge erreicht hat und die übliche Behandlung möglicherweise nicht ausreichend wirkt.</w:t>
      </w:r>
    </w:p>
    <w:p w14:paraId="5378ABF1" w14:textId="2411D123" w:rsidR="00662711" w:rsidRPr="00A82930" w:rsidRDefault="00662711" w:rsidP="00662711">
      <w:pPr>
        <w:spacing w:after="0" w:afterAutospacing="0" w:line="240" w:lineRule="auto"/>
        <w:rPr>
          <w:rFonts w:eastAsia="Times New Roman" w:cs="Times New Roman"/>
          <w:szCs w:val="24"/>
          <w:lang w:val="de-DE"/>
        </w:rPr>
      </w:pPr>
    </w:p>
    <w:p w14:paraId="57692706" w14:textId="77777777" w:rsidR="00662711" w:rsidRPr="00A82930" w:rsidRDefault="00662711" w:rsidP="00657878">
      <w:pPr>
        <w:spacing w:after="0" w:afterAutospacing="0" w:line="240" w:lineRule="auto"/>
        <w:rPr>
          <w:rFonts w:eastAsia="Times New Roman" w:cs="Times New Roman"/>
          <w:b/>
          <w:bCs/>
          <w:szCs w:val="24"/>
          <w:lang w:val="de-DE"/>
        </w:rPr>
      </w:pPr>
      <w:r w:rsidRPr="00A82930">
        <w:rPr>
          <w:rFonts w:eastAsia="Times New Roman" w:cs="Times New Roman"/>
          <w:b/>
          <w:bCs/>
          <w:szCs w:val="24"/>
          <w:lang w:val="de-DE"/>
        </w:rPr>
        <w:t>Wann sollte das Produkt nicht verwendet werden?</w:t>
      </w:r>
    </w:p>
    <w:p w14:paraId="6EE148F6"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Der Filter sollte nicht verwendet werden, wenn:</w:t>
      </w:r>
    </w:p>
    <w:p w14:paraId="21050D13" w14:textId="77777777" w:rsidR="00992327" w:rsidRPr="00A82930" w:rsidRDefault="00992327" w:rsidP="00992327">
      <w:pPr>
        <w:pStyle w:val="ListParagraph"/>
        <w:numPr>
          <w:ilvl w:val="0"/>
          <w:numId w:val="12"/>
        </w:numPr>
        <w:rPr>
          <w:rFonts w:cs="Times New Roman"/>
          <w:kern w:val="2"/>
          <w:szCs w:val="24"/>
          <w:lang w:val="de-DE"/>
          <w14:ligatures w14:val="standardContextual"/>
        </w:rPr>
      </w:pPr>
      <w:r w:rsidRPr="00A82930">
        <w:rPr>
          <w:rFonts w:cs="Times New Roman"/>
          <w:lang w:val="de-DE"/>
        </w:rPr>
        <w:t>Die große Vene, die sogenannte IVC, zu breit ist, als dass der Filter sicher eingesetzt werden könnte</w:t>
      </w:r>
    </w:p>
    <w:p w14:paraId="065C5C58" w14:textId="77777777" w:rsidR="00992327" w:rsidRPr="00A82930" w:rsidRDefault="00992327" w:rsidP="00992327">
      <w:pPr>
        <w:pStyle w:val="ListParagraph"/>
        <w:numPr>
          <w:ilvl w:val="0"/>
          <w:numId w:val="12"/>
        </w:numPr>
        <w:rPr>
          <w:rFonts w:cs="Times New Roman"/>
          <w:kern w:val="2"/>
          <w:szCs w:val="24"/>
          <w:lang w:val="de-DE"/>
          <w14:ligatures w14:val="standardContextual"/>
        </w:rPr>
      </w:pPr>
      <w:r w:rsidRPr="00A82930">
        <w:rPr>
          <w:rFonts w:cs="Times New Roman"/>
          <w:lang w:val="de-DE"/>
        </w:rPr>
        <w:t>Der Patient eine Blutinfektion hat oder das Risiko besteht, dass infizierte Blutgerinnsel durch den Blutkreislauf wandern</w:t>
      </w:r>
    </w:p>
    <w:p w14:paraId="3C6F1540" w14:textId="77777777" w:rsidR="00992327" w:rsidRPr="00A82930" w:rsidRDefault="00992327" w:rsidP="00992327">
      <w:pPr>
        <w:pStyle w:val="ListParagraph"/>
        <w:numPr>
          <w:ilvl w:val="0"/>
          <w:numId w:val="12"/>
        </w:numPr>
        <w:rPr>
          <w:rFonts w:cs="Times New Roman"/>
          <w:kern w:val="2"/>
          <w:szCs w:val="24"/>
          <w:lang w:val="de-DE"/>
          <w14:ligatures w14:val="standardContextual"/>
        </w:rPr>
      </w:pPr>
      <w:r w:rsidRPr="00A82930">
        <w:rPr>
          <w:rFonts w:cs="Times New Roman"/>
          <w:lang w:val="de-DE"/>
        </w:rPr>
        <w:t>Der Patient gegen Nickel oder Titan allergisch ist, da diese Metalle im Filter enthalten sind</w:t>
      </w:r>
    </w:p>
    <w:p w14:paraId="60A4AB85" w14:textId="77777777" w:rsidR="00992327" w:rsidRPr="00A82930" w:rsidRDefault="00992327" w:rsidP="00992327">
      <w:pPr>
        <w:pStyle w:val="ListParagraph"/>
        <w:numPr>
          <w:ilvl w:val="0"/>
          <w:numId w:val="12"/>
        </w:numPr>
        <w:rPr>
          <w:rFonts w:cs="Times New Roman"/>
          <w:kern w:val="2"/>
          <w:lang w:val="de-DE"/>
          <w14:ligatures w14:val="standardContextual"/>
        </w:rPr>
      </w:pPr>
      <w:r w:rsidRPr="00A82930">
        <w:rPr>
          <w:rFonts w:cs="Times New Roman"/>
          <w:lang w:val="de-DE"/>
        </w:rPr>
        <w:t>Die Patientin schwanger ist und Röntgenstrahlen dem ungeborenen Kind schaden könnten</w:t>
      </w:r>
    </w:p>
    <w:p w14:paraId="33F6A52B"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Ihr Arzt wird entscheiden, ob dieses Produkt für Sie geeignet ist.</w:t>
      </w:r>
    </w:p>
    <w:p w14:paraId="47B0ABE8" w14:textId="43F9A0C1" w:rsidR="00662711" w:rsidRPr="00A82930" w:rsidRDefault="00662711" w:rsidP="00662711">
      <w:pPr>
        <w:spacing w:after="0" w:afterAutospacing="0" w:line="240" w:lineRule="auto"/>
        <w:rPr>
          <w:rFonts w:eastAsia="Times New Roman" w:cs="Times New Roman"/>
          <w:szCs w:val="24"/>
          <w:lang w:val="de-DE"/>
        </w:rPr>
      </w:pPr>
    </w:p>
    <w:p w14:paraId="5FBFC356" w14:textId="77777777" w:rsidR="00662711" w:rsidRPr="00A82930" w:rsidRDefault="00662711" w:rsidP="0042251D">
      <w:pPr>
        <w:spacing w:after="0" w:afterAutospacing="0" w:line="240" w:lineRule="auto"/>
        <w:rPr>
          <w:rFonts w:eastAsia="Times New Roman" w:cs="Times New Roman"/>
          <w:b/>
          <w:bCs/>
          <w:szCs w:val="24"/>
          <w:lang w:val="de-DE"/>
        </w:rPr>
      </w:pPr>
      <w:r w:rsidRPr="00A82930">
        <w:rPr>
          <w:rFonts w:eastAsia="Times New Roman" w:cs="Times New Roman"/>
          <w:b/>
          <w:bCs/>
          <w:szCs w:val="24"/>
          <w:lang w:val="de-DE"/>
        </w:rPr>
        <w:t>Worum handelt es sich bei dem Produkt und wie funktioniert es?</w:t>
      </w:r>
    </w:p>
    <w:p w14:paraId="76BCE32D"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Der Option ELITE-Filter ist ein kleiner Metallfilter. Er wird mithilfe eines dünnen Schlauchs in eine große Vene eingeführt. Eine Operation ist nicht erforderlich.</w:t>
      </w:r>
    </w:p>
    <w:p w14:paraId="025691BB"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Er wird aus einem flexiblen Metall namens Nickel-Titan hergestellt. Dies unterstützt das Aufklappen des Filters und sorgt dafür, dass er in der Vene an Ort und Stelle verbleibt.</w:t>
      </w:r>
    </w:p>
    <w:p w14:paraId="4512A3A6"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Der Filter fängt Blutgerinnsel auf, damit diese nicht in die Lunge gelangen. Bei einigen Patienten kann der Filter später entfernt werden, wenn er nicht mehr benötigt wird. Sollte der Filter nicht mehr benötigt werden und dessen Entfernung sicher und angemessen sein, sollten Ärzte in Erwägung ziehen, ihn innerhalb des in der Gebrauchsanweisung beschriebenen empfohlenen Entfernungszeitraums zu entfernen.</w:t>
      </w:r>
    </w:p>
    <w:p w14:paraId="0231F5F9"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Das Produkt enthält keine Medikamente. Es wirkt, indem es Blutgerinnsel physisch verhindert.</w:t>
      </w:r>
    </w:p>
    <w:p w14:paraId="33FA7FF1" w14:textId="5A98EB32" w:rsidR="00662711" w:rsidRPr="00A82930" w:rsidRDefault="00662711" w:rsidP="00662711">
      <w:pPr>
        <w:spacing w:after="0" w:afterAutospacing="0" w:line="240" w:lineRule="auto"/>
        <w:rPr>
          <w:rFonts w:eastAsia="Times New Roman" w:cs="Times New Roman"/>
          <w:szCs w:val="24"/>
          <w:lang w:val="de-DE"/>
        </w:rPr>
      </w:pPr>
    </w:p>
    <w:p w14:paraId="2C0AFD18" w14:textId="77777777" w:rsidR="00662711" w:rsidRPr="00A82930" w:rsidRDefault="00662711" w:rsidP="0042251D">
      <w:pPr>
        <w:spacing w:after="0" w:afterAutospacing="0" w:line="240" w:lineRule="auto"/>
        <w:rPr>
          <w:rFonts w:eastAsia="Times New Roman" w:cs="Times New Roman"/>
          <w:b/>
          <w:bCs/>
          <w:szCs w:val="24"/>
          <w:lang w:val="de-DE"/>
        </w:rPr>
      </w:pPr>
      <w:r w:rsidRPr="00A82930">
        <w:rPr>
          <w:rFonts w:eastAsia="Times New Roman" w:cs="Times New Roman"/>
          <w:b/>
          <w:bCs/>
          <w:szCs w:val="24"/>
          <w:lang w:val="de-DE"/>
        </w:rPr>
        <w:lastRenderedPageBreak/>
        <w:t>Welche Materialien berühren den Körper?</w:t>
      </w:r>
    </w:p>
    <w:p w14:paraId="6B69077D"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Der Filter besteht aus Nickel-Titan-Metall. Er enthält außerdem Teile, die Ärzten helfen, ihn auf Röntgenbildern zu erkennen.</w:t>
      </w:r>
    </w:p>
    <w:p w14:paraId="48CA1E4E" w14:textId="77777777" w:rsidR="00CD4BCD" w:rsidRPr="00A82930" w:rsidRDefault="00CD4BCD" w:rsidP="00662711">
      <w:pPr>
        <w:spacing w:after="0" w:afterAutospacing="0" w:line="240" w:lineRule="auto"/>
        <w:rPr>
          <w:rFonts w:eastAsia="Times New Roman" w:cs="Times New Roman"/>
          <w:szCs w:val="24"/>
          <w:lang w:val="de-DE"/>
        </w:rPr>
      </w:pPr>
    </w:p>
    <w:p w14:paraId="45E06046" w14:textId="77777777" w:rsidR="00662711" w:rsidRPr="00A82930" w:rsidRDefault="00662711" w:rsidP="00A07827">
      <w:pPr>
        <w:spacing w:after="0" w:afterAutospacing="0" w:line="240" w:lineRule="auto"/>
        <w:rPr>
          <w:rFonts w:eastAsia="Times New Roman" w:cs="Times New Roman"/>
          <w:b/>
          <w:bCs/>
          <w:szCs w:val="24"/>
          <w:lang w:val="de-DE"/>
        </w:rPr>
      </w:pPr>
      <w:r w:rsidRPr="00A82930">
        <w:rPr>
          <w:rFonts w:eastAsia="Times New Roman" w:cs="Times New Roman"/>
          <w:b/>
          <w:bCs/>
          <w:szCs w:val="24"/>
          <w:lang w:val="de-DE"/>
        </w:rPr>
        <w:t>Wie wird das Produkt sicher verwendet?</w:t>
      </w:r>
    </w:p>
    <w:p w14:paraId="3BF55C17"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Der Filter darf ausschließlich von geschulten Ärzten eingesetzt und entfernt werden.</w:t>
      </w:r>
    </w:p>
    <w:p w14:paraId="5BC7AAAB"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Ärzte verwenden spezielle Röntgengeräte, um den Filter an die richtige Stelle zu führen.</w:t>
      </w:r>
    </w:p>
    <w:p w14:paraId="75337366"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Die Patienten müssen keine eigene Ausrüstung mitbringen. Befolgen Sie die Anweisungen Ihres Arztes vor und nach dem Eingriff.</w:t>
      </w:r>
    </w:p>
    <w:p w14:paraId="750D16AC" w14:textId="505F9AA8" w:rsidR="00662711" w:rsidRPr="00A82930" w:rsidRDefault="00662711" w:rsidP="00662711">
      <w:pPr>
        <w:spacing w:after="0" w:afterAutospacing="0" w:line="240" w:lineRule="auto"/>
        <w:rPr>
          <w:rFonts w:eastAsia="Times New Roman" w:cs="Times New Roman"/>
          <w:szCs w:val="24"/>
          <w:lang w:val="de-DE"/>
        </w:rPr>
      </w:pPr>
    </w:p>
    <w:p w14:paraId="122BC25E" w14:textId="77777777" w:rsidR="00662711" w:rsidRPr="00A82930" w:rsidRDefault="00662711" w:rsidP="00A07827">
      <w:pPr>
        <w:spacing w:after="0" w:afterAutospacing="0" w:line="240" w:lineRule="auto"/>
        <w:rPr>
          <w:rFonts w:eastAsia="Times New Roman" w:cs="Times New Roman"/>
          <w:b/>
          <w:bCs/>
          <w:szCs w:val="24"/>
          <w:lang w:val="de-DE"/>
        </w:rPr>
      </w:pPr>
      <w:r w:rsidRPr="00A82930">
        <w:rPr>
          <w:rFonts w:eastAsia="Times New Roman" w:cs="Times New Roman"/>
          <w:b/>
          <w:bCs/>
          <w:szCs w:val="24"/>
          <w:lang w:val="de-DE"/>
        </w:rPr>
        <w:t>Risiken und Warnungen</w:t>
      </w:r>
    </w:p>
    <w:p w14:paraId="21BDD86C"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Alle medizinischen Behandlungen bergen gewisse Risiken. Zu den möglichen Problemen im Zusammenhang mit Vena-Cava-Filtern können gehören:</w:t>
      </w:r>
    </w:p>
    <w:p w14:paraId="75F99473" w14:textId="77777777" w:rsidR="00A44350" w:rsidRPr="00A82930" w:rsidRDefault="00A44350">
      <w:pPr>
        <w:pStyle w:val="ListParagraph"/>
        <w:numPr>
          <w:ilvl w:val="0"/>
          <w:numId w:val="13"/>
        </w:numPr>
        <w:rPr>
          <w:rFonts w:cs="Times New Roman"/>
          <w:kern w:val="2"/>
          <w:lang w:val="de-DE"/>
          <w14:ligatures w14:val="standardContextual"/>
        </w:rPr>
      </w:pPr>
      <w:r w:rsidRPr="00A82930">
        <w:rPr>
          <w:rFonts w:cs="Times New Roman"/>
          <w:lang w:val="de-DE"/>
        </w:rPr>
        <w:t>Der Filter verschiebt sich, neigt sich oder ist falsch positioniert</w:t>
      </w:r>
    </w:p>
    <w:p w14:paraId="6455657C" w14:textId="77777777" w:rsidR="00992327" w:rsidRPr="00A82930" w:rsidRDefault="00992327" w:rsidP="00992327">
      <w:pPr>
        <w:pStyle w:val="ListParagraph"/>
        <w:numPr>
          <w:ilvl w:val="0"/>
          <w:numId w:val="13"/>
        </w:numPr>
        <w:rPr>
          <w:rFonts w:cs="Times New Roman"/>
          <w:kern w:val="2"/>
          <w:lang w:val="de-DE"/>
          <w14:ligatures w14:val="standardContextual"/>
        </w:rPr>
      </w:pPr>
      <w:r w:rsidRPr="00A82930">
        <w:rPr>
          <w:rFonts w:cs="Times New Roman"/>
          <w:lang w:val="de-DE"/>
        </w:rPr>
        <w:t>Beschädigungen des Filters, einschließlich Bruch, Formveränderung oder Schwierigkeiten bei der Entfernung</w:t>
      </w:r>
    </w:p>
    <w:p w14:paraId="6D311370" w14:textId="77777777" w:rsidR="00992327" w:rsidRPr="00A82930" w:rsidRDefault="00992327" w:rsidP="00992327">
      <w:pPr>
        <w:pStyle w:val="ListParagraph"/>
        <w:numPr>
          <w:ilvl w:val="0"/>
          <w:numId w:val="13"/>
        </w:numPr>
        <w:rPr>
          <w:rFonts w:cs="Times New Roman"/>
          <w:kern w:val="2"/>
          <w:lang w:val="de-DE"/>
          <w14:ligatures w14:val="standardContextual"/>
        </w:rPr>
      </w:pPr>
      <w:r w:rsidRPr="00A82930">
        <w:rPr>
          <w:rFonts w:cs="Times New Roman"/>
          <w:lang w:val="de-DE"/>
        </w:rPr>
        <w:t>Bildung von Blutgerinnseln im oder um den Filter herum, in den Beinen oder in der großen Vene, in der der Filter platziert wurde</w:t>
      </w:r>
    </w:p>
    <w:p w14:paraId="201A642B" w14:textId="77777777" w:rsidR="00A44350" w:rsidRPr="00A82930" w:rsidRDefault="00A44350">
      <w:pPr>
        <w:pStyle w:val="ListParagraph"/>
        <w:numPr>
          <w:ilvl w:val="0"/>
          <w:numId w:val="13"/>
        </w:numPr>
        <w:rPr>
          <w:rFonts w:cs="Times New Roman"/>
          <w:kern w:val="2"/>
          <w:lang w:val="de-DE"/>
          <w14:ligatures w14:val="standardContextual"/>
        </w:rPr>
      </w:pPr>
      <w:r w:rsidRPr="00A82930">
        <w:rPr>
          <w:rFonts w:cs="Times New Roman"/>
          <w:lang w:val="de-DE"/>
        </w:rPr>
        <w:t>Schmerzen, Blutergüsse, Blutungen oder Infektionen an der Stelle, an der der Filter eingesetzt oder entfernt wurde</w:t>
      </w:r>
    </w:p>
    <w:p w14:paraId="5FD556A9" w14:textId="77777777" w:rsidR="00992327" w:rsidRPr="00A82930" w:rsidRDefault="00992327" w:rsidP="00992327">
      <w:pPr>
        <w:pStyle w:val="ListParagraph"/>
        <w:numPr>
          <w:ilvl w:val="0"/>
          <w:numId w:val="13"/>
        </w:numPr>
        <w:rPr>
          <w:rFonts w:cs="Times New Roman"/>
          <w:kern w:val="2"/>
          <w:lang w:val="de-DE"/>
          <w14:ligatures w14:val="standardContextual"/>
        </w:rPr>
      </w:pPr>
      <w:r w:rsidRPr="00A82930">
        <w:rPr>
          <w:rFonts w:cs="Times New Roman"/>
          <w:lang w:val="de-DE"/>
        </w:rPr>
        <w:t>Verletzungen der Vene oder benachbarter Organe, die eine medizinische Behandlung, einen chirurgischen Eingriff oder einen anderen Eingriff erfordern können</w:t>
      </w:r>
    </w:p>
    <w:p w14:paraId="2395E33A" w14:textId="77777777" w:rsidR="00992327" w:rsidRPr="00A82930" w:rsidRDefault="00992327" w:rsidP="00992327">
      <w:pPr>
        <w:pStyle w:val="ListParagraph"/>
        <w:numPr>
          <w:ilvl w:val="0"/>
          <w:numId w:val="13"/>
        </w:numPr>
        <w:rPr>
          <w:rFonts w:cs="Times New Roman"/>
          <w:kern w:val="2"/>
          <w:lang w:val="de-DE"/>
          <w14:ligatures w14:val="standardContextual"/>
        </w:rPr>
      </w:pPr>
      <w:r w:rsidRPr="00A82930">
        <w:rPr>
          <w:rFonts w:cs="Times New Roman"/>
          <w:lang w:val="de-DE"/>
        </w:rPr>
        <w:t>Allergische Reaktion auf Kontrastmittel, Medikamente, Anästhetika, Nickel oder Titan</w:t>
      </w:r>
    </w:p>
    <w:p w14:paraId="35B80E99" w14:textId="77777777" w:rsidR="00992327" w:rsidRPr="00A82930" w:rsidRDefault="00992327" w:rsidP="00992327">
      <w:pPr>
        <w:pStyle w:val="ListParagraph"/>
        <w:numPr>
          <w:ilvl w:val="0"/>
          <w:numId w:val="13"/>
        </w:numPr>
        <w:rPr>
          <w:rFonts w:cs="Times New Roman"/>
          <w:kern w:val="2"/>
          <w:lang w:val="de-DE"/>
          <w14:ligatures w14:val="standardContextual"/>
        </w:rPr>
      </w:pPr>
      <w:r w:rsidRPr="00A82930">
        <w:rPr>
          <w:rFonts w:cs="Times New Roman"/>
          <w:lang w:val="de-DE"/>
        </w:rPr>
        <w:t>Schwerwiegende Ereignisse wie Atemprobleme, Herzprobleme, schlaganfallähnliche Symptome, Nierenprobleme oder der Tod</w:t>
      </w:r>
    </w:p>
    <w:p w14:paraId="39A0ACCE"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Nicht jeder Patient wird diese Probleme haben. Manche Probleme können schwerwiegend sein. Ihr Arzt wird darauf achten und Ihnen gegebenenfalls helfen.</w:t>
      </w:r>
    </w:p>
    <w:p w14:paraId="1ECC1A61"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Rufen Sie Ihren Arzt an, wenn Sie nach dem Eingriff ungewöhnliche Symptome bemerken oder sich unwohl fühlen.</w:t>
      </w:r>
    </w:p>
    <w:p w14:paraId="077BE320" w14:textId="0024DAB0" w:rsidR="00662711" w:rsidRPr="00A82930" w:rsidRDefault="00662711" w:rsidP="00662711">
      <w:pPr>
        <w:spacing w:after="0" w:afterAutospacing="0" w:line="240" w:lineRule="auto"/>
        <w:rPr>
          <w:rFonts w:eastAsia="Times New Roman" w:cs="Times New Roman"/>
          <w:szCs w:val="24"/>
          <w:lang w:val="de-DE"/>
        </w:rPr>
      </w:pPr>
    </w:p>
    <w:p w14:paraId="36C4EFA8" w14:textId="77777777" w:rsidR="00662711" w:rsidRPr="00A82930" w:rsidRDefault="00662711" w:rsidP="00192173">
      <w:pPr>
        <w:spacing w:after="0" w:afterAutospacing="0" w:line="240" w:lineRule="auto"/>
        <w:rPr>
          <w:rFonts w:eastAsia="Times New Roman" w:cs="Times New Roman"/>
          <w:b/>
          <w:bCs/>
          <w:szCs w:val="24"/>
          <w:lang w:val="de-DE"/>
        </w:rPr>
      </w:pPr>
      <w:r w:rsidRPr="00A82930">
        <w:rPr>
          <w:rFonts w:eastAsia="Times New Roman" w:cs="Times New Roman"/>
          <w:b/>
          <w:bCs/>
          <w:szCs w:val="24"/>
          <w:lang w:val="de-DE"/>
        </w:rPr>
        <w:t>Wichtige Sicherheitsinformationen</w:t>
      </w:r>
    </w:p>
    <w:p w14:paraId="3C2AE03D" w14:textId="77777777" w:rsidR="00662711" w:rsidRPr="00A82930" w:rsidRDefault="00662711" w:rsidP="00662711">
      <w:pPr>
        <w:spacing w:after="0" w:afterAutospacing="0" w:line="240" w:lineRule="auto"/>
        <w:rPr>
          <w:rFonts w:eastAsia="Times New Roman" w:cs="Times New Roman"/>
          <w:szCs w:val="24"/>
          <w:lang w:val="de-DE"/>
        </w:rPr>
      </w:pPr>
      <w:r w:rsidRPr="00A82930">
        <w:rPr>
          <w:rFonts w:eastAsia="Times New Roman" w:cs="Times New Roman"/>
          <w:szCs w:val="24"/>
          <w:lang w:val="de-DE"/>
        </w:rPr>
        <w:t>Informieren Sie Ihren Arzt, wenn:</w:t>
      </w:r>
    </w:p>
    <w:p w14:paraId="53E966B1" w14:textId="77777777" w:rsidR="00662711" w:rsidRPr="00A82930" w:rsidRDefault="00662711">
      <w:pPr>
        <w:numPr>
          <w:ilvl w:val="0"/>
          <w:numId w:val="14"/>
        </w:numPr>
        <w:spacing w:after="0" w:afterAutospacing="0" w:line="240" w:lineRule="auto"/>
        <w:rPr>
          <w:rFonts w:eastAsia="Times New Roman" w:cs="Times New Roman"/>
          <w:szCs w:val="24"/>
          <w:lang w:val="de-DE"/>
        </w:rPr>
      </w:pPr>
      <w:r w:rsidRPr="00A82930">
        <w:rPr>
          <w:rFonts w:eastAsia="Times New Roman" w:cs="Times New Roman"/>
          <w:szCs w:val="24"/>
          <w:lang w:val="de-DE"/>
        </w:rPr>
        <w:t>Sie allergisch gegen Metalle wie Nickel oder Titan sind</w:t>
      </w:r>
    </w:p>
    <w:p w14:paraId="3C1568AC" w14:textId="77777777" w:rsidR="00662711" w:rsidRPr="00A82930" w:rsidRDefault="00662711">
      <w:pPr>
        <w:numPr>
          <w:ilvl w:val="0"/>
          <w:numId w:val="14"/>
        </w:numPr>
        <w:spacing w:after="0" w:afterAutospacing="0" w:line="240" w:lineRule="auto"/>
        <w:rPr>
          <w:rFonts w:eastAsia="Times New Roman" w:cs="Times New Roman"/>
          <w:szCs w:val="24"/>
        </w:rPr>
      </w:pPr>
      <w:r w:rsidRPr="00A82930">
        <w:rPr>
          <w:rFonts w:eastAsia="Times New Roman" w:cs="Times New Roman"/>
          <w:szCs w:val="24"/>
          <w:lang w:val="de-DE"/>
        </w:rPr>
        <w:t>Sie an einer Blutvergiftung leiden</w:t>
      </w:r>
    </w:p>
    <w:p w14:paraId="1C5D5631" w14:textId="77777777" w:rsidR="00662711" w:rsidRPr="00A82930" w:rsidRDefault="00662711">
      <w:pPr>
        <w:numPr>
          <w:ilvl w:val="0"/>
          <w:numId w:val="14"/>
        </w:numPr>
        <w:spacing w:after="0" w:afterAutospacing="0" w:line="240" w:lineRule="auto"/>
        <w:rPr>
          <w:rFonts w:eastAsia="Times New Roman" w:cs="Times New Roman"/>
          <w:szCs w:val="24"/>
          <w:lang w:val="de-DE"/>
        </w:rPr>
      </w:pPr>
      <w:r w:rsidRPr="00A82930">
        <w:rPr>
          <w:rFonts w:eastAsia="Times New Roman" w:cs="Times New Roman"/>
          <w:szCs w:val="24"/>
          <w:lang w:val="de-DE"/>
        </w:rPr>
        <w:t>Sie schwanger sind oder glauben, schwanger zu sein</w:t>
      </w:r>
    </w:p>
    <w:p w14:paraId="09A3B476"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Ihr Arzt wird Sie möglicherweise bitten, nach dem Einsetzen des Filters für eine kurze Zeit bestimmte Aktivitäten einzuschränken.</w:t>
      </w:r>
    </w:p>
    <w:p w14:paraId="74EBA469" w14:textId="77777777" w:rsidR="003C1652" w:rsidRPr="00A82930" w:rsidRDefault="003C1652">
      <w:pPr>
        <w:spacing w:after="0" w:afterAutospacing="0"/>
        <w:rPr>
          <w:rFonts w:cs="Times New Roman"/>
          <w:kern w:val="2"/>
          <w:szCs w:val="24"/>
          <w:lang w:val="de-DE"/>
          <w14:ligatures w14:val="standardContextual"/>
        </w:rPr>
      </w:pPr>
      <w:r w:rsidRPr="00A82930">
        <w:rPr>
          <w:rFonts w:cs="Times New Roman"/>
          <w:lang w:val="de-DE"/>
        </w:rPr>
        <w:t xml:space="preserve">Unter Umständen können Sie mit diesem Filter eine Magnetresonanztomographie, auch MRT genannt, durchführen lassen, allerdings nur, wenn bestimmte Sicherheitsvorschriften eingehalten werden. Teilen Sie </w:t>
      </w:r>
      <w:r w:rsidRPr="00A82930">
        <w:rPr>
          <w:rFonts w:cs="Times New Roman"/>
          <w:lang w:val="de-DE"/>
        </w:rPr>
        <w:lastRenderedPageBreak/>
        <w:t>Ihrem Arzt oder dem MRT-Personal vor jeder MRT-Untersuchung mit, dass Sie einen Option ELITE-Filter in sich tragen.</w:t>
      </w:r>
    </w:p>
    <w:p w14:paraId="478DA380" w14:textId="734F2959" w:rsidR="00662711" w:rsidRPr="00A82930" w:rsidRDefault="00662711" w:rsidP="00662711">
      <w:pPr>
        <w:spacing w:after="0" w:afterAutospacing="0" w:line="240" w:lineRule="auto"/>
        <w:rPr>
          <w:rFonts w:eastAsia="Times New Roman" w:cs="Times New Roman"/>
          <w:szCs w:val="24"/>
          <w:lang w:val="de-DE"/>
        </w:rPr>
      </w:pPr>
    </w:p>
    <w:p w14:paraId="1FC64C27" w14:textId="77777777" w:rsidR="00662711" w:rsidRPr="00A82930" w:rsidRDefault="00662711" w:rsidP="00192173">
      <w:pPr>
        <w:spacing w:after="0" w:afterAutospacing="0" w:line="240" w:lineRule="auto"/>
        <w:rPr>
          <w:rFonts w:eastAsia="Times New Roman" w:cs="Times New Roman"/>
          <w:b/>
          <w:bCs/>
          <w:szCs w:val="24"/>
          <w:lang w:val="de-DE"/>
        </w:rPr>
      </w:pPr>
      <w:r w:rsidRPr="00A82930">
        <w:rPr>
          <w:rFonts w:eastAsia="Times New Roman" w:cs="Times New Roman"/>
          <w:b/>
          <w:bCs/>
          <w:szCs w:val="24"/>
          <w:lang w:val="de-DE"/>
        </w:rPr>
        <w:t>Wurde eine Sicherheitsmaßnahme ergriffen?</w:t>
      </w:r>
    </w:p>
    <w:p w14:paraId="11F641C1"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Ja. Im Jahr 2023 ergriff das Unternehmen eine Sicherheitsmaßnahme, da ein mögliches Problem mit der Funktionsweise des Medizinprodukts die beabsichtigte Wirkungsweise des Filters beeinträchtigen und das Risiko erhöhen könnte, dass ein Blutgerinnsel in die Lunge gelangt. Das Unternehmen hat den Sachverhalt geprüft und überwacht auch nach dem Verkauf des Produkts weiterhin die Sicherheitsinformationen. Auf Grundlage der bislang geprüften Informationen wurden keine neuen Sicherheitsbedenken festgestellt.</w:t>
      </w:r>
    </w:p>
    <w:p w14:paraId="0AC8610C" w14:textId="77777777" w:rsidR="00DA3EF1" w:rsidRPr="00A82930" w:rsidRDefault="00DA3EF1" w:rsidP="00DA3EF1">
      <w:pPr>
        <w:spacing w:after="0" w:afterAutospacing="0" w:line="240" w:lineRule="auto"/>
        <w:rPr>
          <w:rFonts w:eastAsia="Times New Roman" w:cs="Times New Roman"/>
          <w:szCs w:val="24"/>
          <w:lang w:val="de-DE"/>
        </w:rPr>
      </w:pPr>
    </w:p>
    <w:p w14:paraId="42488257"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Dieser Vorfall wurde im Rahmen der laufenden Sicherheitsüberwachung geprüft. Auf Grundlage der verfügbaren Informationen bleiben Nutzen und Risiken des Option ELITE-Filters bei bestimmungsgemäßer Verwendung akzeptabel.</w:t>
      </w:r>
    </w:p>
    <w:p w14:paraId="5A14483E" w14:textId="77777777" w:rsidR="00DA3EF1" w:rsidRPr="00A82930" w:rsidRDefault="00DA3EF1" w:rsidP="00DA3EF1">
      <w:pPr>
        <w:spacing w:after="0" w:afterAutospacing="0" w:line="240" w:lineRule="auto"/>
        <w:rPr>
          <w:rFonts w:eastAsia="Times New Roman" w:cs="Times New Roman"/>
          <w:szCs w:val="24"/>
          <w:lang w:val="de-DE"/>
        </w:rPr>
      </w:pPr>
    </w:p>
    <w:p w14:paraId="4941305C"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Ihr Arzt kann Ihnen bei Bedarf weitere Einzelheiten mitteilen.</w:t>
      </w:r>
    </w:p>
    <w:p w14:paraId="6385239E" w14:textId="77777777" w:rsidR="00BA3A00" w:rsidRPr="00A82930" w:rsidRDefault="00BA3A00">
      <w:pPr>
        <w:spacing w:after="0" w:afterAutospacing="0"/>
        <w:rPr>
          <w:rFonts w:cs="Times New Roman"/>
          <w:b/>
          <w:bCs/>
          <w:lang w:val="de-DE"/>
        </w:rPr>
      </w:pPr>
    </w:p>
    <w:p w14:paraId="40384B10" w14:textId="530E37F2" w:rsidR="00A44350" w:rsidRPr="00A82930" w:rsidRDefault="00A44350">
      <w:pPr>
        <w:spacing w:after="0" w:afterAutospacing="0"/>
        <w:rPr>
          <w:rFonts w:cs="Times New Roman"/>
          <w:kern w:val="2"/>
          <w:szCs w:val="24"/>
          <w:lang w:val="de-DE"/>
          <w14:ligatures w14:val="standardContextual"/>
        </w:rPr>
      </w:pPr>
      <w:r w:rsidRPr="00A82930">
        <w:rPr>
          <w:rFonts w:cs="Times New Roman"/>
          <w:b/>
          <w:bCs/>
          <w:lang w:val="de-DE"/>
        </w:rPr>
        <w:t>Wie erkennt man, dass das Produkt sicher ist und funktioniert?</w:t>
      </w:r>
    </w:p>
    <w:p w14:paraId="7AA2BA11"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Informationen zur Sicherheit und Verwendung des Option ELITE-Filters stammen aus:</w:t>
      </w:r>
    </w:p>
    <w:p w14:paraId="40A87D6C" w14:textId="77777777" w:rsidR="00012C93" w:rsidRPr="00A82930" w:rsidRDefault="00012C93" w:rsidP="00012C93">
      <w:pPr>
        <w:pStyle w:val="ListParagraph"/>
        <w:numPr>
          <w:ilvl w:val="0"/>
          <w:numId w:val="15"/>
        </w:numPr>
        <w:rPr>
          <w:rFonts w:cs="Times New Roman"/>
          <w:kern w:val="2"/>
          <w14:ligatures w14:val="standardContextual"/>
        </w:rPr>
      </w:pPr>
      <w:r w:rsidRPr="00A82930">
        <w:rPr>
          <w:rFonts w:cs="Times New Roman"/>
          <w:lang w:val="de-DE"/>
        </w:rPr>
        <w:t>Labortests</w:t>
      </w:r>
    </w:p>
    <w:p w14:paraId="1AE05C32" w14:textId="77777777" w:rsidR="00012C93" w:rsidRPr="00A82930" w:rsidRDefault="00012C93" w:rsidP="00012C93">
      <w:pPr>
        <w:pStyle w:val="ListParagraph"/>
        <w:numPr>
          <w:ilvl w:val="0"/>
          <w:numId w:val="15"/>
        </w:numPr>
        <w:rPr>
          <w:rFonts w:cs="Times New Roman"/>
        </w:rPr>
      </w:pPr>
      <w:r w:rsidRPr="00A82930">
        <w:rPr>
          <w:rFonts w:cs="Times New Roman"/>
          <w:lang w:val="de-DE"/>
        </w:rPr>
        <w:t>Anwendung bei Patienten</w:t>
      </w:r>
    </w:p>
    <w:p w14:paraId="53CBDB96" w14:textId="77777777" w:rsidR="00992327" w:rsidRPr="00A82930" w:rsidRDefault="00992327" w:rsidP="00992327">
      <w:pPr>
        <w:pStyle w:val="ListParagraph"/>
        <w:numPr>
          <w:ilvl w:val="0"/>
          <w:numId w:val="15"/>
        </w:numPr>
        <w:rPr>
          <w:rFonts w:cs="Times New Roman"/>
          <w:lang w:val="de-DE"/>
        </w:rPr>
      </w:pPr>
      <w:r w:rsidRPr="00A82930">
        <w:rPr>
          <w:rFonts w:cs="Times New Roman"/>
          <w:lang w:val="de-DE"/>
        </w:rPr>
        <w:t>Medizinische Studien zu diesem Filter und ähnlichen Filtern</w:t>
      </w:r>
    </w:p>
    <w:p w14:paraId="3C404F94" w14:textId="77777777" w:rsidR="00992327" w:rsidRPr="00A82930" w:rsidRDefault="00992327" w:rsidP="00992327">
      <w:pPr>
        <w:pStyle w:val="ListParagraph"/>
        <w:numPr>
          <w:ilvl w:val="0"/>
          <w:numId w:val="15"/>
        </w:numPr>
        <w:rPr>
          <w:rFonts w:cs="Times New Roman"/>
          <w:lang w:val="de-DE"/>
        </w:rPr>
      </w:pPr>
      <w:r w:rsidRPr="00A82930">
        <w:rPr>
          <w:rFonts w:cs="Times New Roman"/>
          <w:lang w:val="de-DE"/>
        </w:rPr>
        <w:t>Beschwerden, gemeldeten Probleme und laufenden Sicherheitsüberprüfungen nach dem Verkauf des Produkts</w:t>
      </w:r>
    </w:p>
    <w:p w14:paraId="426AD6C1"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Diese Quellen belegen, dass das Produkt bei korrekter Anwendung wie erwartet funktioniert. Klinische Informationen belegten eine hohe Erfolgsquote beim Einsetzen und Entfernen des Filters. Beschwerden, gemeldete Probleme und laufende Sicherheitsüberprüfungen nach dem Verkauf des Produkts ergaben auf Grundlage der bislang geprüften Informationen keine neuen Sicherheitsbedenken.</w:t>
      </w:r>
    </w:p>
    <w:p w14:paraId="1C7EC8A3" w14:textId="2CFB834F" w:rsidR="00662711" w:rsidRPr="00A82930" w:rsidRDefault="00662711" w:rsidP="00662711">
      <w:pPr>
        <w:spacing w:after="0" w:afterAutospacing="0" w:line="240" w:lineRule="auto"/>
        <w:rPr>
          <w:rFonts w:eastAsia="Times New Roman" w:cs="Times New Roman"/>
          <w:szCs w:val="24"/>
          <w:lang w:val="de-DE"/>
        </w:rPr>
      </w:pPr>
    </w:p>
    <w:p w14:paraId="46E3D594" w14:textId="77777777" w:rsidR="00662711" w:rsidRPr="00A82930" w:rsidRDefault="00662711" w:rsidP="00FD2091">
      <w:pPr>
        <w:spacing w:after="0" w:afterAutospacing="0" w:line="240" w:lineRule="auto"/>
        <w:rPr>
          <w:rFonts w:eastAsia="Times New Roman" w:cs="Times New Roman"/>
          <w:b/>
          <w:bCs/>
          <w:szCs w:val="24"/>
          <w:lang w:val="de-DE"/>
        </w:rPr>
      </w:pPr>
      <w:r w:rsidRPr="00A82930">
        <w:rPr>
          <w:rFonts w:eastAsia="Times New Roman" w:cs="Times New Roman"/>
          <w:b/>
          <w:bCs/>
          <w:szCs w:val="24"/>
          <w:lang w:val="de-DE"/>
        </w:rPr>
        <w:t>Wie wird die Sicherheit im Laufe der Zeit überprüft?</w:t>
      </w:r>
    </w:p>
    <w:p w14:paraId="0C6DC71B"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Der Hersteller überwacht die Sicherheit des Produkts auch nach dessen Verkauf weiterhin. Dazu gehören die Auswertung von Beschwerden, gemeldeten Problemen, medizinischen Studien, Sicherheitsmaßnahmen sowie, sofern verfügbar, Nachverfolgungsinformationen von Ärzten oder klinischen Einrichtungen.</w:t>
      </w:r>
    </w:p>
    <w:p w14:paraId="7235F20A" w14:textId="77777777" w:rsidR="00662711" w:rsidRPr="00A82930" w:rsidRDefault="00662711">
      <w:pPr>
        <w:numPr>
          <w:ilvl w:val="0"/>
          <w:numId w:val="16"/>
        </w:numPr>
        <w:spacing w:after="0" w:afterAutospacing="0" w:line="240" w:lineRule="auto"/>
        <w:rPr>
          <w:rFonts w:eastAsia="Times New Roman" w:cs="Times New Roman"/>
          <w:szCs w:val="24"/>
          <w:lang w:val="de-DE"/>
        </w:rPr>
      </w:pPr>
      <w:r w:rsidRPr="00A82930">
        <w:rPr>
          <w:rFonts w:eastAsia="Times New Roman" w:cs="Times New Roman"/>
          <w:szCs w:val="24"/>
          <w:lang w:val="de-DE"/>
        </w:rPr>
        <w:t>Überprüfung von Beschwerden und gemeldeten Problemen</w:t>
      </w:r>
    </w:p>
    <w:p w14:paraId="1A9351F0" w14:textId="77777777" w:rsidR="00662711" w:rsidRPr="00A82930" w:rsidRDefault="00662711">
      <w:pPr>
        <w:numPr>
          <w:ilvl w:val="0"/>
          <w:numId w:val="16"/>
        </w:numPr>
        <w:spacing w:after="0" w:afterAutospacing="0" w:line="240" w:lineRule="auto"/>
        <w:rPr>
          <w:rFonts w:eastAsia="Times New Roman" w:cs="Times New Roman"/>
          <w:szCs w:val="24"/>
        </w:rPr>
      </w:pPr>
      <w:r w:rsidRPr="00A82930">
        <w:rPr>
          <w:rFonts w:eastAsia="Times New Roman" w:cs="Times New Roman"/>
          <w:szCs w:val="24"/>
          <w:lang w:val="de-DE"/>
        </w:rPr>
        <w:t>Überprüfung medizinischer Studien</w:t>
      </w:r>
    </w:p>
    <w:p w14:paraId="20BB11AC" w14:textId="77777777" w:rsidR="00662711" w:rsidRPr="00A82930" w:rsidRDefault="00662711">
      <w:pPr>
        <w:numPr>
          <w:ilvl w:val="0"/>
          <w:numId w:val="16"/>
        </w:numPr>
        <w:spacing w:after="0" w:afterAutospacing="0" w:line="240" w:lineRule="auto"/>
        <w:rPr>
          <w:rFonts w:eastAsia="Times New Roman" w:cs="Times New Roman"/>
          <w:szCs w:val="24"/>
          <w:lang w:val="de-DE"/>
        </w:rPr>
      </w:pPr>
      <w:r w:rsidRPr="00A82930">
        <w:rPr>
          <w:rFonts w:eastAsia="Times New Roman" w:cs="Times New Roman"/>
          <w:szCs w:val="24"/>
          <w:lang w:val="de-DE"/>
        </w:rPr>
        <w:t>Ergreifen von Maßnahmen, falls Sicherheitsbedenken auftreten</w:t>
      </w:r>
    </w:p>
    <w:p w14:paraId="620C6D87" w14:textId="77777777" w:rsidR="00992327" w:rsidRPr="00A82930" w:rsidRDefault="00992327" w:rsidP="00992327">
      <w:pPr>
        <w:pStyle w:val="ListParagraph"/>
        <w:numPr>
          <w:ilvl w:val="0"/>
          <w:numId w:val="16"/>
        </w:numPr>
        <w:rPr>
          <w:rFonts w:eastAsia="Times New Roman" w:cs="Times New Roman"/>
          <w:szCs w:val="24"/>
          <w:lang w:val="de-DE"/>
        </w:rPr>
      </w:pPr>
      <w:r w:rsidRPr="00A82930">
        <w:rPr>
          <w:rFonts w:cs="Times New Roman"/>
          <w:lang w:val="de-DE"/>
        </w:rPr>
        <w:t>Ärzte können zudem Informationen zur Nachsorge von Patienten bereitstellen, denen der Filter eingesetzt wurde.</w:t>
      </w:r>
    </w:p>
    <w:p w14:paraId="680602FA"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Diese Maßnahmen tragen dazu bei, die Sicherheitsinformationen auf dem neuesten Stand zu halten. Außerdem tragen sie zur Bestätigung bei, dass das Produkt weiterhin wie vorgesehen funktioniert.</w:t>
      </w:r>
    </w:p>
    <w:p w14:paraId="2D078C19" w14:textId="47E92DFD" w:rsidR="00662711" w:rsidRPr="00A82930" w:rsidRDefault="00662711" w:rsidP="00662711">
      <w:pPr>
        <w:spacing w:after="0" w:afterAutospacing="0" w:line="240" w:lineRule="auto"/>
        <w:rPr>
          <w:rFonts w:eastAsia="Times New Roman" w:cs="Times New Roman"/>
          <w:szCs w:val="24"/>
          <w:lang w:val="de-DE"/>
        </w:rPr>
      </w:pPr>
    </w:p>
    <w:p w14:paraId="159671B4" w14:textId="77777777" w:rsidR="00662711" w:rsidRPr="00A82930" w:rsidRDefault="00662711" w:rsidP="00FD2091">
      <w:pPr>
        <w:spacing w:after="0" w:afterAutospacing="0" w:line="240" w:lineRule="auto"/>
        <w:rPr>
          <w:rFonts w:eastAsia="Times New Roman" w:cs="Times New Roman"/>
          <w:b/>
          <w:bCs/>
          <w:szCs w:val="24"/>
          <w:lang w:val="de-DE"/>
        </w:rPr>
      </w:pPr>
      <w:r w:rsidRPr="00A82930">
        <w:rPr>
          <w:rFonts w:eastAsia="Times New Roman" w:cs="Times New Roman"/>
          <w:b/>
          <w:bCs/>
          <w:szCs w:val="24"/>
          <w:lang w:val="de-DE"/>
        </w:rPr>
        <w:t>Welche anderen Behandlungsmöglichkeiten gibt es?</w:t>
      </w:r>
    </w:p>
    <w:p w14:paraId="35F45681"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Ärzte versuchen in der Regel zunächst, Blutgerinnsel mit blutverdünnenden Medikamenten zu behandeln.</w:t>
      </w:r>
    </w:p>
    <w:p w14:paraId="432A64C6"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Wenn blutverdünnende Medikamente nicht eingesetzt werden können, kommen unter anderem folgende Optionen in Betracht:</w:t>
      </w:r>
    </w:p>
    <w:p w14:paraId="5FB08A80" w14:textId="77777777" w:rsidR="00662711" w:rsidRPr="00A82930" w:rsidRDefault="00662711">
      <w:pPr>
        <w:numPr>
          <w:ilvl w:val="0"/>
          <w:numId w:val="17"/>
        </w:numPr>
        <w:spacing w:after="0" w:afterAutospacing="0" w:line="240" w:lineRule="auto"/>
        <w:rPr>
          <w:rFonts w:eastAsia="Times New Roman" w:cs="Times New Roman"/>
          <w:szCs w:val="24"/>
          <w:lang w:val="de-DE"/>
        </w:rPr>
      </w:pPr>
      <w:r w:rsidRPr="00A82930">
        <w:rPr>
          <w:rFonts w:eastAsia="Times New Roman" w:cs="Times New Roman"/>
          <w:szCs w:val="24"/>
          <w:lang w:val="de-DE"/>
        </w:rPr>
        <w:t>Medikamente, die Blutgerinnsel in Notfällen auflösen</w:t>
      </w:r>
    </w:p>
    <w:p w14:paraId="12BE4684" w14:textId="77777777" w:rsidR="00662711" w:rsidRPr="00A82930" w:rsidRDefault="00662711">
      <w:pPr>
        <w:numPr>
          <w:ilvl w:val="0"/>
          <w:numId w:val="17"/>
        </w:numPr>
        <w:spacing w:after="0" w:afterAutospacing="0" w:line="240" w:lineRule="auto"/>
        <w:rPr>
          <w:rFonts w:eastAsia="Times New Roman" w:cs="Times New Roman"/>
          <w:szCs w:val="24"/>
          <w:lang w:val="de-DE"/>
        </w:rPr>
      </w:pPr>
      <w:r w:rsidRPr="00A82930">
        <w:rPr>
          <w:rFonts w:eastAsia="Times New Roman" w:cs="Times New Roman"/>
          <w:szCs w:val="24"/>
          <w:lang w:val="de-DE"/>
        </w:rPr>
        <w:t>In einigen Fällen spezielle Verfahren oder chirurgische Eingriffe</w:t>
      </w:r>
    </w:p>
    <w:p w14:paraId="76EF4AAE"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Ihr Arzt wird Ihnen erklären, welche Option für Sie am besten geeignet ist.</w:t>
      </w:r>
    </w:p>
    <w:p w14:paraId="33BA8D13" w14:textId="194796CB" w:rsidR="00662711" w:rsidRPr="00A82930" w:rsidRDefault="00662711" w:rsidP="00662711">
      <w:pPr>
        <w:spacing w:after="0" w:afterAutospacing="0" w:line="240" w:lineRule="auto"/>
        <w:rPr>
          <w:rFonts w:eastAsia="Times New Roman" w:cs="Times New Roman"/>
          <w:szCs w:val="24"/>
          <w:lang w:val="de-DE"/>
        </w:rPr>
      </w:pPr>
    </w:p>
    <w:p w14:paraId="16C2D38B" w14:textId="77777777" w:rsidR="00662711" w:rsidRPr="00A82930" w:rsidRDefault="00662711" w:rsidP="00FD2091">
      <w:pPr>
        <w:spacing w:after="0" w:afterAutospacing="0" w:line="240" w:lineRule="auto"/>
        <w:rPr>
          <w:rFonts w:eastAsia="Times New Roman" w:cs="Times New Roman"/>
          <w:b/>
          <w:bCs/>
          <w:szCs w:val="24"/>
          <w:lang w:val="de-DE"/>
        </w:rPr>
      </w:pPr>
      <w:r w:rsidRPr="00A82930">
        <w:rPr>
          <w:rFonts w:eastAsia="Times New Roman" w:cs="Times New Roman"/>
          <w:b/>
          <w:bCs/>
          <w:szCs w:val="24"/>
          <w:lang w:val="de-DE"/>
        </w:rPr>
        <w:t>Wer handhabt das Produkt?</w:t>
      </w:r>
    </w:p>
    <w:p w14:paraId="4CEB08E6" w14:textId="77777777" w:rsidR="00992327" w:rsidRPr="00A82930" w:rsidRDefault="00992327">
      <w:pPr>
        <w:spacing w:after="0" w:afterAutospacing="0"/>
        <w:rPr>
          <w:rFonts w:cs="Times New Roman"/>
          <w:kern w:val="2"/>
          <w:szCs w:val="24"/>
          <w:lang w:val="de-DE"/>
          <w14:ligatures w14:val="standardContextual"/>
        </w:rPr>
      </w:pPr>
      <w:r w:rsidRPr="00A82930">
        <w:rPr>
          <w:rFonts w:cs="Times New Roman"/>
          <w:lang w:val="de-DE"/>
        </w:rPr>
        <w:t>Der Option ELITE-Filter wird nur von geschulten Ärzten gehandhabt. Patienten setzen den Filter nicht selbst ein und entfernen ihn auch nicht selbst.</w:t>
      </w:r>
    </w:p>
    <w:p w14:paraId="1FE0B4A6" w14:textId="77777777" w:rsidR="004A3F32" w:rsidRPr="00A82930" w:rsidRDefault="004A3F32" w:rsidP="00662711">
      <w:pPr>
        <w:spacing w:after="0" w:afterAutospacing="0" w:line="240" w:lineRule="auto"/>
        <w:rPr>
          <w:rFonts w:eastAsia="Times New Roman" w:cs="Times New Roman"/>
          <w:szCs w:val="24"/>
          <w:lang w:val="de-DE"/>
        </w:rPr>
      </w:pPr>
    </w:p>
    <w:p w14:paraId="727BDDA2" w14:textId="77777777" w:rsidR="003F3D5E" w:rsidRPr="00A82930" w:rsidRDefault="003F3D5E" w:rsidP="00170FE5">
      <w:pPr>
        <w:pStyle w:val="Heading1"/>
        <w:numPr>
          <w:ilvl w:val="0"/>
          <w:numId w:val="2"/>
        </w:numPr>
        <w:rPr>
          <w:rFonts w:cs="Times New Roman"/>
          <w:color w:val="auto"/>
        </w:rPr>
      </w:pPr>
      <w:bookmarkStart w:id="35" w:name="_Toc240466262"/>
      <w:r w:rsidRPr="00A82930">
        <w:rPr>
          <w:rFonts w:cs="Times New Roman"/>
          <w:bCs/>
          <w:color w:val="auto"/>
          <w:lang w:val="de-DE"/>
        </w:rPr>
        <w:t>Änderungsverlauf</w:t>
      </w:r>
      <w:bookmarkEnd w:id="35"/>
    </w:p>
    <w:p w14:paraId="4E5D0357" w14:textId="77777777" w:rsidR="003F3D5E" w:rsidRPr="00A82930" w:rsidRDefault="003F3D5E" w:rsidP="003F3D5E">
      <w:pPr>
        <w:spacing w:after="0" w:afterAutospacing="0" w:line="240" w:lineRule="auto"/>
        <w:rPr>
          <w:rFonts w:cs="Times New Roman"/>
        </w:rPr>
      </w:pPr>
    </w:p>
    <w:tbl>
      <w:tblPr>
        <w:tblStyle w:val="TableGrid"/>
        <w:tblW w:w="5000" w:type="pct"/>
        <w:tblLook w:val="04A0" w:firstRow="1" w:lastRow="0" w:firstColumn="1" w:lastColumn="0" w:noHBand="0" w:noVBand="1"/>
      </w:tblPr>
      <w:tblGrid>
        <w:gridCol w:w="1199"/>
        <w:gridCol w:w="1506"/>
        <w:gridCol w:w="4819"/>
        <w:gridCol w:w="2906"/>
      </w:tblGrid>
      <w:tr w:rsidR="00AD0D23" w:rsidRPr="00A82930" w14:paraId="2719B72D" w14:textId="77777777" w:rsidTr="00673978">
        <w:tc>
          <w:tcPr>
            <w:tcW w:w="575" w:type="pct"/>
          </w:tcPr>
          <w:p w14:paraId="4C271237" w14:textId="77777777" w:rsidR="00AD0D23" w:rsidRPr="00A82930" w:rsidRDefault="00AD0D23" w:rsidP="00673978">
            <w:pPr>
              <w:spacing w:after="0" w:afterAutospacing="0"/>
              <w:rPr>
                <w:rFonts w:cs="Times New Roman"/>
                <w:b/>
                <w:sz w:val="20"/>
                <w:szCs w:val="20"/>
              </w:rPr>
            </w:pPr>
            <w:r w:rsidRPr="00A82930">
              <w:rPr>
                <w:rFonts w:cs="Times New Roman"/>
                <w:b/>
                <w:bCs/>
                <w:sz w:val="20"/>
                <w:szCs w:val="20"/>
                <w:lang w:val="de-DE"/>
              </w:rPr>
              <w:t>Revision</w:t>
            </w:r>
          </w:p>
        </w:tc>
        <w:tc>
          <w:tcPr>
            <w:tcW w:w="722" w:type="pct"/>
          </w:tcPr>
          <w:p w14:paraId="11F2AE8F" w14:textId="77777777" w:rsidR="00AD0D23" w:rsidRPr="00A82930" w:rsidRDefault="00AD0D23" w:rsidP="00673978">
            <w:pPr>
              <w:spacing w:after="0" w:afterAutospacing="0"/>
              <w:rPr>
                <w:rFonts w:cs="Times New Roman"/>
                <w:b/>
                <w:sz w:val="20"/>
                <w:szCs w:val="20"/>
              </w:rPr>
            </w:pPr>
            <w:r w:rsidRPr="00A82930">
              <w:rPr>
                <w:rFonts w:cs="Times New Roman"/>
                <w:b/>
                <w:bCs/>
                <w:sz w:val="20"/>
                <w:szCs w:val="20"/>
                <w:lang w:val="de-DE"/>
              </w:rPr>
              <w:t>Ausgabedatum</w:t>
            </w:r>
          </w:p>
        </w:tc>
        <w:tc>
          <w:tcPr>
            <w:tcW w:w="2310" w:type="pct"/>
          </w:tcPr>
          <w:p w14:paraId="261F70FA" w14:textId="77777777" w:rsidR="00AD0D23" w:rsidRPr="00A82930" w:rsidRDefault="00AD0D23" w:rsidP="00673978">
            <w:pPr>
              <w:spacing w:after="0" w:afterAutospacing="0"/>
              <w:rPr>
                <w:rFonts w:cs="Times New Roman"/>
                <w:b/>
                <w:sz w:val="20"/>
                <w:szCs w:val="20"/>
              </w:rPr>
            </w:pPr>
            <w:r w:rsidRPr="00A82930">
              <w:rPr>
                <w:rFonts w:cs="Times New Roman"/>
                <w:b/>
                <w:bCs/>
                <w:sz w:val="20"/>
                <w:szCs w:val="20"/>
                <w:lang w:val="de-DE"/>
              </w:rPr>
              <w:t>Beschreibung ändern</w:t>
            </w:r>
          </w:p>
        </w:tc>
        <w:tc>
          <w:tcPr>
            <w:tcW w:w="1393" w:type="pct"/>
          </w:tcPr>
          <w:p w14:paraId="1F3DF62C" w14:textId="77777777" w:rsidR="00AD0D23" w:rsidRPr="00A82930" w:rsidRDefault="00AD0D23" w:rsidP="00673978">
            <w:pPr>
              <w:spacing w:after="0" w:afterAutospacing="0"/>
              <w:rPr>
                <w:rFonts w:cs="Times New Roman"/>
                <w:b/>
                <w:sz w:val="20"/>
                <w:szCs w:val="20"/>
                <w:lang w:val="de-DE"/>
              </w:rPr>
            </w:pPr>
            <w:r w:rsidRPr="00A82930">
              <w:rPr>
                <w:rFonts w:cs="Times New Roman"/>
                <w:b/>
                <w:bCs/>
                <w:sz w:val="20"/>
                <w:szCs w:val="20"/>
                <w:lang w:val="de-DE"/>
              </w:rPr>
              <w:t>Revision von der benannten Stelle validiert?</w:t>
            </w:r>
          </w:p>
        </w:tc>
      </w:tr>
      <w:tr w:rsidR="00AD0D23" w:rsidRPr="00A82930" w14:paraId="4DDE5320" w14:textId="77777777" w:rsidTr="00673978">
        <w:tc>
          <w:tcPr>
            <w:tcW w:w="575" w:type="pct"/>
          </w:tcPr>
          <w:p w14:paraId="2094EDE0" w14:textId="77777777" w:rsidR="00AD0D23" w:rsidRPr="00A82930" w:rsidRDefault="00AD0D23" w:rsidP="00673978">
            <w:pPr>
              <w:spacing w:after="0" w:afterAutospacing="0"/>
              <w:rPr>
                <w:rFonts w:cs="Times New Roman"/>
                <w:sz w:val="20"/>
                <w:szCs w:val="20"/>
              </w:rPr>
            </w:pPr>
            <w:r w:rsidRPr="00A82930">
              <w:rPr>
                <w:rFonts w:cs="Times New Roman"/>
                <w:sz w:val="20"/>
                <w:szCs w:val="20"/>
                <w:lang w:val="de-DE"/>
              </w:rPr>
              <w:t>A</w:t>
            </w:r>
          </w:p>
        </w:tc>
        <w:tc>
          <w:tcPr>
            <w:tcW w:w="722" w:type="pct"/>
          </w:tcPr>
          <w:p w14:paraId="0C766A84" w14:textId="30CDCCDB" w:rsidR="00AD0D23" w:rsidRPr="00A82930" w:rsidRDefault="00440750" w:rsidP="00440750">
            <w:pPr>
              <w:spacing w:after="0" w:afterAutospacing="0"/>
              <w:rPr>
                <w:rFonts w:cs="Times New Roman"/>
                <w:iCs/>
                <w:kern w:val="2"/>
                <w:sz w:val="20"/>
                <w:szCs w:val="20"/>
                <w14:ligatures w14:val="standardContextual"/>
              </w:rPr>
            </w:pPr>
            <w:r w:rsidRPr="00A82930">
              <w:rPr>
                <w:rFonts w:cs="Times New Roman"/>
                <w:sz w:val="20"/>
                <w:szCs w:val="20"/>
                <w:lang w:val="de-DE"/>
              </w:rPr>
              <w:t>10. August 2021</w:t>
            </w:r>
          </w:p>
        </w:tc>
        <w:tc>
          <w:tcPr>
            <w:tcW w:w="2310" w:type="pct"/>
          </w:tcPr>
          <w:p w14:paraId="35E11003" w14:textId="3E6CA0B1" w:rsidR="00AD0D23" w:rsidRPr="00A82930" w:rsidRDefault="00440750" w:rsidP="00440750">
            <w:pPr>
              <w:spacing w:after="0" w:afterAutospacing="0"/>
              <w:rPr>
                <w:rFonts w:cs="Times New Roman"/>
                <w:kern w:val="2"/>
                <w:sz w:val="20"/>
                <w:szCs w:val="20"/>
                <w14:ligatures w14:val="standardContextual"/>
              </w:rPr>
            </w:pPr>
            <w:r w:rsidRPr="00A82930">
              <w:rPr>
                <w:rFonts w:cs="Times New Roman"/>
                <w:sz w:val="20"/>
                <w:szCs w:val="20"/>
                <w:lang w:val="de-DE"/>
              </w:rPr>
              <w:t>Erstveröffentlichung der SSCP.</w:t>
            </w:r>
          </w:p>
        </w:tc>
        <w:tc>
          <w:tcPr>
            <w:tcW w:w="1393" w:type="pct"/>
          </w:tcPr>
          <w:p w14:paraId="16301690" w14:textId="6CDF8764" w:rsidR="00AD0D23" w:rsidRPr="00A82930" w:rsidRDefault="00440750" w:rsidP="00440750">
            <w:pPr>
              <w:spacing w:after="0" w:afterAutospacing="0"/>
              <w:rPr>
                <w:rFonts w:cs="Times New Roman"/>
                <w:kern w:val="2"/>
                <w:sz w:val="20"/>
                <w:szCs w:val="20"/>
                <w:lang w:val="de-DE"/>
                <w14:ligatures w14:val="standardContextual"/>
              </w:rPr>
            </w:pPr>
            <w:r w:rsidRPr="00A82930">
              <w:rPr>
                <w:rFonts w:cs="Times New Roman"/>
                <w:sz w:val="20"/>
                <w:szCs w:val="20"/>
                <w:lang w:val="de-DE"/>
              </w:rPr>
              <w:t>Nein; Erstfreigabe vor der Validierung durch die benannte Stelle.</w:t>
            </w:r>
          </w:p>
        </w:tc>
      </w:tr>
      <w:tr w:rsidR="00AD0D23" w:rsidRPr="00A82930" w14:paraId="6FEF5218" w14:textId="77777777" w:rsidTr="00673978">
        <w:tc>
          <w:tcPr>
            <w:tcW w:w="575" w:type="pct"/>
          </w:tcPr>
          <w:p w14:paraId="6527D108" w14:textId="77777777" w:rsidR="00AD0D23" w:rsidRPr="00A82930" w:rsidRDefault="00AD0D23" w:rsidP="00673978">
            <w:pPr>
              <w:spacing w:after="0" w:afterAutospacing="0"/>
              <w:rPr>
                <w:rFonts w:cs="Times New Roman"/>
                <w:sz w:val="20"/>
                <w:szCs w:val="20"/>
              </w:rPr>
            </w:pPr>
            <w:r w:rsidRPr="00A82930">
              <w:rPr>
                <w:rFonts w:cs="Times New Roman"/>
                <w:sz w:val="20"/>
                <w:szCs w:val="20"/>
                <w:lang w:val="de-DE"/>
              </w:rPr>
              <w:t xml:space="preserve">B </w:t>
            </w:r>
          </w:p>
        </w:tc>
        <w:tc>
          <w:tcPr>
            <w:tcW w:w="722" w:type="pct"/>
          </w:tcPr>
          <w:p w14:paraId="4A982CA3" w14:textId="54E1083D" w:rsidR="00AD0D23" w:rsidRPr="00A82930" w:rsidRDefault="007D7BAA" w:rsidP="00440750">
            <w:pPr>
              <w:spacing w:after="0" w:afterAutospacing="0"/>
              <w:rPr>
                <w:rFonts w:cs="Times New Roman"/>
                <w:i/>
                <w:iCs/>
                <w:kern w:val="2"/>
                <w:sz w:val="20"/>
                <w:szCs w:val="20"/>
                <w14:ligatures w14:val="standardContextual"/>
              </w:rPr>
            </w:pPr>
            <w:r w:rsidRPr="00A82930">
              <w:rPr>
                <w:rFonts w:cs="Times New Roman"/>
                <w:sz w:val="20"/>
                <w:szCs w:val="20"/>
                <w:lang w:val="de-DE"/>
              </w:rPr>
              <w:t>25. August 2026</w:t>
            </w:r>
          </w:p>
        </w:tc>
        <w:tc>
          <w:tcPr>
            <w:tcW w:w="2310" w:type="pct"/>
          </w:tcPr>
          <w:p w14:paraId="3FC96E5C" w14:textId="24E04B6D" w:rsidR="00AD0D23" w:rsidRPr="00A82930" w:rsidRDefault="00CC4F62" w:rsidP="009C1E15">
            <w:pPr>
              <w:spacing w:after="0" w:afterAutospacing="0"/>
              <w:rPr>
                <w:rFonts w:cs="Times New Roman"/>
                <w:kern w:val="2"/>
                <w:sz w:val="20"/>
                <w:szCs w:val="20"/>
                <w:lang w:val="de-DE"/>
                <w14:ligatures w14:val="standardContextual"/>
              </w:rPr>
            </w:pPr>
            <w:r w:rsidRPr="00A82930">
              <w:rPr>
                <w:rFonts w:cs="Times New Roman"/>
                <w:sz w:val="20"/>
                <w:szCs w:val="20"/>
                <w:lang w:val="de-DE"/>
              </w:rPr>
              <w:t xml:space="preserve">Endgültige SSCP-Version wurde für die öffentliche Nutzung freigegeben </w:t>
            </w:r>
          </w:p>
        </w:tc>
        <w:tc>
          <w:tcPr>
            <w:tcW w:w="1393" w:type="pct"/>
          </w:tcPr>
          <w:p w14:paraId="22267420" w14:textId="7CD2259B" w:rsidR="00440750" w:rsidRPr="00A82930" w:rsidRDefault="00000000">
            <w:pPr>
              <w:spacing w:after="0" w:afterAutospacing="0"/>
              <w:rPr>
                <w:rFonts w:cs="Times New Roman"/>
                <w:kern w:val="2"/>
                <w:sz w:val="20"/>
                <w:szCs w:val="20"/>
                <w:lang w:val="de-DE"/>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974453" w:rsidRPr="00A82930">
                  <w:rPr>
                    <w:rFonts w:ascii="Segoe UI Symbol" w:eastAsia="MS Gothic" w:hAnsi="Segoe UI Symbol" w:cs="Segoe UI Symbol"/>
                    <w:sz w:val="20"/>
                    <w:szCs w:val="20"/>
                    <w:lang w:val="de-DE"/>
                  </w:rPr>
                  <w:t>☒</w:t>
                </w:r>
              </w:sdtContent>
            </w:sdt>
            <w:r w:rsidR="00974453" w:rsidRPr="00A82930">
              <w:rPr>
                <w:rFonts w:eastAsia="MS Gothic"/>
                <w:sz w:val="20"/>
                <w:szCs w:val="20"/>
                <w:lang w:val="de-DE"/>
              </w:rPr>
              <w:t xml:space="preserve"> Ja</w:t>
            </w:r>
          </w:p>
          <w:p w14:paraId="70B860D6" w14:textId="38DEC848" w:rsidR="00440750" w:rsidRPr="00A82930" w:rsidRDefault="002805F1">
            <w:pPr>
              <w:spacing w:after="0" w:afterAutospacing="0"/>
              <w:rPr>
                <w:rFonts w:cs="Times New Roman"/>
                <w:kern w:val="2"/>
                <w:sz w:val="20"/>
                <w:szCs w:val="20"/>
                <w:lang w:val="de-DE"/>
                <w14:ligatures w14:val="standardContextual"/>
              </w:rPr>
            </w:pPr>
            <w:r w:rsidRPr="00A82930">
              <w:rPr>
                <w:rFonts w:cs="Times New Roman"/>
                <w:sz w:val="20"/>
                <w:szCs w:val="20"/>
                <w:lang w:val="de-DE"/>
              </w:rPr>
              <w:t>Sprachvalidierung:</w:t>
            </w:r>
          </w:p>
          <w:p w14:paraId="4154250C" w14:textId="6BB87408" w:rsidR="00004613" w:rsidRPr="00A82930" w:rsidRDefault="00440750" w:rsidP="00004613">
            <w:pPr>
              <w:spacing w:after="0" w:afterAutospacing="0"/>
              <w:rPr>
                <w:rFonts w:cs="Times New Roman"/>
                <w:sz w:val="20"/>
                <w:szCs w:val="20"/>
                <w:lang w:val="de-DE"/>
              </w:rPr>
            </w:pPr>
            <w:r w:rsidRPr="00A82930">
              <w:rPr>
                <w:rFonts w:cs="Times New Roman"/>
                <w:sz w:val="20"/>
                <w:szCs w:val="20"/>
                <w:lang w:val="de-DE"/>
              </w:rPr>
              <w:t xml:space="preserve">Englisch </w:t>
            </w:r>
          </w:p>
          <w:p w14:paraId="6D1884EE" w14:textId="77777777" w:rsidR="00AD0D23" w:rsidRPr="00A82930" w:rsidRDefault="00AD0D23" w:rsidP="00673978">
            <w:pPr>
              <w:spacing w:after="0" w:afterAutospacing="0"/>
              <w:rPr>
                <w:rFonts w:cs="Times New Roman"/>
                <w:sz w:val="20"/>
                <w:szCs w:val="20"/>
                <w:lang w:val="de-DE"/>
              </w:rPr>
            </w:pPr>
          </w:p>
          <w:p w14:paraId="60B08BC8" w14:textId="75A9F843" w:rsidR="00AD0D23" w:rsidRPr="00A82930" w:rsidRDefault="00440750" w:rsidP="00440750">
            <w:pPr>
              <w:spacing w:after="0" w:afterAutospacing="0"/>
              <w:rPr>
                <w:rFonts w:cs="Times New Roman"/>
                <w:kern w:val="2"/>
                <w:sz w:val="20"/>
                <w:szCs w:val="20"/>
                <w:lang w:val="de-DE"/>
                <w14:ligatures w14:val="standardContextual"/>
              </w:rPr>
            </w:pPr>
            <w:r w:rsidRPr="00A82930">
              <w:rPr>
                <w:rFonts w:cs="Times New Roman"/>
                <w:sz w:val="20"/>
                <w:szCs w:val="20"/>
                <w:lang w:val="de-DE"/>
              </w:rPr>
              <w:t>Von der benannten Stelle in englischer Sprache gemäß den Empfehlungen in Abschnitt 9 der MDCG 2019-9 validiert.</w:t>
            </w:r>
          </w:p>
        </w:tc>
      </w:tr>
    </w:tbl>
    <w:p w14:paraId="2DDDE7C0" w14:textId="3C665903" w:rsidR="00042B91" w:rsidRPr="00A82930" w:rsidRDefault="00042B91" w:rsidP="005C0029">
      <w:pPr>
        <w:pStyle w:val="ListParagraph"/>
        <w:tabs>
          <w:tab w:val="left" w:pos="360"/>
        </w:tabs>
        <w:spacing w:after="120" w:afterAutospacing="0"/>
        <w:ind w:left="0"/>
        <w:rPr>
          <w:rFonts w:cs="Times New Roman"/>
          <w:lang w:val="de-DE"/>
        </w:rPr>
      </w:pPr>
    </w:p>
    <w:p w14:paraId="60A799EB" w14:textId="77777777" w:rsidR="006D08AF" w:rsidRPr="00A82930" w:rsidRDefault="006D08AF" w:rsidP="005C0029">
      <w:pPr>
        <w:pStyle w:val="ListParagraph"/>
        <w:tabs>
          <w:tab w:val="left" w:pos="360"/>
        </w:tabs>
        <w:spacing w:after="120" w:afterAutospacing="0"/>
        <w:ind w:left="0"/>
        <w:rPr>
          <w:rFonts w:cs="Times New Roman"/>
          <w:lang w:val="de-DE"/>
        </w:rPr>
      </w:pPr>
    </w:p>
    <w:sectPr w:rsidR="006D08AF" w:rsidRPr="00A82930" w:rsidSect="00A95910">
      <w:headerReference w:type="default" r:id="rId10"/>
      <w:footerReference w:type="default" r:id="rId11"/>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74714" w14:textId="77777777" w:rsidR="00C458CC" w:rsidRDefault="00C458CC" w:rsidP="009855C3">
      <w:r>
        <w:separator/>
      </w:r>
    </w:p>
  </w:endnote>
  <w:endnote w:type="continuationSeparator" w:id="0">
    <w:p w14:paraId="06389AED" w14:textId="77777777" w:rsidR="00C458CC" w:rsidRDefault="00C458CC"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433A88A0" w:rsidR="00BE3D15" w:rsidRPr="007E6DF6" w:rsidRDefault="003036AD" w:rsidP="009855C3">
    <w:pPr>
      <w:pStyle w:val="Footer"/>
      <w:rPr>
        <w:szCs w:val="24"/>
        <w:lang w:val="de-DE"/>
      </w:rPr>
    </w:pPr>
    <w:r>
      <w:rPr>
        <w:rFonts w:ascii="Arial" w:hAnsi="Arial"/>
        <w:b/>
        <w:bCs/>
        <w:sz w:val="18"/>
        <w:szCs w:val="18"/>
        <w:lang w:val="de-DE"/>
      </w:rPr>
      <w:t>CAQ-QA-025-F1 Rev. G: Zusammenfassung der Sicherheit und klinischen Leistung (SSCP)</w:t>
    </w:r>
    <w:r>
      <w:rPr>
        <w:lang w:val="de-DE"/>
      </w:rPr>
      <w:t xml:space="preserve"> </w:t>
    </w:r>
    <w:r>
      <w:rPr>
        <w:lang w:val="de-DE"/>
      </w:rPr>
      <w:tab/>
      <w:t xml:space="preserve">Seite </w:t>
    </w:r>
    <w:r>
      <w:rPr>
        <w:lang w:val="de-DE"/>
      </w:rPr>
      <w:fldChar w:fldCharType="begin"/>
    </w:r>
    <w:r>
      <w:rPr>
        <w:lang w:val="de-DE"/>
      </w:rPr>
      <w:instrText xml:space="preserve"> PAGE  \* Arabic </w:instrText>
    </w:r>
    <w:r>
      <w:rPr>
        <w:lang w:val="de-DE"/>
      </w:rPr>
      <w:fldChar w:fldCharType="separate"/>
    </w:r>
    <w:r>
      <w:rPr>
        <w:lang w:val="de-DE"/>
      </w:rPr>
      <w:t>0</w:t>
    </w:r>
    <w:r>
      <w:rPr>
        <w:lang w:val="de-DE"/>
      </w:rPr>
      <w:fldChar w:fldCharType="end"/>
    </w:r>
    <w:r>
      <w:rPr>
        <w:lang w:val="de-DE"/>
      </w:rPr>
      <w:t xml:space="preserve"> von </w:t>
    </w:r>
    <w:r>
      <w:fldChar w:fldCharType="begin"/>
    </w:r>
    <w:r w:rsidRPr="007E6DF6">
      <w:rPr>
        <w:lang w:val="de-DE"/>
      </w:rPr>
      <w:instrText xml:space="preserve"> NUMPAGES  </w:instrText>
    </w:r>
    <w:r>
      <w:fldChar w:fldCharType="separate"/>
    </w:r>
    <w:r>
      <w:rPr>
        <w:lang w:val="de-DE"/>
      </w:rPr>
      <w:t>12</w:t>
    </w:r>
    <w:r>
      <w:rPr>
        <w:lang w:val="de-DE"/>
      </w:rPr>
      <w:fldChar w:fldCharType="end"/>
    </w:r>
    <w:r>
      <w:rPr>
        <w:lang w:val="de-DE"/>
      </w:rPr>
      <w:t xml:space="preserve">  </w:t>
    </w:r>
    <w:r>
      <w:rPr>
        <w:lang w:val="de-DE"/>
      </w:rPr>
      <w:tab/>
    </w:r>
    <w:r>
      <w:rPr>
        <w:lang w:val="de-D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3F553" w14:textId="77777777" w:rsidR="00C458CC" w:rsidRDefault="00C458CC" w:rsidP="009855C3">
      <w:r>
        <w:separator/>
      </w:r>
    </w:p>
  </w:footnote>
  <w:footnote w:type="continuationSeparator" w:id="0">
    <w:p w14:paraId="63AD4273" w14:textId="77777777" w:rsidR="00C458CC" w:rsidRDefault="00C458CC"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rsidRPr="00471F20" w14:paraId="7E46E4C7" w14:textId="77777777" w:rsidTr="00B62140">
      <w:tc>
        <w:tcPr>
          <w:tcW w:w="3080" w:type="dxa"/>
        </w:tcPr>
        <w:p w14:paraId="184F2588" w14:textId="6EABB2E0" w:rsidR="00B62140" w:rsidRDefault="00B62140" w:rsidP="00B62140">
          <w:pPr>
            <w:pStyle w:val="Header"/>
            <w:jc w:val="left"/>
          </w:pPr>
          <w:r>
            <w:rPr>
              <w:noProof/>
              <w:lang w:val="de-DE"/>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7E6DF6" w:rsidRDefault="005450DC" w:rsidP="005450DC">
          <w:pPr>
            <w:spacing w:after="0" w:afterAutospacing="0"/>
            <w:rPr>
              <w:rFonts w:ascii="Arial" w:hAnsi="Arial" w:cs="Arial"/>
              <w:b/>
              <w:bCs/>
              <w:sz w:val="28"/>
              <w:szCs w:val="28"/>
              <w:lang w:val="de-DE"/>
            </w:rPr>
          </w:pPr>
          <w:r>
            <w:rPr>
              <w:rFonts w:ascii="Arial" w:hAnsi="Arial" w:cs="Arial"/>
              <w:b/>
              <w:bCs/>
              <w:sz w:val="28"/>
              <w:szCs w:val="28"/>
              <w:lang w:val="de-DE"/>
            </w:rPr>
            <w:t>Zusammenfassung der Sicherheit und klinischen Leistung (SSCP)</w:t>
          </w:r>
        </w:p>
        <w:p w14:paraId="23DC51A5" w14:textId="31B87D5D" w:rsidR="007D29CA" w:rsidRPr="007E6DF6" w:rsidRDefault="00170FE5" w:rsidP="005450DC">
          <w:pPr>
            <w:spacing w:after="0" w:afterAutospacing="0"/>
            <w:rPr>
              <w:rFonts w:ascii="Arial" w:hAnsi="Arial" w:cs="Arial"/>
              <w:sz w:val="18"/>
              <w:szCs w:val="18"/>
              <w:lang w:val="de-DE"/>
            </w:rPr>
          </w:pPr>
          <w:r>
            <w:rPr>
              <w:rFonts w:ascii="Arial" w:hAnsi="Arial" w:cs="Arial"/>
              <w:sz w:val="18"/>
              <w:szCs w:val="18"/>
              <w:lang w:val="de-DE"/>
            </w:rPr>
            <w:t xml:space="preserve">SSCP-0005: </w:t>
          </w:r>
          <w:bookmarkStart w:id="36" w:name="_Hlk196921307"/>
          <w:r>
            <w:rPr>
              <w:rFonts w:ascii="Arial" w:hAnsi="Arial" w:cs="Arial"/>
              <w:sz w:val="18"/>
              <w:szCs w:val="18"/>
              <w:lang w:val="de-DE"/>
            </w:rPr>
            <w:t>Option ELITE Rückholbares Vena-Cava-Filtersystem</w:t>
          </w:r>
          <w:bookmarkEnd w:id="36"/>
        </w:p>
        <w:p w14:paraId="32066318" w14:textId="5BB0ACA6" w:rsidR="005450DC" w:rsidRPr="007E6DF6" w:rsidRDefault="005450DC" w:rsidP="005450DC">
          <w:pPr>
            <w:spacing w:after="0" w:afterAutospacing="0"/>
            <w:rPr>
              <w:rFonts w:ascii="Arial" w:hAnsi="Arial" w:cs="Arial"/>
              <w:sz w:val="18"/>
              <w:szCs w:val="18"/>
              <w:lang w:val="de-DE"/>
            </w:rPr>
          </w:pPr>
          <w:r>
            <w:rPr>
              <w:rFonts w:ascii="Arial" w:hAnsi="Arial" w:cs="Arial"/>
              <w:sz w:val="18"/>
              <w:szCs w:val="18"/>
              <w:lang w:val="de-DE"/>
            </w:rPr>
            <w:t>Revision: B</w:t>
          </w:r>
        </w:p>
        <w:p w14:paraId="2F5F8390" w14:textId="0ABFBBD1" w:rsidR="005450DC" w:rsidRPr="007E6DF6" w:rsidRDefault="005450DC" w:rsidP="005450DC">
          <w:pPr>
            <w:pStyle w:val="Header"/>
            <w:jc w:val="left"/>
            <w:rPr>
              <w:rFonts w:ascii="Arial" w:hAnsi="Arial" w:cs="Arial"/>
              <w:sz w:val="18"/>
              <w:lang w:val="de-DE"/>
            </w:rPr>
          </w:pPr>
          <w:r>
            <w:rPr>
              <w:rFonts w:ascii="Calibri" w:eastAsiaTheme="minorHAnsi" w:hAnsi="Calibri" w:cs="Calibri"/>
              <w:sz w:val="18"/>
              <w:szCs w:val="18"/>
              <w:lang w:val="de-DE"/>
            </w:rPr>
            <w:t>Argon-Standort: Alle Standorte</w:t>
          </w:r>
        </w:p>
      </w:tc>
    </w:tr>
  </w:tbl>
  <w:p w14:paraId="0BD58B4F" w14:textId="14B1A876" w:rsidR="00B62140" w:rsidRPr="007E6DF6" w:rsidRDefault="00B62140" w:rsidP="00B62140">
    <w:pPr>
      <w:pStyle w:val="Header"/>
      <w:jc w:val="left"/>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6F00EE08"/>
    <w:lvl w:ilvl="0">
      <w:start w:val="1"/>
      <w:numFmt w:val="decimal"/>
      <w:lvlText w:val="%1."/>
      <w:lvlJc w:val="left"/>
      <w:pPr>
        <w:ind w:left="360" w:hanging="360"/>
      </w:pPr>
      <w:rPr>
        <w:b/>
        <w:bCs w:val="0"/>
      </w:rPr>
    </w:lvl>
    <w:lvl w:ilvl="1">
      <w:start w:val="1"/>
      <w:numFmt w:val="decimal"/>
      <w:pStyle w:val="Heading1"/>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176312">
    <w:abstractNumId w:val="26"/>
  </w:num>
  <w:num w:numId="2" w16cid:durableId="1360936298">
    <w:abstractNumId w:val="17"/>
  </w:num>
  <w:num w:numId="3" w16cid:durableId="1224174146">
    <w:abstractNumId w:val="7"/>
  </w:num>
  <w:num w:numId="4" w16cid:durableId="1690982674">
    <w:abstractNumId w:val="21"/>
  </w:num>
  <w:num w:numId="5" w16cid:durableId="1429890031">
    <w:abstractNumId w:val="1"/>
  </w:num>
  <w:num w:numId="6" w16cid:durableId="1014459138">
    <w:abstractNumId w:val="0"/>
  </w:num>
  <w:num w:numId="7" w16cid:durableId="680552463">
    <w:abstractNumId w:val="25"/>
  </w:num>
  <w:num w:numId="8" w16cid:durableId="1454518612">
    <w:abstractNumId w:val="23"/>
  </w:num>
  <w:num w:numId="9" w16cid:durableId="336349136">
    <w:abstractNumId w:val="18"/>
  </w:num>
  <w:num w:numId="10" w16cid:durableId="466094932">
    <w:abstractNumId w:val="8"/>
  </w:num>
  <w:num w:numId="11" w16cid:durableId="60099282">
    <w:abstractNumId w:val="32"/>
  </w:num>
  <w:num w:numId="12" w16cid:durableId="1476557790">
    <w:abstractNumId w:val="29"/>
  </w:num>
  <w:num w:numId="13" w16cid:durableId="624431319">
    <w:abstractNumId w:val="14"/>
  </w:num>
  <w:num w:numId="14" w16cid:durableId="1819691741">
    <w:abstractNumId w:val="13"/>
  </w:num>
  <w:num w:numId="15" w16cid:durableId="1443917647">
    <w:abstractNumId w:val="20"/>
  </w:num>
  <w:num w:numId="16" w16cid:durableId="1113943384">
    <w:abstractNumId w:val="27"/>
  </w:num>
  <w:num w:numId="17" w16cid:durableId="1333603459">
    <w:abstractNumId w:val="10"/>
  </w:num>
  <w:num w:numId="18" w16cid:durableId="1140415936">
    <w:abstractNumId w:val="12"/>
  </w:num>
  <w:num w:numId="19" w16cid:durableId="2111580771">
    <w:abstractNumId w:val="30"/>
  </w:num>
  <w:num w:numId="20" w16cid:durableId="937559809">
    <w:abstractNumId w:val="24"/>
  </w:num>
  <w:num w:numId="21" w16cid:durableId="2044475331">
    <w:abstractNumId w:val="16"/>
  </w:num>
  <w:num w:numId="22" w16cid:durableId="1961379024">
    <w:abstractNumId w:val="31"/>
  </w:num>
  <w:num w:numId="23" w16cid:durableId="2031711337">
    <w:abstractNumId w:val="6"/>
  </w:num>
  <w:num w:numId="24" w16cid:durableId="2050496120">
    <w:abstractNumId w:val="3"/>
  </w:num>
  <w:num w:numId="25" w16cid:durableId="1065449296">
    <w:abstractNumId w:val="19"/>
  </w:num>
  <w:num w:numId="26" w16cid:durableId="1310548909">
    <w:abstractNumId w:val="2"/>
  </w:num>
  <w:num w:numId="27" w16cid:durableId="946548857">
    <w:abstractNumId w:val="4"/>
  </w:num>
  <w:num w:numId="28" w16cid:durableId="68233870">
    <w:abstractNumId w:val="11"/>
  </w:num>
  <w:num w:numId="29" w16cid:durableId="761342940">
    <w:abstractNumId w:val="5"/>
  </w:num>
  <w:num w:numId="30" w16cid:durableId="1139613276">
    <w:abstractNumId w:val="22"/>
  </w:num>
  <w:num w:numId="31" w16cid:durableId="29961017">
    <w:abstractNumId w:val="15"/>
  </w:num>
  <w:num w:numId="32" w16cid:durableId="811799769">
    <w:abstractNumId w:val="33"/>
  </w:num>
  <w:num w:numId="33" w16cid:durableId="1319111032">
    <w:abstractNumId w:val="9"/>
  </w:num>
  <w:num w:numId="34" w16cid:durableId="218638782">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4613"/>
    <w:rsid w:val="00006465"/>
    <w:rsid w:val="00012A85"/>
    <w:rsid w:val="00012C93"/>
    <w:rsid w:val="00014323"/>
    <w:rsid w:val="000163AD"/>
    <w:rsid w:val="000214B2"/>
    <w:rsid w:val="0002225A"/>
    <w:rsid w:val="000242A1"/>
    <w:rsid w:val="000305B4"/>
    <w:rsid w:val="00030DDD"/>
    <w:rsid w:val="000316DB"/>
    <w:rsid w:val="000318C6"/>
    <w:rsid w:val="00031BDA"/>
    <w:rsid w:val="0003250E"/>
    <w:rsid w:val="00035E21"/>
    <w:rsid w:val="00042B91"/>
    <w:rsid w:val="000463DC"/>
    <w:rsid w:val="000506C8"/>
    <w:rsid w:val="0005411A"/>
    <w:rsid w:val="000554E9"/>
    <w:rsid w:val="00055C2F"/>
    <w:rsid w:val="000563E0"/>
    <w:rsid w:val="00057C35"/>
    <w:rsid w:val="000609B2"/>
    <w:rsid w:val="000628F7"/>
    <w:rsid w:val="000636A4"/>
    <w:rsid w:val="000650A3"/>
    <w:rsid w:val="00066896"/>
    <w:rsid w:val="00071055"/>
    <w:rsid w:val="00073095"/>
    <w:rsid w:val="00076941"/>
    <w:rsid w:val="00080E4F"/>
    <w:rsid w:val="00083641"/>
    <w:rsid w:val="00083DC7"/>
    <w:rsid w:val="000866AE"/>
    <w:rsid w:val="00090A9B"/>
    <w:rsid w:val="00090E96"/>
    <w:rsid w:val="00091AAF"/>
    <w:rsid w:val="00092101"/>
    <w:rsid w:val="00093B7D"/>
    <w:rsid w:val="00094206"/>
    <w:rsid w:val="00096049"/>
    <w:rsid w:val="000A0B67"/>
    <w:rsid w:val="000B575E"/>
    <w:rsid w:val="000B597C"/>
    <w:rsid w:val="000C109C"/>
    <w:rsid w:val="000C292E"/>
    <w:rsid w:val="000C2D7A"/>
    <w:rsid w:val="000C358D"/>
    <w:rsid w:val="000C4B7E"/>
    <w:rsid w:val="000C592D"/>
    <w:rsid w:val="000C5F93"/>
    <w:rsid w:val="000C79AF"/>
    <w:rsid w:val="000D12FA"/>
    <w:rsid w:val="000D2F57"/>
    <w:rsid w:val="000D5406"/>
    <w:rsid w:val="000D58E6"/>
    <w:rsid w:val="000D5ABD"/>
    <w:rsid w:val="000E0B60"/>
    <w:rsid w:val="000E39A6"/>
    <w:rsid w:val="000E5413"/>
    <w:rsid w:val="000E57FB"/>
    <w:rsid w:val="000E5A0A"/>
    <w:rsid w:val="000E6BF0"/>
    <w:rsid w:val="000F0DCC"/>
    <w:rsid w:val="000F2D2C"/>
    <w:rsid w:val="000F2D33"/>
    <w:rsid w:val="000F3BD2"/>
    <w:rsid w:val="000F4A0E"/>
    <w:rsid w:val="000F66EC"/>
    <w:rsid w:val="0010077F"/>
    <w:rsid w:val="00102796"/>
    <w:rsid w:val="00103AF7"/>
    <w:rsid w:val="001046D1"/>
    <w:rsid w:val="0010597E"/>
    <w:rsid w:val="00110B78"/>
    <w:rsid w:val="0011785F"/>
    <w:rsid w:val="00122181"/>
    <w:rsid w:val="00122EF1"/>
    <w:rsid w:val="00123DA6"/>
    <w:rsid w:val="00124965"/>
    <w:rsid w:val="001258A8"/>
    <w:rsid w:val="00126336"/>
    <w:rsid w:val="00126E64"/>
    <w:rsid w:val="001279E4"/>
    <w:rsid w:val="001378CC"/>
    <w:rsid w:val="00142E9D"/>
    <w:rsid w:val="001436A3"/>
    <w:rsid w:val="001442FE"/>
    <w:rsid w:val="00150EC1"/>
    <w:rsid w:val="00153E50"/>
    <w:rsid w:val="001548D5"/>
    <w:rsid w:val="00154AAA"/>
    <w:rsid w:val="00155320"/>
    <w:rsid w:val="00156CFA"/>
    <w:rsid w:val="00160A32"/>
    <w:rsid w:val="001625C1"/>
    <w:rsid w:val="00162923"/>
    <w:rsid w:val="0017014A"/>
    <w:rsid w:val="00170FE5"/>
    <w:rsid w:val="001807DE"/>
    <w:rsid w:val="00181ED5"/>
    <w:rsid w:val="00182921"/>
    <w:rsid w:val="001845D5"/>
    <w:rsid w:val="00187AEE"/>
    <w:rsid w:val="00190130"/>
    <w:rsid w:val="001919D6"/>
    <w:rsid w:val="00191DA1"/>
    <w:rsid w:val="00191ED2"/>
    <w:rsid w:val="00192173"/>
    <w:rsid w:val="00193354"/>
    <w:rsid w:val="00193762"/>
    <w:rsid w:val="0019418C"/>
    <w:rsid w:val="00196A98"/>
    <w:rsid w:val="001977CF"/>
    <w:rsid w:val="001A3916"/>
    <w:rsid w:val="001A4D38"/>
    <w:rsid w:val="001A65E5"/>
    <w:rsid w:val="001B090F"/>
    <w:rsid w:val="001B1EB2"/>
    <w:rsid w:val="001B2CC1"/>
    <w:rsid w:val="001B4005"/>
    <w:rsid w:val="001C4A72"/>
    <w:rsid w:val="001C4B4A"/>
    <w:rsid w:val="001C5CBC"/>
    <w:rsid w:val="001D1887"/>
    <w:rsid w:val="001D1C4F"/>
    <w:rsid w:val="001D248B"/>
    <w:rsid w:val="001D2757"/>
    <w:rsid w:val="001D3B85"/>
    <w:rsid w:val="001D5C82"/>
    <w:rsid w:val="001D66D1"/>
    <w:rsid w:val="001E09DF"/>
    <w:rsid w:val="001E222E"/>
    <w:rsid w:val="001E7A0E"/>
    <w:rsid w:val="001E7BAC"/>
    <w:rsid w:val="00201AAB"/>
    <w:rsid w:val="00202CF1"/>
    <w:rsid w:val="00207A7C"/>
    <w:rsid w:val="00210C61"/>
    <w:rsid w:val="00210D75"/>
    <w:rsid w:val="00214D96"/>
    <w:rsid w:val="00214E2F"/>
    <w:rsid w:val="0021589A"/>
    <w:rsid w:val="00217DF1"/>
    <w:rsid w:val="00221162"/>
    <w:rsid w:val="00221CEF"/>
    <w:rsid w:val="00224BC1"/>
    <w:rsid w:val="002261C5"/>
    <w:rsid w:val="00230011"/>
    <w:rsid w:val="00233456"/>
    <w:rsid w:val="002348B1"/>
    <w:rsid w:val="00237068"/>
    <w:rsid w:val="00245119"/>
    <w:rsid w:val="0024660B"/>
    <w:rsid w:val="00246ADF"/>
    <w:rsid w:val="00247FC4"/>
    <w:rsid w:val="002530C3"/>
    <w:rsid w:val="00253B72"/>
    <w:rsid w:val="00254519"/>
    <w:rsid w:val="0025457B"/>
    <w:rsid w:val="00255F21"/>
    <w:rsid w:val="00265864"/>
    <w:rsid w:val="00272B97"/>
    <w:rsid w:val="002756BF"/>
    <w:rsid w:val="00275DB1"/>
    <w:rsid w:val="002805F1"/>
    <w:rsid w:val="00282088"/>
    <w:rsid w:val="00287A6D"/>
    <w:rsid w:val="00291A3E"/>
    <w:rsid w:val="00293899"/>
    <w:rsid w:val="002948AC"/>
    <w:rsid w:val="0029569E"/>
    <w:rsid w:val="0029584E"/>
    <w:rsid w:val="00295BDF"/>
    <w:rsid w:val="00296AFC"/>
    <w:rsid w:val="002A021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7251"/>
    <w:rsid w:val="002C7DDF"/>
    <w:rsid w:val="002D3AD4"/>
    <w:rsid w:val="002D627D"/>
    <w:rsid w:val="002E1885"/>
    <w:rsid w:val="002F0BC1"/>
    <w:rsid w:val="002F37BF"/>
    <w:rsid w:val="002F700D"/>
    <w:rsid w:val="003036AD"/>
    <w:rsid w:val="003043BD"/>
    <w:rsid w:val="00304B18"/>
    <w:rsid w:val="00305D28"/>
    <w:rsid w:val="00310C91"/>
    <w:rsid w:val="00312F19"/>
    <w:rsid w:val="00313F34"/>
    <w:rsid w:val="00326E3B"/>
    <w:rsid w:val="003273A4"/>
    <w:rsid w:val="00327DCE"/>
    <w:rsid w:val="00330B48"/>
    <w:rsid w:val="00330E18"/>
    <w:rsid w:val="003326A4"/>
    <w:rsid w:val="00335181"/>
    <w:rsid w:val="00337C93"/>
    <w:rsid w:val="00341BB7"/>
    <w:rsid w:val="00344C86"/>
    <w:rsid w:val="0035065A"/>
    <w:rsid w:val="00352FB6"/>
    <w:rsid w:val="003537EB"/>
    <w:rsid w:val="003538E2"/>
    <w:rsid w:val="00356AFC"/>
    <w:rsid w:val="00365B04"/>
    <w:rsid w:val="00366C08"/>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75BD"/>
    <w:rsid w:val="003B0091"/>
    <w:rsid w:val="003B08EB"/>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E08FC"/>
    <w:rsid w:val="003E20E5"/>
    <w:rsid w:val="003E3C12"/>
    <w:rsid w:val="003F2AC2"/>
    <w:rsid w:val="003F302A"/>
    <w:rsid w:val="003F3D5E"/>
    <w:rsid w:val="003F6E6D"/>
    <w:rsid w:val="003F7561"/>
    <w:rsid w:val="00400625"/>
    <w:rsid w:val="00403789"/>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97B"/>
    <w:rsid w:val="00440750"/>
    <w:rsid w:val="00440AB6"/>
    <w:rsid w:val="004430BE"/>
    <w:rsid w:val="00443833"/>
    <w:rsid w:val="00454C46"/>
    <w:rsid w:val="0045626F"/>
    <w:rsid w:val="00457931"/>
    <w:rsid w:val="00460A21"/>
    <w:rsid w:val="00463EF7"/>
    <w:rsid w:val="00465070"/>
    <w:rsid w:val="00465A59"/>
    <w:rsid w:val="00466071"/>
    <w:rsid w:val="004700CC"/>
    <w:rsid w:val="0047169C"/>
    <w:rsid w:val="0047192F"/>
    <w:rsid w:val="00471F20"/>
    <w:rsid w:val="00473D34"/>
    <w:rsid w:val="004755A2"/>
    <w:rsid w:val="0047634B"/>
    <w:rsid w:val="004766F0"/>
    <w:rsid w:val="00480A4D"/>
    <w:rsid w:val="0048338B"/>
    <w:rsid w:val="00484EAF"/>
    <w:rsid w:val="00487F99"/>
    <w:rsid w:val="00490868"/>
    <w:rsid w:val="00492490"/>
    <w:rsid w:val="00492C01"/>
    <w:rsid w:val="00496609"/>
    <w:rsid w:val="004A02E9"/>
    <w:rsid w:val="004A3746"/>
    <w:rsid w:val="004A3F32"/>
    <w:rsid w:val="004A4BE0"/>
    <w:rsid w:val="004A5205"/>
    <w:rsid w:val="004A6C3D"/>
    <w:rsid w:val="004B0DED"/>
    <w:rsid w:val="004B13FC"/>
    <w:rsid w:val="004B6FC2"/>
    <w:rsid w:val="004C0A45"/>
    <w:rsid w:val="004C12F0"/>
    <w:rsid w:val="004C323A"/>
    <w:rsid w:val="004C5531"/>
    <w:rsid w:val="004D2139"/>
    <w:rsid w:val="004D61B6"/>
    <w:rsid w:val="004D6D70"/>
    <w:rsid w:val="004E0896"/>
    <w:rsid w:val="004E163A"/>
    <w:rsid w:val="004E24F8"/>
    <w:rsid w:val="004E3706"/>
    <w:rsid w:val="004E3C57"/>
    <w:rsid w:val="004E64C4"/>
    <w:rsid w:val="004E64DD"/>
    <w:rsid w:val="004F0A27"/>
    <w:rsid w:val="004F0A5A"/>
    <w:rsid w:val="004F2CB7"/>
    <w:rsid w:val="004F2EF5"/>
    <w:rsid w:val="005002CE"/>
    <w:rsid w:val="00505230"/>
    <w:rsid w:val="005102F2"/>
    <w:rsid w:val="00512C7F"/>
    <w:rsid w:val="00513D85"/>
    <w:rsid w:val="0051631D"/>
    <w:rsid w:val="00520896"/>
    <w:rsid w:val="00521477"/>
    <w:rsid w:val="00523B7A"/>
    <w:rsid w:val="00523E38"/>
    <w:rsid w:val="00523FBD"/>
    <w:rsid w:val="005243AE"/>
    <w:rsid w:val="005262AF"/>
    <w:rsid w:val="0052791C"/>
    <w:rsid w:val="00543477"/>
    <w:rsid w:val="005439FC"/>
    <w:rsid w:val="005450DC"/>
    <w:rsid w:val="0054763D"/>
    <w:rsid w:val="0054780B"/>
    <w:rsid w:val="00554AD7"/>
    <w:rsid w:val="005554AA"/>
    <w:rsid w:val="0055603E"/>
    <w:rsid w:val="005566D5"/>
    <w:rsid w:val="00560A29"/>
    <w:rsid w:val="00562966"/>
    <w:rsid w:val="005647F4"/>
    <w:rsid w:val="0056502C"/>
    <w:rsid w:val="0056594F"/>
    <w:rsid w:val="00566241"/>
    <w:rsid w:val="00573D4F"/>
    <w:rsid w:val="00575EE3"/>
    <w:rsid w:val="005760BA"/>
    <w:rsid w:val="005836A3"/>
    <w:rsid w:val="005842F3"/>
    <w:rsid w:val="0058629B"/>
    <w:rsid w:val="00586334"/>
    <w:rsid w:val="00592158"/>
    <w:rsid w:val="00593D67"/>
    <w:rsid w:val="00594C7F"/>
    <w:rsid w:val="00595817"/>
    <w:rsid w:val="005A2D80"/>
    <w:rsid w:val="005A48D7"/>
    <w:rsid w:val="005A55B1"/>
    <w:rsid w:val="005B290F"/>
    <w:rsid w:val="005B5DAC"/>
    <w:rsid w:val="005C0029"/>
    <w:rsid w:val="005C2BA7"/>
    <w:rsid w:val="005C74F7"/>
    <w:rsid w:val="005C7672"/>
    <w:rsid w:val="005D00E4"/>
    <w:rsid w:val="005D331C"/>
    <w:rsid w:val="005D3579"/>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B0B"/>
    <w:rsid w:val="0060483A"/>
    <w:rsid w:val="0060776B"/>
    <w:rsid w:val="00607F7D"/>
    <w:rsid w:val="00612BE6"/>
    <w:rsid w:val="00614077"/>
    <w:rsid w:val="00616ADF"/>
    <w:rsid w:val="00626BE9"/>
    <w:rsid w:val="00626EE5"/>
    <w:rsid w:val="0063041D"/>
    <w:rsid w:val="00635CB0"/>
    <w:rsid w:val="00635EE7"/>
    <w:rsid w:val="00640581"/>
    <w:rsid w:val="0064168C"/>
    <w:rsid w:val="00642D0B"/>
    <w:rsid w:val="00645E84"/>
    <w:rsid w:val="006524A2"/>
    <w:rsid w:val="00655670"/>
    <w:rsid w:val="00655F47"/>
    <w:rsid w:val="00656B95"/>
    <w:rsid w:val="00657878"/>
    <w:rsid w:val="00657BE3"/>
    <w:rsid w:val="00662711"/>
    <w:rsid w:val="00662A57"/>
    <w:rsid w:val="00663763"/>
    <w:rsid w:val="006639ED"/>
    <w:rsid w:val="0067068D"/>
    <w:rsid w:val="00674FF3"/>
    <w:rsid w:val="00675468"/>
    <w:rsid w:val="006771DB"/>
    <w:rsid w:val="00681018"/>
    <w:rsid w:val="00683D4A"/>
    <w:rsid w:val="0068418E"/>
    <w:rsid w:val="00684CE2"/>
    <w:rsid w:val="00684CEF"/>
    <w:rsid w:val="00686D6F"/>
    <w:rsid w:val="006929B3"/>
    <w:rsid w:val="00692E17"/>
    <w:rsid w:val="0069319F"/>
    <w:rsid w:val="006936FC"/>
    <w:rsid w:val="0069398D"/>
    <w:rsid w:val="00694199"/>
    <w:rsid w:val="00695AD5"/>
    <w:rsid w:val="00697DB4"/>
    <w:rsid w:val="006A0E81"/>
    <w:rsid w:val="006A118D"/>
    <w:rsid w:val="006A1E70"/>
    <w:rsid w:val="006A2BCD"/>
    <w:rsid w:val="006A3D6D"/>
    <w:rsid w:val="006A48D5"/>
    <w:rsid w:val="006B1B2D"/>
    <w:rsid w:val="006B1FA1"/>
    <w:rsid w:val="006B23D1"/>
    <w:rsid w:val="006B3FEA"/>
    <w:rsid w:val="006B56F9"/>
    <w:rsid w:val="006B761C"/>
    <w:rsid w:val="006C069C"/>
    <w:rsid w:val="006C363A"/>
    <w:rsid w:val="006C4A32"/>
    <w:rsid w:val="006D08AF"/>
    <w:rsid w:val="006D0CBC"/>
    <w:rsid w:val="006D3C3E"/>
    <w:rsid w:val="006D6196"/>
    <w:rsid w:val="006D653C"/>
    <w:rsid w:val="006D6726"/>
    <w:rsid w:val="006E09F0"/>
    <w:rsid w:val="006E0B78"/>
    <w:rsid w:val="006E18AA"/>
    <w:rsid w:val="006E23B7"/>
    <w:rsid w:val="006E5FF7"/>
    <w:rsid w:val="006E79BC"/>
    <w:rsid w:val="006F0810"/>
    <w:rsid w:val="006F0D7E"/>
    <w:rsid w:val="006F1E7B"/>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A2"/>
    <w:rsid w:val="00736ABB"/>
    <w:rsid w:val="00737E50"/>
    <w:rsid w:val="0074240F"/>
    <w:rsid w:val="00742480"/>
    <w:rsid w:val="00745D09"/>
    <w:rsid w:val="00750F90"/>
    <w:rsid w:val="00751383"/>
    <w:rsid w:val="007526A1"/>
    <w:rsid w:val="00752816"/>
    <w:rsid w:val="00754669"/>
    <w:rsid w:val="00755A10"/>
    <w:rsid w:val="00760400"/>
    <w:rsid w:val="00761565"/>
    <w:rsid w:val="00762212"/>
    <w:rsid w:val="00765B21"/>
    <w:rsid w:val="00766405"/>
    <w:rsid w:val="007673AF"/>
    <w:rsid w:val="00771017"/>
    <w:rsid w:val="00771CF6"/>
    <w:rsid w:val="007730EA"/>
    <w:rsid w:val="00781042"/>
    <w:rsid w:val="007811AA"/>
    <w:rsid w:val="00781824"/>
    <w:rsid w:val="00783D29"/>
    <w:rsid w:val="00786D08"/>
    <w:rsid w:val="0078716B"/>
    <w:rsid w:val="0078739F"/>
    <w:rsid w:val="00787E21"/>
    <w:rsid w:val="00790BF0"/>
    <w:rsid w:val="007931FC"/>
    <w:rsid w:val="0079551C"/>
    <w:rsid w:val="00796505"/>
    <w:rsid w:val="007A180F"/>
    <w:rsid w:val="007A1CA4"/>
    <w:rsid w:val="007A3C9F"/>
    <w:rsid w:val="007A6CEE"/>
    <w:rsid w:val="007B2B45"/>
    <w:rsid w:val="007B306B"/>
    <w:rsid w:val="007B52F5"/>
    <w:rsid w:val="007B72EE"/>
    <w:rsid w:val="007C1094"/>
    <w:rsid w:val="007C1BDC"/>
    <w:rsid w:val="007C20E5"/>
    <w:rsid w:val="007C5199"/>
    <w:rsid w:val="007C690A"/>
    <w:rsid w:val="007C6C42"/>
    <w:rsid w:val="007C7E15"/>
    <w:rsid w:val="007D29CA"/>
    <w:rsid w:val="007D4467"/>
    <w:rsid w:val="007D5CEA"/>
    <w:rsid w:val="007D64C5"/>
    <w:rsid w:val="007D7BAA"/>
    <w:rsid w:val="007E2C7F"/>
    <w:rsid w:val="007E2E6D"/>
    <w:rsid w:val="007E6DF6"/>
    <w:rsid w:val="007E77C1"/>
    <w:rsid w:val="007F0A2A"/>
    <w:rsid w:val="007F11AB"/>
    <w:rsid w:val="007F13EF"/>
    <w:rsid w:val="007F153D"/>
    <w:rsid w:val="007F39BE"/>
    <w:rsid w:val="007F5C25"/>
    <w:rsid w:val="008002AB"/>
    <w:rsid w:val="00800A4D"/>
    <w:rsid w:val="00800AF9"/>
    <w:rsid w:val="00805388"/>
    <w:rsid w:val="00805DD8"/>
    <w:rsid w:val="00807A83"/>
    <w:rsid w:val="00810EBB"/>
    <w:rsid w:val="00812BA8"/>
    <w:rsid w:val="008135B0"/>
    <w:rsid w:val="008163BD"/>
    <w:rsid w:val="00822A60"/>
    <w:rsid w:val="00823D5E"/>
    <w:rsid w:val="008253E4"/>
    <w:rsid w:val="00826C44"/>
    <w:rsid w:val="0082716B"/>
    <w:rsid w:val="008272F3"/>
    <w:rsid w:val="00831948"/>
    <w:rsid w:val="00833A21"/>
    <w:rsid w:val="00833B31"/>
    <w:rsid w:val="00836337"/>
    <w:rsid w:val="00837CAB"/>
    <w:rsid w:val="00844FEC"/>
    <w:rsid w:val="00847D71"/>
    <w:rsid w:val="008602D0"/>
    <w:rsid w:val="008648B6"/>
    <w:rsid w:val="00864E1E"/>
    <w:rsid w:val="00865E2A"/>
    <w:rsid w:val="008708E0"/>
    <w:rsid w:val="008745ED"/>
    <w:rsid w:val="008759FC"/>
    <w:rsid w:val="008800E3"/>
    <w:rsid w:val="00880FE6"/>
    <w:rsid w:val="00881337"/>
    <w:rsid w:val="00883101"/>
    <w:rsid w:val="0088480B"/>
    <w:rsid w:val="0088793A"/>
    <w:rsid w:val="0088798B"/>
    <w:rsid w:val="00887E5D"/>
    <w:rsid w:val="00891967"/>
    <w:rsid w:val="00891A3C"/>
    <w:rsid w:val="008A15B7"/>
    <w:rsid w:val="008A4707"/>
    <w:rsid w:val="008A7C07"/>
    <w:rsid w:val="008B0C7B"/>
    <w:rsid w:val="008B3761"/>
    <w:rsid w:val="008B3CB9"/>
    <w:rsid w:val="008B5F72"/>
    <w:rsid w:val="008C1E9B"/>
    <w:rsid w:val="008C3AF4"/>
    <w:rsid w:val="008C45BA"/>
    <w:rsid w:val="008C4B69"/>
    <w:rsid w:val="008C5C2C"/>
    <w:rsid w:val="008C603D"/>
    <w:rsid w:val="008C73BE"/>
    <w:rsid w:val="008C789C"/>
    <w:rsid w:val="008C78ED"/>
    <w:rsid w:val="008C791C"/>
    <w:rsid w:val="008D0B21"/>
    <w:rsid w:val="008D25D4"/>
    <w:rsid w:val="008D6254"/>
    <w:rsid w:val="008D66E4"/>
    <w:rsid w:val="008D742A"/>
    <w:rsid w:val="008E06CA"/>
    <w:rsid w:val="008E1D87"/>
    <w:rsid w:val="008E21DD"/>
    <w:rsid w:val="008E7ACA"/>
    <w:rsid w:val="008F0DB3"/>
    <w:rsid w:val="008F14A7"/>
    <w:rsid w:val="008F1BE6"/>
    <w:rsid w:val="008F2CC2"/>
    <w:rsid w:val="008F35E0"/>
    <w:rsid w:val="008F4864"/>
    <w:rsid w:val="008F4BF0"/>
    <w:rsid w:val="009019C5"/>
    <w:rsid w:val="00902D64"/>
    <w:rsid w:val="00905D4A"/>
    <w:rsid w:val="00911C1A"/>
    <w:rsid w:val="009130F1"/>
    <w:rsid w:val="0091317E"/>
    <w:rsid w:val="00914B60"/>
    <w:rsid w:val="00916641"/>
    <w:rsid w:val="00921507"/>
    <w:rsid w:val="009240BB"/>
    <w:rsid w:val="00933C26"/>
    <w:rsid w:val="00934F4C"/>
    <w:rsid w:val="00935562"/>
    <w:rsid w:val="00936087"/>
    <w:rsid w:val="0094117D"/>
    <w:rsid w:val="00941275"/>
    <w:rsid w:val="00941292"/>
    <w:rsid w:val="00941CAD"/>
    <w:rsid w:val="00942310"/>
    <w:rsid w:val="00943FA2"/>
    <w:rsid w:val="00945A72"/>
    <w:rsid w:val="00945E5D"/>
    <w:rsid w:val="009470C0"/>
    <w:rsid w:val="009543A2"/>
    <w:rsid w:val="009576EB"/>
    <w:rsid w:val="009624D8"/>
    <w:rsid w:val="00963812"/>
    <w:rsid w:val="00964163"/>
    <w:rsid w:val="009648D8"/>
    <w:rsid w:val="00965FA2"/>
    <w:rsid w:val="00966ED8"/>
    <w:rsid w:val="00972802"/>
    <w:rsid w:val="00972AA4"/>
    <w:rsid w:val="00972BC2"/>
    <w:rsid w:val="00973C9F"/>
    <w:rsid w:val="00974453"/>
    <w:rsid w:val="0097578E"/>
    <w:rsid w:val="009772FF"/>
    <w:rsid w:val="00980074"/>
    <w:rsid w:val="00981A81"/>
    <w:rsid w:val="00981AFC"/>
    <w:rsid w:val="00981DCE"/>
    <w:rsid w:val="00982CE7"/>
    <w:rsid w:val="00983CC4"/>
    <w:rsid w:val="009855C3"/>
    <w:rsid w:val="00985A5D"/>
    <w:rsid w:val="009865F9"/>
    <w:rsid w:val="00987038"/>
    <w:rsid w:val="00987F11"/>
    <w:rsid w:val="00992327"/>
    <w:rsid w:val="00992522"/>
    <w:rsid w:val="00995224"/>
    <w:rsid w:val="00996705"/>
    <w:rsid w:val="0099757A"/>
    <w:rsid w:val="009A709C"/>
    <w:rsid w:val="009A7D75"/>
    <w:rsid w:val="009B0A45"/>
    <w:rsid w:val="009B14B7"/>
    <w:rsid w:val="009C1E15"/>
    <w:rsid w:val="009C5DE5"/>
    <w:rsid w:val="009C6E72"/>
    <w:rsid w:val="009D0151"/>
    <w:rsid w:val="009D19D6"/>
    <w:rsid w:val="009D4EB3"/>
    <w:rsid w:val="009D54C6"/>
    <w:rsid w:val="009E014E"/>
    <w:rsid w:val="009E19CE"/>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306C"/>
    <w:rsid w:val="00A318C9"/>
    <w:rsid w:val="00A346E9"/>
    <w:rsid w:val="00A34F2B"/>
    <w:rsid w:val="00A3536C"/>
    <w:rsid w:val="00A36237"/>
    <w:rsid w:val="00A3639B"/>
    <w:rsid w:val="00A36437"/>
    <w:rsid w:val="00A364C8"/>
    <w:rsid w:val="00A368B5"/>
    <w:rsid w:val="00A417D7"/>
    <w:rsid w:val="00A421D7"/>
    <w:rsid w:val="00A44350"/>
    <w:rsid w:val="00A50CB9"/>
    <w:rsid w:val="00A54FDB"/>
    <w:rsid w:val="00A55504"/>
    <w:rsid w:val="00A56D87"/>
    <w:rsid w:val="00A570BF"/>
    <w:rsid w:val="00A5743D"/>
    <w:rsid w:val="00A57C09"/>
    <w:rsid w:val="00A64943"/>
    <w:rsid w:val="00A7478D"/>
    <w:rsid w:val="00A7679B"/>
    <w:rsid w:val="00A77A42"/>
    <w:rsid w:val="00A77C3A"/>
    <w:rsid w:val="00A82930"/>
    <w:rsid w:val="00A867CC"/>
    <w:rsid w:val="00A91761"/>
    <w:rsid w:val="00A93552"/>
    <w:rsid w:val="00A93E4C"/>
    <w:rsid w:val="00A94684"/>
    <w:rsid w:val="00A95910"/>
    <w:rsid w:val="00AA23DA"/>
    <w:rsid w:val="00AA2E04"/>
    <w:rsid w:val="00AA6A68"/>
    <w:rsid w:val="00AA79EE"/>
    <w:rsid w:val="00AB5B8B"/>
    <w:rsid w:val="00AB6F24"/>
    <w:rsid w:val="00AB7331"/>
    <w:rsid w:val="00AC5160"/>
    <w:rsid w:val="00AC6167"/>
    <w:rsid w:val="00AD0D23"/>
    <w:rsid w:val="00AD2632"/>
    <w:rsid w:val="00AD4A16"/>
    <w:rsid w:val="00AD5426"/>
    <w:rsid w:val="00AD5E9E"/>
    <w:rsid w:val="00AD7F3F"/>
    <w:rsid w:val="00AE01B4"/>
    <w:rsid w:val="00AE01F1"/>
    <w:rsid w:val="00AE2B73"/>
    <w:rsid w:val="00AE7B39"/>
    <w:rsid w:val="00AF0EF1"/>
    <w:rsid w:val="00AF4460"/>
    <w:rsid w:val="00AF4D4D"/>
    <w:rsid w:val="00AF54BE"/>
    <w:rsid w:val="00AF55C7"/>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40D1E"/>
    <w:rsid w:val="00B45834"/>
    <w:rsid w:val="00B459A4"/>
    <w:rsid w:val="00B45E91"/>
    <w:rsid w:val="00B46F2B"/>
    <w:rsid w:val="00B47DFB"/>
    <w:rsid w:val="00B50798"/>
    <w:rsid w:val="00B525B3"/>
    <w:rsid w:val="00B53587"/>
    <w:rsid w:val="00B535C0"/>
    <w:rsid w:val="00B54FDC"/>
    <w:rsid w:val="00B55569"/>
    <w:rsid w:val="00B6212E"/>
    <w:rsid w:val="00B62140"/>
    <w:rsid w:val="00B63D75"/>
    <w:rsid w:val="00B64C3E"/>
    <w:rsid w:val="00B664A0"/>
    <w:rsid w:val="00B671D8"/>
    <w:rsid w:val="00B70C0E"/>
    <w:rsid w:val="00B7105F"/>
    <w:rsid w:val="00B7112F"/>
    <w:rsid w:val="00B778A6"/>
    <w:rsid w:val="00B81A50"/>
    <w:rsid w:val="00B85550"/>
    <w:rsid w:val="00B87B98"/>
    <w:rsid w:val="00B87DF0"/>
    <w:rsid w:val="00BA1134"/>
    <w:rsid w:val="00BA3971"/>
    <w:rsid w:val="00BA3A00"/>
    <w:rsid w:val="00BA7F35"/>
    <w:rsid w:val="00BB0CD5"/>
    <w:rsid w:val="00BB41C9"/>
    <w:rsid w:val="00BB50E7"/>
    <w:rsid w:val="00BB79B1"/>
    <w:rsid w:val="00BC3BCE"/>
    <w:rsid w:val="00BC4769"/>
    <w:rsid w:val="00BC4E7E"/>
    <w:rsid w:val="00BC5CA6"/>
    <w:rsid w:val="00BC6557"/>
    <w:rsid w:val="00BD4501"/>
    <w:rsid w:val="00BE0E67"/>
    <w:rsid w:val="00BE0FB9"/>
    <w:rsid w:val="00BE18F7"/>
    <w:rsid w:val="00BE3D15"/>
    <w:rsid w:val="00BE69BB"/>
    <w:rsid w:val="00BE78DA"/>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461F"/>
    <w:rsid w:val="00C458CC"/>
    <w:rsid w:val="00C45AAC"/>
    <w:rsid w:val="00C50397"/>
    <w:rsid w:val="00C55EEA"/>
    <w:rsid w:val="00C601EE"/>
    <w:rsid w:val="00C60EB5"/>
    <w:rsid w:val="00C61C34"/>
    <w:rsid w:val="00C65729"/>
    <w:rsid w:val="00C65A28"/>
    <w:rsid w:val="00C67205"/>
    <w:rsid w:val="00C675C6"/>
    <w:rsid w:val="00C67930"/>
    <w:rsid w:val="00C74182"/>
    <w:rsid w:val="00C75A48"/>
    <w:rsid w:val="00C77EE3"/>
    <w:rsid w:val="00C824D9"/>
    <w:rsid w:val="00C84F43"/>
    <w:rsid w:val="00C8660E"/>
    <w:rsid w:val="00C90B77"/>
    <w:rsid w:val="00C914F8"/>
    <w:rsid w:val="00C92E5D"/>
    <w:rsid w:val="00C93632"/>
    <w:rsid w:val="00C95612"/>
    <w:rsid w:val="00C96837"/>
    <w:rsid w:val="00C97491"/>
    <w:rsid w:val="00C979C6"/>
    <w:rsid w:val="00CA00F6"/>
    <w:rsid w:val="00CB1452"/>
    <w:rsid w:val="00CB4541"/>
    <w:rsid w:val="00CB6BBA"/>
    <w:rsid w:val="00CB73A4"/>
    <w:rsid w:val="00CC0372"/>
    <w:rsid w:val="00CC09D6"/>
    <w:rsid w:val="00CC0AFA"/>
    <w:rsid w:val="00CC3FAC"/>
    <w:rsid w:val="00CC4F62"/>
    <w:rsid w:val="00CD4BCD"/>
    <w:rsid w:val="00CE195E"/>
    <w:rsid w:val="00CE458E"/>
    <w:rsid w:val="00CE4D81"/>
    <w:rsid w:val="00CE7B7C"/>
    <w:rsid w:val="00CF0224"/>
    <w:rsid w:val="00CF0AF4"/>
    <w:rsid w:val="00CF0FF3"/>
    <w:rsid w:val="00CF14A3"/>
    <w:rsid w:val="00CF26DC"/>
    <w:rsid w:val="00CF3054"/>
    <w:rsid w:val="00CF3644"/>
    <w:rsid w:val="00D00DA5"/>
    <w:rsid w:val="00D023C2"/>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4983"/>
    <w:rsid w:val="00D40AA8"/>
    <w:rsid w:val="00D42481"/>
    <w:rsid w:val="00D4289F"/>
    <w:rsid w:val="00D44D4F"/>
    <w:rsid w:val="00D47EB1"/>
    <w:rsid w:val="00D50CBD"/>
    <w:rsid w:val="00D51769"/>
    <w:rsid w:val="00D53284"/>
    <w:rsid w:val="00D63EAA"/>
    <w:rsid w:val="00D64710"/>
    <w:rsid w:val="00D71908"/>
    <w:rsid w:val="00D72050"/>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EF1"/>
    <w:rsid w:val="00DA40FE"/>
    <w:rsid w:val="00DA4180"/>
    <w:rsid w:val="00DA50BA"/>
    <w:rsid w:val="00DA6865"/>
    <w:rsid w:val="00DA72C1"/>
    <w:rsid w:val="00DB722B"/>
    <w:rsid w:val="00DC2ABD"/>
    <w:rsid w:val="00DC675B"/>
    <w:rsid w:val="00DC6B47"/>
    <w:rsid w:val="00DD0897"/>
    <w:rsid w:val="00DD0F87"/>
    <w:rsid w:val="00DD13F4"/>
    <w:rsid w:val="00DD3F85"/>
    <w:rsid w:val="00DD47D7"/>
    <w:rsid w:val="00DD54B4"/>
    <w:rsid w:val="00DD71DF"/>
    <w:rsid w:val="00DE18AC"/>
    <w:rsid w:val="00DE7A62"/>
    <w:rsid w:val="00DF0A0A"/>
    <w:rsid w:val="00DF118B"/>
    <w:rsid w:val="00DF243F"/>
    <w:rsid w:val="00DF28C8"/>
    <w:rsid w:val="00DF2DCA"/>
    <w:rsid w:val="00DF6162"/>
    <w:rsid w:val="00E00E6B"/>
    <w:rsid w:val="00E01768"/>
    <w:rsid w:val="00E021CA"/>
    <w:rsid w:val="00E029D1"/>
    <w:rsid w:val="00E03D93"/>
    <w:rsid w:val="00E07E49"/>
    <w:rsid w:val="00E11BBB"/>
    <w:rsid w:val="00E149E6"/>
    <w:rsid w:val="00E20E24"/>
    <w:rsid w:val="00E21471"/>
    <w:rsid w:val="00E216F8"/>
    <w:rsid w:val="00E21860"/>
    <w:rsid w:val="00E27926"/>
    <w:rsid w:val="00E3060B"/>
    <w:rsid w:val="00E348CE"/>
    <w:rsid w:val="00E34A30"/>
    <w:rsid w:val="00E40D50"/>
    <w:rsid w:val="00E41069"/>
    <w:rsid w:val="00E419EF"/>
    <w:rsid w:val="00E41D96"/>
    <w:rsid w:val="00E431F4"/>
    <w:rsid w:val="00E44B60"/>
    <w:rsid w:val="00E50967"/>
    <w:rsid w:val="00E52EB2"/>
    <w:rsid w:val="00E539EB"/>
    <w:rsid w:val="00E53A80"/>
    <w:rsid w:val="00E56145"/>
    <w:rsid w:val="00E57C03"/>
    <w:rsid w:val="00E63F3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F1C"/>
    <w:rsid w:val="00EA1D0B"/>
    <w:rsid w:val="00EA2A12"/>
    <w:rsid w:val="00EA3F04"/>
    <w:rsid w:val="00EA40E3"/>
    <w:rsid w:val="00EA56BC"/>
    <w:rsid w:val="00EB389A"/>
    <w:rsid w:val="00EB498A"/>
    <w:rsid w:val="00EB4F95"/>
    <w:rsid w:val="00EB6CD6"/>
    <w:rsid w:val="00EC009B"/>
    <w:rsid w:val="00EC07AF"/>
    <w:rsid w:val="00EC0A8A"/>
    <w:rsid w:val="00EC14AE"/>
    <w:rsid w:val="00EC2621"/>
    <w:rsid w:val="00EC30F3"/>
    <w:rsid w:val="00EC37B2"/>
    <w:rsid w:val="00EC5133"/>
    <w:rsid w:val="00EC5990"/>
    <w:rsid w:val="00EC6A7D"/>
    <w:rsid w:val="00EC6B55"/>
    <w:rsid w:val="00EC7588"/>
    <w:rsid w:val="00ED141F"/>
    <w:rsid w:val="00ED2AD5"/>
    <w:rsid w:val="00ED5A79"/>
    <w:rsid w:val="00ED60E5"/>
    <w:rsid w:val="00EE009A"/>
    <w:rsid w:val="00EE2C3F"/>
    <w:rsid w:val="00EE373F"/>
    <w:rsid w:val="00EE45F5"/>
    <w:rsid w:val="00EF1058"/>
    <w:rsid w:val="00EF17C3"/>
    <w:rsid w:val="00EF216F"/>
    <w:rsid w:val="00EF2308"/>
    <w:rsid w:val="00EF2692"/>
    <w:rsid w:val="00EF32D3"/>
    <w:rsid w:val="00EF4114"/>
    <w:rsid w:val="00EF417F"/>
    <w:rsid w:val="00EF66E9"/>
    <w:rsid w:val="00F02031"/>
    <w:rsid w:val="00F03A71"/>
    <w:rsid w:val="00F06C05"/>
    <w:rsid w:val="00F07788"/>
    <w:rsid w:val="00F12464"/>
    <w:rsid w:val="00F141FB"/>
    <w:rsid w:val="00F1629B"/>
    <w:rsid w:val="00F202B4"/>
    <w:rsid w:val="00F21D73"/>
    <w:rsid w:val="00F22A5A"/>
    <w:rsid w:val="00F330A9"/>
    <w:rsid w:val="00F3731D"/>
    <w:rsid w:val="00F417BB"/>
    <w:rsid w:val="00F43BDF"/>
    <w:rsid w:val="00F44E82"/>
    <w:rsid w:val="00F451F1"/>
    <w:rsid w:val="00F50FFD"/>
    <w:rsid w:val="00F51984"/>
    <w:rsid w:val="00F52229"/>
    <w:rsid w:val="00F52878"/>
    <w:rsid w:val="00F6094A"/>
    <w:rsid w:val="00F60CC8"/>
    <w:rsid w:val="00F6571F"/>
    <w:rsid w:val="00F66077"/>
    <w:rsid w:val="00F66E1F"/>
    <w:rsid w:val="00F74331"/>
    <w:rsid w:val="00F75ED8"/>
    <w:rsid w:val="00F77497"/>
    <w:rsid w:val="00F84226"/>
    <w:rsid w:val="00F86E3F"/>
    <w:rsid w:val="00F879BD"/>
    <w:rsid w:val="00F90781"/>
    <w:rsid w:val="00F94334"/>
    <w:rsid w:val="00F97F17"/>
    <w:rsid w:val="00FA08CE"/>
    <w:rsid w:val="00FA456B"/>
    <w:rsid w:val="00FA4FD4"/>
    <w:rsid w:val="00FA6223"/>
    <w:rsid w:val="00FA7F22"/>
    <w:rsid w:val="00FB14AD"/>
    <w:rsid w:val="00FB43A4"/>
    <w:rsid w:val="00FB4881"/>
    <w:rsid w:val="00FB526B"/>
    <w:rsid w:val="00FC16B4"/>
    <w:rsid w:val="00FC23DA"/>
    <w:rsid w:val="00FC27CC"/>
    <w:rsid w:val="00FC30F3"/>
    <w:rsid w:val="00FC48F3"/>
    <w:rsid w:val="00FD2091"/>
    <w:rsid w:val="00FD2302"/>
    <w:rsid w:val="00FD621B"/>
    <w:rsid w:val="00FD6C17"/>
    <w:rsid w:val="00FE65F7"/>
    <w:rsid w:val="00FE6AC4"/>
    <w:rsid w:val="00FE72F8"/>
    <w:rsid w:val="00FE7FD9"/>
    <w:rsid w:val="00FF00A2"/>
    <w:rsid w:val="00FF2527"/>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EB498A"/>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EB498A"/>
    <w:rPr>
      <w:rFonts w:ascii="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9758</Words>
  <Characters>55623</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2026-09-22T19:01:00Z</dcterms:created>
  <dcterms:modified xsi:type="dcterms:W3CDTF">2026-09-22T19:25:00Z</dcterms:modified>
</cp:coreProperties>
</file>