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7140A925" w:rsidR="0005411A" w:rsidRPr="00001F32" w:rsidRDefault="0005411A" w:rsidP="00042B91">
      <w:pPr>
        <w:pStyle w:val="BodyText3"/>
        <w:spacing w:after="0" w:afterAutospacing="0"/>
        <w:rPr>
          <w:sz w:val="24"/>
        </w:rPr>
      </w:pPr>
    </w:p>
    <w:p w14:paraId="2D72A510" w14:textId="58A5ED92" w:rsidR="0005411A" w:rsidRPr="00001F32" w:rsidRDefault="00E91403" w:rsidP="00042B91">
      <w:pPr>
        <w:pStyle w:val="BodyText3"/>
        <w:spacing w:after="0" w:afterAutospacing="0"/>
      </w:pPr>
      <w:r w:rsidRPr="00001F32">
        <w:rPr>
          <w:bCs/>
          <w:noProof/>
          <w:lang w:val="pl"/>
        </w:rPr>
        <mc:AlternateContent>
          <mc:Choice Requires="wps">
            <w:drawing>
              <wp:anchor distT="0" distB="0" distL="114300" distR="114300" simplePos="0" relativeHeight="251659264" behindDoc="0" locked="0" layoutInCell="1" allowOverlap="1" wp14:anchorId="6FC0C8B7" wp14:editId="31A12949">
                <wp:simplePos x="0" y="0"/>
                <wp:positionH relativeFrom="column">
                  <wp:posOffset>-95911</wp:posOffset>
                </wp:positionH>
                <wp:positionV relativeFrom="paragraph">
                  <wp:posOffset>70089</wp:posOffset>
                </wp:positionV>
                <wp:extent cx="6477000" cy="1534901"/>
                <wp:effectExtent l="19050" t="19050" r="38100" b="4635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534901"/>
                        </a:xfrm>
                        <a:prstGeom prst="rect">
                          <a:avLst/>
                        </a:prstGeom>
                        <a:solidFill>
                          <a:srgbClr val="FFFFFF"/>
                        </a:solidFill>
                        <a:ln w="57150" cmpd="thinThick">
                          <a:solidFill>
                            <a:srgbClr val="000000"/>
                          </a:solidFill>
                          <a:miter lim="800000"/>
                          <a:headEnd/>
                          <a:tailEnd/>
                        </a:ln>
                      </wps:spPr>
                      <wps:txbx>
                        <w:txbxContent>
                          <w:p w14:paraId="488C1F47" w14:textId="77777777" w:rsidR="0005411A" w:rsidRPr="00001F32" w:rsidRDefault="006F0810" w:rsidP="00963812">
                            <w:pPr>
                              <w:pStyle w:val="Heading7"/>
                              <w:spacing w:after="0" w:afterAutospacing="0"/>
                              <w:rPr>
                                <w:sz w:val="32"/>
                                <w:szCs w:val="32"/>
                                <w:lang w:val="pl-PL"/>
                              </w:rPr>
                            </w:pPr>
                            <w:r>
                              <w:rPr>
                                <w:bCs/>
                                <w:sz w:val="32"/>
                                <w:szCs w:val="32"/>
                                <w:lang w:val="pl"/>
                              </w:rPr>
                              <w:t>PODSUMOWANIE BEZPIECZEŃSTWA I SKUTECZNOŚCI KLINICZNEJ (SSCP)</w:t>
                            </w:r>
                          </w:p>
                          <w:p w14:paraId="56DB2D27" w14:textId="231A96FC" w:rsidR="00393EF6" w:rsidRPr="00001F32" w:rsidRDefault="003043BD" w:rsidP="003043BD">
                            <w:pPr>
                              <w:pStyle w:val="Heading7"/>
                              <w:spacing w:after="0" w:afterAutospacing="0"/>
                              <w:rPr>
                                <w:sz w:val="32"/>
                                <w:szCs w:val="32"/>
                                <w:lang w:val="pl-PL"/>
                              </w:rPr>
                            </w:pPr>
                            <w:r>
                              <w:rPr>
                                <w:bCs/>
                                <w:sz w:val="32"/>
                                <w:szCs w:val="32"/>
                                <w:lang w:val="pl"/>
                              </w:rPr>
                              <w:t>SSCP-0005</w:t>
                            </w:r>
                          </w:p>
                          <w:p w14:paraId="04A0723C" w14:textId="238064C9" w:rsidR="00963812" w:rsidRPr="00001F32" w:rsidRDefault="00CE458E" w:rsidP="00963812">
                            <w:pPr>
                              <w:pStyle w:val="Heading7"/>
                              <w:spacing w:after="0" w:afterAutospacing="0"/>
                              <w:rPr>
                                <w:sz w:val="32"/>
                                <w:szCs w:val="32"/>
                                <w:lang w:val="pl-PL"/>
                              </w:rPr>
                            </w:pPr>
                            <w:r>
                              <w:rPr>
                                <w:bCs/>
                                <w:sz w:val="32"/>
                                <w:szCs w:val="32"/>
                                <w:lang w:val="pl"/>
                              </w:rPr>
                              <w:t xml:space="preserve">System usuwalnego filtra do żyły głównej Option™ ELITE </w:t>
                            </w:r>
                          </w:p>
                          <w:p w14:paraId="79A152D4" w14:textId="648A5166" w:rsidR="0005411A" w:rsidRDefault="00697DB4" w:rsidP="00963812">
                            <w:pPr>
                              <w:pStyle w:val="Heading7"/>
                              <w:spacing w:after="0" w:afterAutospacing="0"/>
                              <w:rPr>
                                <w:sz w:val="32"/>
                                <w:szCs w:val="32"/>
                              </w:rPr>
                            </w:pPr>
                            <w:r>
                              <w:rPr>
                                <w:bCs/>
                                <w:sz w:val="32"/>
                                <w:szCs w:val="32"/>
                                <w:lang w:val="pl"/>
                              </w:rPr>
                              <w:t>TF-0053</w:t>
                            </w:r>
                          </w:p>
                          <w:p w14:paraId="03520B68" w14:textId="4904F4B6" w:rsidR="00D871DE" w:rsidRPr="00D871DE" w:rsidRDefault="00D871DE" w:rsidP="00D871DE">
                            <w:pPr>
                              <w:jc w:val="center"/>
                              <w:rPr>
                                <w:b/>
                                <w:bCs/>
                                <w:sz w:val="32"/>
                                <w:szCs w:val="32"/>
                              </w:rPr>
                            </w:pPr>
                            <w:r>
                              <w:rPr>
                                <w:b/>
                                <w:bCs/>
                                <w:sz w:val="32"/>
                                <w:szCs w:val="32"/>
                                <w:lang w:val="pl"/>
                              </w:rPr>
                              <w:t>TD-28</w:t>
                            </w:r>
                          </w:p>
                          <w:p w14:paraId="3CF39942" w14:textId="77777777" w:rsidR="0005411A" w:rsidRPr="00267292" w:rsidRDefault="0005411A" w:rsidP="009855C3"/>
                          <w:p w14:paraId="684B57C2" w14:textId="6673BCBB" w:rsidR="0005411A" w:rsidRPr="00267292" w:rsidRDefault="0005411A" w:rsidP="00985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55pt;margin-top:5.5pt;width:510pt;height:12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SICJgIAAD4EAAAOAAAAZHJzL2Uyb0RvYy54bWysU9tu2zAMfR+wfxD0vtjJkqY14hRdugwD&#10;ugvQ7gNkWbaFSqImKbGzry8lp2nWYS/D/CCIJnV4eEiurgetyF44L8GUdDrJKRGGQy1NW9IfD9t3&#10;l5T4wEzNFBhR0oPw9Hr99s2qt4WYQQeqFo4giPFFb0vahWCLLPO8E5r5CVhh0NmA0yyg6dqsdqxH&#10;dK2yWZ5fZD242jrgwnv8ezs66TrhN43g4VvTeBGIKilyC+l06azima1XrGgds53kRxrsH1hoJg0m&#10;PUHdssDIzsk/oLTkDjw0YcJBZ9A0kotUA1YzzV9Vc98xK1ItKI63J5n8/4PlX/f39rsjYfgAAzYw&#10;FeHtHfBHTwxsOmZaceMc9J1gNSaeRsmy3vri+DRK7QsfQar+C9TYZLYLkICGxumoCtZJEB0bcDiJ&#10;LoZAOP68mC+XeY4ujr7p4v38Kh9zsOL5uXU+fBKgSbyU1GFXEzzb3/kQ6bDiOSRm86BkvZVKJcO1&#10;1UY5smc4Adv0pQpehSlD+pIultNFZKJtXdLQSfOAY/E4avJXUCQf+Y88fsutZcDhVlKX9PIUxIqo&#10;5EdTp9ELTKrxjkUoc5Q2qjnqGoZqwMAocQX1AUV2MA4xLh1eOnC/KOlxgEvqf+6YE5SozwYbdTWd&#10;z+PEJ2O+WM7QcOee6tzDDEcoLJqS8boJ45bsrJNth5nG0TBwg81tZJL9hdWRNw5p6sZxoeIWnNsp&#10;6mXt108AAAD//wMAUEsDBBQABgAIAAAAIQCmcT1U3QAAAAsBAAAPAAAAZHJzL2Rvd25yZXYueG1s&#10;TI/BTsMwEETvSPyDtUjcWjtRA22IU1VIcESi7YGjEy+J1XgdxW4b/p7tCY6reZp9U21nP4gLTtEF&#10;0pAtFQikNlhHnYbj4W2xBhGTIWuGQKjhByNs6/u7ypQ2XOkTL/vUCS6hWBoNfUpjKWVse/QmLsOI&#10;xNl3mLxJfE6dtJO5crkfZK7Uk/TGEX/ozYivPban/dlrOO3aAxYyrTe9+1g1X++RZhe1fnyYdy8g&#10;Es7pD4abPqtDzU5NOJONYtCwyIqMUQ4y3nQDlFptQDQa8iJ/BllX8v+G+hcAAP//AwBQSwECLQAU&#10;AAYACAAAACEAtoM4kv4AAADhAQAAEwAAAAAAAAAAAAAAAAAAAAAAW0NvbnRlbnRfVHlwZXNdLnht&#10;bFBLAQItABQABgAIAAAAIQA4/SH/1gAAAJQBAAALAAAAAAAAAAAAAAAAAC8BAABfcmVscy8ucmVs&#10;c1BLAQItABQABgAIAAAAIQCGtSICJgIAAD4EAAAOAAAAAAAAAAAAAAAAAC4CAABkcnMvZTJvRG9j&#10;LnhtbFBLAQItABQABgAIAAAAIQCmcT1U3QAAAAsBAAAPAAAAAAAAAAAAAAAAAIAEAABkcnMvZG93&#10;bnJldi54bWxQSwUGAAAAAAQABADzAAAAigUAAAAA&#10;" strokeweight="4.5pt">
                <v:stroke linestyle="thinThick"/>
                <v:textbox>
                  <w:txbxContent>
                    <w:p w14:paraId="488C1F47" w14:textId="77777777" w:rsidR="0005411A" w:rsidRPr="00001F32" w:rsidRDefault="006F0810" w:rsidP="00963812">
                      <w:pPr>
                        <w:pStyle w:val="Heading7"/>
                        <w:spacing w:after="0" w:afterAutospacing="0"/>
                        <w:rPr>
                          <w:sz w:val="32"/>
                          <w:szCs w:val="32"/>
                          <w:lang w:val="pl-PL"/>
                        </w:rPr>
                      </w:pPr>
                      <w:r>
                        <w:rPr>
                          <w:bCs/>
                          <w:sz w:val="32"/>
                          <w:szCs w:val="32"/>
                          <w:lang w:val="pl"/>
                        </w:rPr>
                        <w:t>PODSUMOWANIE BEZPIECZEŃSTWA I SKUTECZNOŚCI KLINICZNEJ (SSCP)</w:t>
                      </w:r>
                    </w:p>
                    <w:p w14:paraId="56DB2D27" w14:textId="231A96FC" w:rsidR="00393EF6" w:rsidRPr="00001F32" w:rsidRDefault="003043BD" w:rsidP="003043BD">
                      <w:pPr>
                        <w:pStyle w:val="Heading7"/>
                        <w:spacing w:after="0" w:afterAutospacing="0"/>
                        <w:rPr>
                          <w:sz w:val="32"/>
                          <w:szCs w:val="32"/>
                          <w:lang w:val="pl-PL"/>
                        </w:rPr>
                      </w:pPr>
                      <w:r>
                        <w:rPr>
                          <w:bCs/>
                          <w:sz w:val="32"/>
                          <w:szCs w:val="32"/>
                          <w:lang w:val="pl"/>
                        </w:rPr>
                        <w:t>SSCP-0005</w:t>
                      </w:r>
                    </w:p>
                    <w:p w14:paraId="04A0723C" w14:textId="238064C9" w:rsidR="00963812" w:rsidRPr="00001F32" w:rsidRDefault="00CE458E" w:rsidP="00963812">
                      <w:pPr>
                        <w:pStyle w:val="Heading7"/>
                        <w:spacing w:after="0" w:afterAutospacing="0"/>
                        <w:rPr>
                          <w:sz w:val="32"/>
                          <w:szCs w:val="32"/>
                          <w:lang w:val="pl-PL"/>
                        </w:rPr>
                      </w:pPr>
                      <w:r>
                        <w:rPr>
                          <w:bCs/>
                          <w:sz w:val="32"/>
                          <w:szCs w:val="32"/>
                          <w:lang w:val="pl"/>
                        </w:rPr>
                        <w:t xml:space="preserve">System usuwalnego filtra do żyły głównej Option™ ELITE </w:t>
                      </w:r>
                    </w:p>
                    <w:p w14:paraId="79A152D4" w14:textId="648A5166" w:rsidR="0005411A" w:rsidRDefault="00697DB4" w:rsidP="00963812">
                      <w:pPr>
                        <w:pStyle w:val="Heading7"/>
                        <w:spacing w:after="0" w:afterAutospacing="0"/>
                        <w:rPr>
                          <w:sz w:val="32"/>
                          <w:szCs w:val="32"/>
                        </w:rPr>
                      </w:pPr>
                      <w:r>
                        <w:rPr>
                          <w:bCs/>
                          <w:sz w:val="32"/>
                          <w:szCs w:val="32"/>
                          <w:lang w:val="pl"/>
                        </w:rPr>
                        <w:t>TF-0053</w:t>
                      </w:r>
                    </w:p>
                    <w:p w14:paraId="03520B68" w14:textId="4904F4B6" w:rsidR="00D871DE" w:rsidRPr="00D871DE" w:rsidRDefault="00D871DE" w:rsidP="00D871DE">
                      <w:pPr>
                        <w:jc w:val="center"/>
                        <w:rPr>
                          <w:b/>
                          <w:bCs/>
                          <w:sz w:val="32"/>
                          <w:szCs w:val="32"/>
                        </w:rPr>
                      </w:pPr>
                      <w:r>
                        <w:rPr>
                          <w:b/>
                          <w:bCs/>
                          <w:sz w:val="32"/>
                          <w:szCs w:val="32"/>
                          <w:lang w:val="pl"/>
                        </w:rPr>
                        <w:t>TD-28</w:t>
                      </w:r>
                    </w:p>
                    <w:p w14:paraId="3CF39942" w14:textId="77777777" w:rsidR="0005411A" w:rsidRPr="00267292" w:rsidRDefault="0005411A" w:rsidP="009855C3"/>
                    <w:p w14:paraId="684B57C2" w14:textId="6673BCBB" w:rsidR="0005411A" w:rsidRPr="00267292" w:rsidRDefault="0005411A" w:rsidP="009855C3"/>
                  </w:txbxContent>
                </v:textbox>
              </v:shape>
            </w:pict>
          </mc:Fallback>
        </mc:AlternateContent>
      </w:r>
    </w:p>
    <w:p w14:paraId="22332CC2" w14:textId="77777777" w:rsidR="0005411A" w:rsidRPr="00001F32" w:rsidRDefault="0005411A" w:rsidP="00042B91">
      <w:pPr>
        <w:pStyle w:val="BodyText3"/>
        <w:spacing w:after="0" w:afterAutospacing="0"/>
      </w:pPr>
    </w:p>
    <w:p w14:paraId="2048CF11" w14:textId="77777777" w:rsidR="0005411A" w:rsidRPr="00001F32" w:rsidRDefault="0005411A" w:rsidP="00042B91">
      <w:pPr>
        <w:pStyle w:val="BodyText3"/>
        <w:spacing w:after="0" w:afterAutospacing="0"/>
      </w:pPr>
    </w:p>
    <w:p w14:paraId="243C88AF" w14:textId="77777777" w:rsidR="0005411A" w:rsidRPr="00001F32" w:rsidRDefault="0005411A" w:rsidP="00042B91">
      <w:pPr>
        <w:pStyle w:val="BodyText3"/>
        <w:spacing w:after="0" w:afterAutospacing="0"/>
      </w:pPr>
    </w:p>
    <w:p w14:paraId="41545C51" w14:textId="2690A02B" w:rsidR="0005411A" w:rsidRPr="00001F32" w:rsidRDefault="0005411A" w:rsidP="00042B91">
      <w:pPr>
        <w:spacing w:after="0" w:afterAutospacing="0" w:line="240" w:lineRule="auto"/>
        <w:rPr>
          <w:rFonts w:cs="Times New Roman"/>
        </w:rPr>
      </w:pPr>
    </w:p>
    <w:p w14:paraId="155D5FB3" w14:textId="51695512" w:rsidR="00042B91" w:rsidRPr="00001F32" w:rsidRDefault="00042B91" w:rsidP="00042B91">
      <w:pPr>
        <w:spacing w:after="0" w:afterAutospacing="0" w:line="240" w:lineRule="auto"/>
        <w:rPr>
          <w:rFonts w:cs="Times New Roman"/>
        </w:rPr>
      </w:pPr>
    </w:p>
    <w:p w14:paraId="50F16F2D" w14:textId="5942F0CE" w:rsidR="00042B91" w:rsidRPr="00001F32" w:rsidRDefault="00042B91" w:rsidP="00042B91">
      <w:pPr>
        <w:spacing w:after="0" w:afterAutospacing="0" w:line="240" w:lineRule="auto"/>
        <w:rPr>
          <w:rFonts w:cs="Times New Roman"/>
        </w:rPr>
      </w:pPr>
    </w:p>
    <w:p w14:paraId="781CF868" w14:textId="0A72AB5D" w:rsidR="00042B91" w:rsidRPr="00001F32" w:rsidRDefault="00042B91" w:rsidP="00042B91">
      <w:pPr>
        <w:spacing w:after="0" w:afterAutospacing="0" w:line="240" w:lineRule="auto"/>
        <w:rPr>
          <w:rFonts w:cs="Times New Roman"/>
        </w:rPr>
      </w:pPr>
    </w:p>
    <w:p w14:paraId="7525C55B" w14:textId="09737261" w:rsidR="00042B91" w:rsidRPr="00001F32" w:rsidRDefault="00042B91" w:rsidP="00042B91">
      <w:pPr>
        <w:spacing w:after="0" w:afterAutospacing="0" w:line="240" w:lineRule="auto"/>
        <w:rPr>
          <w:rFonts w:cs="Times New Roman"/>
        </w:rPr>
      </w:pPr>
    </w:p>
    <w:p w14:paraId="2CF7AE6F" w14:textId="1272C31A" w:rsidR="00E91403" w:rsidRPr="00001F32" w:rsidRDefault="00E91403" w:rsidP="00042B91">
      <w:pPr>
        <w:spacing w:after="0" w:afterAutospacing="0" w:line="240" w:lineRule="auto"/>
        <w:rPr>
          <w:rFonts w:cs="Times New Roman"/>
        </w:rPr>
      </w:pPr>
      <w:r w:rsidRPr="00001F32">
        <w:rPr>
          <w:rFonts w:cs="Times New Roman"/>
          <w:lang w:val="pl"/>
        </w:rPr>
        <w:t>Do publikacji w Eudamed</w:t>
      </w:r>
    </w:p>
    <w:p w14:paraId="57B38593" w14:textId="77777777" w:rsidR="00E91403" w:rsidRPr="00001F32" w:rsidRDefault="00E91403" w:rsidP="00042B91">
      <w:pPr>
        <w:spacing w:after="0" w:afterAutospacing="0" w:line="240" w:lineRule="auto"/>
        <w:rPr>
          <w:rFonts w:cs="Times New Roman"/>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175"/>
        <w:gridCol w:w="1336"/>
        <w:gridCol w:w="7438"/>
      </w:tblGrid>
      <w:tr w:rsidR="00460A21" w:rsidRPr="00001F32"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001F32" w:rsidRDefault="00460A21" w:rsidP="00673978">
            <w:pPr>
              <w:jc w:val="center"/>
              <w:rPr>
                <w:rFonts w:cs="Times New Roman"/>
                <w:b/>
                <w:szCs w:val="24"/>
              </w:rPr>
            </w:pPr>
            <w:r w:rsidRPr="00001F32">
              <w:rPr>
                <w:rFonts w:cs="Times New Roman"/>
                <w:b/>
                <w:bCs/>
                <w:szCs w:val="24"/>
                <w:lang w:val="pl"/>
              </w:rPr>
              <w:t>ROLA</w:t>
            </w:r>
          </w:p>
        </w:tc>
        <w:tc>
          <w:tcPr>
            <w:tcW w:w="1305" w:type="dxa"/>
            <w:tcBorders>
              <w:top w:val="single" w:sz="18" w:space="0" w:color="auto"/>
              <w:bottom w:val="double" w:sz="4" w:space="0" w:color="auto"/>
            </w:tcBorders>
            <w:shd w:val="clear" w:color="auto" w:fill="E0E0E0"/>
          </w:tcPr>
          <w:p w14:paraId="452B0D97" w14:textId="77777777" w:rsidR="00460A21" w:rsidRPr="00001F32" w:rsidRDefault="00460A21" w:rsidP="00673978">
            <w:pPr>
              <w:jc w:val="center"/>
              <w:rPr>
                <w:rFonts w:cs="Times New Roman"/>
                <w:b/>
                <w:szCs w:val="24"/>
              </w:rPr>
            </w:pPr>
            <w:r w:rsidRPr="00001F32">
              <w:rPr>
                <w:rFonts w:cs="Times New Roman"/>
                <w:b/>
                <w:bCs/>
                <w:szCs w:val="24"/>
                <w:lang w:val="pl"/>
              </w:rPr>
              <w:t>DZIAŁ</w:t>
            </w:r>
          </w:p>
        </w:tc>
        <w:tc>
          <w:tcPr>
            <w:tcW w:w="7468" w:type="dxa"/>
            <w:tcBorders>
              <w:top w:val="single" w:sz="18" w:space="0" w:color="auto"/>
              <w:bottom w:val="double" w:sz="4" w:space="0" w:color="auto"/>
            </w:tcBorders>
            <w:shd w:val="clear" w:color="auto" w:fill="E0E0E0"/>
          </w:tcPr>
          <w:p w14:paraId="1FB5265C" w14:textId="77777777" w:rsidR="00460A21" w:rsidRPr="00001F32" w:rsidRDefault="00460A21" w:rsidP="00673978">
            <w:pPr>
              <w:jc w:val="center"/>
              <w:rPr>
                <w:rFonts w:cs="Times New Roman"/>
                <w:b/>
                <w:szCs w:val="24"/>
              </w:rPr>
            </w:pPr>
            <w:r w:rsidRPr="00001F32">
              <w:rPr>
                <w:rFonts w:cs="Times New Roman"/>
                <w:b/>
                <w:bCs/>
                <w:szCs w:val="24"/>
                <w:lang w:val="pl"/>
              </w:rPr>
              <w:t>IMIĘ I NAZWISKO / STANOWISKO</w:t>
            </w:r>
          </w:p>
        </w:tc>
      </w:tr>
      <w:tr w:rsidR="00460A21" w:rsidRPr="00001F32" w14:paraId="1D921923" w14:textId="77777777" w:rsidTr="00460A21">
        <w:trPr>
          <w:trHeight w:val="582"/>
        </w:trPr>
        <w:tc>
          <w:tcPr>
            <w:tcW w:w="1176" w:type="dxa"/>
            <w:tcBorders>
              <w:top w:val="double" w:sz="4" w:space="0" w:color="auto"/>
            </w:tcBorders>
            <w:vAlign w:val="center"/>
          </w:tcPr>
          <w:p w14:paraId="611CED18" w14:textId="77777777" w:rsidR="00460A21" w:rsidRPr="00001F32" w:rsidRDefault="00460A21" w:rsidP="00673978">
            <w:pPr>
              <w:jc w:val="center"/>
              <w:rPr>
                <w:rFonts w:cs="Times New Roman"/>
                <w:b/>
                <w:szCs w:val="24"/>
              </w:rPr>
            </w:pPr>
            <w:r w:rsidRPr="00001F32">
              <w:rPr>
                <w:rFonts w:cs="Times New Roman"/>
                <w:b/>
                <w:bCs/>
                <w:szCs w:val="24"/>
                <w:lang w:val="pl"/>
              </w:rPr>
              <w:t>Autor</w:t>
            </w:r>
          </w:p>
        </w:tc>
        <w:tc>
          <w:tcPr>
            <w:tcW w:w="1305" w:type="dxa"/>
            <w:tcBorders>
              <w:top w:val="double" w:sz="4" w:space="0" w:color="auto"/>
            </w:tcBorders>
          </w:tcPr>
          <w:p w14:paraId="2DC089FC" w14:textId="77777777" w:rsidR="00460A21" w:rsidRPr="00001F32" w:rsidRDefault="00460A21" w:rsidP="00673978">
            <w:pPr>
              <w:jc w:val="center"/>
              <w:rPr>
                <w:rFonts w:cs="Times New Roman"/>
                <w:szCs w:val="24"/>
              </w:rPr>
            </w:pPr>
            <w:r w:rsidRPr="00001F32">
              <w:rPr>
                <w:rFonts w:cs="Times New Roman"/>
                <w:szCs w:val="24"/>
                <w:lang w:val="pl"/>
              </w:rPr>
              <w:t>Kwestie regulacyjne</w:t>
            </w:r>
          </w:p>
        </w:tc>
        <w:tc>
          <w:tcPr>
            <w:tcW w:w="7468" w:type="dxa"/>
            <w:tcBorders>
              <w:top w:val="double" w:sz="4" w:space="0" w:color="auto"/>
            </w:tcBorders>
          </w:tcPr>
          <w:p w14:paraId="4E7A6156" w14:textId="77777777" w:rsidR="00460A21" w:rsidRPr="00001F32" w:rsidRDefault="00460A21" w:rsidP="00673978">
            <w:pPr>
              <w:spacing w:after="0" w:afterAutospacing="0"/>
              <w:jc w:val="center"/>
              <w:rPr>
                <w:rFonts w:cs="Times New Roman"/>
                <w:szCs w:val="24"/>
                <w:lang w:val="pl-PL"/>
              </w:rPr>
            </w:pPr>
            <w:r w:rsidRPr="00001F32">
              <w:rPr>
                <w:rFonts w:cs="Times New Roman"/>
                <w:szCs w:val="24"/>
                <w:lang w:val="pl"/>
              </w:rPr>
              <w:t>Nadira Lotus</w:t>
            </w:r>
          </w:p>
          <w:p w14:paraId="47F50372" w14:textId="77777777" w:rsidR="00460A21" w:rsidRPr="00001F32" w:rsidRDefault="00460A21" w:rsidP="00673978">
            <w:pPr>
              <w:jc w:val="center"/>
              <w:rPr>
                <w:rFonts w:cs="Times New Roman"/>
                <w:szCs w:val="24"/>
                <w:lang w:val="pl-PL"/>
              </w:rPr>
            </w:pPr>
            <w:r w:rsidRPr="00001F32">
              <w:rPr>
                <w:rFonts w:cs="Times New Roman"/>
                <w:szCs w:val="24"/>
                <w:lang w:val="pl"/>
              </w:rPr>
              <w:t>Kierownik, Nadzór po wprowadzeniu do obrotu</w:t>
            </w:r>
          </w:p>
        </w:tc>
      </w:tr>
    </w:tbl>
    <w:p w14:paraId="45EA3393" w14:textId="77777777" w:rsidR="00E91403" w:rsidRPr="00001F32" w:rsidRDefault="00E91403" w:rsidP="00E91403">
      <w:pPr>
        <w:jc w:val="center"/>
        <w:rPr>
          <w:rFonts w:cs="Times New Roman"/>
          <w:b/>
          <w:lang w:val="pl-PL"/>
        </w:rPr>
      </w:pPr>
    </w:p>
    <w:p w14:paraId="3ADE6C89" w14:textId="0496458B" w:rsidR="00E91403" w:rsidRPr="00001F32" w:rsidRDefault="00E91403" w:rsidP="00E91403">
      <w:pPr>
        <w:tabs>
          <w:tab w:val="center" w:pos="5220"/>
          <w:tab w:val="right" w:pos="10440"/>
        </w:tabs>
        <w:rPr>
          <w:rFonts w:cs="Times New Roman"/>
          <w:b/>
          <w:lang w:val="pl"/>
        </w:rPr>
      </w:pPr>
      <w:r w:rsidRPr="00001F32">
        <w:rPr>
          <w:rFonts w:cs="Times New Roman"/>
          <w:lang w:val="pl"/>
        </w:rPr>
        <w:tab/>
      </w:r>
      <w:r w:rsidRPr="00001F32">
        <w:rPr>
          <w:rFonts w:cs="Times New Roman"/>
          <w:b/>
          <w:bCs/>
          <w:lang w:val="pl"/>
        </w:rPr>
        <w:t>Matryca podpisów zatwierdzających</w:t>
      </w:r>
      <w:r w:rsidRPr="00001F32">
        <w:rPr>
          <w:rFonts w:cs="Times New Roman"/>
          <w:lang w:val="pl"/>
        </w:rPr>
        <w:tab/>
      </w:r>
    </w:p>
    <w:p w14:paraId="01F684E3" w14:textId="77777777" w:rsidR="00E91403" w:rsidRPr="00001F32" w:rsidRDefault="00E91403" w:rsidP="00E91403">
      <w:pPr>
        <w:spacing w:after="60"/>
        <w:ind w:right="274"/>
        <w:rPr>
          <w:rFonts w:cs="Times New Roman"/>
          <w:sz w:val="20"/>
          <w:szCs w:val="20"/>
          <w:lang w:val="pl"/>
        </w:rPr>
      </w:pPr>
      <w:r w:rsidRPr="00001F32">
        <w:rPr>
          <w:rFonts w:cs="Times New Roman"/>
          <w:sz w:val="20"/>
          <w:szCs w:val="20"/>
          <w:lang w:val="pl"/>
        </w:rPr>
        <w:t>Dokument ten musi zostać przeanalizowany i zatwierdzony przez wszystkie wymienione poniżej osoby lub ich upoważnionych przedstawicieli.</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683"/>
        <w:gridCol w:w="1336"/>
        <w:gridCol w:w="7375"/>
      </w:tblGrid>
      <w:tr w:rsidR="006A0E81" w:rsidRPr="00001F32"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001F32" w:rsidRDefault="006A0E81" w:rsidP="00673978">
            <w:pPr>
              <w:jc w:val="center"/>
              <w:rPr>
                <w:rFonts w:cs="Times New Roman"/>
                <w:b/>
                <w:szCs w:val="24"/>
              </w:rPr>
            </w:pPr>
            <w:r w:rsidRPr="00001F32">
              <w:rPr>
                <w:rFonts w:cs="Times New Roman"/>
                <w:b/>
                <w:bCs/>
                <w:szCs w:val="24"/>
                <w:lang w:val="pl"/>
              </w:rPr>
              <w:t>ROLA</w:t>
            </w:r>
          </w:p>
        </w:tc>
        <w:tc>
          <w:tcPr>
            <w:tcW w:w="656" w:type="pct"/>
            <w:tcBorders>
              <w:top w:val="single" w:sz="18" w:space="0" w:color="auto"/>
              <w:bottom w:val="double" w:sz="4" w:space="0" w:color="auto"/>
            </w:tcBorders>
            <w:shd w:val="clear" w:color="auto" w:fill="E0E0E0"/>
          </w:tcPr>
          <w:p w14:paraId="21054F7D" w14:textId="77777777" w:rsidR="006A0E81" w:rsidRPr="00001F32" w:rsidRDefault="006A0E81" w:rsidP="00673978">
            <w:pPr>
              <w:jc w:val="center"/>
              <w:rPr>
                <w:rFonts w:cs="Times New Roman"/>
                <w:b/>
                <w:szCs w:val="24"/>
              </w:rPr>
            </w:pPr>
            <w:r w:rsidRPr="00001F32">
              <w:rPr>
                <w:rFonts w:cs="Times New Roman"/>
                <w:b/>
                <w:bCs/>
                <w:szCs w:val="24"/>
                <w:lang w:val="pl"/>
              </w:rPr>
              <w:t>DZIAŁ</w:t>
            </w:r>
          </w:p>
        </w:tc>
        <w:tc>
          <w:tcPr>
            <w:tcW w:w="3746" w:type="pct"/>
            <w:tcBorders>
              <w:top w:val="single" w:sz="18" w:space="0" w:color="auto"/>
              <w:bottom w:val="double" w:sz="4" w:space="0" w:color="auto"/>
            </w:tcBorders>
            <w:shd w:val="clear" w:color="auto" w:fill="E0E0E0"/>
          </w:tcPr>
          <w:p w14:paraId="63C72ACD" w14:textId="77777777" w:rsidR="006A0E81" w:rsidRPr="00001F32" w:rsidRDefault="006A0E81" w:rsidP="00673978">
            <w:pPr>
              <w:jc w:val="center"/>
              <w:rPr>
                <w:rFonts w:cs="Times New Roman"/>
                <w:b/>
                <w:szCs w:val="24"/>
              </w:rPr>
            </w:pPr>
            <w:r w:rsidRPr="00001F32">
              <w:rPr>
                <w:rFonts w:cs="Times New Roman"/>
                <w:b/>
                <w:bCs/>
                <w:szCs w:val="24"/>
                <w:lang w:val="pl"/>
              </w:rPr>
              <w:t>IMIĘ I NAZWISKO / STANOWISKO</w:t>
            </w:r>
          </w:p>
        </w:tc>
      </w:tr>
      <w:tr w:rsidR="006A0E81" w:rsidRPr="00001F32" w14:paraId="6B67D988" w14:textId="77777777" w:rsidTr="00CB6BBA">
        <w:trPr>
          <w:trHeight w:val="606"/>
        </w:trPr>
        <w:tc>
          <w:tcPr>
            <w:tcW w:w="598" w:type="pct"/>
            <w:vAlign w:val="center"/>
          </w:tcPr>
          <w:p w14:paraId="2B4AF818" w14:textId="77777777" w:rsidR="006A0E81" w:rsidRPr="00001F32" w:rsidRDefault="006A0E81" w:rsidP="00673978">
            <w:pPr>
              <w:jc w:val="center"/>
              <w:rPr>
                <w:rFonts w:cs="Times New Roman"/>
                <w:b/>
                <w:szCs w:val="24"/>
              </w:rPr>
            </w:pPr>
            <w:r w:rsidRPr="00001F32">
              <w:rPr>
                <w:rFonts w:cs="Times New Roman"/>
                <w:b/>
                <w:bCs/>
                <w:szCs w:val="24"/>
                <w:lang w:val="pl"/>
              </w:rPr>
              <w:t>Zatwierdzenie</w:t>
            </w:r>
          </w:p>
        </w:tc>
        <w:tc>
          <w:tcPr>
            <w:tcW w:w="656" w:type="pct"/>
            <w:vAlign w:val="center"/>
          </w:tcPr>
          <w:p w14:paraId="761C8529" w14:textId="77777777" w:rsidR="006A0E81" w:rsidRPr="00001F32" w:rsidRDefault="006A0E81" w:rsidP="00673978">
            <w:pPr>
              <w:jc w:val="center"/>
              <w:rPr>
                <w:rFonts w:cs="Times New Roman"/>
                <w:szCs w:val="24"/>
              </w:rPr>
            </w:pPr>
            <w:r w:rsidRPr="00001F32">
              <w:rPr>
                <w:rFonts w:cs="Times New Roman"/>
                <w:szCs w:val="24"/>
                <w:lang w:val="pl"/>
              </w:rPr>
              <w:t>Relacje z klinikami</w:t>
            </w:r>
          </w:p>
        </w:tc>
        <w:tc>
          <w:tcPr>
            <w:tcW w:w="3746" w:type="pct"/>
            <w:vAlign w:val="center"/>
          </w:tcPr>
          <w:p w14:paraId="5F782B7A" w14:textId="77777777" w:rsidR="005D3579" w:rsidRPr="00001F32" w:rsidRDefault="005D3579" w:rsidP="005D3579">
            <w:pPr>
              <w:spacing w:after="0" w:afterAutospacing="0"/>
              <w:jc w:val="center"/>
              <w:rPr>
                <w:rFonts w:cs="Times New Roman"/>
                <w:szCs w:val="24"/>
                <w:lang w:val="pl-PL"/>
              </w:rPr>
            </w:pPr>
            <w:r w:rsidRPr="00001F32">
              <w:rPr>
                <w:rFonts w:cs="Times New Roman"/>
                <w:szCs w:val="24"/>
                <w:lang w:val="pl"/>
              </w:rPr>
              <w:t>David Roe</w:t>
            </w:r>
          </w:p>
          <w:p w14:paraId="4C6C222C" w14:textId="2028D445" w:rsidR="006A0E81" w:rsidRPr="00001F32" w:rsidRDefault="005D3579" w:rsidP="005D3579">
            <w:pPr>
              <w:jc w:val="center"/>
              <w:rPr>
                <w:rFonts w:cs="Times New Roman"/>
                <w:szCs w:val="24"/>
                <w:lang w:val="pl-PL"/>
              </w:rPr>
            </w:pPr>
            <w:r w:rsidRPr="00001F32">
              <w:rPr>
                <w:rFonts w:cs="Times New Roman"/>
                <w:szCs w:val="24"/>
                <w:lang w:val="pl"/>
              </w:rPr>
              <w:t>Autor technicznych tekstów medycznych</w:t>
            </w:r>
          </w:p>
        </w:tc>
      </w:tr>
      <w:tr w:rsidR="006A0E81" w:rsidRPr="00001F32" w14:paraId="66F2BF6D" w14:textId="77777777" w:rsidTr="00CB6BBA">
        <w:trPr>
          <w:trHeight w:val="624"/>
        </w:trPr>
        <w:tc>
          <w:tcPr>
            <w:tcW w:w="598" w:type="pct"/>
            <w:vAlign w:val="center"/>
          </w:tcPr>
          <w:p w14:paraId="0A1137A9" w14:textId="77777777" w:rsidR="006A0E81" w:rsidRPr="00001F32" w:rsidRDefault="006A0E81" w:rsidP="00673978">
            <w:pPr>
              <w:jc w:val="center"/>
              <w:rPr>
                <w:rFonts w:cs="Times New Roman"/>
                <w:b/>
                <w:szCs w:val="24"/>
              </w:rPr>
            </w:pPr>
            <w:r w:rsidRPr="00001F32">
              <w:rPr>
                <w:rFonts w:cs="Times New Roman"/>
                <w:b/>
                <w:bCs/>
                <w:szCs w:val="24"/>
                <w:lang w:val="pl"/>
              </w:rPr>
              <w:t>Zatwierdzenie</w:t>
            </w:r>
          </w:p>
        </w:tc>
        <w:tc>
          <w:tcPr>
            <w:tcW w:w="656" w:type="pct"/>
            <w:vAlign w:val="center"/>
          </w:tcPr>
          <w:p w14:paraId="51910E9B" w14:textId="77777777" w:rsidR="006A0E81" w:rsidRPr="00001F32" w:rsidRDefault="006A0E81" w:rsidP="00673978">
            <w:pPr>
              <w:jc w:val="center"/>
              <w:rPr>
                <w:rFonts w:cs="Times New Roman"/>
                <w:szCs w:val="24"/>
              </w:rPr>
            </w:pPr>
            <w:r w:rsidRPr="00001F32">
              <w:rPr>
                <w:rFonts w:cs="Times New Roman"/>
                <w:szCs w:val="24"/>
                <w:lang w:val="pl"/>
              </w:rPr>
              <w:t xml:space="preserve">Jakość </w:t>
            </w:r>
          </w:p>
        </w:tc>
        <w:tc>
          <w:tcPr>
            <w:tcW w:w="3746" w:type="pct"/>
            <w:vAlign w:val="center"/>
          </w:tcPr>
          <w:p w14:paraId="25509EA9" w14:textId="77777777" w:rsidR="006A0E81" w:rsidRPr="00001F32" w:rsidRDefault="00FE7FD9" w:rsidP="009576EB">
            <w:pPr>
              <w:spacing w:after="0" w:afterAutospacing="0"/>
              <w:jc w:val="center"/>
              <w:rPr>
                <w:rFonts w:cs="Times New Roman"/>
                <w:szCs w:val="24"/>
              </w:rPr>
            </w:pPr>
            <w:r w:rsidRPr="00001F32">
              <w:rPr>
                <w:rFonts w:cs="Times New Roman"/>
                <w:szCs w:val="24"/>
              </w:rPr>
              <w:t>James Stephens</w:t>
            </w:r>
          </w:p>
          <w:p w14:paraId="6A33F960" w14:textId="36275141" w:rsidR="001D2757" w:rsidRPr="00001F32" w:rsidRDefault="001D2757" w:rsidP="009576EB">
            <w:pPr>
              <w:spacing w:after="0" w:afterAutospacing="0"/>
              <w:jc w:val="center"/>
              <w:rPr>
                <w:rFonts w:cs="Times New Roman"/>
                <w:szCs w:val="24"/>
              </w:rPr>
            </w:pPr>
            <w:r w:rsidRPr="00001F32">
              <w:rPr>
                <w:rFonts w:cs="Times New Roman"/>
                <w:szCs w:val="24"/>
              </w:rPr>
              <w:t>Sr. Director, Quality Operations</w:t>
            </w:r>
          </w:p>
        </w:tc>
      </w:tr>
      <w:tr w:rsidR="006A0E81" w:rsidRPr="00001F32" w14:paraId="6908B34D" w14:textId="77777777" w:rsidTr="00CB6BBA">
        <w:trPr>
          <w:trHeight w:val="624"/>
        </w:trPr>
        <w:tc>
          <w:tcPr>
            <w:tcW w:w="598" w:type="pct"/>
            <w:vAlign w:val="center"/>
          </w:tcPr>
          <w:p w14:paraId="09A6937D" w14:textId="77777777" w:rsidR="006A0E81" w:rsidRPr="00001F32" w:rsidRDefault="006A0E81" w:rsidP="00673978">
            <w:pPr>
              <w:jc w:val="center"/>
              <w:rPr>
                <w:rFonts w:cs="Times New Roman"/>
                <w:b/>
                <w:szCs w:val="24"/>
              </w:rPr>
            </w:pPr>
            <w:r w:rsidRPr="00001F32">
              <w:rPr>
                <w:rFonts w:cs="Times New Roman"/>
                <w:b/>
                <w:bCs/>
                <w:szCs w:val="24"/>
                <w:lang w:val="pl"/>
              </w:rPr>
              <w:t>Zatwierdzenie</w:t>
            </w:r>
          </w:p>
        </w:tc>
        <w:tc>
          <w:tcPr>
            <w:tcW w:w="656" w:type="pct"/>
            <w:vAlign w:val="center"/>
          </w:tcPr>
          <w:p w14:paraId="5674E28C" w14:textId="77777777" w:rsidR="006A0E81" w:rsidRPr="00001F32" w:rsidRDefault="006A0E81" w:rsidP="00673978">
            <w:pPr>
              <w:jc w:val="center"/>
              <w:rPr>
                <w:rFonts w:cs="Times New Roman"/>
                <w:szCs w:val="24"/>
              </w:rPr>
            </w:pPr>
            <w:r w:rsidRPr="00001F32">
              <w:rPr>
                <w:rFonts w:cs="Times New Roman"/>
                <w:szCs w:val="24"/>
                <w:lang w:val="pl"/>
              </w:rPr>
              <w:t xml:space="preserve">Kwestie regulacyjne </w:t>
            </w:r>
          </w:p>
        </w:tc>
        <w:tc>
          <w:tcPr>
            <w:tcW w:w="3746" w:type="pct"/>
            <w:vAlign w:val="center"/>
          </w:tcPr>
          <w:p w14:paraId="4C04C47C" w14:textId="77777777" w:rsidR="00810EBB" w:rsidRPr="00001F32" w:rsidRDefault="00810EBB">
            <w:pPr>
              <w:spacing w:after="0" w:afterAutospacing="0"/>
              <w:jc w:val="center"/>
              <w:rPr>
                <w:rFonts w:cs="Times New Roman"/>
                <w:kern w:val="2"/>
                <w:szCs w:val="24"/>
                <w14:ligatures w14:val="standardContextual"/>
              </w:rPr>
            </w:pPr>
            <w:r w:rsidRPr="00001F32">
              <w:rPr>
                <w:rFonts w:cs="Times New Roman"/>
              </w:rPr>
              <w:t>Scott Bishop</w:t>
            </w:r>
          </w:p>
          <w:p w14:paraId="4951FAA0" w14:textId="77777777" w:rsidR="006A0E81" w:rsidRPr="00001F32" w:rsidRDefault="006A0E81" w:rsidP="00673978">
            <w:pPr>
              <w:jc w:val="center"/>
              <w:rPr>
                <w:rFonts w:cs="Times New Roman"/>
                <w:szCs w:val="24"/>
              </w:rPr>
            </w:pPr>
            <w:r w:rsidRPr="00001F32">
              <w:rPr>
                <w:rFonts w:eastAsia="Times New Roman" w:cs="Times New Roman"/>
                <w:szCs w:val="24"/>
              </w:rPr>
              <w:t>VP, Global RA and QA</w:t>
            </w:r>
          </w:p>
        </w:tc>
      </w:tr>
    </w:tbl>
    <w:p w14:paraId="0CA7522B" w14:textId="77777777" w:rsidR="00C637ED" w:rsidRPr="00001F32" w:rsidRDefault="00C637ED" w:rsidP="00001F32">
      <w:pPr>
        <w:spacing w:after="0" w:afterAutospacing="0"/>
        <w:jc w:val="center"/>
        <w:rPr>
          <w:rFonts w:cs="Times New Roman"/>
          <w:b/>
          <w:bCs/>
        </w:rPr>
      </w:pPr>
    </w:p>
    <w:p w14:paraId="51DA0A01" w14:textId="0DD3AD2D" w:rsidR="00E91403" w:rsidRPr="00001F32" w:rsidRDefault="00E91403" w:rsidP="00001F32">
      <w:pPr>
        <w:spacing w:after="80" w:afterAutospacing="0"/>
        <w:jc w:val="center"/>
        <w:rPr>
          <w:rFonts w:cs="Times New Roman"/>
          <w:b/>
        </w:rPr>
      </w:pPr>
      <w:r w:rsidRPr="00001F32">
        <w:rPr>
          <w:rFonts w:cs="Times New Roman"/>
          <w:b/>
          <w:bCs/>
          <w:lang w:val="pl"/>
        </w:rPr>
        <w:t>Historia zmian</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838"/>
        <w:gridCol w:w="2098"/>
        <w:gridCol w:w="1216"/>
        <w:gridCol w:w="4499"/>
        <w:gridCol w:w="1743"/>
      </w:tblGrid>
      <w:tr w:rsidR="00E91403" w:rsidRPr="00001F32" w14:paraId="38F29FD4" w14:textId="77777777" w:rsidTr="00001F32">
        <w:tc>
          <w:tcPr>
            <w:tcW w:w="403" w:type="pct"/>
            <w:tcBorders>
              <w:top w:val="single" w:sz="18" w:space="0" w:color="auto"/>
              <w:bottom w:val="double" w:sz="4" w:space="0" w:color="auto"/>
            </w:tcBorders>
            <w:shd w:val="clear" w:color="auto" w:fill="E0E0E0"/>
          </w:tcPr>
          <w:p w14:paraId="34BEB815" w14:textId="77777777" w:rsidR="00E91403" w:rsidRPr="00001F32" w:rsidRDefault="00E91403" w:rsidP="00842611">
            <w:pPr>
              <w:jc w:val="center"/>
              <w:rPr>
                <w:rFonts w:cs="Times New Roman"/>
                <w:b/>
                <w:sz w:val="20"/>
                <w:szCs w:val="20"/>
              </w:rPr>
            </w:pPr>
            <w:r w:rsidRPr="00001F32">
              <w:rPr>
                <w:rFonts w:cs="Times New Roman"/>
                <w:b/>
                <w:bCs/>
                <w:sz w:val="20"/>
                <w:szCs w:val="20"/>
                <w:lang w:val="pl"/>
              </w:rPr>
              <w:t>Wersja</w:t>
            </w:r>
          </w:p>
        </w:tc>
        <w:tc>
          <w:tcPr>
            <w:tcW w:w="1058" w:type="pct"/>
            <w:tcBorders>
              <w:top w:val="single" w:sz="18" w:space="0" w:color="auto"/>
              <w:bottom w:val="double" w:sz="4" w:space="0" w:color="auto"/>
            </w:tcBorders>
            <w:shd w:val="clear" w:color="auto" w:fill="E0E0E0"/>
          </w:tcPr>
          <w:p w14:paraId="13A8D0CD" w14:textId="77777777" w:rsidR="00E91403" w:rsidRPr="00001F32" w:rsidRDefault="00E91403" w:rsidP="00842611">
            <w:pPr>
              <w:jc w:val="center"/>
              <w:rPr>
                <w:rFonts w:cs="Times New Roman"/>
                <w:b/>
                <w:sz w:val="20"/>
                <w:szCs w:val="20"/>
              </w:rPr>
            </w:pPr>
            <w:r w:rsidRPr="00001F32">
              <w:rPr>
                <w:rFonts w:cs="Times New Roman"/>
                <w:b/>
                <w:bCs/>
                <w:sz w:val="20"/>
                <w:szCs w:val="20"/>
                <w:lang w:val="pl"/>
              </w:rPr>
              <w:t>Data</w:t>
            </w:r>
          </w:p>
        </w:tc>
        <w:tc>
          <w:tcPr>
            <w:tcW w:w="439" w:type="pct"/>
            <w:tcBorders>
              <w:top w:val="single" w:sz="18" w:space="0" w:color="auto"/>
              <w:bottom w:val="double" w:sz="4" w:space="0" w:color="auto"/>
            </w:tcBorders>
            <w:shd w:val="clear" w:color="auto" w:fill="E0E0E0"/>
          </w:tcPr>
          <w:p w14:paraId="4E5F13C6" w14:textId="77777777" w:rsidR="00E91403" w:rsidRPr="00001F32" w:rsidRDefault="00E91403" w:rsidP="00842611">
            <w:pPr>
              <w:jc w:val="center"/>
              <w:rPr>
                <w:rFonts w:cs="Times New Roman"/>
                <w:b/>
                <w:sz w:val="20"/>
                <w:szCs w:val="20"/>
              </w:rPr>
            </w:pPr>
            <w:r w:rsidRPr="00001F32">
              <w:rPr>
                <w:rFonts w:cs="Times New Roman"/>
                <w:b/>
                <w:bCs/>
                <w:sz w:val="20"/>
                <w:szCs w:val="20"/>
                <w:lang w:val="pl"/>
              </w:rPr>
              <w:t>Sekcje</w:t>
            </w:r>
          </w:p>
        </w:tc>
        <w:tc>
          <w:tcPr>
            <w:tcW w:w="2213" w:type="pct"/>
            <w:tcBorders>
              <w:top w:val="single" w:sz="18" w:space="0" w:color="auto"/>
              <w:bottom w:val="double" w:sz="4" w:space="0" w:color="auto"/>
            </w:tcBorders>
            <w:shd w:val="clear" w:color="auto" w:fill="E0E0E0"/>
          </w:tcPr>
          <w:p w14:paraId="308681D3" w14:textId="77777777" w:rsidR="00E91403" w:rsidRPr="00001F32" w:rsidRDefault="00E91403" w:rsidP="00842611">
            <w:pPr>
              <w:jc w:val="center"/>
              <w:rPr>
                <w:rFonts w:cs="Times New Roman"/>
                <w:b/>
                <w:sz w:val="20"/>
                <w:szCs w:val="20"/>
              </w:rPr>
            </w:pPr>
            <w:r w:rsidRPr="00001F32">
              <w:rPr>
                <w:rFonts w:cs="Times New Roman"/>
                <w:b/>
                <w:bCs/>
                <w:sz w:val="20"/>
                <w:szCs w:val="20"/>
                <w:lang w:val="pl"/>
              </w:rPr>
              <w:t>Opis wersji</w:t>
            </w:r>
          </w:p>
        </w:tc>
        <w:tc>
          <w:tcPr>
            <w:tcW w:w="887" w:type="pct"/>
            <w:tcBorders>
              <w:top w:val="single" w:sz="18" w:space="0" w:color="auto"/>
              <w:bottom w:val="double" w:sz="4" w:space="0" w:color="auto"/>
            </w:tcBorders>
            <w:shd w:val="clear" w:color="auto" w:fill="E0E0E0"/>
          </w:tcPr>
          <w:p w14:paraId="332F4EE6" w14:textId="21BEC48C" w:rsidR="00E91403" w:rsidRPr="00001F32" w:rsidRDefault="00F50FFD" w:rsidP="00440750">
            <w:pPr>
              <w:jc w:val="center"/>
              <w:rPr>
                <w:rFonts w:cs="Times New Roman"/>
                <w:b/>
                <w:kern w:val="2"/>
                <w:sz w:val="20"/>
                <w:szCs w:val="24"/>
                <w14:ligatures w14:val="standardContextual"/>
              </w:rPr>
            </w:pPr>
            <w:r w:rsidRPr="00001F32">
              <w:rPr>
                <w:rFonts w:cs="Times New Roman"/>
                <w:b/>
                <w:bCs/>
                <w:sz w:val="20"/>
                <w:szCs w:val="20"/>
                <w:lang w:val="pl"/>
              </w:rPr>
              <w:t>Nr wniosku o zmianę</w:t>
            </w:r>
          </w:p>
        </w:tc>
      </w:tr>
      <w:tr w:rsidR="006D6196" w:rsidRPr="00001F32" w14:paraId="47D66140" w14:textId="77777777" w:rsidTr="00001F32">
        <w:tc>
          <w:tcPr>
            <w:tcW w:w="403" w:type="pct"/>
            <w:tcBorders>
              <w:top w:val="double" w:sz="4" w:space="0" w:color="auto"/>
              <w:bottom w:val="single" w:sz="4" w:space="0" w:color="auto"/>
            </w:tcBorders>
          </w:tcPr>
          <w:p w14:paraId="4EEA4C6D" w14:textId="4B90CEB9" w:rsidR="006D6196" w:rsidRPr="00001F32" w:rsidRDefault="006D6196" w:rsidP="006D6196">
            <w:pPr>
              <w:jc w:val="center"/>
              <w:rPr>
                <w:rFonts w:cs="Times New Roman"/>
                <w:szCs w:val="24"/>
              </w:rPr>
            </w:pPr>
            <w:r w:rsidRPr="00001F32">
              <w:rPr>
                <w:rFonts w:cs="Times New Roman"/>
                <w:szCs w:val="24"/>
                <w:lang w:val="pl"/>
              </w:rPr>
              <w:t>A</w:t>
            </w:r>
          </w:p>
        </w:tc>
        <w:tc>
          <w:tcPr>
            <w:tcW w:w="1058" w:type="pct"/>
            <w:tcBorders>
              <w:top w:val="double" w:sz="4" w:space="0" w:color="auto"/>
              <w:bottom w:val="single" w:sz="4" w:space="0" w:color="auto"/>
            </w:tcBorders>
          </w:tcPr>
          <w:p w14:paraId="0D82C539" w14:textId="0439E8D4" w:rsidR="006D6196" w:rsidRPr="00001F32" w:rsidRDefault="006D6196" w:rsidP="006D6196">
            <w:pPr>
              <w:jc w:val="center"/>
              <w:rPr>
                <w:rFonts w:cs="Times New Roman"/>
                <w:kern w:val="2"/>
                <w:szCs w:val="24"/>
                <w14:ligatures w14:val="standardContextual"/>
              </w:rPr>
            </w:pPr>
            <w:r w:rsidRPr="00001F32">
              <w:rPr>
                <w:rFonts w:cs="Times New Roman"/>
                <w:lang w:val="pl"/>
              </w:rPr>
              <w:t>10 Sierpnia 2021 r.</w:t>
            </w:r>
          </w:p>
        </w:tc>
        <w:tc>
          <w:tcPr>
            <w:tcW w:w="439" w:type="pct"/>
            <w:tcBorders>
              <w:top w:val="double" w:sz="4" w:space="0" w:color="auto"/>
              <w:bottom w:val="single" w:sz="4" w:space="0" w:color="auto"/>
            </w:tcBorders>
          </w:tcPr>
          <w:p w14:paraId="6CD4C417" w14:textId="474FA25B" w:rsidR="006D6196" w:rsidRPr="00001F32" w:rsidRDefault="006D6196" w:rsidP="006D6196">
            <w:pPr>
              <w:jc w:val="center"/>
              <w:rPr>
                <w:rFonts w:cs="Times New Roman"/>
                <w:szCs w:val="24"/>
              </w:rPr>
            </w:pPr>
            <w:r w:rsidRPr="00001F32">
              <w:rPr>
                <w:rFonts w:cs="Times New Roman"/>
                <w:szCs w:val="24"/>
                <w:lang w:val="pl"/>
              </w:rPr>
              <w:t>Wszystkie</w:t>
            </w:r>
          </w:p>
        </w:tc>
        <w:tc>
          <w:tcPr>
            <w:tcW w:w="2213" w:type="pct"/>
            <w:tcBorders>
              <w:top w:val="double" w:sz="4" w:space="0" w:color="auto"/>
              <w:bottom w:val="single" w:sz="4" w:space="0" w:color="auto"/>
            </w:tcBorders>
          </w:tcPr>
          <w:p w14:paraId="3973A2E3" w14:textId="6859662B" w:rsidR="006D6196" w:rsidRPr="00001F32" w:rsidRDefault="006D6196" w:rsidP="006D6196">
            <w:pPr>
              <w:rPr>
                <w:rFonts w:cs="Times New Roman"/>
                <w:kern w:val="2"/>
                <w:szCs w:val="24"/>
                <w:lang w:val="pl-PL"/>
                <w14:ligatures w14:val="standardContextual"/>
              </w:rPr>
            </w:pPr>
            <w:r w:rsidRPr="00001F32">
              <w:rPr>
                <w:rFonts w:cs="Times New Roman"/>
                <w:szCs w:val="24"/>
                <w:lang w:val="pl"/>
              </w:rPr>
              <w:t>Raport początkowy wyłącznie do użytku wewnętrznego</w:t>
            </w:r>
          </w:p>
        </w:tc>
        <w:tc>
          <w:tcPr>
            <w:tcW w:w="887" w:type="pct"/>
            <w:tcBorders>
              <w:top w:val="double" w:sz="4" w:space="0" w:color="auto"/>
              <w:bottom w:val="single" w:sz="4" w:space="0" w:color="auto"/>
            </w:tcBorders>
          </w:tcPr>
          <w:p w14:paraId="243CB41C" w14:textId="599ED48F" w:rsidR="006D6196" w:rsidRPr="00001F32" w:rsidRDefault="006D6196" w:rsidP="006D6196">
            <w:pPr>
              <w:rPr>
                <w:rFonts w:cs="Times New Roman"/>
                <w:kern w:val="2"/>
                <w:szCs w:val="24"/>
                <w14:ligatures w14:val="standardContextual"/>
              </w:rPr>
            </w:pPr>
            <w:r w:rsidRPr="00001F32">
              <w:rPr>
                <w:rFonts w:cs="Times New Roman"/>
                <w:szCs w:val="24"/>
                <w:lang w:val="pl"/>
              </w:rPr>
              <w:t>00103865</w:t>
            </w:r>
          </w:p>
        </w:tc>
      </w:tr>
      <w:tr w:rsidR="00E03D93" w:rsidRPr="00001F32" w14:paraId="495D8A1C" w14:textId="77777777" w:rsidTr="00001F32">
        <w:tc>
          <w:tcPr>
            <w:tcW w:w="403" w:type="pct"/>
            <w:tcBorders>
              <w:top w:val="single" w:sz="4" w:space="0" w:color="auto"/>
              <w:bottom w:val="single" w:sz="12" w:space="0" w:color="auto"/>
            </w:tcBorders>
          </w:tcPr>
          <w:p w14:paraId="065DAE3E" w14:textId="70DED84E" w:rsidR="00E03D93" w:rsidRPr="00001F32" w:rsidRDefault="00E03D93" w:rsidP="00E03D93">
            <w:pPr>
              <w:jc w:val="center"/>
              <w:rPr>
                <w:rFonts w:cs="Times New Roman"/>
              </w:rPr>
            </w:pPr>
            <w:r w:rsidRPr="00001F32">
              <w:rPr>
                <w:rFonts w:cs="Times New Roman"/>
                <w:szCs w:val="24"/>
                <w:lang w:val="pl"/>
              </w:rPr>
              <w:t>B</w:t>
            </w:r>
          </w:p>
        </w:tc>
        <w:tc>
          <w:tcPr>
            <w:tcW w:w="1058" w:type="pct"/>
            <w:tcBorders>
              <w:top w:val="single" w:sz="4" w:space="0" w:color="auto"/>
              <w:bottom w:val="single" w:sz="12" w:space="0" w:color="auto"/>
            </w:tcBorders>
          </w:tcPr>
          <w:p w14:paraId="52F239C5" w14:textId="5D9BBDFC" w:rsidR="00E03D93" w:rsidRPr="00001F32" w:rsidRDefault="00A421D7" w:rsidP="00440750">
            <w:pPr>
              <w:jc w:val="center"/>
              <w:rPr>
                <w:rFonts w:cs="Times New Roman"/>
                <w:i/>
                <w:iCs/>
                <w:kern w:val="2"/>
                <w:szCs w:val="24"/>
                <w14:ligatures w14:val="standardContextual"/>
              </w:rPr>
            </w:pPr>
            <w:r w:rsidRPr="00001F32">
              <w:rPr>
                <w:rFonts w:cs="Times New Roman"/>
                <w:lang w:val="pl"/>
              </w:rPr>
              <w:t>25 Sierpnia 2026 r.</w:t>
            </w:r>
          </w:p>
        </w:tc>
        <w:tc>
          <w:tcPr>
            <w:tcW w:w="439" w:type="pct"/>
            <w:tcBorders>
              <w:top w:val="single" w:sz="4" w:space="0" w:color="auto"/>
              <w:bottom w:val="single" w:sz="12" w:space="0" w:color="auto"/>
            </w:tcBorders>
          </w:tcPr>
          <w:p w14:paraId="319F0BB7" w14:textId="7F37E1F6" w:rsidR="00E03D93" w:rsidRPr="00001F32" w:rsidRDefault="00E03D93" w:rsidP="00E03D93">
            <w:pPr>
              <w:jc w:val="center"/>
              <w:rPr>
                <w:rFonts w:cs="Times New Roman"/>
              </w:rPr>
            </w:pPr>
            <w:r w:rsidRPr="00001F32">
              <w:rPr>
                <w:rFonts w:cs="Times New Roman"/>
                <w:szCs w:val="24"/>
                <w:lang w:val="pl"/>
              </w:rPr>
              <w:t>Wszystkie</w:t>
            </w:r>
          </w:p>
        </w:tc>
        <w:tc>
          <w:tcPr>
            <w:tcW w:w="2213" w:type="pct"/>
            <w:tcBorders>
              <w:top w:val="single" w:sz="4" w:space="0" w:color="auto"/>
              <w:bottom w:val="single" w:sz="12" w:space="0" w:color="auto"/>
            </w:tcBorders>
          </w:tcPr>
          <w:p w14:paraId="3D913A75" w14:textId="6417D0E0" w:rsidR="00E03D93" w:rsidRPr="00001F32" w:rsidRDefault="00440750" w:rsidP="00440750">
            <w:pPr>
              <w:rPr>
                <w:rFonts w:cs="Times New Roman"/>
                <w:kern w:val="2"/>
                <w:szCs w:val="24"/>
                <w14:ligatures w14:val="standardContextual"/>
              </w:rPr>
            </w:pPr>
            <w:r w:rsidRPr="00001F32">
              <w:rPr>
                <w:rFonts w:cs="Times New Roman"/>
                <w:lang w:val="pl"/>
              </w:rPr>
              <w:t xml:space="preserve">Aktualizacja unijnego MDR SSCP </w:t>
            </w:r>
          </w:p>
        </w:tc>
        <w:tc>
          <w:tcPr>
            <w:tcW w:w="887" w:type="pct"/>
            <w:tcBorders>
              <w:top w:val="single" w:sz="4" w:space="0" w:color="auto"/>
              <w:bottom w:val="single" w:sz="12" w:space="0" w:color="auto"/>
            </w:tcBorders>
          </w:tcPr>
          <w:p w14:paraId="077C5F38" w14:textId="00765E44" w:rsidR="00E03D93" w:rsidRPr="00001F32" w:rsidRDefault="00CB6BBA" w:rsidP="00440750">
            <w:pPr>
              <w:rPr>
                <w:rFonts w:cs="Times New Roman"/>
                <w:kern w:val="2"/>
                <w:szCs w:val="24"/>
                <w14:ligatures w14:val="standardContextual"/>
              </w:rPr>
            </w:pPr>
            <w:r w:rsidRPr="00001F32">
              <w:rPr>
                <w:rFonts w:cs="Times New Roman"/>
                <w:szCs w:val="24"/>
                <w:lang w:val="pl"/>
              </w:rPr>
              <w:t>08401</w:t>
            </w:r>
          </w:p>
        </w:tc>
      </w:tr>
    </w:tbl>
    <w:p w14:paraId="700C8B5F" w14:textId="34A53550" w:rsidR="006F0810" w:rsidRPr="00001F32" w:rsidRDefault="0005411A" w:rsidP="00042B91">
      <w:pPr>
        <w:spacing w:after="0" w:afterAutospacing="0" w:line="240" w:lineRule="auto"/>
        <w:rPr>
          <w:rFonts w:cs="Times New Roman"/>
        </w:rPr>
      </w:pPr>
      <w:r w:rsidRPr="00001F32">
        <w:rPr>
          <w:rFonts w:cs="Times New Roman"/>
          <w:szCs w:val="24"/>
          <w:lang w:val="pl"/>
        </w:rPr>
        <w:br w:type="page"/>
      </w:r>
      <w:r w:rsidRPr="00001F32">
        <w:rPr>
          <w:rFonts w:cs="Times New Roman"/>
          <w:lang w:val="pl"/>
        </w:rPr>
        <w:lastRenderedPageBreak/>
        <w:t>Spis treści</w:t>
      </w:r>
    </w:p>
    <w:p w14:paraId="5A52F529" w14:textId="6709E144" w:rsidR="00F734E1" w:rsidRPr="00001F32" w:rsidRDefault="006F0810">
      <w:pPr>
        <w:pStyle w:val="TOC1"/>
        <w:rPr>
          <w:rFonts w:asciiTheme="minorHAnsi" w:eastAsiaTheme="minorEastAsia" w:hAnsiTheme="minorHAnsi" w:cstheme="minorBidi"/>
          <w:noProof/>
          <w:kern w:val="2"/>
          <w:lang w:eastAsia="zh-CN"/>
          <w14:ligatures w14:val="standardContextual"/>
        </w:rPr>
      </w:pPr>
      <w:r w:rsidRPr="00001F32">
        <w:rPr>
          <w:lang w:val="pl"/>
        </w:rPr>
        <w:fldChar w:fldCharType="begin"/>
      </w:r>
      <w:r w:rsidRPr="00001F32">
        <w:instrText xml:space="preserve"> TOC \o "1-3" \h \z \u </w:instrText>
      </w:r>
      <w:r w:rsidRPr="00001F32">
        <w:fldChar w:fldCharType="separate"/>
      </w:r>
      <w:hyperlink w:anchor="_Toc240532185" w:history="1">
        <w:r w:rsidR="00F734E1" w:rsidRPr="00001F32">
          <w:rPr>
            <w:rStyle w:val="Hyperlink"/>
            <w:noProof/>
            <w:lang w:val="pl"/>
          </w:rPr>
          <w:t>1.</w:t>
        </w:r>
        <w:r w:rsidR="00F734E1" w:rsidRPr="00001F32">
          <w:rPr>
            <w:rFonts w:asciiTheme="minorHAnsi" w:eastAsiaTheme="minorEastAsia" w:hAnsiTheme="minorHAnsi" w:cstheme="minorBidi"/>
            <w:noProof/>
            <w:kern w:val="2"/>
            <w:lang w:eastAsia="zh-CN"/>
            <w14:ligatures w14:val="standardContextual"/>
          </w:rPr>
          <w:tab/>
        </w:r>
        <w:r w:rsidR="00F734E1" w:rsidRPr="00001F32">
          <w:rPr>
            <w:rStyle w:val="Hyperlink"/>
            <w:bCs/>
            <w:noProof/>
            <w:lang w:val="pl"/>
          </w:rPr>
          <w:t>Zakres niniejszego Podsumowania dotyczącego bezpieczeństwa i skuteczności klinicznej (SSCP)</w:t>
        </w:r>
        <w:r w:rsidR="00F734E1" w:rsidRPr="00001F32">
          <w:rPr>
            <w:noProof/>
            <w:webHidden/>
          </w:rPr>
          <w:tab/>
        </w:r>
        <w:r w:rsidR="00F734E1" w:rsidRPr="00001F32">
          <w:rPr>
            <w:noProof/>
            <w:webHidden/>
          </w:rPr>
          <w:fldChar w:fldCharType="begin"/>
        </w:r>
        <w:r w:rsidR="00F734E1" w:rsidRPr="00001F32">
          <w:rPr>
            <w:noProof/>
            <w:webHidden/>
          </w:rPr>
          <w:instrText xml:space="preserve"> PAGEREF _Toc240532185 \h </w:instrText>
        </w:r>
        <w:r w:rsidR="00F734E1" w:rsidRPr="00001F32">
          <w:rPr>
            <w:noProof/>
            <w:webHidden/>
          </w:rPr>
        </w:r>
        <w:r w:rsidR="00F734E1" w:rsidRPr="00001F32">
          <w:rPr>
            <w:noProof/>
            <w:webHidden/>
          </w:rPr>
          <w:fldChar w:fldCharType="separate"/>
        </w:r>
        <w:r w:rsidR="009B72B4" w:rsidRPr="00001F32">
          <w:rPr>
            <w:noProof/>
            <w:webHidden/>
          </w:rPr>
          <w:t>3</w:t>
        </w:r>
        <w:r w:rsidR="00F734E1" w:rsidRPr="00001F32">
          <w:rPr>
            <w:noProof/>
            <w:webHidden/>
          </w:rPr>
          <w:fldChar w:fldCharType="end"/>
        </w:r>
      </w:hyperlink>
    </w:p>
    <w:p w14:paraId="3B940880" w14:textId="0113D509"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186" w:history="1">
        <w:r w:rsidRPr="00001F32">
          <w:rPr>
            <w:rStyle w:val="Hyperlink"/>
            <w:noProof/>
          </w:rPr>
          <w:t>1.1.</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Nazwa handlowa urządzenia</w:t>
        </w:r>
        <w:r w:rsidRPr="00001F32">
          <w:rPr>
            <w:noProof/>
            <w:webHidden/>
          </w:rPr>
          <w:tab/>
        </w:r>
        <w:r w:rsidRPr="00001F32">
          <w:rPr>
            <w:noProof/>
            <w:webHidden/>
          </w:rPr>
          <w:fldChar w:fldCharType="begin"/>
        </w:r>
        <w:r w:rsidRPr="00001F32">
          <w:rPr>
            <w:noProof/>
            <w:webHidden/>
          </w:rPr>
          <w:instrText xml:space="preserve"> PAGEREF _Toc240532186 \h </w:instrText>
        </w:r>
        <w:r w:rsidRPr="00001F32">
          <w:rPr>
            <w:noProof/>
            <w:webHidden/>
          </w:rPr>
        </w:r>
        <w:r w:rsidRPr="00001F32">
          <w:rPr>
            <w:noProof/>
            <w:webHidden/>
          </w:rPr>
          <w:fldChar w:fldCharType="separate"/>
        </w:r>
        <w:r w:rsidR="009B72B4" w:rsidRPr="00001F32">
          <w:rPr>
            <w:noProof/>
            <w:webHidden/>
          </w:rPr>
          <w:t>3</w:t>
        </w:r>
        <w:r w:rsidRPr="00001F32">
          <w:rPr>
            <w:noProof/>
            <w:webHidden/>
          </w:rPr>
          <w:fldChar w:fldCharType="end"/>
        </w:r>
      </w:hyperlink>
    </w:p>
    <w:p w14:paraId="3916F1D7" w14:textId="70E059E3"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187" w:history="1">
        <w:r w:rsidRPr="00001F32">
          <w:rPr>
            <w:rStyle w:val="Hyperlink"/>
            <w:noProof/>
          </w:rPr>
          <w:t>1.2.</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Opis urządzenia, podstawowy kod UDI-DI i klasyfikacja UE</w:t>
        </w:r>
        <w:r w:rsidRPr="00001F32">
          <w:rPr>
            <w:noProof/>
            <w:webHidden/>
          </w:rPr>
          <w:tab/>
        </w:r>
        <w:r w:rsidRPr="00001F32">
          <w:rPr>
            <w:noProof/>
            <w:webHidden/>
          </w:rPr>
          <w:fldChar w:fldCharType="begin"/>
        </w:r>
        <w:r w:rsidRPr="00001F32">
          <w:rPr>
            <w:noProof/>
            <w:webHidden/>
          </w:rPr>
          <w:instrText xml:space="preserve"> PAGEREF _Toc240532187 \h </w:instrText>
        </w:r>
        <w:r w:rsidRPr="00001F32">
          <w:rPr>
            <w:noProof/>
            <w:webHidden/>
          </w:rPr>
        </w:r>
        <w:r w:rsidRPr="00001F32">
          <w:rPr>
            <w:noProof/>
            <w:webHidden/>
          </w:rPr>
          <w:fldChar w:fldCharType="separate"/>
        </w:r>
        <w:r w:rsidR="009B72B4" w:rsidRPr="00001F32">
          <w:rPr>
            <w:noProof/>
            <w:webHidden/>
          </w:rPr>
          <w:t>3</w:t>
        </w:r>
        <w:r w:rsidRPr="00001F32">
          <w:rPr>
            <w:noProof/>
            <w:webHidden/>
          </w:rPr>
          <w:fldChar w:fldCharType="end"/>
        </w:r>
      </w:hyperlink>
    </w:p>
    <w:p w14:paraId="404888B1" w14:textId="69E54C54"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188" w:history="1">
        <w:r w:rsidRPr="00001F32">
          <w:rPr>
            <w:rStyle w:val="Hyperlink"/>
            <w:noProof/>
          </w:rPr>
          <w:t>1.3.</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Rok wydania pierwszego certyfikatu (CE) obejmującego wyrób</w:t>
        </w:r>
        <w:r w:rsidRPr="00001F32">
          <w:rPr>
            <w:noProof/>
            <w:webHidden/>
          </w:rPr>
          <w:tab/>
        </w:r>
        <w:r w:rsidRPr="00001F32">
          <w:rPr>
            <w:noProof/>
            <w:webHidden/>
          </w:rPr>
          <w:fldChar w:fldCharType="begin"/>
        </w:r>
        <w:r w:rsidRPr="00001F32">
          <w:rPr>
            <w:noProof/>
            <w:webHidden/>
          </w:rPr>
          <w:instrText xml:space="preserve"> PAGEREF _Toc240532188 \h </w:instrText>
        </w:r>
        <w:r w:rsidRPr="00001F32">
          <w:rPr>
            <w:noProof/>
            <w:webHidden/>
          </w:rPr>
        </w:r>
        <w:r w:rsidRPr="00001F32">
          <w:rPr>
            <w:noProof/>
            <w:webHidden/>
          </w:rPr>
          <w:fldChar w:fldCharType="separate"/>
        </w:r>
        <w:r w:rsidR="009B72B4" w:rsidRPr="00001F32">
          <w:rPr>
            <w:noProof/>
            <w:webHidden/>
          </w:rPr>
          <w:t>3</w:t>
        </w:r>
        <w:r w:rsidRPr="00001F32">
          <w:rPr>
            <w:noProof/>
            <w:webHidden/>
          </w:rPr>
          <w:fldChar w:fldCharType="end"/>
        </w:r>
      </w:hyperlink>
    </w:p>
    <w:p w14:paraId="39B0C1FF" w14:textId="1CAE296E"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189" w:history="1">
        <w:r w:rsidRPr="00001F32">
          <w:rPr>
            <w:rStyle w:val="Hyperlink"/>
            <w:noProof/>
            <w:lang w:val="it-IT"/>
          </w:rPr>
          <w:t>1.4.</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Nazwa, adres i numer SRN producenta</w:t>
        </w:r>
        <w:r w:rsidRPr="00001F32">
          <w:rPr>
            <w:noProof/>
            <w:webHidden/>
          </w:rPr>
          <w:tab/>
        </w:r>
        <w:r w:rsidRPr="00001F32">
          <w:rPr>
            <w:noProof/>
            <w:webHidden/>
          </w:rPr>
          <w:fldChar w:fldCharType="begin"/>
        </w:r>
        <w:r w:rsidRPr="00001F32">
          <w:rPr>
            <w:noProof/>
            <w:webHidden/>
          </w:rPr>
          <w:instrText xml:space="preserve"> PAGEREF _Toc240532189 \h </w:instrText>
        </w:r>
        <w:r w:rsidRPr="00001F32">
          <w:rPr>
            <w:noProof/>
            <w:webHidden/>
          </w:rPr>
        </w:r>
        <w:r w:rsidRPr="00001F32">
          <w:rPr>
            <w:noProof/>
            <w:webHidden/>
          </w:rPr>
          <w:fldChar w:fldCharType="separate"/>
        </w:r>
        <w:r w:rsidR="009B72B4" w:rsidRPr="00001F32">
          <w:rPr>
            <w:noProof/>
            <w:webHidden/>
          </w:rPr>
          <w:t>3</w:t>
        </w:r>
        <w:r w:rsidRPr="00001F32">
          <w:rPr>
            <w:noProof/>
            <w:webHidden/>
          </w:rPr>
          <w:fldChar w:fldCharType="end"/>
        </w:r>
      </w:hyperlink>
    </w:p>
    <w:p w14:paraId="4D0F295B" w14:textId="60781E8D"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190" w:history="1">
        <w:r w:rsidRPr="00001F32">
          <w:rPr>
            <w:rStyle w:val="Hyperlink"/>
            <w:noProof/>
          </w:rPr>
          <w:t>1.5.</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Nazwa upoważnionego przedstawiciela i indywidualny numer rejestracyjny</w:t>
        </w:r>
        <w:r w:rsidRPr="00001F32">
          <w:rPr>
            <w:noProof/>
            <w:webHidden/>
          </w:rPr>
          <w:tab/>
        </w:r>
        <w:r w:rsidRPr="00001F32">
          <w:rPr>
            <w:noProof/>
            <w:webHidden/>
          </w:rPr>
          <w:fldChar w:fldCharType="begin"/>
        </w:r>
        <w:r w:rsidRPr="00001F32">
          <w:rPr>
            <w:noProof/>
            <w:webHidden/>
          </w:rPr>
          <w:instrText xml:space="preserve"> PAGEREF _Toc240532190 \h </w:instrText>
        </w:r>
        <w:r w:rsidRPr="00001F32">
          <w:rPr>
            <w:noProof/>
            <w:webHidden/>
          </w:rPr>
        </w:r>
        <w:r w:rsidRPr="00001F32">
          <w:rPr>
            <w:noProof/>
            <w:webHidden/>
          </w:rPr>
          <w:fldChar w:fldCharType="separate"/>
        </w:r>
        <w:r w:rsidR="009B72B4" w:rsidRPr="00001F32">
          <w:rPr>
            <w:noProof/>
            <w:webHidden/>
          </w:rPr>
          <w:t>4</w:t>
        </w:r>
        <w:r w:rsidRPr="00001F32">
          <w:rPr>
            <w:noProof/>
            <w:webHidden/>
          </w:rPr>
          <w:fldChar w:fldCharType="end"/>
        </w:r>
      </w:hyperlink>
    </w:p>
    <w:p w14:paraId="59B25A1B" w14:textId="7B38ECE6"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191" w:history="1">
        <w:r w:rsidRPr="00001F32">
          <w:rPr>
            <w:rStyle w:val="Hyperlink"/>
            <w:noProof/>
          </w:rPr>
          <w:t>1.6.</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Nazwa NB i pojedynczy numer identyfikacyjny</w:t>
        </w:r>
        <w:r w:rsidRPr="00001F32">
          <w:rPr>
            <w:noProof/>
            <w:webHidden/>
          </w:rPr>
          <w:tab/>
        </w:r>
        <w:r w:rsidRPr="00001F32">
          <w:rPr>
            <w:noProof/>
            <w:webHidden/>
          </w:rPr>
          <w:fldChar w:fldCharType="begin"/>
        </w:r>
        <w:r w:rsidRPr="00001F32">
          <w:rPr>
            <w:noProof/>
            <w:webHidden/>
          </w:rPr>
          <w:instrText xml:space="preserve"> PAGEREF _Toc240532191 \h </w:instrText>
        </w:r>
        <w:r w:rsidRPr="00001F32">
          <w:rPr>
            <w:noProof/>
            <w:webHidden/>
          </w:rPr>
        </w:r>
        <w:r w:rsidRPr="00001F32">
          <w:rPr>
            <w:noProof/>
            <w:webHidden/>
          </w:rPr>
          <w:fldChar w:fldCharType="separate"/>
        </w:r>
        <w:r w:rsidR="009B72B4" w:rsidRPr="00001F32">
          <w:rPr>
            <w:noProof/>
            <w:webHidden/>
          </w:rPr>
          <w:t>4</w:t>
        </w:r>
        <w:r w:rsidRPr="00001F32">
          <w:rPr>
            <w:noProof/>
            <w:webHidden/>
          </w:rPr>
          <w:fldChar w:fldCharType="end"/>
        </w:r>
      </w:hyperlink>
    </w:p>
    <w:p w14:paraId="2A3793AE" w14:textId="0532F176"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192" w:history="1">
        <w:r w:rsidRPr="00001F32">
          <w:rPr>
            <w:rStyle w:val="Hyperlink"/>
            <w:noProof/>
          </w:rPr>
          <w:t>2.</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Przeznaczenie urządzenia</w:t>
        </w:r>
        <w:r w:rsidRPr="00001F32">
          <w:rPr>
            <w:noProof/>
            <w:webHidden/>
          </w:rPr>
          <w:tab/>
        </w:r>
        <w:r w:rsidRPr="00001F32">
          <w:rPr>
            <w:noProof/>
            <w:webHidden/>
          </w:rPr>
          <w:fldChar w:fldCharType="begin"/>
        </w:r>
        <w:r w:rsidRPr="00001F32">
          <w:rPr>
            <w:noProof/>
            <w:webHidden/>
          </w:rPr>
          <w:instrText xml:space="preserve"> PAGEREF _Toc240532192 \h </w:instrText>
        </w:r>
        <w:r w:rsidRPr="00001F32">
          <w:rPr>
            <w:noProof/>
            <w:webHidden/>
          </w:rPr>
        </w:r>
        <w:r w:rsidRPr="00001F32">
          <w:rPr>
            <w:noProof/>
            <w:webHidden/>
          </w:rPr>
          <w:fldChar w:fldCharType="separate"/>
        </w:r>
        <w:r w:rsidR="009B72B4" w:rsidRPr="00001F32">
          <w:rPr>
            <w:noProof/>
            <w:webHidden/>
          </w:rPr>
          <w:t>4</w:t>
        </w:r>
        <w:r w:rsidRPr="00001F32">
          <w:rPr>
            <w:noProof/>
            <w:webHidden/>
          </w:rPr>
          <w:fldChar w:fldCharType="end"/>
        </w:r>
      </w:hyperlink>
    </w:p>
    <w:p w14:paraId="312933D5" w14:textId="7922C30D"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193" w:history="1">
        <w:r w:rsidRPr="00001F32">
          <w:rPr>
            <w:rStyle w:val="Hyperlink"/>
            <w:noProof/>
          </w:rPr>
          <w:t>2.1.</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Przeznaczenie / zastosowanie</w:t>
        </w:r>
        <w:r w:rsidRPr="00001F32">
          <w:rPr>
            <w:noProof/>
            <w:webHidden/>
          </w:rPr>
          <w:tab/>
        </w:r>
        <w:r w:rsidRPr="00001F32">
          <w:rPr>
            <w:noProof/>
            <w:webHidden/>
          </w:rPr>
          <w:fldChar w:fldCharType="begin"/>
        </w:r>
        <w:r w:rsidRPr="00001F32">
          <w:rPr>
            <w:noProof/>
            <w:webHidden/>
          </w:rPr>
          <w:instrText xml:space="preserve"> PAGEREF _Toc240532193 \h </w:instrText>
        </w:r>
        <w:r w:rsidRPr="00001F32">
          <w:rPr>
            <w:noProof/>
            <w:webHidden/>
          </w:rPr>
        </w:r>
        <w:r w:rsidRPr="00001F32">
          <w:rPr>
            <w:noProof/>
            <w:webHidden/>
          </w:rPr>
          <w:fldChar w:fldCharType="separate"/>
        </w:r>
        <w:r w:rsidR="009B72B4" w:rsidRPr="00001F32">
          <w:rPr>
            <w:noProof/>
            <w:webHidden/>
          </w:rPr>
          <w:t>4</w:t>
        </w:r>
        <w:r w:rsidRPr="00001F32">
          <w:rPr>
            <w:noProof/>
            <w:webHidden/>
          </w:rPr>
          <w:fldChar w:fldCharType="end"/>
        </w:r>
      </w:hyperlink>
    </w:p>
    <w:p w14:paraId="14B64002" w14:textId="673A43F8"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194" w:history="1">
        <w:r w:rsidRPr="00001F32">
          <w:rPr>
            <w:rStyle w:val="Hyperlink"/>
            <w:noProof/>
          </w:rPr>
          <w:t>2.2.</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Wskazania/ Wskazania do stosowania</w:t>
        </w:r>
        <w:r w:rsidRPr="00001F32">
          <w:rPr>
            <w:noProof/>
            <w:webHidden/>
          </w:rPr>
          <w:tab/>
        </w:r>
        <w:r w:rsidRPr="00001F32">
          <w:rPr>
            <w:noProof/>
            <w:webHidden/>
          </w:rPr>
          <w:fldChar w:fldCharType="begin"/>
        </w:r>
        <w:r w:rsidRPr="00001F32">
          <w:rPr>
            <w:noProof/>
            <w:webHidden/>
          </w:rPr>
          <w:instrText xml:space="preserve"> PAGEREF _Toc240532194 \h </w:instrText>
        </w:r>
        <w:r w:rsidRPr="00001F32">
          <w:rPr>
            <w:noProof/>
            <w:webHidden/>
          </w:rPr>
        </w:r>
        <w:r w:rsidRPr="00001F32">
          <w:rPr>
            <w:noProof/>
            <w:webHidden/>
          </w:rPr>
          <w:fldChar w:fldCharType="separate"/>
        </w:r>
        <w:r w:rsidR="009B72B4" w:rsidRPr="00001F32">
          <w:rPr>
            <w:noProof/>
            <w:webHidden/>
          </w:rPr>
          <w:t>4</w:t>
        </w:r>
        <w:r w:rsidRPr="00001F32">
          <w:rPr>
            <w:noProof/>
            <w:webHidden/>
          </w:rPr>
          <w:fldChar w:fldCharType="end"/>
        </w:r>
      </w:hyperlink>
    </w:p>
    <w:p w14:paraId="2EC24719" w14:textId="77E91EA3"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195" w:history="1">
        <w:r w:rsidRPr="00001F32">
          <w:rPr>
            <w:rStyle w:val="Hyperlink"/>
            <w:noProof/>
          </w:rPr>
          <w:t>2.3.</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Docelowa grupa pacjentów</w:t>
        </w:r>
        <w:r w:rsidRPr="00001F32">
          <w:rPr>
            <w:noProof/>
            <w:webHidden/>
          </w:rPr>
          <w:tab/>
        </w:r>
        <w:r w:rsidRPr="00001F32">
          <w:rPr>
            <w:noProof/>
            <w:webHidden/>
          </w:rPr>
          <w:fldChar w:fldCharType="begin"/>
        </w:r>
        <w:r w:rsidRPr="00001F32">
          <w:rPr>
            <w:noProof/>
            <w:webHidden/>
          </w:rPr>
          <w:instrText xml:space="preserve"> PAGEREF _Toc240532195 \h </w:instrText>
        </w:r>
        <w:r w:rsidRPr="00001F32">
          <w:rPr>
            <w:noProof/>
            <w:webHidden/>
          </w:rPr>
        </w:r>
        <w:r w:rsidRPr="00001F32">
          <w:rPr>
            <w:noProof/>
            <w:webHidden/>
          </w:rPr>
          <w:fldChar w:fldCharType="separate"/>
        </w:r>
        <w:r w:rsidR="009B72B4" w:rsidRPr="00001F32">
          <w:rPr>
            <w:noProof/>
            <w:webHidden/>
          </w:rPr>
          <w:t>5</w:t>
        </w:r>
        <w:r w:rsidRPr="00001F32">
          <w:rPr>
            <w:noProof/>
            <w:webHidden/>
          </w:rPr>
          <w:fldChar w:fldCharType="end"/>
        </w:r>
      </w:hyperlink>
    </w:p>
    <w:p w14:paraId="6E2E50A9" w14:textId="281DAC8A"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196" w:history="1">
        <w:r w:rsidRPr="00001F32">
          <w:rPr>
            <w:rStyle w:val="Hyperlink"/>
            <w:noProof/>
          </w:rPr>
          <w:t>2.4.</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Przeciwwskazania</w:t>
        </w:r>
        <w:r w:rsidRPr="00001F32">
          <w:rPr>
            <w:noProof/>
            <w:webHidden/>
          </w:rPr>
          <w:tab/>
        </w:r>
        <w:r w:rsidRPr="00001F32">
          <w:rPr>
            <w:noProof/>
            <w:webHidden/>
          </w:rPr>
          <w:fldChar w:fldCharType="begin"/>
        </w:r>
        <w:r w:rsidRPr="00001F32">
          <w:rPr>
            <w:noProof/>
            <w:webHidden/>
          </w:rPr>
          <w:instrText xml:space="preserve"> PAGEREF _Toc240532196 \h </w:instrText>
        </w:r>
        <w:r w:rsidRPr="00001F32">
          <w:rPr>
            <w:noProof/>
            <w:webHidden/>
          </w:rPr>
        </w:r>
        <w:r w:rsidRPr="00001F32">
          <w:rPr>
            <w:noProof/>
            <w:webHidden/>
          </w:rPr>
          <w:fldChar w:fldCharType="separate"/>
        </w:r>
        <w:r w:rsidR="009B72B4" w:rsidRPr="00001F32">
          <w:rPr>
            <w:noProof/>
            <w:webHidden/>
          </w:rPr>
          <w:t>5</w:t>
        </w:r>
        <w:r w:rsidRPr="00001F32">
          <w:rPr>
            <w:noProof/>
            <w:webHidden/>
          </w:rPr>
          <w:fldChar w:fldCharType="end"/>
        </w:r>
      </w:hyperlink>
    </w:p>
    <w:p w14:paraId="01D967A6" w14:textId="26A1D375"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197" w:history="1">
        <w:r w:rsidRPr="00001F32">
          <w:rPr>
            <w:rStyle w:val="Hyperlink"/>
            <w:noProof/>
          </w:rPr>
          <w:t>3.</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Opis wyrobu</w:t>
        </w:r>
        <w:r w:rsidRPr="00001F32">
          <w:rPr>
            <w:noProof/>
            <w:webHidden/>
          </w:rPr>
          <w:tab/>
        </w:r>
        <w:r w:rsidRPr="00001F32">
          <w:rPr>
            <w:noProof/>
            <w:webHidden/>
          </w:rPr>
          <w:fldChar w:fldCharType="begin"/>
        </w:r>
        <w:r w:rsidRPr="00001F32">
          <w:rPr>
            <w:noProof/>
            <w:webHidden/>
          </w:rPr>
          <w:instrText xml:space="preserve"> PAGEREF _Toc240532197 \h </w:instrText>
        </w:r>
        <w:r w:rsidRPr="00001F32">
          <w:rPr>
            <w:noProof/>
            <w:webHidden/>
          </w:rPr>
        </w:r>
        <w:r w:rsidRPr="00001F32">
          <w:rPr>
            <w:noProof/>
            <w:webHidden/>
          </w:rPr>
          <w:fldChar w:fldCharType="separate"/>
        </w:r>
        <w:r w:rsidR="009B72B4" w:rsidRPr="00001F32">
          <w:rPr>
            <w:noProof/>
            <w:webHidden/>
          </w:rPr>
          <w:t>6</w:t>
        </w:r>
        <w:r w:rsidRPr="00001F32">
          <w:rPr>
            <w:noProof/>
            <w:webHidden/>
          </w:rPr>
          <w:fldChar w:fldCharType="end"/>
        </w:r>
      </w:hyperlink>
    </w:p>
    <w:p w14:paraId="0C69EF59" w14:textId="2F468C04"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198" w:history="1">
        <w:r w:rsidRPr="00001F32">
          <w:rPr>
            <w:rStyle w:val="Hyperlink"/>
            <w:noProof/>
          </w:rPr>
          <w:t>3.1.</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Opis urządzenia</w:t>
        </w:r>
        <w:r w:rsidRPr="00001F32">
          <w:rPr>
            <w:noProof/>
            <w:webHidden/>
          </w:rPr>
          <w:tab/>
        </w:r>
        <w:r w:rsidRPr="00001F32">
          <w:rPr>
            <w:noProof/>
            <w:webHidden/>
          </w:rPr>
          <w:fldChar w:fldCharType="begin"/>
        </w:r>
        <w:r w:rsidRPr="00001F32">
          <w:rPr>
            <w:noProof/>
            <w:webHidden/>
          </w:rPr>
          <w:instrText xml:space="preserve"> PAGEREF _Toc240532198 \h </w:instrText>
        </w:r>
        <w:r w:rsidRPr="00001F32">
          <w:rPr>
            <w:noProof/>
            <w:webHidden/>
          </w:rPr>
        </w:r>
        <w:r w:rsidRPr="00001F32">
          <w:rPr>
            <w:noProof/>
            <w:webHidden/>
          </w:rPr>
          <w:fldChar w:fldCharType="separate"/>
        </w:r>
        <w:r w:rsidR="009B72B4" w:rsidRPr="00001F32">
          <w:rPr>
            <w:noProof/>
            <w:webHidden/>
          </w:rPr>
          <w:t>6</w:t>
        </w:r>
        <w:r w:rsidRPr="00001F32">
          <w:rPr>
            <w:noProof/>
            <w:webHidden/>
          </w:rPr>
          <w:fldChar w:fldCharType="end"/>
        </w:r>
      </w:hyperlink>
    </w:p>
    <w:p w14:paraId="570FEAF8" w14:textId="15FD9FB9"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199" w:history="1">
        <w:r w:rsidRPr="00001F32">
          <w:rPr>
            <w:rStyle w:val="Hyperlink"/>
            <w:noProof/>
          </w:rPr>
          <w:t>3.2.</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Poprzednie warianty i ich różnice</w:t>
        </w:r>
        <w:r w:rsidRPr="00001F32">
          <w:rPr>
            <w:noProof/>
            <w:webHidden/>
          </w:rPr>
          <w:tab/>
        </w:r>
        <w:r w:rsidRPr="00001F32">
          <w:rPr>
            <w:noProof/>
            <w:webHidden/>
          </w:rPr>
          <w:fldChar w:fldCharType="begin"/>
        </w:r>
        <w:r w:rsidRPr="00001F32">
          <w:rPr>
            <w:noProof/>
            <w:webHidden/>
          </w:rPr>
          <w:instrText xml:space="preserve"> PAGEREF _Toc240532199 \h </w:instrText>
        </w:r>
        <w:r w:rsidRPr="00001F32">
          <w:rPr>
            <w:noProof/>
            <w:webHidden/>
          </w:rPr>
        </w:r>
        <w:r w:rsidRPr="00001F32">
          <w:rPr>
            <w:noProof/>
            <w:webHidden/>
          </w:rPr>
          <w:fldChar w:fldCharType="separate"/>
        </w:r>
        <w:r w:rsidR="009B72B4" w:rsidRPr="00001F32">
          <w:rPr>
            <w:noProof/>
            <w:webHidden/>
          </w:rPr>
          <w:t>7</w:t>
        </w:r>
        <w:r w:rsidRPr="00001F32">
          <w:rPr>
            <w:noProof/>
            <w:webHidden/>
          </w:rPr>
          <w:fldChar w:fldCharType="end"/>
        </w:r>
      </w:hyperlink>
    </w:p>
    <w:p w14:paraId="18B6216D" w14:textId="1D51B384"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200" w:history="1">
        <w:r w:rsidRPr="00001F32">
          <w:rPr>
            <w:rStyle w:val="Hyperlink"/>
            <w:noProof/>
            <w:kern w:val="36"/>
          </w:rPr>
          <w:t>3.3.</w:t>
        </w:r>
        <w:r w:rsidRPr="00001F32">
          <w:rPr>
            <w:rFonts w:asciiTheme="minorHAnsi" w:eastAsiaTheme="minorEastAsia" w:hAnsiTheme="minorHAnsi" w:cstheme="minorBidi"/>
            <w:noProof/>
            <w:kern w:val="2"/>
            <w:lang w:eastAsia="zh-CN"/>
            <w14:ligatures w14:val="standardContextual"/>
          </w:rPr>
          <w:tab/>
        </w:r>
        <w:r w:rsidRPr="00001F32">
          <w:rPr>
            <w:rStyle w:val="Hyperlink"/>
            <w:noProof/>
            <w:lang w:val="pl"/>
          </w:rPr>
          <w:t>Akcesoria i inny sprzęt używany podczas umieszczania lub usuwania systemu</w:t>
        </w:r>
        <w:r w:rsidRPr="00001F32">
          <w:rPr>
            <w:noProof/>
            <w:webHidden/>
          </w:rPr>
          <w:tab/>
        </w:r>
        <w:r w:rsidRPr="00001F32">
          <w:rPr>
            <w:noProof/>
            <w:webHidden/>
          </w:rPr>
          <w:fldChar w:fldCharType="begin"/>
        </w:r>
        <w:r w:rsidRPr="00001F32">
          <w:rPr>
            <w:noProof/>
            <w:webHidden/>
          </w:rPr>
          <w:instrText xml:space="preserve"> PAGEREF _Toc240532200 \h </w:instrText>
        </w:r>
        <w:r w:rsidRPr="00001F32">
          <w:rPr>
            <w:noProof/>
            <w:webHidden/>
          </w:rPr>
        </w:r>
        <w:r w:rsidRPr="00001F32">
          <w:rPr>
            <w:noProof/>
            <w:webHidden/>
          </w:rPr>
          <w:fldChar w:fldCharType="separate"/>
        </w:r>
        <w:r w:rsidR="009B72B4" w:rsidRPr="00001F32">
          <w:rPr>
            <w:noProof/>
            <w:webHidden/>
          </w:rPr>
          <w:t>7</w:t>
        </w:r>
        <w:r w:rsidRPr="00001F32">
          <w:rPr>
            <w:noProof/>
            <w:webHidden/>
          </w:rPr>
          <w:fldChar w:fldCharType="end"/>
        </w:r>
      </w:hyperlink>
    </w:p>
    <w:p w14:paraId="1E2D0806" w14:textId="2BE2E2D9"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201" w:history="1">
        <w:r w:rsidRPr="00001F32">
          <w:rPr>
            <w:rStyle w:val="Hyperlink"/>
            <w:noProof/>
          </w:rPr>
          <w:t>4.</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Zagrożenia i ostrzeżenia</w:t>
        </w:r>
        <w:r w:rsidRPr="00001F32">
          <w:rPr>
            <w:noProof/>
            <w:webHidden/>
          </w:rPr>
          <w:tab/>
        </w:r>
        <w:r w:rsidRPr="00001F32">
          <w:rPr>
            <w:noProof/>
            <w:webHidden/>
          </w:rPr>
          <w:fldChar w:fldCharType="begin"/>
        </w:r>
        <w:r w:rsidRPr="00001F32">
          <w:rPr>
            <w:noProof/>
            <w:webHidden/>
          </w:rPr>
          <w:instrText xml:space="preserve"> PAGEREF _Toc240532201 \h </w:instrText>
        </w:r>
        <w:r w:rsidRPr="00001F32">
          <w:rPr>
            <w:noProof/>
            <w:webHidden/>
          </w:rPr>
        </w:r>
        <w:r w:rsidRPr="00001F32">
          <w:rPr>
            <w:noProof/>
            <w:webHidden/>
          </w:rPr>
          <w:fldChar w:fldCharType="separate"/>
        </w:r>
        <w:r w:rsidR="009B72B4" w:rsidRPr="00001F32">
          <w:rPr>
            <w:noProof/>
            <w:webHidden/>
          </w:rPr>
          <w:t>8</w:t>
        </w:r>
        <w:r w:rsidRPr="00001F32">
          <w:rPr>
            <w:noProof/>
            <w:webHidden/>
          </w:rPr>
          <w:fldChar w:fldCharType="end"/>
        </w:r>
      </w:hyperlink>
    </w:p>
    <w:p w14:paraId="40999536" w14:textId="4AA74F40"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202" w:history="1">
        <w:r w:rsidRPr="00001F32">
          <w:rPr>
            <w:rStyle w:val="Hyperlink"/>
            <w:noProof/>
          </w:rPr>
          <w:t>4.1.</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Pozostałe zagrożenia i niepożądane skutki uboczne</w:t>
        </w:r>
        <w:r w:rsidRPr="00001F32">
          <w:rPr>
            <w:noProof/>
            <w:webHidden/>
          </w:rPr>
          <w:tab/>
        </w:r>
        <w:r w:rsidRPr="00001F32">
          <w:rPr>
            <w:noProof/>
            <w:webHidden/>
          </w:rPr>
          <w:fldChar w:fldCharType="begin"/>
        </w:r>
        <w:r w:rsidRPr="00001F32">
          <w:rPr>
            <w:noProof/>
            <w:webHidden/>
          </w:rPr>
          <w:instrText xml:space="preserve"> PAGEREF _Toc240532202 \h </w:instrText>
        </w:r>
        <w:r w:rsidRPr="00001F32">
          <w:rPr>
            <w:noProof/>
            <w:webHidden/>
          </w:rPr>
        </w:r>
        <w:r w:rsidRPr="00001F32">
          <w:rPr>
            <w:noProof/>
            <w:webHidden/>
          </w:rPr>
          <w:fldChar w:fldCharType="separate"/>
        </w:r>
        <w:r w:rsidR="009B72B4" w:rsidRPr="00001F32">
          <w:rPr>
            <w:noProof/>
            <w:webHidden/>
          </w:rPr>
          <w:t>8</w:t>
        </w:r>
        <w:r w:rsidRPr="00001F32">
          <w:rPr>
            <w:noProof/>
            <w:webHidden/>
          </w:rPr>
          <w:fldChar w:fldCharType="end"/>
        </w:r>
      </w:hyperlink>
    </w:p>
    <w:p w14:paraId="5EFE19F3" w14:textId="5C092861"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203" w:history="1">
        <w:r w:rsidRPr="00001F32">
          <w:rPr>
            <w:rStyle w:val="Hyperlink"/>
            <w:noProof/>
          </w:rPr>
          <w:t>4.2.</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Ostrzeżenia i środki ostrożności</w:t>
        </w:r>
        <w:r w:rsidRPr="00001F32">
          <w:rPr>
            <w:noProof/>
            <w:webHidden/>
          </w:rPr>
          <w:tab/>
        </w:r>
        <w:r w:rsidRPr="00001F32">
          <w:rPr>
            <w:noProof/>
            <w:webHidden/>
          </w:rPr>
          <w:fldChar w:fldCharType="begin"/>
        </w:r>
        <w:r w:rsidRPr="00001F32">
          <w:rPr>
            <w:noProof/>
            <w:webHidden/>
          </w:rPr>
          <w:instrText xml:space="preserve"> PAGEREF _Toc240532203 \h </w:instrText>
        </w:r>
        <w:r w:rsidRPr="00001F32">
          <w:rPr>
            <w:noProof/>
            <w:webHidden/>
          </w:rPr>
        </w:r>
        <w:r w:rsidRPr="00001F32">
          <w:rPr>
            <w:noProof/>
            <w:webHidden/>
          </w:rPr>
          <w:fldChar w:fldCharType="separate"/>
        </w:r>
        <w:r w:rsidR="009B72B4" w:rsidRPr="00001F32">
          <w:rPr>
            <w:noProof/>
            <w:webHidden/>
          </w:rPr>
          <w:t>10</w:t>
        </w:r>
        <w:r w:rsidRPr="00001F32">
          <w:rPr>
            <w:noProof/>
            <w:webHidden/>
          </w:rPr>
          <w:fldChar w:fldCharType="end"/>
        </w:r>
      </w:hyperlink>
    </w:p>
    <w:p w14:paraId="5536573E" w14:textId="625ED095"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204" w:history="1">
        <w:r w:rsidRPr="00001F32">
          <w:rPr>
            <w:rStyle w:val="Hyperlink"/>
            <w:noProof/>
            <w:kern w:val="36"/>
          </w:rPr>
          <w:t>4.3.</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Bezpieczeństwo w zakresie rezonansu magnetycznego</w:t>
        </w:r>
        <w:r w:rsidRPr="00001F32">
          <w:rPr>
            <w:noProof/>
            <w:webHidden/>
          </w:rPr>
          <w:tab/>
        </w:r>
        <w:r w:rsidRPr="00001F32">
          <w:rPr>
            <w:noProof/>
            <w:webHidden/>
          </w:rPr>
          <w:fldChar w:fldCharType="begin"/>
        </w:r>
        <w:r w:rsidRPr="00001F32">
          <w:rPr>
            <w:noProof/>
            <w:webHidden/>
          </w:rPr>
          <w:instrText xml:space="preserve"> PAGEREF _Toc240532204 \h </w:instrText>
        </w:r>
        <w:r w:rsidRPr="00001F32">
          <w:rPr>
            <w:noProof/>
            <w:webHidden/>
          </w:rPr>
        </w:r>
        <w:r w:rsidRPr="00001F32">
          <w:rPr>
            <w:noProof/>
            <w:webHidden/>
          </w:rPr>
          <w:fldChar w:fldCharType="separate"/>
        </w:r>
        <w:r w:rsidR="009B72B4" w:rsidRPr="00001F32">
          <w:rPr>
            <w:noProof/>
            <w:webHidden/>
          </w:rPr>
          <w:t>12</w:t>
        </w:r>
        <w:r w:rsidRPr="00001F32">
          <w:rPr>
            <w:noProof/>
            <w:webHidden/>
          </w:rPr>
          <w:fldChar w:fldCharType="end"/>
        </w:r>
      </w:hyperlink>
    </w:p>
    <w:p w14:paraId="20BDC8CE" w14:textId="1EADE1FB"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205" w:history="1">
        <w:r w:rsidRPr="00001F32">
          <w:rPr>
            <w:rStyle w:val="Hyperlink"/>
            <w:noProof/>
          </w:rPr>
          <w:t>4.4.</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Inne istotne aspekty bezpieczeństwa, w tym podsumowanie wszelkich zewnętrznych działań korygujących dotyczących bezpieczeństwa (FSCA, w tym FSN), jeśli ma to zastosowanie</w:t>
        </w:r>
        <w:r w:rsidRPr="00001F32">
          <w:rPr>
            <w:noProof/>
            <w:webHidden/>
          </w:rPr>
          <w:tab/>
        </w:r>
        <w:r w:rsidRPr="00001F32">
          <w:rPr>
            <w:noProof/>
            <w:webHidden/>
          </w:rPr>
          <w:fldChar w:fldCharType="begin"/>
        </w:r>
        <w:r w:rsidRPr="00001F32">
          <w:rPr>
            <w:noProof/>
            <w:webHidden/>
          </w:rPr>
          <w:instrText xml:space="preserve"> PAGEREF _Toc240532205 \h </w:instrText>
        </w:r>
        <w:r w:rsidRPr="00001F32">
          <w:rPr>
            <w:noProof/>
            <w:webHidden/>
          </w:rPr>
        </w:r>
        <w:r w:rsidRPr="00001F32">
          <w:rPr>
            <w:noProof/>
            <w:webHidden/>
          </w:rPr>
          <w:fldChar w:fldCharType="separate"/>
        </w:r>
        <w:r w:rsidR="009B72B4" w:rsidRPr="00001F32">
          <w:rPr>
            <w:noProof/>
            <w:webHidden/>
          </w:rPr>
          <w:t>12</w:t>
        </w:r>
        <w:r w:rsidRPr="00001F32">
          <w:rPr>
            <w:noProof/>
            <w:webHidden/>
          </w:rPr>
          <w:fldChar w:fldCharType="end"/>
        </w:r>
      </w:hyperlink>
    </w:p>
    <w:p w14:paraId="2BCD542A" w14:textId="4976F7FD"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206" w:history="1">
        <w:r w:rsidRPr="00001F32">
          <w:rPr>
            <w:rStyle w:val="Hyperlink"/>
            <w:noProof/>
          </w:rPr>
          <w:t>5.</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Podsumowanie oceny klinicznej i obserwacji klinicznych po wprowadzeniu do obrotu (PMCF)</w:t>
        </w:r>
        <w:r w:rsidRPr="00001F32">
          <w:rPr>
            <w:noProof/>
            <w:webHidden/>
          </w:rPr>
          <w:tab/>
        </w:r>
        <w:r w:rsidRPr="00001F32">
          <w:rPr>
            <w:noProof/>
            <w:webHidden/>
          </w:rPr>
          <w:fldChar w:fldCharType="begin"/>
        </w:r>
        <w:r w:rsidRPr="00001F32">
          <w:rPr>
            <w:noProof/>
            <w:webHidden/>
          </w:rPr>
          <w:instrText xml:space="preserve"> PAGEREF _Toc240532206 \h </w:instrText>
        </w:r>
        <w:r w:rsidRPr="00001F32">
          <w:rPr>
            <w:noProof/>
            <w:webHidden/>
          </w:rPr>
        </w:r>
        <w:r w:rsidRPr="00001F32">
          <w:rPr>
            <w:noProof/>
            <w:webHidden/>
          </w:rPr>
          <w:fldChar w:fldCharType="separate"/>
        </w:r>
        <w:r w:rsidR="009B72B4" w:rsidRPr="00001F32">
          <w:rPr>
            <w:noProof/>
            <w:webHidden/>
          </w:rPr>
          <w:t>13</w:t>
        </w:r>
        <w:r w:rsidRPr="00001F32">
          <w:rPr>
            <w:noProof/>
            <w:webHidden/>
          </w:rPr>
          <w:fldChar w:fldCharType="end"/>
        </w:r>
      </w:hyperlink>
    </w:p>
    <w:p w14:paraId="7F22941D" w14:textId="50F6416E"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207" w:history="1">
        <w:r w:rsidRPr="00001F32">
          <w:rPr>
            <w:rStyle w:val="Hyperlink"/>
            <w:noProof/>
          </w:rPr>
          <w:t>5.1.</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Podsumowanie danych klinicznych dotyczących równoważnego urządzenia, jeśli dotyczy</w:t>
        </w:r>
        <w:r w:rsidRPr="00001F32">
          <w:rPr>
            <w:noProof/>
            <w:webHidden/>
          </w:rPr>
          <w:tab/>
        </w:r>
        <w:r w:rsidRPr="00001F32">
          <w:rPr>
            <w:noProof/>
            <w:webHidden/>
          </w:rPr>
          <w:fldChar w:fldCharType="begin"/>
        </w:r>
        <w:r w:rsidRPr="00001F32">
          <w:rPr>
            <w:noProof/>
            <w:webHidden/>
          </w:rPr>
          <w:instrText xml:space="preserve"> PAGEREF _Toc240532207 \h </w:instrText>
        </w:r>
        <w:r w:rsidRPr="00001F32">
          <w:rPr>
            <w:noProof/>
            <w:webHidden/>
          </w:rPr>
        </w:r>
        <w:r w:rsidRPr="00001F32">
          <w:rPr>
            <w:noProof/>
            <w:webHidden/>
          </w:rPr>
          <w:fldChar w:fldCharType="separate"/>
        </w:r>
        <w:r w:rsidR="009B72B4" w:rsidRPr="00001F32">
          <w:rPr>
            <w:noProof/>
            <w:webHidden/>
          </w:rPr>
          <w:t>13</w:t>
        </w:r>
        <w:r w:rsidRPr="00001F32">
          <w:rPr>
            <w:noProof/>
            <w:webHidden/>
          </w:rPr>
          <w:fldChar w:fldCharType="end"/>
        </w:r>
      </w:hyperlink>
    </w:p>
    <w:p w14:paraId="6C9919F6" w14:textId="2F9EDEF0"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208" w:history="1">
        <w:r w:rsidRPr="00001F32">
          <w:rPr>
            <w:rStyle w:val="Hyperlink"/>
            <w:noProof/>
          </w:rPr>
          <w:t>5.2.</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Podsumowanie danych klinicznych z przeprowadzonych badań urządzenia przed oznakowaniem CE, jeśli dotyczy</w:t>
        </w:r>
        <w:r w:rsidRPr="00001F32">
          <w:rPr>
            <w:noProof/>
            <w:webHidden/>
          </w:rPr>
          <w:tab/>
        </w:r>
        <w:r w:rsidRPr="00001F32">
          <w:rPr>
            <w:noProof/>
            <w:webHidden/>
          </w:rPr>
          <w:fldChar w:fldCharType="begin"/>
        </w:r>
        <w:r w:rsidRPr="00001F32">
          <w:rPr>
            <w:noProof/>
            <w:webHidden/>
          </w:rPr>
          <w:instrText xml:space="preserve"> PAGEREF _Toc240532208 \h </w:instrText>
        </w:r>
        <w:r w:rsidRPr="00001F32">
          <w:rPr>
            <w:noProof/>
            <w:webHidden/>
          </w:rPr>
        </w:r>
        <w:r w:rsidRPr="00001F32">
          <w:rPr>
            <w:noProof/>
            <w:webHidden/>
          </w:rPr>
          <w:fldChar w:fldCharType="separate"/>
        </w:r>
        <w:r w:rsidR="009B72B4" w:rsidRPr="00001F32">
          <w:rPr>
            <w:noProof/>
            <w:webHidden/>
          </w:rPr>
          <w:t>13</w:t>
        </w:r>
        <w:r w:rsidRPr="00001F32">
          <w:rPr>
            <w:noProof/>
            <w:webHidden/>
          </w:rPr>
          <w:fldChar w:fldCharType="end"/>
        </w:r>
      </w:hyperlink>
    </w:p>
    <w:p w14:paraId="4885F51E" w14:textId="06D482DD"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209" w:history="1">
        <w:r w:rsidRPr="00001F32">
          <w:rPr>
            <w:rStyle w:val="Hyperlink"/>
            <w:noProof/>
          </w:rPr>
          <w:t>5.3.</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Podsumowanie danych klinicznych z innych źródeł, jeśli dotyczy</w:t>
        </w:r>
        <w:r w:rsidRPr="00001F32">
          <w:rPr>
            <w:noProof/>
            <w:webHidden/>
          </w:rPr>
          <w:tab/>
        </w:r>
        <w:r w:rsidRPr="00001F32">
          <w:rPr>
            <w:noProof/>
            <w:webHidden/>
          </w:rPr>
          <w:fldChar w:fldCharType="begin"/>
        </w:r>
        <w:r w:rsidRPr="00001F32">
          <w:rPr>
            <w:noProof/>
            <w:webHidden/>
          </w:rPr>
          <w:instrText xml:space="preserve"> PAGEREF _Toc240532209 \h </w:instrText>
        </w:r>
        <w:r w:rsidRPr="00001F32">
          <w:rPr>
            <w:noProof/>
            <w:webHidden/>
          </w:rPr>
        </w:r>
        <w:r w:rsidRPr="00001F32">
          <w:rPr>
            <w:noProof/>
            <w:webHidden/>
          </w:rPr>
          <w:fldChar w:fldCharType="separate"/>
        </w:r>
        <w:r w:rsidR="009B72B4" w:rsidRPr="00001F32">
          <w:rPr>
            <w:noProof/>
            <w:webHidden/>
          </w:rPr>
          <w:t>13</w:t>
        </w:r>
        <w:r w:rsidRPr="00001F32">
          <w:rPr>
            <w:noProof/>
            <w:webHidden/>
          </w:rPr>
          <w:fldChar w:fldCharType="end"/>
        </w:r>
      </w:hyperlink>
    </w:p>
    <w:p w14:paraId="56195863" w14:textId="043C2573"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210" w:history="1">
        <w:r w:rsidRPr="00001F32">
          <w:rPr>
            <w:rStyle w:val="Hyperlink"/>
            <w:noProof/>
          </w:rPr>
          <w:t>5.4.</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Ogólne podsumowanie dotyczące bezpieczeństwa i skuteczności klinicznej</w:t>
        </w:r>
        <w:r w:rsidRPr="00001F32">
          <w:rPr>
            <w:noProof/>
            <w:webHidden/>
          </w:rPr>
          <w:tab/>
        </w:r>
        <w:r w:rsidRPr="00001F32">
          <w:rPr>
            <w:noProof/>
            <w:webHidden/>
          </w:rPr>
          <w:fldChar w:fldCharType="begin"/>
        </w:r>
        <w:r w:rsidRPr="00001F32">
          <w:rPr>
            <w:noProof/>
            <w:webHidden/>
          </w:rPr>
          <w:instrText xml:space="preserve"> PAGEREF _Toc240532210 \h </w:instrText>
        </w:r>
        <w:r w:rsidRPr="00001F32">
          <w:rPr>
            <w:noProof/>
            <w:webHidden/>
          </w:rPr>
        </w:r>
        <w:r w:rsidRPr="00001F32">
          <w:rPr>
            <w:noProof/>
            <w:webHidden/>
          </w:rPr>
          <w:fldChar w:fldCharType="separate"/>
        </w:r>
        <w:r w:rsidR="009B72B4" w:rsidRPr="00001F32">
          <w:rPr>
            <w:noProof/>
            <w:webHidden/>
          </w:rPr>
          <w:t>14</w:t>
        </w:r>
        <w:r w:rsidRPr="00001F32">
          <w:rPr>
            <w:noProof/>
            <w:webHidden/>
          </w:rPr>
          <w:fldChar w:fldCharType="end"/>
        </w:r>
      </w:hyperlink>
    </w:p>
    <w:p w14:paraId="2560BBA9" w14:textId="3D14229D"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211" w:history="1">
        <w:r w:rsidRPr="00001F32">
          <w:rPr>
            <w:rStyle w:val="Hyperlink"/>
            <w:noProof/>
          </w:rPr>
          <w:t>5.5.</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Bieżąca lub planowana obserwacja kliniczna po wprowadzeniu do obrotu</w:t>
        </w:r>
        <w:r w:rsidRPr="00001F32">
          <w:rPr>
            <w:noProof/>
            <w:webHidden/>
          </w:rPr>
          <w:tab/>
        </w:r>
        <w:r w:rsidRPr="00001F32">
          <w:rPr>
            <w:noProof/>
            <w:webHidden/>
          </w:rPr>
          <w:fldChar w:fldCharType="begin"/>
        </w:r>
        <w:r w:rsidRPr="00001F32">
          <w:rPr>
            <w:noProof/>
            <w:webHidden/>
          </w:rPr>
          <w:instrText xml:space="preserve"> PAGEREF _Toc240532211 \h </w:instrText>
        </w:r>
        <w:r w:rsidRPr="00001F32">
          <w:rPr>
            <w:noProof/>
            <w:webHidden/>
          </w:rPr>
        </w:r>
        <w:r w:rsidRPr="00001F32">
          <w:rPr>
            <w:noProof/>
            <w:webHidden/>
          </w:rPr>
          <w:fldChar w:fldCharType="separate"/>
        </w:r>
        <w:r w:rsidR="009B72B4" w:rsidRPr="00001F32">
          <w:rPr>
            <w:noProof/>
            <w:webHidden/>
          </w:rPr>
          <w:t>16</w:t>
        </w:r>
        <w:r w:rsidRPr="00001F32">
          <w:rPr>
            <w:noProof/>
            <w:webHidden/>
          </w:rPr>
          <w:fldChar w:fldCharType="end"/>
        </w:r>
      </w:hyperlink>
    </w:p>
    <w:p w14:paraId="0B0C193D" w14:textId="0A7498BF"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212" w:history="1">
        <w:r w:rsidRPr="00001F32">
          <w:rPr>
            <w:rStyle w:val="Hyperlink"/>
            <w:noProof/>
          </w:rPr>
          <w:t>6.</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Możliwe alternatywy diagnostyczne lub terapeutyczne</w:t>
        </w:r>
        <w:r w:rsidRPr="00001F32">
          <w:rPr>
            <w:noProof/>
            <w:webHidden/>
          </w:rPr>
          <w:tab/>
        </w:r>
        <w:r w:rsidRPr="00001F32">
          <w:rPr>
            <w:noProof/>
            <w:webHidden/>
          </w:rPr>
          <w:fldChar w:fldCharType="begin"/>
        </w:r>
        <w:r w:rsidRPr="00001F32">
          <w:rPr>
            <w:noProof/>
            <w:webHidden/>
          </w:rPr>
          <w:instrText xml:space="preserve"> PAGEREF _Toc240532212 \h </w:instrText>
        </w:r>
        <w:r w:rsidRPr="00001F32">
          <w:rPr>
            <w:noProof/>
            <w:webHidden/>
          </w:rPr>
        </w:r>
        <w:r w:rsidRPr="00001F32">
          <w:rPr>
            <w:noProof/>
            <w:webHidden/>
          </w:rPr>
          <w:fldChar w:fldCharType="separate"/>
        </w:r>
        <w:r w:rsidR="009B72B4" w:rsidRPr="00001F32">
          <w:rPr>
            <w:noProof/>
            <w:webHidden/>
          </w:rPr>
          <w:t>18</w:t>
        </w:r>
        <w:r w:rsidRPr="00001F32">
          <w:rPr>
            <w:noProof/>
            <w:webHidden/>
          </w:rPr>
          <w:fldChar w:fldCharType="end"/>
        </w:r>
      </w:hyperlink>
    </w:p>
    <w:p w14:paraId="6A3100A4" w14:textId="4B096A03"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213" w:history="1">
        <w:r w:rsidRPr="00001F32">
          <w:rPr>
            <w:rStyle w:val="Hyperlink"/>
            <w:noProof/>
          </w:rPr>
          <w:t>7.</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Sugerowany profil i szkolenie dla użytkowników</w:t>
        </w:r>
        <w:r w:rsidRPr="00001F32">
          <w:rPr>
            <w:noProof/>
            <w:webHidden/>
          </w:rPr>
          <w:tab/>
        </w:r>
        <w:r w:rsidRPr="00001F32">
          <w:rPr>
            <w:noProof/>
            <w:webHidden/>
          </w:rPr>
          <w:fldChar w:fldCharType="begin"/>
        </w:r>
        <w:r w:rsidRPr="00001F32">
          <w:rPr>
            <w:noProof/>
            <w:webHidden/>
          </w:rPr>
          <w:instrText xml:space="preserve"> PAGEREF _Toc240532213 \h </w:instrText>
        </w:r>
        <w:r w:rsidRPr="00001F32">
          <w:rPr>
            <w:noProof/>
            <w:webHidden/>
          </w:rPr>
        </w:r>
        <w:r w:rsidRPr="00001F32">
          <w:rPr>
            <w:noProof/>
            <w:webHidden/>
          </w:rPr>
          <w:fldChar w:fldCharType="separate"/>
        </w:r>
        <w:r w:rsidR="009B72B4" w:rsidRPr="00001F32">
          <w:rPr>
            <w:noProof/>
            <w:webHidden/>
          </w:rPr>
          <w:t>18</w:t>
        </w:r>
        <w:r w:rsidRPr="00001F32">
          <w:rPr>
            <w:noProof/>
            <w:webHidden/>
          </w:rPr>
          <w:fldChar w:fldCharType="end"/>
        </w:r>
      </w:hyperlink>
    </w:p>
    <w:p w14:paraId="74F2785B" w14:textId="5BC55433"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214" w:history="1">
        <w:r w:rsidRPr="00001F32">
          <w:rPr>
            <w:rStyle w:val="Hyperlink"/>
            <w:noProof/>
          </w:rPr>
          <w:t>8.</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Zharmonizowane normy / wspólne specyfikacje</w:t>
        </w:r>
        <w:r w:rsidRPr="00001F32">
          <w:rPr>
            <w:noProof/>
            <w:webHidden/>
          </w:rPr>
          <w:tab/>
        </w:r>
        <w:r w:rsidRPr="00001F32">
          <w:rPr>
            <w:noProof/>
            <w:webHidden/>
          </w:rPr>
          <w:fldChar w:fldCharType="begin"/>
        </w:r>
        <w:r w:rsidRPr="00001F32">
          <w:rPr>
            <w:noProof/>
            <w:webHidden/>
          </w:rPr>
          <w:instrText xml:space="preserve"> PAGEREF _Toc240532214 \h </w:instrText>
        </w:r>
        <w:r w:rsidRPr="00001F32">
          <w:rPr>
            <w:noProof/>
            <w:webHidden/>
          </w:rPr>
        </w:r>
        <w:r w:rsidRPr="00001F32">
          <w:rPr>
            <w:noProof/>
            <w:webHidden/>
          </w:rPr>
          <w:fldChar w:fldCharType="separate"/>
        </w:r>
        <w:r w:rsidR="009B72B4" w:rsidRPr="00001F32">
          <w:rPr>
            <w:noProof/>
            <w:webHidden/>
          </w:rPr>
          <w:t>18</w:t>
        </w:r>
        <w:r w:rsidRPr="00001F32">
          <w:rPr>
            <w:noProof/>
            <w:webHidden/>
          </w:rPr>
          <w:fldChar w:fldCharType="end"/>
        </w:r>
      </w:hyperlink>
    </w:p>
    <w:p w14:paraId="150020AA" w14:textId="69443301"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215" w:history="1">
        <w:r w:rsidRPr="00001F32">
          <w:rPr>
            <w:rStyle w:val="Hyperlink"/>
            <w:noProof/>
          </w:rPr>
          <w:t>9.</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B. Podsumowanie bezpieczeństwa i skuteczności dla pacjentów/osób postronnych</w:t>
        </w:r>
        <w:r w:rsidRPr="00001F32">
          <w:rPr>
            <w:noProof/>
            <w:webHidden/>
          </w:rPr>
          <w:tab/>
        </w:r>
        <w:r w:rsidRPr="00001F32">
          <w:rPr>
            <w:noProof/>
            <w:webHidden/>
          </w:rPr>
          <w:fldChar w:fldCharType="begin"/>
        </w:r>
        <w:r w:rsidRPr="00001F32">
          <w:rPr>
            <w:noProof/>
            <w:webHidden/>
          </w:rPr>
          <w:instrText xml:space="preserve"> PAGEREF _Toc240532215 \h </w:instrText>
        </w:r>
        <w:r w:rsidRPr="00001F32">
          <w:rPr>
            <w:noProof/>
            <w:webHidden/>
          </w:rPr>
        </w:r>
        <w:r w:rsidRPr="00001F32">
          <w:rPr>
            <w:noProof/>
            <w:webHidden/>
          </w:rPr>
          <w:fldChar w:fldCharType="separate"/>
        </w:r>
        <w:r w:rsidR="009B72B4" w:rsidRPr="00001F32">
          <w:rPr>
            <w:noProof/>
            <w:webHidden/>
          </w:rPr>
          <w:t>21</w:t>
        </w:r>
        <w:r w:rsidRPr="00001F32">
          <w:rPr>
            <w:noProof/>
            <w:webHidden/>
          </w:rPr>
          <w:fldChar w:fldCharType="end"/>
        </w:r>
      </w:hyperlink>
    </w:p>
    <w:p w14:paraId="40F1D8EC" w14:textId="6A9620D6" w:rsidR="00F734E1" w:rsidRPr="00001F32" w:rsidRDefault="00F734E1">
      <w:pPr>
        <w:pStyle w:val="TOC1"/>
        <w:rPr>
          <w:rFonts w:asciiTheme="minorHAnsi" w:eastAsiaTheme="minorEastAsia" w:hAnsiTheme="minorHAnsi" w:cstheme="minorBidi"/>
          <w:noProof/>
          <w:kern w:val="2"/>
          <w:lang w:eastAsia="zh-CN"/>
          <w14:ligatures w14:val="standardContextual"/>
        </w:rPr>
      </w:pPr>
      <w:hyperlink w:anchor="_Toc240532216" w:history="1">
        <w:r w:rsidRPr="00001F32">
          <w:rPr>
            <w:rStyle w:val="Hyperlink"/>
            <w:noProof/>
          </w:rPr>
          <w:t>10.</w:t>
        </w:r>
        <w:r w:rsidRPr="00001F32">
          <w:rPr>
            <w:rFonts w:asciiTheme="minorHAnsi" w:eastAsiaTheme="minorEastAsia" w:hAnsiTheme="minorHAnsi" w:cstheme="minorBidi"/>
            <w:noProof/>
            <w:kern w:val="2"/>
            <w:lang w:eastAsia="zh-CN"/>
            <w14:ligatures w14:val="standardContextual"/>
          </w:rPr>
          <w:tab/>
        </w:r>
        <w:r w:rsidRPr="00001F32">
          <w:rPr>
            <w:rStyle w:val="Hyperlink"/>
            <w:bCs/>
            <w:noProof/>
            <w:lang w:val="pl"/>
          </w:rPr>
          <w:t>Historia zmian</w:t>
        </w:r>
        <w:r w:rsidRPr="00001F32">
          <w:rPr>
            <w:noProof/>
            <w:webHidden/>
          </w:rPr>
          <w:tab/>
        </w:r>
        <w:r w:rsidRPr="00001F32">
          <w:rPr>
            <w:noProof/>
            <w:webHidden/>
          </w:rPr>
          <w:fldChar w:fldCharType="begin"/>
        </w:r>
        <w:r w:rsidRPr="00001F32">
          <w:rPr>
            <w:noProof/>
            <w:webHidden/>
          </w:rPr>
          <w:instrText xml:space="preserve"> PAGEREF _Toc240532216 \h </w:instrText>
        </w:r>
        <w:r w:rsidRPr="00001F32">
          <w:rPr>
            <w:noProof/>
            <w:webHidden/>
          </w:rPr>
        </w:r>
        <w:r w:rsidRPr="00001F32">
          <w:rPr>
            <w:noProof/>
            <w:webHidden/>
          </w:rPr>
          <w:fldChar w:fldCharType="separate"/>
        </w:r>
        <w:r w:rsidR="009B72B4" w:rsidRPr="00001F32">
          <w:rPr>
            <w:noProof/>
            <w:webHidden/>
          </w:rPr>
          <w:t>26</w:t>
        </w:r>
        <w:r w:rsidRPr="00001F32">
          <w:rPr>
            <w:noProof/>
            <w:webHidden/>
          </w:rPr>
          <w:fldChar w:fldCharType="end"/>
        </w:r>
      </w:hyperlink>
    </w:p>
    <w:p w14:paraId="29D6E5E3" w14:textId="191BB44C" w:rsidR="006F0810" w:rsidRPr="00001F32" w:rsidRDefault="006F0810" w:rsidP="00042B91">
      <w:pPr>
        <w:spacing w:after="0" w:afterAutospacing="0" w:line="240" w:lineRule="auto"/>
        <w:rPr>
          <w:rFonts w:cs="Times New Roman"/>
        </w:rPr>
      </w:pPr>
      <w:r w:rsidRPr="00001F32">
        <w:rPr>
          <w:rFonts w:cs="Times New Roman"/>
        </w:rPr>
        <w:fldChar w:fldCharType="end"/>
      </w:r>
    </w:p>
    <w:p w14:paraId="343DF155" w14:textId="77777777" w:rsidR="006F0810" w:rsidRPr="00001F32" w:rsidRDefault="006F0810" w:rsidP="00042B91">
      <w:pPr>
        <w:spacing w:after="0" w:afterAutospacing="0" w:line="240" w:lineRule="auto"/>
        <w:rPr>
          <w:rFonts w:cs="Times New Roman"/>
        </w:rPr>
      </w:pPr>
      <w:r w:rsidRPr="00001F32">
        <w:rPr>
          <w:rFonts w:cs="Times New Roman"/>
          <w:lang w:val="pl"/>
        </w:rPr>
        <w:br w:type="page"/>
      </w:r>
    </w:p>
    <w:p w14:paraId="453DC774" w14:textId="77777777" w:rsidR="00221CEF" w:rsidRPr="00001F32" w:rsidRDefault="00221CEF" w:rsidP="00042B91">
      <w:pPr>
        <w:pStyle w:val="Heading7"/>
        <w:spacing w:after="0" w:afterAutospacing="0"/>
        <w:rPr>
          <w:lang w:val="pl-PL"/>
        </w:rPr>
      </w:pPr>
      <w:r w:rsidRPr="00001F32">
        <w:rPr>
          <w:bCs/>
          <w:lang w:val="pl"/>
        </w:rPr>
        <w:lastRenderedPageBreak/>
        <w:t>Podsumowanie dotyczące bezpieczeństwa i skuteczności klinicznej</w:t>
      </w:r>
    </w:p>
    <w:p w14:paraId="17C8E0D2" w14:textId="77777777" w:rsidR="00F21D73" w:rsidRPr="00001F32" w:rsidRDefault="00F21D73" w:rsidP="00042B91">
      <w:pPr>
        <w:spacing w:after="0" w:afterAutospacing="0" w:line="240" w:lineRule="auto"/>
        <w:rPr>
          <w:rFonts w:cs="Times New Roman"/>
          <w:lang w:val="pl-PL"/>
        </w:rPr>
      </w:pPr>
    </w:p>
    <w:p w14:paraId="3B0AAAED" w14:textId="77777777" w:rsidR="00193762" w:rsidRPr="00001F32" w:rsidRDefault="00193762" w:rsidP="00193762">
      <w:pPr>
        <w:spacing w:after="0" w:afterAutospacing="0" w:line="240" w:lineRule="auto"/>
        <w:rPr>
          <w:rFonts w:cs="Times New Roman"/>
          <w:lang w:val="pl-PL"/>
        </w:rPr>
      </w:pPr>
      <w:r w:rsidRPr="00001F32">
        <w:rPr>
          <w:rFonts w:cs="Times New Roman"/>
          <w:lang w:val="pl"/>
        </w:rPr>
        <w:t>Niniejsze podsumowanie dotyczące bezpieczeństwa i działania klinicznego (SSCP) ma na celu zapewnienie publicznego dostępu do przeglądu bezpieczeństwa i skuteczności klinicznej wyrobu na podstawie artykułu 32 rozporządzenia (UE) 2017/745.</w:t>
      </w:r>
    </w:p>
    <w:p w14:paraId="234C0E2E" w14:textId="77777777" w:rsidR="00193762" w:rsidRPr="00001F32" w:rsidRDefault="00193762" w:rsidP="00193762">
      <w:pPr>
        <w:spacing w:after="0" w:afterAutospacing="0" w:line="240" w:lineRule="auto"/>
        <w:rPr>
          <w:rFonts w:cs="Times New Roman"/>
          <w:lang w:val="pl-PL"/>
        </w:rPr>
      </w:pPr>
    </w:p>
    <w:p w14:paraId="37C8CA83" w14:textId="77777777" w:rsidR="00193762" w:rsidRPr="00001F32" w:rsidRDefault="00193762" w:rsidP="00193762">
      <w:pPr>
        <w:spacing w:after="0" w:afterAutospacing="0" w:line="240" w:lineRule="auto"/>
        <w:rPr>
          <w:rFonts w:cs="Times New Roman"/>
          <w:lang w:val="pl"/>
        </w:rPr>
      </w:pPr>
      <w:r w:rsidRPr="00001F32">
        <w:rPr>
          <w:rFonts w:cs="Times New Roman"/>
          <w:lang w:val="pl"/>
        </w:rPr>
        <w:t>SSCP nie służy zastąpieniu Instrukcji użytkowania ani innych informacji dostarczonych przez producenta. Nie ma ona również na celu udzielania porad diagnostycznych lub terapeutycznych.</w:t>
      </w:r>
    </w:p>
    <w:p w14:paraId="2D0DC83A" w14:textId="77777777" w:rsidR="00193762" w:rsidRPr="00001F32" w:rsidRDefault="00193762" w:rsidP="00193762">
      <w:pPr>
        <w:spacing w:after="0" w:afterAutospacing="0" w:line="240" w:lineRule="auto"/>
        <w:rPr>
          <w:rFonts w:cs="Times New Roman"/>
          <w:lang w:val="pl"/>
        </w:rPr>
      </w:pPr>
    </w:p>
    <w:p w14:paraId="57958E5A" w14:textId="39C2A980" w:rsidR="00221CEF" w:rsidRPr="00001F32" w:rsidRDefault="00193762" w:rsidP="006B1B2D">
      <w:pPr>
        <w:spacing w:after="0" w:afterAutospacing="0" w:line="240" w:lineRule="auto"/>
        <w:rPr>
          <w:rFonts w:cs="Times New Roman"/>
          <w:lang w:val="pl"/>
        </w:rPr>
      </w:pPr>
      <w:r w:rsidRPr="00001F32">
        <w:rPr>
          <w:rFonts w:cs="Times New Roman"/>
          <w:lang w:val="pl"/>
        </w:rPr>
        <w:t xml:space="preserve">Niniejszy dokument SSCP zawiera informacje przeznaczone dla pracowników służby zdrowia, a także specjalną sekcję przeznaczoną dla pacjentów i osób postronnych. </w:t>
      </w:r>
    </w:p>
    <w:p w14:paraId="18A77BED" w14:textId="77777777" w:rsidR="00042B91" w:rsidRPr="00001F32" w:rsidRDefault="00042B91" w:rsidP="00042B91">
      <w:pPr>
        <w:spacing w:after="0" w:afterAutospacing="0" w:line="240" w:lineRule="auto"/>
        <w:rPr>
          <w:rFonts w:cs="Times New Roman"/>
          <w:lang w:val="pl"/>
        </w:rPr>
      </w:pPr>
    </w:p>
    <w:p w14:paraId="6E5276B4" w14:textId="51E5200D" w:rsidR="00042B91" w:rsidRPr="00001F32" w:rsidRDefault="006F0810" w:rsidP="00170FE5">
      <w:pPr>
        <w:pStyle w:val="Heading1"/>
        <w:numPr>
          <w:ilvl w:val="0"/>
          <w:numId w:val="2"/>
        </w:numPr>
        <w:rPr>
          <w:rFonts w:cs="Times New Roman"/>
          <w:color w:val="auto"/>
          <w:lang w:val="pl"/>
        </w:rPr>
      </w:pPr>
      <w:bookmarkStart w:id="0" w:name="_Toc240532185"/>
      <w:r w:rsidRPr="00001F32">
        <w:rPr>
          <w:rFonts w:cs="Times New Roman"/>
          <w:bCs/>
          <w:color w:val="auto"/>
          <w:lang w:val="pl"/>
        </w:rPr>
        <w:t>Zakres niniejszego Podsumowania dotyczącego bezpieczeństwa i skuteczności klinicznej (SSCP)</w:t>
      </w:r>
      <w:bookmarkEnd w:id="0"/>
    </w:p>
    <w:p w14:paraId="5CDBAEA3" w14:textId="77777777" w:rsidR="00042B91" w:rsidRPr="00001F32" w:rsidRDefault="00042B91" w:rsidP="00042B91">
      <w:pPr>
        <w:spacing w:after="0" w:afterAutospacing="0" w:line="240" w:lineRule="auto"/>
        <w:rPr>
          <w:rFonts w:cs="Times New Roman"/>
          <w:lang w:val="pl"/>
        </w:rPr>
      </w:pPr>
    </w:p>
    <w:p w14:paraId="45E5BCB2" w14:textId="5E0B6D29" w:rsidR="00AA2E04" w:rsidRPr="00001F32" w:rsidRDefault="00221CEF" w:rsidP="00042B91">
      <w:pPr>
        <w:pStyle w:val="Heading1"/>
        <w:rPr>
          <w:rFonts w:cs="Times New Roman"/>
          <w:color w:val="auto"/>
        </w:rPr>
      </w:pPr>
      <w:bookmarkStart w:id="1" w:name="_Toc240532186"/>
      <w:r w:rsidRPr="00001F32">
        <w:rPr>
          <w:rFonts w:cs="Times New Roman"/>
          <w:bCs/>
          <w:color w:val="auto"/>
          <w:lang w:val="pl"/>
        </w:rPr>
        <w:t>Nazwa handlowa urządzenia</w:t>
      </w:r>
      <w:bookmarkEnd w:id="1"/>
    </w:p>
    <w:p w14:paraId="0DCE76AD" w14:textId="77777777" w:rsidR="00810EBB" w:rsidRPr="00001F32" w:rsidRDefault="00810EBB">
      <w:pPr>
        <w:rPr>
          <w:rFonts w:cs="Times New Roman"/>
          <w:kern w:val="2"/>
          <w:szCs w:val="24"/>
          <w:lang w:val="pl-PL"/>
          <w14:ligatures w14:val="standardContextual"/>
        </w:rPr>
      </w:pPr>
      <w:r w:rsidRPr="00001F32">
        <w:rPr>
          <w:rFonts w:cs="Times New Roman"/>
          <w:lang w:val="pl"/>
        </w:rPr>
        <w:t>System usuwalnego filtra do żyły głównej Option™ ELITE</w:t>
      </w:r>
    </w:p>
    <w:p w14:paraId="7E6E8DB0" w14:textId="7767A0F2" w:rsidR="00221CEF" w:rsidRPr="00001F32" w:rsidRDefault="00221CEF" w:rsidP="00042B91">
      <w:pPr>
        <w:pStyle w:val="Heading1"/>
        <w:rPr>
          <w:rFonts w:cs="Times New Roman"/>
          <w:color w:val="auto"/>
          <w:lang w:val="pl-PL"/>
        </w:rPr>
      </w:pPr>
      <w:bookmarkStart w:id="2" w:name="_Toc240532187"/>
      <w:r w:rsidRPr="00001F32">
        <w:rPr>
          <w:rFonts w:cs="Times New Roman"/>
          <w:bCs/>
          <w:color w:val="auto"/>
          <w:lang w:val="pl"/>
        </w:rPr>
        <w:t>Opis urządzenia, podstawowy kod UDI-DI i klasyfikacja UE</w:t>
      </w:r>
      <w:bookmarkEnd w:id="2"/>
    </w:p>
    <w:tbl>
      <w:tblPr>
        <w:tblStyle w:val="TableGrid60004231"/>
        <w:tblW w:w="5181" w:type="pct"/>
        <w:jc w:val="left"/>
        <w:tblInd w:w="0" w:type="dxa"/>
        <w:tblLayout w:type="fixed"/>
        <w:tblLook w:val="04A0" w:firstRow="1" w:lastRow="0" w:firstColumn="1" w:lastColumn="0" w:noHBand="0" w:noVBand="1"/>
      </w:tblPr>
      <w:tblGrid>
        <w:gridCol w:w="2063"/>
        <w:gridCol w:w="1568"/>
        <w:gridCol w:w="932"/>
        <w:gridCol w:w="1303"/>
        <w:gridCol w:w="1306"/>
        <w:gridCol w:w="1773"/>
        <w:gridCol w:w="1863"/>
      </w:tblGrid>
      <w:tr w:rsidR="0056502C" w:rsidRPr="00001F32" w14:paraId="7A6A7407" w14:textId="77777777" w:rsidTr="00673978">
        <w:trPr>
          <w:cnfStyle w:val="100000000000" w:firstRow="1" w:lastRow="0" w:firstColumn="0" w:lastColumn="0" w:oddVBand="0" w:evenVBand="0" w:oddHBand="0" w:evenHBand="0" w:firstRowFirstColumn="0" w:firstRowLastColumn="0" w:lastRowFirstColumn="0" w:lastRowLastColumn="0"/>
          <w:tblHeader/>
          <w:jc w:val="left"/>
        </w:trPr>
        <w:tc>
          <w:tcPr>
            <w:tcW w:w="954" w:type="pct"/>
            <w:shd w:val="clear" w:color="auto" w:fill="D9D9D9" w:themeFill="background1" w:themeFillShade="D9"/>
            <w:vAlign w:val="center"/>
          </w:tcPr>
          <w:p w14:paraId="1B96BED2" w14:textId="77777777" w:rsidR="007C1BDC" w:rsidRPr="00001F32" w:rsidRDefault="007C1BDC" w:rsidP="001D5C82">
            <w:pPr>
              <w:pStyle w:val="TableHeader"/>
              <w:spacing w:before="0" w:after="0"/>
              <w:rPr>
                <w:rFonts w:ascii="Times New Roman" w:hAnsi="Times New Roman"/>
                <w:sz w:val="20"/>
                <w:szCs w:val="20"/>
              </w:rPr>
            </w:pPr>
            <w:bookmarkStart w:id="3" w:name="_Hlk196921546"/>
            <w:r w:rsidRPr="00001F32">
              <w:rPr>
                <w:rFonts w:ascii="Times New Roman" w:hAnsi="Times New Roman"/>
                <w:bCs/>
                <w:sz w:val="20"/>
                <w:szCs w:val="20"/>
                <w:lang w:val="pl"/>
              </w:rPr>
              <w:t>Nazwa / opis wyrobu</w:t>
            </w:r>
          </w:p>
        </w:tc>
        <w:tc>
          <w:tcPr>
            <w:tcW w:w="725" w:type="pct"/>
            <w:shd w:val="clear" w:color="auto" w:fill="D9D9D9" w:themeFill="background1" w:themeFillShade="D9"/>
            <w:vAlign w:val="center"/>
          </w:tcPr>
          <w:p w14:paraId="01233CDC" w14:textId="77777777" w:rsidR="007C1BDC" w:rsidRPr="00001F32" w:rsidRDefault="007C1BDC" w:rsidP="001D5C82">
            <w:pPr>
              <w:pStyle w:val="TableHeader"/>
              <w:spacing w:before="0" w:after="0"/>
              <w:rPr>
                <w:rFonts w:ascii="Times New Roman" w:hAnsi="Times New Roman"/>
                <w:sz w:val="20"/>
                <w:szCs w:val="20"/>
              </w:rPr>
            </w:pPr>
            <w:r w:rsidRPr="00001F32">
              <w:rPr>
                <w:rFonts w:ascii="Times New Roman" w:hAnsi="Times New Roman"/>
                <w:bCs/>
                <w:sz w:val="20"/>
                <w:szCs w:val="20"/>
                <w:lang w:val="pl"/>
              </w:rPr>
              <w:t>Numer modelu/numer katalogowy</w:t>
            </w:r>
          </w:p>
        </w:tc>
        <w:tc>
          <w:tcPr>
            <w:tcW w:w="431" w:type="pct"/>
            <w:shd w:val="clear" w:color="auto" w:fill="D9D9D9" w:themeFill="background1" w:themeFillShade="D9"/>
            <w:vAlign w:val="center"/>
          </w:tcPr>
          <w:p w14:paraId="3FE26ABC" w14:textId="77777777" w:rsidR="007C1BDC" w:rsidRPr="00001F32" w:rsidRDefault="007C1BDC" w:rsidP="001D5C82">
            <w:pPr>
              <w:pStyle w:val="TableHeader"/>
              <w:spacing w:before="0" w:after="0"/>
              <w:rPr>
                <w:rFonts w:ascii="Times New Roman" w:hAnsi="Times New Roman"/>
                <w:sz w:val="20"/>
                <w:szCs w:val="20"/>
              </w:rPr>
            </w:pPr>
            <w:r w:rsidRPr="00001F32">
              <w:rPr>
                <w:rFonts w:ascii="Times New Roman" w:hAnsi="Times New Roman"/>
                <w:bCs/>
                <w:sz w:val="20"/>
                <w:szCs w:val="20"/>
                <w:lang w:val="pl"/>
              </w:rPr>
              <w:t>Kod GMDN</w:t>
            </w:r>
          </w:p>
        </w:tc>
        <w:tc>
          <w:tcPr>
            <w:tcW w:w="603" w:type="pct"/>
            <w:shd w:val="clear" w:color="auto" w:fill="D9D9D9" w:themeFill="background1" w:themeFillShade="D9"/>
            <w:vAlign w:val="center"/>
          </w:tcPr>
          <w:p w14:paraId="6C258B95" w14:textId="77777777" w:rsidR="007C1BDC" w:rsidRPr="00001F32" w:rsidRDefault="007C1BDC" w:rsidP="001D5C82">
            <w:pPr>
              <w:pStyle w:val="TableHeader"/>
              <w:spacing w:before="0" w:after="0"/>
              <w:rPr>
                <w:rFonts w:ascii="Times New Roman" w:hAnsi="Times New Roman"/>
                <w:bCs/>
                <w:sz w:val="20"/>
                <w:szCs w:val="20"/>
              </w:rPr>
            </w:pPr>
            <w:r w:rsidRPr="00001F32">
              <w:rPr>
                <w:rFonts w:ascii="Times New Roman" w:hAnsi="Times New Roman"/>
                <w:bCs/>
                <w:sz w:val="20"/>
                <w:szCs w:val="20"/>
                <w:lang w:val="pl"/>
              </w:rPr>
              <w:t>Kod EMDN</w:t>
            </w:r>
          </w:p>
        </w:tc>
        <w:tc>
          <w:tcPr>
            <w:tcW w:w="604" w:type="pct"/>
            <w:shd w:val="clear" w:color="auto" w:fill="D9D9D9" w:themeFill="background1" w:themeFillShade="D9"/>
            <w:vAlign w:val="center"/>
          </w:tcPr>
          <w:p w14:paraId="7768BDE6" w14:textId="77777777" w:rsidR="007C1BDC" w:rsidRPr="00001F32" w:rsidRDefault="007C1BDC" w:rsidP="001D5C82">
            <w:pPr>
              <w:pStyle w:val="TableHeader"/>
              <w:spacing w:before="0" w:after="0"/>
              <w:rPr>
                <w:rFonts w:ascii="Times New Roman" w:hAnsi="Times New Roman"/>
                <w:sz w:val="20"/>
                <w:szCs w:val="20"/>
                <w:lang w:val="pl-PL"/>
              </w:rPr>
            </w:pPr>
            <w:r w:rsidRPr="00001F32">
              <w:rPr>
                <w:rFonts w:ascii="Times New Roman" w:hAnsi="Times New Roman"/>
                <w:bCs/>
                <w:sz w:val="20"/>
                <w:szCs w:val="20"/>
                <w:lang w:val="pl"/>
              </w:rPr>
              <w:t>Klasa/zasada dotycząca urządzeń MDR w UE</w:t>
            </w:r>
          </w:p>
        </w:tc>
        <w:tc>
          <w:tcPr>
            <w:tcW w:w="820" w:type="pct"/>
            <w:shd w:val="clear" w:color="auto" w:fill="D9D9D9" w:themeFill="background1" w:themeFillShade="D9"/>
            <w:vAlign w:val="center"/>
          </w:tcPr>
          <w:p w14:paraId="084A1A9E" w14:textId="77777777" w:rsidR="007C1BDC" w:rsidRPr="00001F32" w:rsidRDefault="007C1BDC" w:rsidP="001D5C82">
            <w:pPr>
              <w:pStyle w:val="TableHeader"/>
              <w:spacing w:before="0" w:after="0"/>
              <w:rPr>
                <w:rFonts w:ascii="Times New Roman" w:hAnsi="Times New Roman"/>
                <w:sz w:val="20"/>
                <w:szCs w:val="20"/>
                <w:lang w:val="pl-PL"/>
              </w:rPr>
            </w:pPr>
            <w:r w:rsidRPr="00001F32">
              <w:rPr>
                <w:rFonts w:ascii="Times New Roman" w:hAnsi="Times New Roman"/>
                <w:bCs/>
                <w:sz w:val="20"/>
                <w:szCs w:val="20"/>
                <w:lang w:val="pl"/>
              </w:rPr>
              <w:t>Podstawowy identyfikator modelu wyrobu (BUDI-DI)</w:t>
            </w:r>
          </w:p>
        </w:tc>
        <w:tc>
          <w:tcPr>
            <w:tcW w:w="862" w:type="pct"/>
            <w:shd w:val="clear" w:color="auto" w:fill="D9D9D9" w:themeFill="background1" w:themeFillShade="D9"/>
          </w:tcPr>
          <w:p w14:paraId="1DEBCED5" w14:textId="77777777" w:rsidR="007C1BDC" w:rsidRPr="00001F32" w:rsidRDefault="007C1BDC" w:rsidP="001D5C82">
            <w:pPr>
              <w:pStyle w:val="TableHeader"/>
              <w:spacing w:before="0" w:after="0"/>
              <w:rPr>
                <w:rFonts w:ascii="Times New Roman" w:hAnsi="Times New Roman"/>
                <w:sz w:val="20"/>
                <w:szCs w:val="20"/>
              </w:rPr>
            </w:pPr>
            <w:r w:rsidRPr="00001F32">
              <w:rPr>
                <w:rFonts w:ascii="Times New Roman" w:hAnsi="Times New Roman"/>
                <w:bCs/>
                <w:sz w:val="20"/>
                <w:szCs w:val="20"/>
                <w:lang w:val="pl"/>
              </w:rPr>
              <w:t>UDI-DI</w:t>
            </w:r>
          </w:p>
        </w:tc>
      </w:tr>
      <w:tr w:rsidR="007C1BDC" w:rsidRPr="00001F32" w14:paraId="364F5B01" w14:textId="77777777" w:rsidTr="00673978">
        <w:trPr>
          <w:trHeight w:val="908"/>
          <w:jc w:val="left"/>
        </w:trPr>
        <w:tc>
          <w:tcPr>
            <w:tcW w:w="954" w:type="pct"/>
            <w:vAlign w:val="center"/>
          </w:tcPr>
          <w:p w14:paraId="4671C265" w14:textId="6A892602" w:rsidR="00810EBB" w:rsidRPr="00001F32" w:rsidRDefault="00810EBB">
            <w:pPr>
              <w:pStyle w:val="TableEntry"/>
              <w:keepNext/>
              <w:spacing w:before="0" w:after="0"/>
              <w:jc w:val="center"/>
              <w:rPr>
                <w:rFonts w:ascii="Times New Roman" w:hAnsi="Times New Roman"/>
                <w:kern w:val="2"/>
                <w:szCs w:val="20"/>
                <w:lang w:val="pl-PL"/>
                <w14:ligatures w14:val="standardContextual"/>
              </w:rPr>
            </w:pPr>
            <w:bookmarkStart w:id="4" w:name="_Hlk531895722"/>
            <w:r w:rsidRPr="00001F32">
              <w:rPr>
                <w:rFonts w:ascii="Times New Roman" w:hAnsi="Times New Roman"/>
                <w:lang w:val="pl"/>
              </w:rPr>
              <w:t>System usuwalnego filtra do żyły głównej Option ELITE</w:t>
            </w:r>
          </w:p>
          <w:p w14:paraId="450E6F1A" w14:textId="77777777" w:rsidR="007C1BDC" w:rsidRPr="00001F32" w:rsidRDefault="007C1BDC" w:rsidP="001D5C82">
            <w:pPr>
              <w:pStyle w:val="TableEntry"/>
              <w:keepNext/>
              <w:spacing w:before="0" w:after="0"/>
              <w:jc w:val="center"/>
              <w:rPr>
                <w:rFonts w:ascii="Times New Roman" w:hAnsi="Times New Roman"/>
                <w:szCs w:val="20"/>
              </w:rPr>
            </w:pPr>
            <w:r w:rsidRPr="00001F32">
              <w:rPr>
                <w:rFonts w:ascii="Times New Roman" w:hAnsi="Times New Roman"/>
                <w:szCs w:val="20"/>
                <w:lang w:val="pl"/>
              </w:rPr>
              <w:t>(70 cm)</w:t>
            </w:r>
          </w:p>
        </w:tc>
        <w:tc>
          <w:tcPr>
            <w:tcW w:w="725" w:type="pct"/>
            <w:vAlign w:val="center"/>
          </w:tcPr>
          <w:p w14:paraId="55C90984" w14:textId="77777777" w:rsidR="007C1BDC" w:rsidRPr="00001F32" w:rsidRDefault="007C1BDC" w:rsidP="001D5C82">
            <w:pPr>
              <w:pStyle w:val="TableEntry"/>
              <w:keepNext/>
              <w:spacing w:before="0" w:after="0"/>
              <w:jc w:val="center"/>
              <w:rPr>
                <w:rFonts w:ascii="Times New Roman" w:hAnsi="Times New Roman"/>
                <w:szCs w:val="20"/>
              </w:rPr>
            </w:pPr>
            <w:r w:rsidRPr="00001F32">
              <w:rPr>
                <w:rFonts w:ascii="Times New Roman" w:hAnsi="Times New Roman"/>
                <w:szCs w:val="20"/>
              </w:rPr>
              <w:t>352506070E</w:t>
            </w:r>
          </w:p>
        </w:tc>
        <w:tc>
          <w:tcPr>
            <w:tcW w:w="431" w:type="pct"/>
            <w:vMerge w:val="restart"/>
            <w:vAlign w:val="center"/>
          </w:tcPr>
          <w:p w14:paraId="1C7EFB53" w14:textId="77777777" w:rsidR="007C1BDC" w:rsidRPr="00001F32" w:rsidRDefault="007C1BDC" w:rsidP="001D5C82">
            <w:pPr>
              <w:pStyle w:val="TableEntry"/>
              <w:keepNext/>
              <w:spacing w:before="0" w:after="0"/>
              <w:jc w:val="center"/>
              <w:rPr>
                <w:rFonts w:ascii="Times New Roman" w:hAnsi="Times New Roman"/>
                <w:szCs w:val="20"/>
              </w:rPr>
            </w:pPr>
          </w:p>
          <w:p w14:paraId="4E7C67FB" w14:textId="77777777" w:rsidR="007C1BDC" w:rsidRPr="00001F32" w:rsidRDefault="007C1BDC" w:rsidP="001D5C82">
            <w:pPr>
              <w:pStyle w:val="TableEntry"/>
              <w:keepNext/>
              <w:spacing w:before="0" w:after="0"/>
              <w:jc w:val="center"/>
              <w:rPr>
                <w:rFonts w:ascii="Times New Roman" w:hAnsi="Times New Roman"/>
                <w:szCs w:val="20"/>
              </w:rPr>
            </w:pPr>
            <w:r w:rsidRPr="00001F32">
              <w:rPr>
                <w:rFonts w:ascii="Times New Roman" w:hAnsi="Times New Roman"/>
                <w:szCs w:val="20"/>
              </w:rPr>
              <w:t>44864</w:t>
            </w:r>
          </w:p>
          <w:p w14:paraId="15ADF74E" w14:textId="77777777" w:rsidR="007C1BDC" w:rsidRPr="00001F32" w:rsidRDefault="007C1BDC" w:rsidP="001D5C82">
            <w:pPr>
              <w:pStyle w:val="TableEntry"/>
              <w:keepNext/>
              <w:spacing w:before="0" w:after="0"/>
              <w:jc w:val="center"/>
              <w:rPr>
                <w:rFonts w:ascii="Times New Roman" w:hAnsi="Times New Roman"/>
                <w:szCs w:val="20"/>
              </w:rPr>
            </w:pPr>
          </w:p>
          <w:p w14:paraId="4DF52D1F" w14:textId="77777777" w:rsidR="007C1BDC" w:rsidRPr="00001F32" w:rsidRDefault="007C1BDC" w:rsidP="001D5C82">
            <w:pPr>
              <w:pStyle w:val="TableEntry"/>
              <w:keepNext/>
              <w:spacing w:before="0" w:after="0"/>
              <w:jc w:val="center"/>
              <w:rPr>
                <w:rFonts w:ascii="Times New Roman" w:hAnsi="Times New Roman"/>
                <w:szCs w:val="20"/>
              </w:rPr>
            </w:pPr>
          </w:p>
        </w:tc>
        <w:tc>
          <w:tcPr>
            <w:tcW w:w="603" w:type="pct"/>
            <w:vMerge w:val="restart"/>
            <w:vAlign w:val="center"/>
          </w:tcPr>
          <w:p w14:paraId="51D0EA88" w14:textId="77777777" w:rsidR="007C1BDC" w:rsidRPr="00001F32" w:rsidRDefault="007C1BDC" w:rsidP="001D5C82">
            <w:pPr>
              <w:pStyle w:val="TableEntry"/>
              <w:keepNext/>
              <w:spacing w:before="0" w:after="0"/>
              <w:jc w:val="center"/>
              <w:rPr>
                <w:rFonts w:ascii="Times New Roman" w:hAnsi="Times New Roman"/>
                <w:szCs w:val="20"/>
              </w:rPr>
            </w:pPr>
          </w:p>
          <w:p w14:paraId="56C24F4D" w14:textId="77777777" w:rsidR="007C1BDC" w:rsidRPr="00001F32" w:rsidRDefault="007C1BDC" w:rsidP="001D5C82">
            <w:pPr>
              <w:pStyle w:val="TableEntry"/>
              <w:keepNext/>
              <w:spacing w:before="0" w:after="0"/>
              <w:jc w:val="center"/>
              <w:rPr>
                <w:rFonts w:ascii="Times New Roman" w:hAnsi="Times New Roman"/>
                <w:szCs w:val="20"/>
              </w:rPr>
            </w:pPr>
            <w:r w:rsidRPr="00001F32">
              <w:rPr>
                <w:rFonts w:ascii="Times New Roman" w:hAnsi="Times New Roman"/>
                <w:szCs w:val="20"/>
              </w:rPr>
              <w:t>C01050101</w:t>
            </w:r>
          </w:p>
          <w:p w14:paraId="77692C63" w14:textId="77777777" w:rsidR="007C1BDC" w:rsidRPr="00001F32" w:rsidRDefault="007C1BDC" w:rsidP="001D5C82">
            <w:pPr>
              <w:pStyle w:val="TableEntry"/>
              <w:keepNext/>
              <w:spacing w:before="0" w:after="0"/>
              <w:jc w:val="center"/>
              <w:rPr>
                <w:rFonts w:ascii="Times New Roman" w:hAnsi="Times New Roman"/>
                <w:szCs w:val="20"/>
              </w:rPr>
            </w:pPr>
          </w:p>
          <w:p w14:paraId="18D8D5FE" w14:textId="77777777" w:rsidR="007C1BDC" w:rsidRPr="00001F32" w:rsidRDefault="007C1BDC" w:rsidP="001D5C82">
            <w:pPr>
              <w:pStyle w:val="TableEntry"/>
              <w:keepNext/>
              <w:spacing w:before="0" w:after="0"/>
              <w:jc w:val="center"/>
              <w:rPr>
                <w:rFonts w:ascii="Times New Roman" w:hAnsi="Times New Roman"/>
                <w:szCs w:val="20"/>
              </w:rPr>
            </w:pPr>
          </w:p>
        </w:tc>
        <w:tc>
          <w:tcPr>
            <w:tcW w:w="604" w:type="pct"/>
            <w:vMerge w:val="restart"/>
            <w:vAlign w:val="center"/>
          </w:tcPr>
          <w:p w14:paraId="519626D9" w14:textId="77777777" w:rsidR="007C1BDC" w:rsidRPr="00001F32" w:rsidRDefault="007C1BDC" w:rsidP="001D5C82">
            <w:pPr>
              <w:pStyle w:val="TableEntry"/>
              <w:keepNext/>
              <w:spacing w:before="0" w:after="0"/>
              <w:jc w:val="center"/>
              <w:rPr>
                <w:rFonts w:ascii="Times New Roman" w:hAnsi="Times New Roman"/>
                <w:szCs w:val="20"/>
              </w:rPr>
            </w:pPr>
            <w:r w:rsidRPr="00001F32">
              <w:rPr>
                <w:rFonts w:ascii="Times New Roman" w:hAnsi="Times New Roman"/>
                <w:szCs w:val="20"/>
                <w:lang w:val="pl"/>
              </w:rPr>
              <w:t xml:space="preserve">III/Zasada 8 </w:t>
            </w:r>
          </w:p>
          <w:p w14:paraId="085D27CE" w14:textId="77777777" w:rsidR="007C1BDC" w:rsidRPr="00001F32" w:rsidRDefault="007C1BDC" w:rsidP="001D5C82">
            <w:pPr>
              <w:pStyle w:val="TableEntry"/>
              <w:keepNext/>
              <w:spacing w:before="0" w:after="0"/>
              <w:jc w:val="center"/>
              <w:rPr>
                <w:rFonts w:ascii="Times New Roman" w:hAnsi="Times New Roman"/>
                <w:szCs w:val="20"/>
              </w:rPr>
            </w:pPr>
          </w:p>
        </w:tc>
        <w:tc>
          <w:tcPr>
            <w:tcW w:w="820" w:type="pct"/>
            <w:vMerge w:val="restart"/>
            <w:vAlign w:val="center"/>
          </w:tcPr>
          <w:p w14:paraId="78CCBC8F" w14:textId="77777777" w:rsidR="007C1BDC" w:rsidRPr="00001F32" w:rsidRDefault="007C1BDC" w:rsidP="001D5C82">
            <w:pPr>
              <w:pStyle w:val="TableEntry"/>
              <w:keepNext/>
              <w:spacing w:before="0" w:after="0"/>
              <w:ind w:left="-104" w:right="-105"/>
              <w:jc w:val="center"/>
              <w:rPr>
                <w:rFonts w:ascii="Times New Roman" w:hAnsi="Times New Roman"/>
                <w:szCs w:val="20"/>
              </w:rPr>
            </w:pPr>
            <w:r w:rsidRPr="00001F32">
              <w:rPr>
                <w:rFonts w:ascii="Times New Roman" w:hAnsi="Times New Roman"/>
                <w:szCs w:val="20"/>
              </w:rPr>
              <w:t>08863332800012P</w:t>
            </w:r>
          </w:p>
          <w:p w14:paraId="616AB907" w14:textId="77777777" w:rsidR="007C1BDC" w:rsidRPr="00001F32" w:rsidRDefault="007C1BDC" w:rsidP="001D5C82">
            <w:pPr>
              <w:pStyle w:val="TableEntry"/>
              <w:keepNext/>
              <w:spacing w:before="0" w:after="0"/>
              <w:rPr>
                <w:rFonts w:ascii="Times New Roman" w:hAnsi="Times New Roman"/>
                <w:szCs w:val="20"/>
              </w:rPr>
            </w:pPr>
          </w:p>
        </w:tc>
        <w:tc>
          <w:tcPr>
            <w:tcW w:w="862" w:type="pct"/>
          </w:tcPr>
          <w:p w14:paraId="56491DC7" w14:textId="77777777" w:rsidR="007C1BDC" w:rsidRPr="00001F32"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001F32" w:rsidRDefault="007C1BDC" w:rsidP="001D5C82">
            <w:pPr>
              <w:pStyle w:val="TableEntry"/>
              <w:keepNext/>
              <w:tabs>
                <w:tab w:val="left" w:pos="90"/>
              </w:tabs>
              <w:spacing w:before="0" w:after="0"/>
              <w:ind w:right="-90"/>
              <w:rPr>
                <w:rFonts w:ascii="Times New Roman" w:hAnsi="Times New Roman"/>
                <w:szCs w:val="20"/>
              </w:rPr>
            </w:pPr>
            <w:r w:rsidRPr="00001F32">
              <w:rPr>
                <w:rFonts w:ascii="Times New Roman" w:hAnsi="Times New Roman"/>
                <w:szCs w:val="20"/>
              </w:rPr>
              <w:t>00886333217151</w:t>
            </w:r>
          </w:p>
          <w:p w14:paraId="2F5DA352" w14:textId="77777777" w:rsidR="007C1BDC" w:rsidRPr="00001F32" w:rsidRDefault="007C1BDC" w:rsidP="001D5C82">
            <w:pPr>
              <w:spacing w:after="0" w:afterAutospacing="0"/>
              <w:jc w:val="center"/>
              <w:rPr>
                <w:rFonts w:cs="Times New Roman"/>
                <w:sz w:val="20"/>
                <w:szCs w:val="20"/>
              </w:rPr>
            </w:pPr>
          </w:p>
        </w:tc>
      </w:tr>
      <w:tr w:rsidR="007C1BDC" w:rsidRPr="00001F32" w14:paraId="1BE3C70F" w14:textId="77777777" w:rsidTr="00673978">
        <w:trPr>
          <w:jc w:val="left"/>
        </w:trPr>
        <w:tc>
          <w:tcPr>
            <w:tcW w:w="954" w:type="pct"/>
            <w:vAlign w:val="center"/>
          </w:tcPr>
          <w:p w14:paraId="1D630384" w14:textId="77777777" w:rsidR="007C1BDC" w:rsidRPr="00001F32" w:rsidRDefault="007C1BDC" w:rsidP="001D5C82">
            <w:pPr>
              <w:pStyle w:val="TableEntry"/>
              <w:keepNext/>
              <w:spacing w:before="0" w:after="0"/>
              <w:jc w:val="center"/>
              <w:rPr>
                <w:rFonts w:ascii="Times New Roman" w:hAnsi="Times New Roman"/>
                <w:szCs w:val="20"/>
                <w:lang w:val="pl-PL"/>
              </w:rPr>
            </w:pPr>
            <w:r w:rsidRPr="00001F32">
              <w:rPr>
                <w:rFonts w:ascii="Times New Roman" w:hAnsi="Times New Roman"/>
                <w:szCs w:val="20"/>
                <w:lang w:val="pl"/>
              </w:rPr>
              <w:t>System usuwalnego filtra do żyły głównej Option Elite (100 cm)</w:t>
            </w:r>
          </w:p>
        </w:tc>
        <w:tc>
          <w:tcPr>
            <w:tcW w:w="725" w:type="pct"/>
            <w:vAlign w:val="center"/>
          </w:tcPr>
          <w:p w14:paraId="7A8AA3BC" w14:textId="77777777" w:rsidR="007C1BDC" w:rsidRPr="00001F32" w:rsidRDefault="007C1BDC" w:rsidP="001D5C82">
            <w:pPr>
              <w:pStyle w:val="TableEntry"/>
              <w:keepNext/>
              <w:spacing w:before="0" w:after="0"/>
              <w:jc w:val="center"/>
              <w:rPr>
                <w:rFonts w:ascii="Times New Roman" w:hAnsi="Times New Roman"/>
                <w:szCs w:val="20"/>
                <w:lang w:val="pl-PL"/>
              </w:rPr>
            </w:pPr>
            <w:r w:rsidRPr="00001F32">
              <w:rPr>
                <w:rFonts w:ascii="Times New Roman" w:hAnsi="Times New Roman"/>
                <w:szCs w:val="20"/>
                <w:lang w:val="pl-PL"/>
              </w:rPr>
              <w:t>352506100E</w:t>
            </w:r>
          </w:p>
        </w:tc>
        <w:tc>
          <w:tcPr>
            <w:tcW w:w="431" w:type="pct"/>
            <w:vMerge/>
            <w:vAlign w:val="center"/>
          </w:tcPr>
          <w:p w14:paraId="33B859C2" w14:textId="77777777" w:rsidR="007C1BDC" w:rsidRPr="00001F32" w:rsidRDefault="007C1BDC" w:rsidP="001D5C82">
            <w:pPr>
              <w:pStyle w:val="TableEntry"/>
              <w:keepNext/>
              <w:spacing w:before="0" w:after="0"/>
              <w:jc w:val="center"/>
              <w:rPr>
                <w:rFonts w:ascii="Times New Roman" w:hAnsi="Times New Roman"/>
                <w:szCs w:val="20"/>
                <w:lang w:val="pl-PL"/>
              </w:rPr>
            </w:pPr>
          </w:p>
        </w:tc>
        <w:tc>
          <w:tcPr>
            <w:tcW w:w="603" w:type="pct"/>
            <w:vMerge/>
            <w:vAlign w:val="center"/>
          </w:tcPr>
          <w:p w14:paraId="4258480F" w14:textId="77777777" w:rsidR="007C1BDC" w:rsidRPr="00001F32" w:rsidRDefault="007C1BDC" w:rsidP="001D5C82">
            <w:pPr>
              <w:pStyle w:val="TableEntry"/>
              <w:keepNext/>
              <w:spacing w:before="0" w:after="0"/>
              <w:jc w:val="center"/>
              <w:rPr>
                <w:rFonts w:ascii="Times New Roman" w:hAnsi="Times New Roman"/>
                <w:szCs w:val="20"/>
                <w:lang w:val="pl-PL"/>
              </w:rPr>
            </w:pPr>
          </w:p>
        </w:tc>
        <w:tc>
          <w:tcPr>
            <w:tcW w:w="604" w:type="pct"/>
            <w:vMerge/>
            <w:vAlign w:val="center"/>
          </w:tcPr>
          <w:p w14:paraId="4FD14675" w14:textId="77777777" w:rsidR="007C1BDC" w:rsidRPr="00001F32" w:rsidRDefault="007C1BDC" w:rsidP="001D5C82">
            <w:pPr>
              <w:pStyle w:val="TableEntry"/>
              <w:keepNext/>
              <w:spacing w:before="0" w:after="0"/>
              <w:jc w:val="center"/>
              <w:rPr>
                <w:rFonts w:ascii="Times New Roman" w:hAnsi="Times New Roman"/>
                <w:szCs w:val="20"/>
                <w:lang w:val="pl-PL"/>
              </w:rPr>
            </w:pPr>
          </w:p>
        </w:tc>
        <w:tc>
          <w:tcPr>
            <w:tcW w:w="820" w:type="pct"/>
            <w:vMerge/>
            <w:vAlign w:val="center"/>
          </w:tcPr>
          <w:p w14:paraId="2A88DCA2" w14:textId="77777777" w:rsidR="007C1BDC" w:rsidRPr="00001F32" w:rsidRDefault="007C1BDC" w:rsidP="001D5C82">
            <w:pPr>
              <w:pStyle w:val="TableEntry"/>
              <w:keepNext/>
              <w:spacing w:before="0" w:after="0"/>
              <w:jc w:val="center"/>
              <w:rPr>
                <w:rFonts w:ascii="Times New Roman" w:hAnsi="Times New Roman"/>
                <w:szCs w:val="20"/>
                <w:lang w:val="pl-PL"/>
              </w:rPr>
            </w:pPr>
          </w:p>
        </w:tc>
        <w:tc>
          <w:tcPr>
            <w:tcW w:w="862" w:type="pct"/>
          </w:tcPr>
          <w:p w14:paraId="5F84FC6E" w14:textId="77777777" w:rsidR="007C1BDC" w:rsidRPr="00001F32" w:rsidRDefault="007C1BDC" w:rsidP="001D5C82">
            <w:pPr>
              <w:spacing w:after="0" w:afterAutospacing="0"/>
              <w:jc w:val="center"/>
              <w:rPr>
                <w:rFonts w:cs="Times New Roman"/>
                <w:sz w:val="20"/>
                <w:szCs w:val="20"/>
                <w:lang w:val="pl-PL"/>
              </w:rPr>
            </w:pPr>
          </w:p>
          <w:p w14:paraId="0BD4F00A" w14:textId="77777777" w:rsidR="007C1BDC" w:rsidRPr="00001F32" w:rsidRDefault="007C1BDC" w:rsidP="001D5C82">
            <w:pPr>
              <w:spacing w:after="0" w:afterAutospacing="0"/>
              <w:jc w:val="center"/>
              <w:rPr>
                <w:rFonts w:cs="Times New Roman"/>
                <w:sz w:val="20"/>
                <w:szCs w:val="20"/>
                <w:lang w:val="pl-PL"/>
              </w:rPr>
            </w:pPr>
            <w:r w:rsidRPr="00001F32">
              <w:rPr>
                <w:rFonts w:cs="Times New Roman"/>
                <w:sz w:val="20"/>
                <w:szCs w:val="20"/>
                <w:lang w:val="pl-PL"/>
              </w:rPr>
              <w:t>00886333222346</w:t>
            </w:r>
          </w:p>
          <w:p w14:paraId="03096E94" w14:textId="77777777" w:rsidR="007C1BDC" w:rsidRPr="00001F32" w:rsidRDefault="007C1BDC" w:rsidP="001D5C82">
            <w:pPr>
              <w:pStyle w:val="TableEntry"/>
              <w:keepNext/>
              <w:spacing w:before="0" w:after="0"/>
              <w:jc w:val="center"/>
              <w:rPr>
                <w:rFonts w:ascii="Times New Roman" w:hAnsi="Times New Roman"/>
                <w:szCs w:val="20"/>
                <w:lang w:val="pl-PL"/>
              </w:rPr>
            </w:pPr>
          </w:p>
        </w:tc>
      </w:tr>
      <w:bookmarkEnd w:id="3"/>
      <w:bookmarkEnd w:id="4"/>
    </w:tbl>
    <w:p w14:paraId="2DAE4D4B" w14:textId="77777777" w:rsidR="00AA2E04" w:rsidRPr="00001F32" w:rsidRDefault="00AA2E04" w:rsidP="007C1BDC">
      <w:pPr>
        <w:pStyle w:val="Heading1"/>
        <w:numPr>
          <w:ilvl w:val="0"/>
          <w:numId w:val="0"/>
        </w:numPr>
        <w:rPr>
          <w:rFonts w:cs="Times New Roman"/>
          <w:color w:val="auto"/>
          <w:lang w:val="pl-PL"/>
        </w:rPr>
      </w:pPr>
    </w:p>
    <w:p w14:paraId="4B18C73D" w14:textId="5D96690F" w:rsidR="009855C3" w:rsidRPr="00001F32" w:rsidRDefault="009855C3" w:rsidP="00042B91">
      <w:pPr>
        <w:pStyle w:val="Heading1"/>
        <w:rPr>
          <w:rFonts w:cs="Times New Roman"/>
          <w:color w:val="auto"/>
          <w:lang w:val="pl-PL"/>
        </w:rPr>
      </w:pPr>
      <w:bookmarkStart w:id="5" w:name="_Toc240532188"/>
      <w:r w:rsidRPr="00001F32">
        <w:rPr>
          <w:rFonts w:cs="Times New Roman"/>
          <w:bCs/>
          <w:color w:val="auto"/>
          <w:lang w:val="pl"/>
        </w:rPr>
        <w:t>Rok wydania pierwszego certyfikatu (CE) obejmującego wyrób</w:t>
      </w:r>
      <w:bookmarkEnd w:id="5"/>
    </w:p>
    <w:p w14:paraId="57C04B49" w14:textId="77777777" w:rsidR="001E7BAC" w:rsidRPr="00001F32" w:rsidRDefault="001E7BAC">
      <w:pPr>
        <w:spacing w:after="0" w:afterAutospacing="0"/>
        <w:rPr>
          <w:rFonts w:cs="Times New Roman"/>
          <w:kern w:val="2"/>
          <w:szCs w:val="24"/>
          <w:lang w:val="pl-PL"/>
          <w14:ligatures w14:val="standardContextual"/>
        </w:rPr>
      </w:pPr>
      <w:r w:rsidRPr="00001F32">
        <w:rPr>
          <w:rFonts w:cs="Times New Roman"/>
          <w:lang w:val="pl"/>
        </w:rPr>
        <w:t>System usuwalnego filtra do żyły głównej Option ELITE po raz pierwszy otrzymał oznaczenie CE w Europie w czerwcu 2016 r. zgodnie z dyrektywą 93/42/EWG i jest uważany za urządzenie starszej generacji.</w:t>
      </w:r>
    </w:p>
    <w:p w14:paraId="4A54B62E" w14:textId="77777777" w:rsidR="00ED2AD5" w:rsidRPr="00001F32" w:rsidRDefault="00ED2AD5" w:rsidP="00042B91">
      <w:pPr>
        <w:spacing w:after="0" w:afterAutospacing="0" w:line="240" w:lineRule="auto"/>
        <w:rPr>
          <w:rFonts w:cs="Times New Roman"/>
          <w:lang w:val="pl-PL"/>
        </w:rPr>
      </w:pPr>
    </w:p>
    <w:p w14:paraId="10A04209" w14:textId="6E495C1B" w:rsidR="009855C3" w:rsidRPr="00001F32" w:rsidRDefault="009855C3" w:rsidP="00042B91">
      <w:pPr>
        <w:pStyle w:val="Heading1"/>
        <w:rPr>
          <w:rFonts w:cs="Times New Roman"/>
          <w:color w:val="auto"/>
          <w:lang w:val="it-IT"/>
        </w:rPr>
      </w:pPr>
      <w:r w:rsidRPr="00001F32">
        <w:rPr>
          <w:rFonts w:cs="Times New Roman"/>
          <w:bCs/>
          <w:color w:val="auto"/>
          <w:lang w:val="pl"/>
        </w:rPr>
        <w:t xml:space="preserve"> </w:t>
      </w:r>
      <w:bookmarkStart w:id="6" w:name="_Toc240532189"/>
      <w:r w:rsidRPr="00001F32">
        <w:rPr>
          <w:rFonts w:cs="Times New Roman"/>
          <w:bCs/>
          <w:color w:val="auto"/>
          <w:lang w:val="pl"/>
        </w:rPr>
        <w:t>Nazwa, adres i numer SRN producenta</w:t>
      </w:r>
      <w:bookmarkEnd w:id="6"/>
    </w:p>
    <w:tbl>
      <w:tblPr>
        <w:tblStyle w:val="TableGrid1"/>
        <w:tblW w:w="5000" w:type="pct"/>
        <w:tblLook w:val="04A0" w:firstRow="1" w:lastRow="0" w:firstColumn="1" w:lastColumn="0" w:noHBand="0" w:noVBand="1"/>
      </w:tblPr>
      <w:tblGrid>
        <w:gridCol w:w="4946"/>
        <w:gridCol w:w="5484"/>
      </w:tblGrid>
      <w:tr w:rsidR="00073095" w:rsidRPr="00001F32" w14:paraId="72727275" w14:textId="77777777" w:rsidTr="00673978">
        <w:tc>
          <w:tcPr>
            <w:tcW w:w="5000" w:type="pct"/>
            <w:gridSpan w:val="2"/>
            <w:shd w:val="clear" w:color="auto" w:fill="D9D9D9" w:themeFill="background1" w:themeFillShade="D9"/>
          </w:tcPr>
          <w:p w14:paraId="20839186" w14:textId="77777777" w:rsidR="00073095" w:rsidRPr="00001F32" w:rsidRDefault="00073095" w:rsidP="00673978">
            <w:pPr>
              <w:spacing w:after="0" w:afterAutospacing="0"/>
              <w:jc w:val="center"/>
              <w:rPr>
                <w:b/>
                <w:bCs/>
                <w:szCs w:val="24"/>
              </w:rPr>
            </w:pPr>
            <w:r w:rsidRPr="00001F32">
              <w:rPr>
                <w:b/>
                <w:bCs/>
                <w:szCs w:val="24"/>
                <w:lang w:val="pl"/>
              </w:rPr>
              <w:t>Dane producenta</w:t>
            </w:r>
          </w:p>
        </w:tc>
      </w:tr>
      <w:tr w:rsidR="00073095" w:rsidRPr="00001F32" w14:paraId="77333DD2" w14:textId="77777777" w:rsidTr="00001F32">
        <w:trPr>
          <w:trHeight w:val="489"/>
        </w:trPr>
        <w:tc>
          <w:tcPr>
            <w:tcW w:w="2371" w:type="pct"/>
          </w:tcPr>
          <w:p w14:paraId="2B9DD5DC" w14:textId="77777777" w:rsidR="00073095" w:rsidRPr="00001F32" w:rsidRDefault="00073095" w:rsidP="00673978">
            <w:pPr>
              <w:spacing w:after="0" w:afterAutospacing="0"/>
              <w:jc w:val="both"/>
              <w:rPr>
                <w:spacing w:val="-5"/>
                <w:szCs w:val="24"/>
              </w:rPr>
            </w:pPr>
            <w:proofErr w:type="spellStart"/>
            <w:r w:rsidRPr="00001F32">
              <w:rPr>
                <w:szCs w:val="24"/>
              </w:rPr>
              <w:t>Numer</w:t>
            </w:r>
            <w:proofErr w:type="spellEnd"/>
            <w:r w:rsidRPr="00001F32">
              <w:rPr>
                <w:szCs w:val="24"/>
              </w:rPr>
              <w:t xml:space="preserve"> SRN </w:t>
            </w:r>
            <w:proofErr w:type="spellStart"/>
            <w:r w:rsidRPr="00001F32">
              <w:rPr>
                <w:szCs w:val="24"/>
              </w:rPr>
              <w:t>producenta</w:t>
            </w:r>
            <w:proofErr w:type="spellEnd"/>
            <w:r w:rsidRPr="00001F32">
              <w:rPr>
                <w:szCs w:val="24"/>
              </w:rPr>
              <w:t>: US-MF-000002324</w:t>
            </w:r>
          </w:p>
        </w:tc>
        <w:tc>
          <w:tcPr>
            <w:tcW w:w="2629" w:type="pct"/>
          </w:tcPr>
          <w:p w14:paraId="61222D5D" w14:textId="77777777" w:rsidR="00073095" w:rsidRPr="00001F32" w:rsidRDefault="00073095" w:rsidP="00673978">
            <w:pPr>
              <w:spacing w:after="0" w:afterAutospacing="0"/>
              <w:rPr>
                <w:szCs w:val="24"/>
              </w:rPr>
            </w:pPr>
            <w:r w:rsidRPr="00001F32">
              <w:rPr>
                <w:szCs w:val="24"/>
                <w:lang w:val="pl"/>
              </w:rPr>
              <w:t>Nazwa producenta: Argon Medical Devices, Inc.</w:t>
            </w:r>
          </w:p>
        </w:tc>
      </w:tr>
      <w:tr w:rsidR="00073095" w:rsidRPr="00001F32" w14:paraId="7C59C028" w14:textId="77777777" w:rsidTr="00001F32">
        <w:trPr>
          <w:trHeight w:val="525"/>
        </w:trPr>
        <w:tc>
          <w:tcPr>
            <w:tcW w:w="2371" w:type="pct"/>
          </w:tcPr>
          <w:p w14:paraId="03D796DB" w14:textId="77777777" w:rsidR="00073095" w:rsidRPr="00001F32" w:rsidRDefault="00073095" w:rsidP="00673978">
            <w:pPr>
              <w:spacing w:after="0" w:afterAutospacing="0"/>
              <w:jc w:val="both"/>
              <w:rPr>
                <w:spacing w:val="-2"/>
                <w:szCs w:val="24"/>
                <w:lang w:val="pl-PL"/>
              </w:rPr>
            </w:pPr>
            <w:r w:rsidRPr="00001F32">
              <w:rPr>
                <w:szCs w:val="24"/>
                <w:lang w:val="pl"/>
              </w:rPr>
              <w:t>Imię i nazwisko osoby kontaktowej: Scott Bishop</w:t>
            </w:r>
          </w:p>
        </w:tc>
        <w:tc>
          <w:tcPr>
            <w:tcW w:w="2629" w:type="pct"/>
          </w:tcPr>
          <w:p w14:paraId="54528233" w14:textId="0F5F7B16" w:rsidR="00073095" w:rsidRPr="00001F32" w:rsidRDefault="00073095" w:rsidP="00001F32">
            <w:pPr>
              <w:widowControl w:val="0"/>
              <w:autoSpaceDE w:val="0"/>
              <w:autoSpaceDN w:val="0"/>
              <w:spacing w:before="42" w:after="0" w:afterAutospacing="0"/>
              <w:rPr>
                <w:szCs w:val="24"/>
                <w:lang w:val="pt-PT"/>
              </w:rPr>
            </w:pPr>
            <w:r w:rsidRPr="00001F32">
              <w:rPr>
                <w:szCs w:val="24"/>
                <w:lang w:val="pt-PT"/>
              </w:rPr>
              <w:t>E-mail:</w:t>
            </w:r>
            <w:r w:rsidRPr="00001F32">
              <w:rPr>
                <w:sz w:val="22"/>
                <w:lang w:val="pt-PT"/>
              </w:rPr>
              <w:t xml:space="preserve"> </w:t>
            </w:r>
            <w:hyperlink r:id="rId7" w:history="1">
              <w:r w:rsidRPr="00001F32">
                <w:rPr>
                  <w:szCs w:val="24"/>
                  <w:u w:val="single"/>
                  <w:lang w:val="pt-PT"/>
                </w:rPr>
                <w:t>RegCompliance@argonmedical.com</w:t>
              </w:r>
            </w:hyperlink>
          </w:p>
        </w:tc>
      </w:tr>
      <w:tr w:rsidR="00073095" w:rsidRPr="00001F32" w14:paraId="33682D6A" w14:textId="77777777" w:rsidTr="00001F32">
        <w:trPr>
          <w:trHeight w:val="525"/>
        </w:trPr>
        <w:tc>
          <w:tcPr>
            <w:tcW w:w="2371" w:type="pct"/>
          </w:tcPr>
          <w:p w14:paraId="1A2DBDD6" w14:textId="77777777" w:rsidR="00073095" w:rsidRPr="00001F32" w:rsidRDefault="00073095" w:rsidP="00673978">
            <w:pPr>
              <w:widowControl w:val="0"/>
              <w:autoSpaceDE w:val="0"/>
              <w:autoSpaceDN w:val="0"/>
              <w:spacing w:before="42" w:after="0" w:afterAutospacing="0"/>
              <w:rPr>
                <w:spacing w:val="-2"/>
                <w:szCs w:val="24"/>
              </w:rPr>
            </w:pPr>
            <w:r w:rsidRPr="00001F32">
              <w:rPr>
                <w:szCs w:val="24"/>
                <w:lang w:val="pl"/>
              </w:rPr>
              <w:t>Numer telefonu: 903.675.9321</w:t>
            </w:r>
          </w:p>
        </w:tc>
        <w:tc>
          <w:tcPr>
            <w:tcW w:w="2629" w:type="pct"/>
          </w:tcPr>
          <w:p w14:paraId="67D88598" w14:textId="77777777" w:rsidR="00073095" w:rsidRPr="00001F32" w:rsidRDefault="00073095" w:rsidP="00673978">
            <w:pPr>
              <w:widowControl w:val="0"/>
              <w:autoSpaceDE w:val="0"/>
              <w:autoSpaceDN w:val="0"/>
              <w:spacing w:after="0" w:afterAutospacing="0"/>
              <w:rPr>
                <w:spacing w:val="-2"/>
                <w:szCs w:val="24"/>
              </w:rPr>
            </w:pPr>
            <w:r w:rsidRPr="00001F32">
              <w:rPr>
                <w:szCs w:val="24"/>
              </w:rPr>
              <w:t>Adres:</w:t>
            </w:r>
          </w:p>
          <w:p w14:paraId="788A03AA" w14:textId="77777777" w:rsidR="00073095" w:rsidRPr="00001F32" w:rsidRDefault="00073095" w:rsidP="00673978">
            <w:pPr>
              <w:widowControl w:val="0"/>
              <w:autoSpaceDE w:val="0"/>
              <w:autoSpaceDN w:val="0"/>
              <w:spacing w:after="0" w:afterAutospacing="0"/>
              <w:rPr>
                <w:spacing w:val="-2"/>
                <w:szCs w:val="24"/>
              </w:rPr>
            </w:pPr>
            <w:r w:rsidRPr="00001F32">
              <w:rPr>
                <w:szCs w:val="24"/>
              </w:rPr>
              <w:t>1445 Flat Creek Rd.</w:t>
            </w:r>
          </w:p>
          <w:p w14:paraId="61BB7CBA" w14:textId="77777777" w:rsidR="00073095" w:rsidRPr="00001F32" w:rsidRDefault="00073095" w:rsidP="00673978">
            <w:pPr>
              <w:widowControl w:val="0"/>
              <w:autoSpaceDE w:val="0"/>
              <w:autoSpaceDN w:val="0"/>
              <w:spacing w:after="0" w:afterAutospacing="0"/>
              <w:rPr>
                <w:spacing w:val="-2"/>
                <w:szCs w:val="24"/>
              </w:rPr>
            </w:pPr>
            <w:r w:rsidRPr="00001F32">
              <w:rPr>
                <w:szCs w:val="24"/>
              </w:rPr>
              <w:t>Athens, Texas 75751</w:t>
            </w:r>
          </w:p>
          <w:p w14:paraId="70ACE207" w14:textId="77777777" w:rsidR="00073095" w:rsidRPr="00001F32" w:rsidRDefault="00073095" w:rsidP="00673978">
            <w:pPr>
              <w:widowControl w:val="0"/>
              <w:autoSpaceDE w:val="0"/>
              <w:autoSpaceDN w:val="0"/>
              <w:spacing w:after="0" w:afterAutospacing="0"/>
              <w:rPr>
                <w:spacing w:val="-2"/>
                <w:szCs w:val="24"/>
              </w:rPr>
            </w:pPr>
            <w:r w:rsidRPr="00001F32">
              <w:rPr>
                <w:szCs w:val="24"/>
                <w:lang w:val="pl"/>
              </w:rPr>
              <w:t>USA</w:t>
            </w:r>
          </w:p>
        </w:tc>
      </w:tr>
    </w:tbl>
    <w:p w14:paraId="6EA52BDE" w14:textId="5D01B775" w:rsidR="009855C3" w:rsidRPr="00001F32" w:rsidRDefault="00887E5D" w:rsidP="00042B91">
      <w:pPr>
        <w:pStyle w:val="Heading1"/>
        <w:rPr>
          <w:rFonts w:cs="Times New Roman"/>
          <w:color w:val="auto"/>
          <w:lang w:val="pl-PL"/>
        </w:rPr>
      </w:pPr>
      <w:bookmarkStart w:id="7" w:name="_Toc240532190"/>
      <w:r w:rsidRPr="00001F32">
        <w:rPr>
          <w:rFonts w:cs="Times New Roman"/>
          <w:bCs/>
          <w:color w:val="auto"/>
          <w:lang w:val="pl"/>
        </w:rPr>
        <w:lastRenderedPageBreak/>
        <w:t>Nazwa upoważnionego przedstawiciela i indywidualny numer rejestracyjny</w:t>
      </w:r>
      <w:bookmarkEnd w:id="7"/>
    </w:p>
    <w:tbl>
      <w:tblPr>
        <w:tblStyle w:val="TableGrid2"/>
        <w:tblW w:w="5000" w:type="pct"/>
        <w:tblLook w:val="04A0" w:firstRow="1" w:lastRow="0" w:firstColumn="1" w:lastColumn="0" w:noHBand="0" w:noVBand="1"/>
      </w:tblPr>
      <w:tblGrid>
        <w:gridCol w:w="4675"/>
        <w:gridCol w:w="5755"/>
      </w:tblGrid>
      <w:tr w:rsidR="00822A60" w:rsidRPr="00001F32" w14:paraId="3DBDEBA3" w14:textId="77777777" w:rsidTr="00673978">
        <w:tc>
          <w:tcPr>
            <w:tcW w:w="5000" w:type="pct"/>
            <w:gridSpan w:val="2"/>
            <w:shd w:val="clear" w:color="auto" w:fill="D9D9D9" w:themeFill="background1" w:themeFillShade="D9"/>
          </w:tcPr>
          <w:p w14:paraId="171FE5C1" w14:textId="77777777" w:rsidR="00822A60" w:rsidRPr="00001F32" w:rsidRDefault="00822A60" w:rsidP="00673978">
            <w:pPr>
              <w:spacing w:after="0" w:afterAutospacing="0"/>
              <w:jc w:val="center"/>
              <w:rPr>
                <w:b/>
                <w:bCs/>
                <w:szCs w:val="24"/>
              </w:rPr>
            </w:pPr>
            <w:r w:rsidRPr="00001F32">
              <w:rPr>
                <w:b/>
                <w:bCs/>
                <w:szCs w:val="24"/>
                <w:lang w:val="pl"/>
              </w:rPr>
              <w:t>Informacje o upoważnionym przedstawicielu</w:t>
            </w:r>
          </w:p>
        </w:tc>
      </w:tr>
      <w:tr w:rsidR="00822A60" w:rsidRPr="00001F32" w14:paraId="46680F2F" w14:textId="77777777" w:rsidTr="00673978">
        <w:trPr>
          <w:trHeight w:val="489"/>
        </w:trPr>
        <w:tc>
          <w:tcPr>
            <w:tcW w:w="2241" w:type="pct"/>
          </w:tcPr>
          <w:p w14:paraId="3A05B3D7" w14:textId="77777777" w:rsidR="00822A60" w:rsidRPr="00001F32" w:rsidRDefault="00822A60" w:rsidP="00673978">
            <w:pPr>
              <w:spacing w:after="0" w:afterAutospacing="0"/>
              <w:jc w:val="both"/>
              <w:rPr>
                <w:spacing w:val="-5"/>
                <w:szCs w:val="24"/>
              </w:rPr>
            </w:pPr>
            <w:r w:rsidRPr="00001F32">
              <w:rPr>
                <w:szCs w:val="24"/>
                <w:lang w:val="pl"/>
              </w:rPr>
              <w:t>SRN: NL-AR-000000116</w:t>
            </w:r>
          </w:p>
        </w:tc>
        <w:tc>
          <w:tcPr>
            <w:tcW w:w="2759" w:type="pct"/>
          </w:tcPr>
          <w:p w14:paraId="07D120F7" w14:textId="77777777" w:rsidR="00822A60" w:rsidRPr="00001F32" w:rsidRDefault="00822A60" w:rsidP="00673978">
            <w:pPr>
              <w:widowControl w:val="0"/>
              <w:autoSpaceDE w:val="0"/>
              <w:autoSpaceDN w:val="0"/>
              <w:spacing w:before="119" w:after="0" w:afterAutospacing="0"/>
              <w:rPr>
                <w:bCs/>
                <w:szCs w:val="24"/>
                <w:lang w:val="it-IT"/>
              </w:rPr>
            </w:pPr>
            <w:r w:rsidRPr="00001F32">
              <w:rPr>
                <w:szCs w:val="24"/>
                <w:lang w:val="pl"/>
              </w:rPr>
              <w:t>Nazwa organizacji upoważnionego przedstawiciela:</w:t>
            </w:r>
          </w:p>
          <w:p w14:paraId="7CEA5FBF" w14:textId="77777777" w:rsidR="00822A60" w:rsidRPr="00001F32" w:rsidRDefault="00822A60" w:rsidP="00673978">
            <w:pPr>
              <w:spacing w:after="0" w:afterAutospacing="0"/>
              <w:rPr>
                <w:szCs w:val="24"/>
                <w:lang w:val="it-IT"/>
              </w:rPr>
            </w:pPr>
            <w:r w:rsidRPr="00001F32">
              <w:rPr>
                <w:szCs w:val="24"/>
                <w:lang w:val="pl"/>
              </w:rPr>
              <w:t>Emergo Europe</w:t>
            </w:r>
          </w:p>
        </w:tc>
      </w:tr>
      <w:tr w:rsidR="00822A60" w:rsidRPr="00001F32" w14:paraId="517BBC08" w14:textId="77777777" w:rsidTr="00673978">
        <w:trPr>
          <w:trHeight w:val="525"/>
        </w:trPr>
        <w:tc>
          <w:tcPr>
            <w:tcW w:w="2241" w:type="pct"/>
          </w:tcPr>
          <w:p w14:paraId="211B4E06" w14:textId="77777777" w:rsidR="00822A60" w:rsidRPr="00001F32" w:rsidRDefault="00822A60" w:rsidP="00673978">
            <w:pPr>
              <w:spacing w:after="0" w:afterAutospacing="0"/>
              <w:jc w:val="both"/>
              <w:rPr>
                <w:spacing w:val="-2"/>
                <w:szCs w:val="24"/>
              </w:rPr>
            </w:pPr>
            <w:r w:rsidRPr="00001F32">
              <w:rPr>
                <w:szCs w:val="24"/>
                <w:lang w:val="pl"/>
              </w:rPr>
              <w:t>Dane kontaktowe: Vigilance Team</w:t>
            </w:r>
          </w:p>
        </w:tc>
        <w:tc>
          <w:tcPr>
            <w:tcW w:w="2759" w:type="pct"/>
          </w:tcPr>
          <w:p w14:paraId="2F8D0EC1" w14:textId="77777777" w:rsidR="00822A60" w:rsidRPr="00001F32" w:rsidRDefault="00822A60" w:rsidP="00673978">
            <w:pPr>
              <w:widowControl w:val="0"/>
              <w:autoSpaceDE w:val="0"/>
              <w:autoSpaceDN w:val="0"/>
              <w:spacing w:before="39" w:after="0" w:afterAutospacing="0"/>
              <w:rPr>
                <w:spacing w:val="-2"/>
                <w:szCs w:val="24"/>
                <w:lang w:val="it-IT"/>
              </w:rPr>
            </w:pPr>
            <w:r w:rsidRPr="00001F32">
              <w:rPr>
                <w:szCs w:val="24"/>
                <w:lang w:val="pt-PT"/>
              </w:rPr>
              <w:t xml:space="preserve">E-mail: </w:t>
            </w:r>
            <w:r w:rsidRPr="00001F32">
              <w:fldChar w:fldCharType="begin"/>
            </w:r>
            <w:r w:rsidRPr="00001F32">
              <w:rPr>
                <w:lang w:val="pt-PT"/>
              </w:rPr>
              <w:instrText>HYPERLINK "mailto:EmergoVigilance@ul.com"</w:instrText>
            </w:r>
            <w:r w:rsidRPr="00001F32">
              <w:fldChar w:fldCharType="separate"/>
            </w:r>
            <w:r w:rsidRPr="00001F32">
              <w:rPr>
                <w:szCs w:val="24"/>
                <w:u w:val="single"/>
                <w:lang w:val="pt-PT"/>
              </w:rPr>
              <w:t>EmergoVigilance@ul.com</w:t>
            </w:r>
            <w:r w:rsidRPr="00001F32">
              <w:fldChar w:fldCharType="end"/>
            </w:r>
          </w:p>
        </w:tc>
      </w:tr>
      <w:tr w:rsidR="00822A60" w:rsidRPr="00001F32" w14:paraId="2B0FE335" w14:textId="77777777" w:rsidTr="00673978">
        <w:trPr>
          <w:trHeight w:val="525"/>
        </w:trPr>
        <w:tc>
          <w:tcPr>
            <w:tcW w:w="2241" w:type="pct"/>
          </w:tcPr>
          <w:p w14:paraId="12E96869" w14:textId="77777777" w:rsidR="00822A60" w:rsidRPr="00001F32" w:rsidRDefault="00822A60" w:rsidP="00673978">
            <w:pPr>
              <w:widowControl w:val="0"/>
              <w:autoSpaceDE w:val="0"/>
              <w:autoSpaceDN w:val="0"/>
              <w:spacing w:before="42" w:after="0" w:afterAutospacing="0"/>
              <w:rPr>
                <w:spacing w:val="-2"/>
                <w:szCs w:val="24"/>
              </w:rPr>
            </w:pPr>
            <w:r w:rsidRPr="00001F32">
              <w:rPr>
                <w:szCs w:val="24"/>
                <w:lang w:val="pl"/>
              </w:rPr>
              <w:t>Numer telefonu: +31.70.345.8570</w:t>
            </w:r>
          </w:p>
          <w:p w14:paraId="1F572E08" w14:textId="77777777" w:rsidR="00822A60" w:rsidRPr="00001F32" w:rsidRDefault="00822A60" w:rsidP="00673978">
            <w:pPr>
              <w:widowControl w:val="0"/>
              <w:autoSpaceDE w:val="0"/>
              <w:autoSpaceDN w:val="0"/>
              <w:spacing w:before="42" w:after="0" w:afterAutospacing="0"/>
              <w:rPr>
                <w:spacing w:val="-2"/>
                <w:szCs w:val="24"/>
              </w:rPr>
            </w:pPr>
            <w:r w:rsidRPr="00001F32">
              <w:rPr>
                <w:szCs w:val="24"/>
                <w:lang w:val="pl"/>
              </w:rPr>
              <w:t>Faks:+31 (0)70 346 7299</w:t>
            </w:r>
          </w:p>
        </w:tc>
        <w:tc>
          <w:tcPr>
            <w:tcW w:w="2759" w:type="pct"/>
          </w:tcPr>
          <w:p w14:paraId="6E8DB0FC" w14:textId="77777777" w:rsidR="00822A60" w:rsidRPr="00001F32" w:rsidRDefault="00822A60" w:rsidP="00673978">
            <w:pPr>
              <w:widowControl w:val="0"/>
              <w:autoSpaceDE w:val="0"/>
              <w:autoSpaceDN w:val="0"/>
              <w:spacing w:after="0" w:afterAutospacing="0"/>
              <w:rPr>
                <w:spacing w:val="-2"/>
                <w:szCs w:val="24"/>
                <w:lang w:val="de-DE"/>
              </w:rPr>
            </w:pPr>
            <w:r w:rsidRPr="00001F32">
              <w:rPr>
                <w:szCs w:val="24"/>
                <w:lang w:val="pl"/>
              </w:rPr>
              <w:t>Adres</w:t>
            </w:r>
          </w:p>
          <w:p w14:paraId="4CCBA9B5" w14:textId="77777777" w:rsidR="00822A60" w:rsidRPr="00001F32" w:rsidRDefault="00822A60" w:rsidP="00673978">
            <w:pPr>
              <w:widowControl w:val="0"/>
              <w:autoSpaceDE w:val="0"/>
              <w:autoSpaceDN w:val="0"/>
              <w:spacing w:after="0" w:afterAutospacing="0"/>
              <w:rPr>
                <w:spacing w:val="-2"/>
                <w:szCs w:val="24"/>
                <w:lang w:val="de-DE"/>
              </w:rPr>
            </w:pPr>
            <w:r w:rsidRPr="00001F32">
              <w:rPr>
                <w:szCs w:val="24"/>
                <w:lang w:val="pl"/>
              </w:rPr>
              <w:t>Numer i nazwa ulicy:</w:t>
            </w:r>
            <w:r w:rsidRPr="00001F32">
              <w:rPr>
                <w:sz w:val="22"/>
                <w:lang w:val="pl"/>
              </w:rPr>
              <w:t xml:space="preserve"> 60 </w:t>
            </w:r>
            <w:r w:rsidRPr="00001F32">
              <w:rPr>
                <w:szCs w:val="24"/>
                <w:lang w:val="pl"/>
              </w:rPr>
              <w:t>Westervoortsedijk</w:t>
            </w:r>
          </w:p>
          <w:p w14:paraId="3C3A6FD4" w14:textId="77777777" w:rsidR="00822A60" w:rsidRPr="00001F32" w:rsidRDefault="00822A60" w:rsidP="00673978">
            <w:pPr>
              <w:widowControl w:val="0"/>
              <w:autoSpaceDE w:val="0"/>
              <w:autoSpaceDN w:val="0"/>
              <w:spacing w:after="0" w:afterAutospacing="0"/>
              <w:rPr>
                <w:spacing w:val="-2"/>
                <w:szCs w:val="24"/>
                <w:lang w:val="pl-PL"/>
              </w:rPr>
            </w:pPr>
            <w:r w:rsidRPr="00001F32">
              <w:rPr>
                <w:szCs w:val="24"/>
                <w:lang w:val="pl"/>
              </w:rPr>
              <w:t>Miasto: Arnhem</w:t>
            </w:r>
          </w:p>
          <w:p w14:paraId="28E0E126" w14:textId="77777777" w:rsidR="00822A60" w:rsidRPr="00001F32" w:rsidRDefault="00822A60" w:rsidP="00673978">
            <w:pPr>
              <w:widowControl w:val="0"/>
              <w:autoSpaceDE w:val="0"/>
              <w:autoSpaceDN w:val="0"/>
              <w:spacing w:after="0" w:afterAutospacing="0"/>
              <w:rPr>
                <w:spacing w:val="-2"/>
                <w:szCs w:val="24"/>
                <w:lang w:val="pl-PL"/>
              </w:rPr>
            </w:pPr>
            <w:r w:rsidRPr="00001F32">
              <w:rPr>
                <w:szCs w:val="24"/>
                <w:lang w:val="pl"/>
              </w:rPr>
              <w:t>Kod pocztowy: 6827 AT</w:t>
            </w:r>
          </w:p>
          <w:p w14:paraId="562A2D12" w14:textId="77777777" w:rsidR="00822A60" w:rsidRPr="00001F32" w:rsidRDefault="00822A60" w:rsidP="00673978">
            <w:pPr>
              <w:widowControl w:val="0"/>
              <w:autoSpaceDE w:val="0"/>
              <w:autoSpaceDN w:val="0"/>
              <w:spacing w:after="0" w:afterAutospacing="0"/>
              <w:rPr>
                <w:spacing w:val="-2"/>
                <w:szCs w:val="24"/>
                <w:lang w:val="pl-PL"/>
              </w:rPr>
            </w:pPr>
            <w:r w:rsidRPr="00001F32">
              <w:rPr>
                <w:szCs w:val="24"/>
                <w:lang w:val="pl"/>
              </w:rPr>
              <w:t>Kraj: Holandia</w:t>
            </w:r>
          </w:p>
        </w:tc>
      </w:tr>
    </w:tbl>
    <w:p w14:paraId="1624A296" w14:textId="77777777" w:rsidR="009855C3" w:rsidRPr="00001F32" w:rsidRDefault="009855C3" w:rsidP="00042B91">
      <w:pPr>
        <w:spacing w:after="0" w:afterAutospacing="0" w:line="240" w:lineRule="auto"/>
        <w:ind w:left="1440"/>
        <w:rPr>
          <w:rFonts w:cs="Times New Roman"/>
          <w:lang w:val="pl-PL"/>
        </w:rPr>
      </w:pPr>
    </w:p>
    <w:p w14:paraId="1107ED26" w14:textId="25E7F3C0" w:rsidR="009855C3" w:rsidRPr="00001F32" w:rsidRDefault="009855C3" w:rsidP="00042B91">
      <w:pPr>
        <w:pStyle w:val="Heading1"/>
        <w:rPr>
          <w:rFonts w:cs="Times New Roman"/>
          <w:color w:val="auto"/>
          <w:lang w:val="pl-PL"/>
        </w:rPr>
      </w:pPr>
      <w:bookmarkStart w:id="8" w:name="_Toc240532191"/>
      <w:r w:rsidRPr="00001F32">
        <w:rPr>
          <w:rFonts w:cs="Times New Roman"/>
          <w:bCs/>
          <w:color w:val="auto"/>
          <w:lang w:val="pl"/>
        </w:rPr>
        <w:t>Nazwa NB i pojedynczy numer identyfikacyjny</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001F32" w14:paraId="582F2989" w14:textId="77777777" w:rsidTr="00673978">
        <w:trPr>
          <w:trHeight w:val="260"/>
          <w:jc w:val="center"/>
        </w:trPr>
        <w:tc>
          <w:tcPr>
            <w:tcW w:w="5000" w:type="pct"/>
            <w:gridSpan w:val="2"/>
            <w:shd w:val="clear" w:color="auto" w:fill="D9D9D9" w:themeFill="background1" w:themeFillShade="D9"/>
          </w:tcPr>
          <w:p w14:paraId="45E0B290" w14:textId="77777777" w:rsidR="00090E96" w:rsidRPr="00001F32" w:rsidRDefault="00090E96" w:rsidP="00673978">
            <w:pPr>
              <w:suppressAutoHyphens/>
              <w:spacing w:after="0" w:afterAutospacing="0" w:line="240" w:lineRule="exact"/>
              <w:jc w:val="center"/>
              <w:rPr>
                <w:rFonts w:cs="Times New Roman"/>
                <w:szCs w:val="24"/>
              </w:rPr>
            </w:pPr>
            <w:r w:rsidRPr="00001F32">
              <w:rPr>
                <w:rFonts w:eastAsia="Times New Roman" w:cs="Times New Roman"/>
                <w:b/>
                <w:bCs/>
                <w:szCs w:val="24"/>
                <w:lang w:val="pl"/>
              </w:rPr>
              <w:t>Jednostka notyfikowana</w:t>
            </w:r>
          </w:p>
        </w:tc>
      </w:tr>
      <w:tr w:rsidR="00090E96" w:rsidRPr="00001F32" w14:paraId="1344DB68" w14:textId="77777777" w:rsidTr="00673978">
        <w:trPr>
          <w:trHeight w:val="350"/>
          <w:jc w:val="center"/>
        </w:trPr>
        <w:tc>
          <w:tcPr>
            <w:tcW w:w="1830" w:type="pct"/>
          </w:tcPr>
          <w:p w14:paraId="245943D7" w14:textId="77777777" w:rsidR="00090E96" w:rsidRPr="00001F32" w:rsidRDefault="00090E96" w:rsidP="00673978">
            <w:pPr>
              <w:suppressAutoHyphens/>
              <w:spacing w:after="0" w:afterAutospacing="0" w:line="240" w:lineRule="exact"/>
              <w:ind w:left="150"/>
              <w:rPr>
                <w:rFonts w:eastAsia="Times New Roman" w:cs="Times New Roman"/>
                <w:bCs/>
                <w:szCs w:val="24"/>
              </w:rPr>
            </w:pPr>
            <w:r w:rsidRPr="00001F32">
              <w:rPr>
                <w:rFonts w:eastAsia="Times New Roman" w:cs="Times New Roman"/>
                <w:szCs w:val="24"/>
                <w:lang w:val="pl"/>
              </w:rPr>
              <w:t>Nazwa:</w:t>
            </w:r>
          </w:p>
        </w:tc>
        <w:tc>
          <w:tcPr>
            <w:tcW w:w="3170" w:type="pct"/>
          </w:tcPr>
          <w:p w14:paraId="0F8C4522" w14:textId="77777777" w:rsidR="00090E96" w:rsidRPr="00001F32" w:rsidRDefault="00090E96" w:rsidP="00673978">
            <w:pPr>
              <w:suppressAutoHyphens/>
              <w:spacing w:after="0" w:afterAutospacing="0" w:line="240" w:lineRule="exact"/>
              <w:rPr>
                <w:rFonts w:eastAsia="Times New Roman" w:cs="Times New Roman"/>
                <w:bCs/>
                <w:szCs w:val="24"/>
              </w:rPr>
            </w:pPr>
            <w:r w:rsidRPr="00001F32">
              <w:rPr>
                <w:rFonts w:cs="Times New Roman"/>
                <w:szCs w:val="24"/>
              </w:rPr>
              <w:t>The British Standards Institution (BSI) Group the Netherlands B.V.</w:t>
            </w:r>
          </w:p>
        </w:tc>
      </w:tr>
      <w:tr w:rsidR="00090E96" w:rsidRPr="00001F32" w14:paraId="52C91E0C" w14:textId="77777777" w:rsidTr="00673978">
        <w:trPr>
          <w:trHeight w:val="728"/>
          <w:jc w:val="center"/>
        </w:trPr>
        <w:tc>
          <w:tcPr>
            <w:tcW w:w="1830" w:type="pct"/>
          </w:tcPr>
          <w:p w14:paraId="53A1E525" w14:textId="77777777" w:rsidR="00090E96" w:rsidRPr="00001F32" w:rsidRDefault="00090E96" w:rsidP="00673978">
            <w:pPr>
              <w:suppressAutoHyphens/>
              <w:spacing w:after="0" w:afterAutospacing="0" w:line="240" w:lineRule="exact"/>
              <w:ind w:left="150"/>
              <w:contextualSpacing/>
              <w:rPr>
                <w:rFonts w:eastAsia="Times New Roman" w:cs="Times New Roman"/>
                <w:bCs/>
                <w:szCs w:val="24"/>
              </w:rPr>
            </w:pPr>
            <w:r w:rsidRPr="00001F32">
              <w:rPr>
                <w:rFonts w:eastAsia="Times New Roman" w:cs="Times New Roman"/>
                <w:szCs w:val="24"/>
                <w:lang w:val="pl"/>
              </w:rPr>
              <w:t>Adres:</w:t>
            </w:r>
          </w:p>
        </w:tc>
        <w:tc>
          <w:tcPr>
            <w:tcW w:w="3170" w:type="pct"/>
          </w:tcPr>
          <w:p w14:paraId="04E09769" w14:textId="77777777" w:rsidR="00090E96" w:rsidRPr="00001F32" w:rsidRDefault="00090E96" w:rsidP="00673978">
            <w:pPr>
              <w:suppressAutoHyphens/>
              <w:spacing w:after="0" w:afterAutospacing="0" w:line="240" w:lineRule="exact"/>
              <w:contextualSpacing/>
              <w:rPr>
                <w:rFonts w:eastAsia="Times New Roman" w:cs="Times New Roman"/>
                <w:bCs/>
                <w:szCs w:val="24"/>
              </w:rPr>
            </w:pPr>
            <w:r w:rsidRPr="00001F32">
              <w:rPr>
                <w:rFonts w:eastAsia="Times New Roman" w:cs="Times New Roman"/>
                <w:szCs w:val="24"/>
              </w:rPr>
              <w:t xml:space="preserve">John M. </w:t>
            </w:r>
            <w:proofErr w:type="spellStart"/>
            <w:r w:rsidRPr="00001F32">
              <w:rPr>
                <w:rFonts w:eastAsia="Times New Roman" w:cs="Times New Roman"/>
                <w:szCs w:val="24"/>
              </w:rPr>
              <w:t>Keynesplein</w:t>
            </w:r>
            <w:proofErr w:type="spellEnd"/>
            <w:r w:rsidRPr="00001F32">
              <w:rPr>
                <w:rFonts w:eastAsia="Times New Roman" w:cs="Times New Roman"/>
                <w:szCs w:val="24"/>
              </w:rPr>
              <w:t xml:space="preserve"> 9</w:t>
            </w:r>
          </w:p>
          <w:p w14:paraId="371D37E4" w14:textId="77777777" w:rsidR="00090E96" w:rsidRPr="00001F32" w:rsidRDefault="00090E96" w:rsidP="00673978">
            <w:pPr>
              <w:suppressAutoHyphens/>
              <w:spacing w:after="0" w:afterAutospacing="0" w:line="240" w:lineRule="exact"/>
              <w:contextualSpacing/>
              <w:rPr>
                <w:rFonts w:eastAsia="Times New Roman" w:cs="Times New Roman"/>
                <w:bCs/>
                <w:szCs w:val="24"/>
              </w:rPr>
            </w:pPr>
            <w:r w:rsidRPr="00001F32">
              <w:rPr>
                <w:rFonts w:eastAsia="Times New Roman" w:cs="Times New Roman"/>
                <w:szCs w:val="24"/>
              </w:rPr>
              <w:t>1066 PE Amsterdam</w:t>
            </w:r>
          </w:p>
          <w:p w14:paraId="76F5E7C3" w14:textId="77777777" w:rsidR="00090E96" w:rsidRPr="00001F32" w:rsidRDefault="00090E96" w:rsidP="00673978">
            <w:pPr>
              <w:suppressAutoHyphens/>
              <w:spacing w:after="0" w:afterAutospacing="0" w:line="240" w:lineRule="exact"/>
              <w:contextualSpacing/>
              <w:rPr>
                <w:rFonts w:eastAsia="Times New Roman" w:cs="Times New Roman"/>
                <w:bCs/>
                <w:szCs w:val="24"/>
              </w:rPr>
            </w:pPr>
            <w:r w:rsidRPr="00001F32">
              <w:rPr>
                <w:rFonts w:eastAsia="Times New Roman" w:cs="Times New Roman"/>
                <w:szCs w:val="24"/>
              </w:rPr>
              <w:t xml:space="preserve"> </w:t>
            </w:r>
            <w:proofErr w:type="spellStart"/>
            <w:r w:rsidRPr="00001F32">
              <w:rPr>
                <w:rFonts w:eastAsia="Times New Roman" w:cs="Times New Roman"/>
                <w:szCs w:val="24"/>
              </w:rPr>
              <w:t>Holandia</w:t>
            </w:r>
            <w:proofErr w:type="spellEnd"/>
          </w:p>
        </w:tc>
      </w:tr>
      <w:tr w:rsidR="00090E96" w:rsidRPr="00001F32" w14:paraId="37C1E17C" w14:textId="77777777" w:rsidTr="00673978">
        <w:trPr>
          <w:trHeight w:val="351"/>
          <w:jc w:val="center"/>
        </w:trPr>
        <w:tc>
          <w:tcPr>
            <w:tcW w:w="1830" w:type="pct"/>
          </w:tcPr>
          <w:p w14:paraId="08929618" w14:textId="77777777" w:rsidR="00090E96" w:rsidRPr="00001F32" w:rsidRDefault="00090E96" w:rsidP="00673978">
            <w:pPr>
              <w:suppressAutoHyphens/>
              <w:spacing w:after="0" w:afterAutospacing="0" w:line="240" w:lineRule="exact"/>
              <w:ind w:left="150"/>
              <w:contextualSpacing/>
              <w:rPr>
                <w:rFonts w:eastAsia="Times New Roman" w:cs="Times New Roman"/>
                <w:bCs/>
                <w:szCs w:val="24"/>
              </w:rPr>
            </w:pPr>
            <w:r w:rsidRPr="00001F32">
              <w:rPr>
                <w:rFonts w:eastAsia="Times New Roman" w:cs="Times New Roman"/>
                <w:szCs w:val="24"/>
                <w:lang w:val="pl"/>
              </w:rPr>
              <w:t>Witryna internetowa:</w:t>
            </w:r>
          </w:p>
        </w:tc>
        <w:tc>
          <w:tcPr>
            <w:tcW w:w="3170" w:type="pct"/>
          </w:tcPr>
          <w:p w14:paraId="7A94C120" w14:textId="77777777" w:rsidR="00090E96" w:rsidRPr="00001F32" w:rsidRDefault="00090E96" w:rsidP="00673978">
            <w:pPr>
              <w:suppressAutoHyphens/>
              <w:spacing w:after="0" w:afterAutospacing="0" w:line="240" w:lineRule="exact"/>
              <w:contextualSpacing/>
              <w:rPr>
                <w:rFonts w:eastAsia="Times New Roman" w:cs="Times New Roman"/>
                <w:bCs/>
                <w:szCs w:val="24"/>
              </w:rPr>
            </w:pPr>
            <w:hyperlink r:id="rId8" w:history="1">
              <w:r w:rsidRPr="00001F32">
                <w:rPr>
                  <w:rFonts w:eastAsia="Times New Roman" w:cs="Times New Roman"/>
                  <w:szCs w:val="24"/>
                  <w:u w:val="single"/>
                  <w:lang w:val="pl"/>
                </w:rPr>
                <w:t>www.bsigroup.com</w:t>
              </w:r>
            </w:hyperlink>
            <w:r w:rsidRPr="00001F32">
              <w:rPr>
                <w:rFonts w:eastAsia="Times New Roman" w:cs="Times New Roman"/>
                <w:szCs w:val="24"/>
                <w:lang w:val="pl"/>
              </w:rPr>
              <w:t xml:space="preserve"> </w:t>
            </w:r>
          </w:p>
        </w:tc>
      </w:tr>
      <w:tr w:rsidR="00090E96" w:rsidRPr="00001F32" w14:paraId="6CA81DC2" w14:textId="77777777" w:rsidTr="00673978">
        <w:trPr>
          <w:trHeight w:val="355"/>
          <w:jc w:val="center"/>
        </w:trPr>
        <w:tc>
          <w:tcPr>
            <w:tcW w:w="1830" w:type="pct"/>
          </w:tcPr>
          <w:p w14:paraId="23F42B70" w14:textId="77777777" w:rsidR="00090E96" w:rsidRPr="00001F32" w:rsidRDefault="00090E96" w:rsidP="00673978">
            <w:pPr>
              <w:suppressAutoHyphens/>
              <w:spacing w:after="0" w:afterAutospacing="0" w:line="240" w:lineRule="exact"/>
              <w:ind w:left="150"/>
              <w:rPr>
                <w:rFonts w:eastAsia="Times New Roman" w:cs="Times New Roman"/>
                <w:bCs/>
                <w:szCs w:val="24"/>
              </w:rPr>
            </w:pPr>
            <w:r w:rsidRPr="00001F32">
              <w:rPr>
                <w:rFonts w:eastAsia="Times New Roman" w:cs="Times New Roman"/>
                <w:szCs w:val="24"/>
                <w:lang w:val="pl"/>
              </w:rPr>
              <w:t>Telefon:</w:t>
            </w:r>
          </w:p>
        </w:tc>
        <w:tc>
          <w:tcPr>
            <w:tcW w:w="3170" w:type="pct"/>
          </w:tcPr>
          <w:p w14:paraId="693335E9" w14:textId="77777777" w:rsidR="00090E96" w:rsidRPr="00001F32" w:rsidRDefault="00090E96" w:rsidP="00673978">
            <w:pPr>
              <w:suppressAutoHyphens/>
              <w:spacing w:after="0" w:afterAutospacing="0" w:line="240" w:lineRule="exact"/>
              <w:rPr>
                <w:rFonts w:eastAsia="Times New Roman" w:cs="Times New Roman"/>
                <w:bCs/>
                <w:szCs w:val="24"/>
              </w:rPr>
            </w:pPr>
            <w:r w:rsidRPr="00001F32">
              <w:rPr>
                <w:rFonts w:eastAsia="Times New Roman" w:cs="Times New Roman"/>
                <w:szCs w:val="24"/>
              </w:rPr>
              <w:t>+31 (0)20 346 07 80</w:t>
            </w:r>
          </w:p>
        </w:tc>
      </w:tr>
      <w:tr w:rsidR="00090E96" w:rsidRPr="00001F32" w14:paraId="3B8D7876" w14:textId="77777777" w:rsidTr="00673978">
        <w:trPr>
          <w:trHeight w:val="355"/>
          <w:jc w:val="center"/>
        </w:trPr>
        <w:tc>
          <w:tcPr>
            <w:tcW w:w="1830" w:type="pct"/>
          </w:tcPr>
          <w:p w14:paraId="088A8DD2" w14:textId="77777777" w:rsidR="00090E96" w:rsidRPr="00001F32" w:rsidRDefault="00090E96" w:rsidP="00673978">
            <w:pPr>
              <w:suppressAutoHyphens/>
              <w:spacing w:after="0" w:afterAutospacing="0" w:line="240" w:lineRule="exact"/>
              <w:ind w:left="150"/>
              <w:rPr>
                <w:rFonts w:eastAsia="Times New Roman" w:cs="Times New Roman"/>
                <w:bCs/>
                <w:szCs w:val="24"/>
              </w:rPr>
            </w:pPr>
            <w:r w:rsidRPr="00001F32">
              <w:rPr>
                <w:rFonts w:eastAsia="Times New Roman" w:cs="Times New Roman"/>
                <w:szCs w:val="24"/>
                <w:lang w:val="pl"/>
              </w:rPr>
              <w:t>Faks:</w:t>
            </w:r>
          </w:p>
        </w:tc>
        <w:tc>
          <w:tcPr>
            <w:tcW w:w="3170" w:type="pct"/>
          </w:tcPr>
          <w:p w14:paraId="466F6BF5" w14:textId="77777777" w:rsidR="00090E96" w:rsidRPr="00001F32" w:rsidRDefault="00090E96" w:rsidP="00673978">
            <w:pPr>
              <w:suppressAutoHyphens/>
              <w:spacing w:after="0" w:afterAutospacing="0" w:line="240" w:lineRule="exact"/>
              <w:rPr>
                <w:rFonts w:eastAsia="Times New Roman" w:cs="Times New Roman"/>
                <w:bCs/>
                <w:szCs w:val="24"/>
              </w:rPr>
            </w:pPr>
            <w:r w:rsidRPr="00001F32">
              <w:rPr>
                <w:rFonts w:eastAsia="Times New Roman" w:cs="Times New Roman"/>
                <w:szCs w:val="24"/>
              </w:rPr>
              <w:t>+31 (0)20 346 07 81</w:t>
            </w:r>
          </w:p>
        </w:tc>
      </w:tr>
      <w:tr w:rsidR="00090E96" w:rsidRPr="00001F32" w14:paraId="49A13223" w14:textId="77777777" w:rsidTr="00673978">
        <w:trPr>
          <w:trHeight w:val="323"/>
          <w:jc w:val="center"/>
        </w:trPr>
        <w:tc>
          <w:tcPr>
            <w:tcW w:w="1830" w:type="pct"/>
          </w:tcPr>
          <w:p w14:paraId="3D531445" w14:textId="77777777" w:rsidR="00090E96" w:rsidRPr="00001F32" w:rsidRDefault="00090E96" w:rsidP="00001F32">
            <w:pPr>
              <w:tabs>
                <w:tab w:val="left" w:pos="3150"/>
              </w:tabs>
              <w:suppressAutoHyphens/>
              <w:spacing w:after="0" w:afterAutospacing="0" w:line="240" w:lineRule="exact"/>
              <w:ind w:left="154"/>
              <w:rPr>
                <w:rFonts w:eastAsia="Times New Roman" w:cs="Times New Roman"/>
                <w:bCs/>
                <w:szCs w:val="24"/>
              </w:rPr>
            </w:pPr>
            <w:r w:rsidRPr="00001F32">
              <w:rPr>
                <w:rFonts w:eastAsia="Times New Roman" w:cs="Times New Roman"/>
                <w:szCs w:val="24"/>
                <w:lang w:val="pl"/>
              </w:rPr>
              <w:t>Numer jednostki notyfikowanej:</w:t>
            </w:r>
            <w:r w:rsidRPr="00001F32">
              <w:rPr>
                <w:rFonts w:eastAsia="Times New Roman" w:cs="Times New Roman"/>
                <w:szCs w:val="24"/>
                <w:lang w:val="pl"/>
              </w:rPr>
              <w:tab/>
            </w:r>
          </w:p>
        </w:tc>
        <w:tc>
          <w:tcPr>
            <w:tcW w:w="3170" w:type="pct"/>
          </w:tcPr>
          <w:p w14:paraId="373D66E5" w14:textId="77777777" w:rsidR="00090E96" w:rsidRPr="00001F32" w:rsidRDefault="00090E96" w:rsidP="00673978">
            <w:pPr>
              <w:tabs>
                <w:tab w:val="left" w:pos="3150"/>
              </w:tabs>
              <w:suppressAutoHyphens/>
              <w:spacing w:after="0" w:afterAutospacing="0" w:line="240" w:lineRule="exact"/>
              <w:ind w:left="150"/>
              <w:rPr>
                <w:rFonts w:eastAsia="Times New Roman" w:cs="Times New Roman"/>
                <w:bCs/>
                <w:szCs w:val="24"/>
              </w:rPr>
            </w:pPr>
            <w:r w:rsidRPr="00001F32">
              <w:rPr>
                <w:rFonts w:eastAsia="Times New Roman" w:cs="Times New Roman"/>
                <w:szCs w:val="24"/>
              </w:rPr>
              <w:t>2797</w:t>
            </w:r>
          </w:p>
        </w:tc>
      </w:tr>
    </w:tbl>
    <w:p w14:paraId="2F66D247" w14:textId="77777777" w:rsidR="008D0B21" w:rsidRPr="00001F32" w:rsidRDefault="008D0B21" w:rsidP="00042B91">
      <w:pPr>
        <w:spacing w:after="0" w:afterAutospacing="0" w:line="240" w:lineRule="auto"/>
        <w:rPr>
          <w:rFonts w:cs="Times New Roman"/>
        </w:rPr>
      </w:pPr>
    </w:p>
    <w:p w14:paraId="708F564C" w14:textId="77777777" w:rsidR="00AA2E04" w:rsidRPr="00001F32" w:rsidRDefault="00AA2E04" w:rsidP="00170FE5">
      <w:pPr>
        <w:pStyle w:val="Heading1"/>
        <w:numPr>
          <w:ilvl w:val="0"/>
          <w:numId w:val="2"/>
        </w:numPr>
        <w:rPr>
          <w:rFonts w:cs="Times New Roman"/>
          <w:color w:val="auto"/>
        </w:rPr>
      </w:pPr>
      <w:bookmarkStart w:id="9" w:name="_Toc240532192"/>
      <w:r w:rsidRPr="00001F32">
        <w:rPr>
          <w:rFonts w:cs="Times New Roman"/>
          <w:bCs/>
          <w:color w:val="auto"/>
          <w:lang w:val="pl"/>
        </w:rPr>
        <w:t>Przeznaczenie urządzenia</w:t>
      </w:r>
      <w:bookmarkEnd w:id="9"/>
      <w:r w:rsidRPr="00001F32">
        <w:rPr>
          <w:rFonts w:cs="Times New Roman"/>
          <w:bCs/>
          <w:color w:val="auto"/>
          <w:lang w:val="pl"/>
        </w:rPr>
        <w:t xml:space="preserve"> </w:t>
      </w:r>
    </w:p>
    <w:p w14:paraId="6E6725A9" w14:textId="77777777" w:rsidR="003C58E5" w:rsidRPr="00001F32" w:rsidRDefault="003C58E5" w:rsidP="003C58E5">
      <w:pPr>
        <w:spacing w:after="0" w:afterAutospacing="0" w:line="240" w:lineRule="auto"/>
        <w:rPr>
          <w:rFonts w:cs="Times New Roman"/>
        </w:rPr>
      </w:pPr>
      <w:r w:rsidRPr="00001F32">
        <w:rPr>
          <w:rFonts w:cs="Times New Roman"/>
          <w:lang w:val="pl"/>
        </w:rPr>
        <w:t xml:space="preserve">Numery referencyjne IFU: </w:t>
      </w:r>
    </w:p>
    <w:p w14:paraId="5CC3EE9B" w14:textId="2F195B18" w:rsidR="00042B91" w:rsidRPr="00001F32" w:rsidRDefault="003C58E5" w:rsidP="003C58E5">
      <w:pPr>
        <w:spacing w:after="0" w:afterAutospacing="0" w:line="240" w:lineRule="auto"/>
        <w:rPr>
          <w:rFonts w:cs="Times New Roman"/>
          <w:lang w:val="pl-PL"/>
        </w:rPr>
      </w:pPr>
      <w:r w:rsidRPr="00001F32">
        <w:rPr>
          <w:rFonts w:cs="Times New Roman"/>
          <w:lang w:val="pl"/>
        </w:rPr>
        <w:t>P-2017-0205-00 M Rev A (Usuwalny filtr do żyły głównej górnej z możliwością demontażu Option ELITE 100 cm)</w:t>
      </w:r>
    </w:p>
    <w:p w14:paraId="77553003" w14:textId="5793DB10" w:rsidR="003C58E5" w:rsidRPr="00001F32" w:rsidRDefault="005102F2" w:rsidP="005102F2">
      <w:pPr>
        <w:spacing w:after="0" w:afterAutospacing="0" w:line="240" w:lineRule="auto"/>
        <w:rPr>
          <w:rFonts w:cs="Times New Roman"/>
          <w:lang w:val="pl-PL"/>
        </w:rPr>
      </w:pPr>
      <w:r w:rsidRPr="00001F32">
        <w:rPr>
          <w:rFonts w:cs="Times New Roman"/>
          <w:lang w:val="pl"/>
        </w:rPr>
        <w:t>P-2017-0184-00 M Rev A (Usuwalny filtr do żyły głównej górnej z możliwością demontażu Option ELITE 70 cm)</w:t>
      </w:r>
    </w:p>
    <w:p w14:paraId="57845318" w14:textId="77777777" w:rsidR="005102F2" w:rsidRPr="00001F32" w:rsidRDefault="005102F2" w:rsidP="005102F2">
      <w:pPr>
        <w:spacing w:after="0" w:afterAutospacing="0" w:line="240" w:lineRule="auto"/>
        <w:rPr>
          <w:rFonts w:cs="Times New Roman"/>
          <w:lang w:val="pl-PL"/>
        </w:rPr>
      </w:pPr>
    </w:p>
    <w:p w14:paraId="39A6DB15" w14:textId="1BFF7896" w:rsidR="006F0810" w:rsidRPr="00001F32" w:rsidRDefault="00B7112F" w:rsidP="00042B91">
      <w:pPr>
        <w:pStyle w:val="Heading1"/>
        <w:rPr>
          <w:rFonts w:cs="Times New Roman"/>
          <w:color w:val="auto"/>
        </w:rPr>
      </w:pPr>
      <w:r w:rsidRPr="00001F32">
        <w:rPr>
          <w:rFonts w:cs="Times New Roman"/>
          <w:bCs/>
          <w:color w:val="auto"/>
          <w:lang w:val="pl"/>
        </w:rPr>
        <w:t xml:space="preserve"> </w:t>
      </w:r>
      <w:bookmarkStart w:id="10" w:name="_Toc240532193"/>
      <w:r w:rsidRPr="00001F32">
        <w:rPr>
          <w:rFonts w:cs="Times New Roman"/>
          <w:bCs/>
          <w:color w:val="auto"/>
          <w:lang w:val="pl"/>
        </w:rPr>
        <w:t>Przeznaczenie / zastosowanie</w:t>
      </w:r>
      <w:bookmarkEnd w:id="10"/>
    </w:p>
    <w:p w14:paraId="093AAF84" w14:textId="6BB0E4BC" w:rsidR="00B3395E" w:rsidRPr="00001F32" w:rsidRDefault="00B3395E">
      <w:pPr>
        <w:spacing w:after="0" w:afterAutospacing="0"/>
        <w:rPr>
          <w:rFonts w:cs="Times New Roman"/>
          <w:kern w:val="2"/>
          <w:szCs w:val="24"/>
          <w:lang w:val="pl-PL"/>
          <w14:ligatures w14:val="standardContextual"/>
        </w:rPr>
      </w:pPr>
      <w:r w:rsidRPr="00001F32">
        <w:rPr>
          <w:rFonts w:cs="Times New Roman"/>
          <w:lang w:val="pl"/>
        </w:rPr>
        <w:t>System usuwalnych filtrów do żyły głównej Option ELITE jest przeznaczony do zapobiegania zatorowości płucnej (PE) poprzez przezskórne wprowadzenie do żyły głównej dolnej.</w:t>
      </w:r>
    </w:p>
    <w:p w14:paraId="75F63BFA" w14:textId="77777777" w:rsidR="00E9108A" w:rsidRPr="00001F32" w:rsidRDefault="00E9108A" w:rsidP="00042B91">
      <w:pPr>
        <w:spacing w:after="0" w:afterAutospacing="0" w:line="240" w:lineRule="auto"/>
        <w:rPr>
          <w:rFonts w:cs="Times New Roman"/>
          <w:iCs/>
          <w:lang w:val="pl-PL"/>
        </w:rPr>
      </w:pPr>
    </w:p>
    <w:p w14:paraId="0540FB4C" w14:textId="46686191" w:rsidR="006F0810" w:rsidRPr="00001F32" w:rsidRDefault="006F0810" w:rsidP="00042B91">
      <w:pPr>
        <w:pStyle w:val="Heading1"/>
        <w:rPr>
          <w:rFonts w:cs="Times New Roman"/>
          <w:color w:val="auto"/>
        </w:rPr>
      </w:pPr>
      <w:bookmarkStart w:id="11" w:name="_Toc240532194"/>
      <w:r w:rsidRPr="00001F32">
        <w:rPr>
          <w:rFonts w:cs="Times New Roman"/>
          <w:bCs/>
          <w:color w:val="auto"/>
          <w:lang w:val="pl"/>
        </w:rPr>
        <w:t>Wskazania/ Wskazania do stosowania</w:t>
      </w:r>
      <w:bookmarkEnd w:id="11"/>
    </w:p>
    <w:p w14:paraId="56CCFFAC" w14:textId="30B2DC55" w:rsidR="00B3395E" w:rsidRPr="00001F32" w:rsidRDefault="00B3395E">
      <w:pPr>
        <w:spacing w:after="0" w:afterAutospacing="0"/>
        <w:rPr>
          <w:rFonts w:cs="Times New Roman"/>
          <w:kern w:val="2"/>
          <w:szCs w:val="24"/>
          <w:lang w:val="pl-PL"/>
          <w14:ligatures w14:val="standardContextual"/>
        </w:rPr>
      </w:pPr>
      <w:r w:rsidRPr="00001F32">
        <w:rPr>
          <w:rFonts w:cs="Times New Roman"/>
          <w:lang w:val="pl"/>
        </w:rPr>
        <w:t>System usuwalnego filtra do żyły głównej dolnej Option ELITE jest przeznaczony do zapobiegania zatorowości płucnej poprzez przezskórne wprowadzenie do żyły głównej dolnej (IVC) w następujących stanach:</w:t>
      </w:r>
    </w:p>
    <w:p w14:paraId="3FE5B12C" w14:textId="77777777" w:rsidR="00B3395E" w:rsidRPr="00001F32" w:rsidRDefault="00B3395E">
      <w:pPr>
        <w:pStyle w:val="ListParagraph"/>
        <w:numPr>
          <w:ilvl w:val="0"/>
          <w:numId w:val="18"/>
        </w:numPr>
        <w:rPr>
          <w:rFonts w:cs="Times New Roman"/>
          <w:kern w:val="2"/>
          <w:szCs w:val="24"/>
          <w:lang w:val="pl-PL"/>
          <w14:ligatures w14:val="standardContextual"/>
        </w:rPr>
      </w:pPr>
      <w:r w:rsidRPr="00001F32">
        <w:rPr>
          <w:rFonts w:cs="Times New Roman"/>
          <w:lang w:val="pl"/>
        </w:rPr>
        <w:t>Choroba zakrzepowo-zatorowa płuc, przy przeciwwskazaniach do stosowania leków przeciwzakrzepowych</w:t>
      </w:r>
    </w:p>
    <w:p w14:paraId="2DFBF3E2" w14:textId="77777777" w:rsidR="00B3395E" w:rsidRPr="00001F32" w:rsidRDefault="00B3395E">
      <w:pPr>
        <w:pStyle w:val="ListParagraph"/>
        <w:numPr>
          <w:ilvl w:val="0"/>
          <w:numId w:val="18"/>
        </w:numPr>
        <w:rPr>
          <w:rFonts w:cs="Times New Roman"/>
          <w:kern w:val="2"/>
          <w:szCs w:val="24"/>
          <w:lang w:val="pl-PL"/>
          <w14:ligatures w14:val="standardContextual"/>
        </w:rPr>
      </w:pPr>
      <w:r w:rsidRPr="00001F32">
        <w:rPr>
          <w:rFonts w:cs="Times New Roman"/>
          <w:lang w:val="pl"/>
        </w:rPr>
        <w:t>Niepowodzenie terapii przeciwzakrzepowej w chorobie zakrzepowo-zatorowej</w:t>
      </w:r>
    </w:p>
    <w:p w14:paraId="5982E51F" w14:textId="77777777" w:rsidR="00B3395E" w:rsidRPr="00001F32" w:rsidRDefault="00B3395E">
      <w:pPr>
        <w:pStyle w:val="ListParagraph"/>
        <w:numPr>
          <w:ilvl w:val="0"/>
          <w:numId w:val="18"/>
        </w:numPr>
        <w:rPr>
          <w:rFonts w:cs="Times New Roman"/>
          <w:kern w:val="2"/>
          <w:szCs w:val="24"/>
          <w:lang w:val="pl-PL"/>
          <w14:ligatures w14:val="standardContextual"/>
        </w:rPr>
      </w:pPr>
      <w:r w:rsidRPr="00001F32">
        <w:rPr>
          <w:rFonts w:cs="Times New Roman"/>
          <w:lang w:val="pl"/>
        </w:rPr>
        <w:lastRenderedPageBreak/>
        <w:t>Leczenie doraźne po masywnej zatorowości płucnej, w którym przewidywane korzyści leczenia konwencjonalnego są ograniczone</w:t>
      </w:r>
    </w:p>
    <w:p w14:paraId="23D3A8CD" w14:textId="77777777" w:rsidR="00B3395E" w:rsidRPr="00001F32" w:rsidRDefault="00B3395E">
      <w:pPr>
        <w:pStyle w:val="ListParagraph"/>
        <w:numPr>
          <w:ilvl w:val="0"/>
          <w:numId w:val="18"/>
        </w:numPr>
        <w:rPr>
          <w:rFonts w:cs="Times New Roman"/>
          <w:kern w:val="2"/>
          <w:szCs w:val="24"/>
          <w:lang w:val="pl-PL"/>
          <w14:ligatures w14:val="standardContextual"/>
        </w:rPr>
      </w:pPr>
      <w:r w:rsidRPr="00001F32">
        <w:rPr>
          <w:rFonts w:cs="Times New Roman"/>
          <w:lang w:val="pl"/>
        </w:rPr>
        <w:t>Przewlekła, nawracająca zatorowość płucna, której leczenie przeciwzakrzepowe nie powiodło się lub jest przeciwwskazane.</w:t>
      </w:r>
    </w:p>
    <w:p w14:paraId="480F4934" w14:textId="4E7EC3F9" w:rsidR="00B3395E" w:rsidRPr="00001F32" w:rsidRDefault="00B3395E">
      <w:pPr>
        <w:spacing w:after="0" w:afterAutospacing="0"/>
        <w:rPr>
          <w:rFonts w:cs="Times New Roman"/>
          <w:kern w:val="2"/>
          <w:szCs w:val="24"/>
          <w:lang w:val="pl"/>
          <w14:ligatures w14:val="standardContextual"/>
        </w:rPr>
      </w:pPr>
      <w:r w:rsidRPr="00001F32">
        <w:rPr>
          <w:rFonts w:cs="Times New Roman"/>
          <w:lang w:val="pl"/>
        </w:rPr>
        <w:t>U pacjentów, którzy nie potrzebują już filtra, system usuwalnego filtra do żyły głównej dolnej Option</w:t>
      </w:r>
      <w:r w:rsidR="00EA724D" w:rsidRPr="00001F32">
        <w:rPr>
          <w:rFonts w:cs="Times New Roman"/>
          <w:lang w:val="pl"/>
        </w:rPr>
        <w:t> </w:t>
      </w:r>
      <w:r w:rsidRPr="00001F32">
        <w:rPr>
          <w:rFonts w:cs="Times New Roman"/>
          <w:lang w:val="pl"/>
        </w:rPr>
        <w:t>ELITE można usunąć zgodnie z dołączoną instrukcją. Usunięcie filtra można wykonać wyłącznie z dostępu szyjnego.</w:t>
      </w:r>
    </w:p>
    <w:p w14:paraId="5A3613A1" w14:textId="77777777" w:rsidR="00B3395E" w:rsidRPr="00001F32" w:rsidRDefault="00B3395E">
      <w:pPr>
        <w:spacing w:after="0" w:afterAutospacing="0"/>
        <w:rPr>
          <w:rFonts w:cs="Times New Roman"/>
          <w:kern w:val="2"/>
          <w:szCs w:val="24"/>
          <w:lang w:val="pl"/>
          <w14:ligatures w14:val="standardContextual"/>
        </w:rPr>
      </w:pPr>
      <w:r w:rsidRPr="00001F32">
        <w:rPr>
          <w:rFonts w:cs="Times New Roman"/>
          <w:lang w:val="pl"/>
        </w:rPr>
        <w:t>Angiograficzny rozszerzacz naczyń służy do wizualizacji angiograficznej i liniowego pomiaru układu naczyniowego, przy stosowaniu w połączeniu z podawaniem radiocieniującego środka kontrastowego do żyły głównej.</w:t>
      </w:r>
    </w:p>
    <w:p w14:paraId="250F03AC" w14:textId="77777777" w:rsidR="00042B91" w:rsidRPr="00001F32" w:rsidRDefault="00042B91" w:rsidP="00042B91">
      <w:pPr>
        <w:spacing w:after="0" w:afterAutospacing="0" w:line="240" w:lineRule="auto"/>
        <w:rPr>
          <w:rFonts w:cs="Times New Roman"/>
          <w:i/>
          <w:lang w:val="pl"/>
        </w:rPr>
      </w:pPr>
    </w:p>
    <w:p w14:paraId="498EAE44" w14:textId="02C55BE1" w:rsidR="00D20FA4" w:rsidRPr="00001F32" w:rsidRDefault="00DC675B" w:rsidP="00042B91">
      <w:pPr>
        <w:pStyle w:val="Heading1"/>
        <w:rPr>
          <w:rFonts w:cs="Times New Roman"/>
          <w:color w:val="auto"/>
        </w:rPr>
      </w:pPr>
      <w:bookmarkStart w:id="12" w:name="_Toc240532195"/>
      <w:r w:rsidRPr="00001F32">
        <w:rPr>
          <w:rFonts w:cs="Times New Roman"/>
          <w:bCs/>
          <w:color w:val="auto"/>
          <w:lang w:val="pl"/>
        </w:rPr>
        <w:t>Docelowa grupa pacjentów</w:t>
      </w:r>
      <w:bookmarkEnd w:id="12"/>
      <w:r w:rsidRPr="00001F32">
        <w:rPr>
          <w:rFonts w:cs="Times New Roman"/>
          <w:bCs/>
          <w:color w:val="auto"/>
          <w:lang w:val="pl"/>
        </w:rPr>
        <w:t xml:space="preserve">   </w:t>
      </w:r>
    </w:p>
    <w:p w14:paraId="6DC618E8" w14:textId="0B796BAE" w:rsidR="00B3395E" w:rsidRPr="00001F32" w:rsidRDefault="00B3395E">
      <w:pPr>
        <w:spacing w:after="0" w:afterAutospacing="0"/>
        <w:rPr>
          <w:rFonts w:cs="Times New Roman"/>
          <w:kern w:val="2"/>
          <w:szCs w:val="24"/>
          <w:lang w:val="pl-PL"/>
          <w14:ligatures w14:val="standardContextual"/>
        </w:rPr>
      </w:pPr>
      <w:r w:rsidRPr="00001F32">
        <w:rPr>
          <w:rFonts w:cs="Times New Roman"/>
          <w:lang w:val="pl"/>
        </w:rPr>
        <w:t>System usuwalnego filtra do żyły głównej dolnej Option ELITE przeznaczony jest dla osób z historią przewlekłej lub nawracającej zatorowości płucnej, u których leczenie przeciwzakrzepowe jest przeciwwskazane lub nie przyniosło rezultatu, a także dla osób wymagających leczenia ratunkowego po masywnej zatorowości płucnej, w przypadku których przewidywane korzyści konwencjonalnej terapii są ograniczone.</w:t>
      </w:r>
    </w:p>
    <w:p w14:paraId="6240E34C" w14:textId="77777777" w:rsidR="00042B91" w:rsidRPr="00001F32" w:rsidRDefault="00042B91" w:rsidP="00042B91">
      <w:pPr>
        <w:spacing w:after="0" w:afterAutospacing="0" w:line="240" w:lineRule="auto"/>
        <w:rPr>
          <w:rFonts w:cs="Times New Roman"/>
          <w:i/>
          <w:lang w:val="pl-PL"/>
        </w:rPr>
      </w:pPr>
    </w:p>
    <w:p w14:paraId="28F544BD" w14:textId="4F93A450" w:rsidR="006F0810" w:rsidRPr="00001F32" w:rsidRDefault="006F0810" w:rsidP="00042B91">
      <w:pPr>
        <w:pStyle w:val="Heading1"/>
        <w:rPr>
          <w:rFonts w:cs="Times New Roman"/>
          <w:color w:val="auto"/>
        </w:rPr>
      </w:pPr>
      <w:bookmarkStart w:id="13" w:name="_Toc240532196"/>
      <w:r w:rsidRPr="00001F32">
        <w:rPr>
          <w:rFonts w:cs="Times New Roman"/>
          <w:bCs/>
          <w:color w:val="auto"/>
          <w:lang w:val="pl"/>
        </w:rPr>
        <w:t>Przeciwwskazania</w:t>
      </w:r>
      <w:bookmarkEnd w:id="13"/>
    </w:p>
    <w:p w14:paraId="778D710E" w14:textId="7AED5F45" w:rsidR="00B3395E" w:rsidRPr="00001F32" w:rsidRDefault="00B3395E">
      <w:pPr>
        <w:spacing w:after="0" w:afterAutospacing="0"/>
        <w:rPr>
          <w:rFonts w:cs="Times New Roman"/>
          <w:kern w:val="2"/>
          <w:szCs w:val="24"/>
          <w:lang w:val="pl-PL"/>
          <w14:ligatures w14:val="standardContextual"/>
        </w:rPr>
      </w:pPr>
      <w:r w:rsidRPr="00001F32">
        <w:rPr>
          <w:rFonts w:cs="Times New Roman"/>
          <w:lang w:val="pl"/>
        </w:rPr>
        <w:t>Systemu usuwalnego filtra Option ELITE nie należy stosować, jeśli występuje którykolwiek z poniższych stanów:</w:t>
      </w:r>
    </w:p>
    <w:p w14:paraId="42D3D80B" w14:textId="77777777" w:rsidR="00B3395E" w:rsidRPr="00001F32" w:rsidRDefault="00B3395E" w:rsidP="00B3395E">
      <w:pPr>
        <w:pStyle w:val="ListParagraph"/>
        <w:numPr>
          <w:ilvl w:val="0"/>
          <w:numId w:val="6"/>
        </w:numPr>
        <w:rPr>
          <w:rFonts w:cs="Times New Roman"/>
          <w:kern w:val="2"/>
          <w:szCs w:val="24"/>
          <w:lang w:val="pl-PL"/>
          <w14:ligatures w14:val="standardContextual"/>
        </w:rPr>
      </w:pPr>
      <w:r w:rsidRPr="00001F32">
        <w:rPr>
          <w:rFonts w:cs="Times New Roman"/>
          <w:lang w:val="pl"/>
        </w:rPr>
        <w:t>Żyła główna dolna pacjenta ma średnicę większą niż 32 mm.</w:t>
      </w:r>
    </w:p>
    <w:p w14:paraId="25F60FD3" w14:textId="77777777" w:rsidR="00B3395E" w:rsidRPr="00001F32" w:rsidRDefault="00B3395E" w:rsidP="00B3395E">
      <w:pPr>
        <w:pStyle w:val="ListParagraph"/>
        <w:numPr>
          <w:ilvl w:val="0"/>
          <w:numId w:val="6"/>
        </w:numPr>
        <w:rPr>
          <w:rFonts w:cs="Times New Roman"/>
          <w:kern w:val="2"/>
          <w:szCs w:val="24"/>
          <w:lang w:val="pl-PL"/>
          <w14:ligatures w14:val="standardContextual"/>
        </w:rPr>
      </w:pPr>
      <w:r w:rsidRPr="00001F32">
        <w:rPr>
          <w:rFonts w:cs="Times New Roman"/>
          <w:lang w:val="pl"/>
        </w:rPr>
        <w:t>Pacjent jest zagrożony zatorem septycznym.</w:t>
      </w:r>
    </w:p>
    <w:p w14:paraId="082E970E" w14:textId="77777777" w:rsidR="00B3395E" w:rsidRPr="00001F32" w:rsidRDefault="00B3395E" w:rsidP="00B3395E">
      <w:pPr>
        <w:pStyle w:val="ListParagraph"/>
        <w:numPr>
          <w:ilvl w:val="0"/>
          <w:numId w:val="6"/>
        </w:numPr>
        <w:rPr>
          <w:rFonts w:cs="Times New Roman"/>
          <w:kern w:val="2"/>
          <w:szCs w:val="24"/>
          <w14:ligatures w14:val="standardContextual"/>
        </w:rPr>
      </w:pPr>
      <w:r w:rsidRPr="00001F32">
        <w:rPr>
          <w:rFonts w:cs="Times New Roman"/>
          <w:lang w:val="pl"/>
        </w:rPr>
        <w:t>Pacjent z potwierdzoną bakteriemią.</w:t>
      </w:r>
    </w:p>
    <w:p w14:paraId="34390526" w14:textId="77777777" w:rsidR="00B3395E" w:rsidRPr="00001F32" w:rsidRDefault="00B3395E" w:rsidP="00B3395E">
      <w:pPr>
        <w:pStyle w:val="ListParagraph"/>
        <w:numPr>
          <w:ilvl w:val="0"/>
          <w:numId w:val="6"/>
        </w:numPr>
        <w:rPr>
          <w:rFonts w:cs="Times New Roman"/>
          <w:kern w:val="2"/>
          <w:szCs w:val="24"/>
          <w:lang w:val="pl-PL"/>
          <w14:ligatures w14:val="standardContextual"/>
        </w:rPr>
      </w:pPr>
      <w:r w:rsidRPr="00001F32">
        <w:rPr>
          <w:rFonts w:cs="Times New Roman"/>
          <w:lang w:val="pl"/>
        </w:rPr>
        <w:t>Pacjent ze stwierdzoną nadwrażliwością na stopy niklu lub tytanu.</w:t>
      </w:r>
    </w:p>
    <w:p w14:paraId="57782400" w14:textId="77777777" w:rsidR="00B3395E" w:rsidRPr="00001F32" w:rsidRDefault="00B3395E" w:rsidP="00B3395E">
      <w:pPr>
        <w:pStyle w:val="ListParagraph"/>
        <w:numPr>
          <w:ilvl w:val="0"/>
          <w:numId w:val="6"/>
        </w:numPr>
        <w:rPr>
          <w:rFonts w:cs="Times New Roman"/>
          <w:kern w:val="2"/>
          <w:szCs w:val="24"/>
          <w14:ligatures w14:val="standardContextual"/>
        </w:rPr>
      </w:pPr>
      <w:r w:rsidRPr="00001F32">
        <w:rPr>
          <w:rFonts w:cs="Times New Roman"/>
          <w:lang w:val="pl"/>
        </w:rPr>
        <w:t>U pacjentek w ciąży, gdy promieniowanie podczas obrazowania fluoroskopowego może zagrozić płodowi. Należy starannie ocenić zagrożenia i korzyści.</w:t>
      </w:r>
    </w:p>
    <w:p w14:paraId="15CBF9BA" w14:textId="2539FC5B" w:rsidR="00457931" w:rsidRPr="00001F32" w:rsidRDefault="00B3395E" w:rsidP="00181ED5">
      <w:pPr>
        <w:pStyle w:val="ListParagraph"/>
        <w:numPr>
          <w:ilvl w:val="0"/>
          <w:numId w:val="6"/>
        </w:numPr>
        <w:rPr>
          <w:rFonts w:cs="Times New Roman"/>
          <w:kern w:val="2"/>
          <w:szCs w:val="24"/>
          <w:lang w:val="pl"/>
          <w14:ligatures w14:val="standardContextual"/>
        </w:rPr>
      </w:pPr>
      <w:r w:rsidRPr="00001F32">
        <w:rPr>
          <w:rFonts w:cs="Times New Roman"/>
          <w:lang w:val="pl"/>
        </w:rPr>
        <w:t>W przypadku systemu 100 cm nie należy stosować ułożenia szyjnego w przypadku dostępu podkolanowego, a ułożenia udowego w przypadku dostępu od strony łokciowej. Należy zawsze stosować położenie wkładu właściwe dla zamierzonego kierunku dostępu. Użycie nieprawidłowego ułożenia wkładu w obu metodach może skutkować odwrotnym wprowadzeniem wkładu, co może powodować poważne działania niepożądane u pacjentów.</w:t>
      </w:r>
    </w:p>
    <w:p w14:paraId="74820815" w14:textId="77777777" w:rsidR="00B3395E" w:rsidRPr="00001F32" w:rsidRDefault="00B3395E">
      <w:pPr>
        <w:spacing w:after="0" w:afterAutospacing="0"/>
        <w:rPr>
          <w:rFonts w:cs="Times New Roman"/>
          <w:kern w:val="2"/>
          <w:szCs w:val="24"/>
          <w:lang w:val="pl"/>
          <w14:ligatures w14:val="standardContextual"/>
        </w:rPr>
      </w:pPr>
      <w:r w:rsidRPr="00001F32">
        <w:rPr>
          <w:rFonts w:cs="Times New Roman"/>
          <w:lang w:val="pl"/>
        </w:rPr>
        <w:t>Nie istnieją znane przeciwwskazania do stosowania angiograficznego rozszerzacza naczyń.</w:t>
      </w:r>
    </w:p>
    <w:p w14:paraId="645ACDFD" w14:textId="77777777" w:rsidR="00760400" w:rsidRPr="00001F32" w:rsidRDefault="00760400" w:rsidP="00042B91">
      <w:pPr>
        <w:pStyle w:val="ListParagraph"/>
        <w:spacing w:after="0" w:afterAutospacing="0" w:line="240" w:lineRule="auto"/>
        <w:rPr>
          <w:rFonts w:cs="Times New Roman"/>
          <w:lang w:val="pl"/>
        </w:rPr>
      </w:pPr>
    </w:p>
    <w:p w14:paraId="0A9D601E" w14:textId="53FB771D" w:rsidR="00760400" w:rsidRPr="00001F32" w:rsidRDefault="00D20FA4" w:rsidP="00001F32">
      <w:pPr>
        <w:pStyle w:val="Heading1"/>
        <w:keepNext/>
        <w:numPr>
          <w:ilvl w:val="0"/>
          <w:numId w:val="2"/>
        </w:numPr>
        <w:rPr>
          <w:rFonts w:cs="Times New Roman"/>
          <w:color w:val="auto"/>
        </w:rPr>
      </w:pPr>
      <w:bookmarkStart w:id="14" w:name="_Toc240532197"/>
      <w:r w:rsidRPr="00001F32">
        <w:rPr>
          <w:rFonts w:cs="Times New Roman"/>
          <w:bCs/>
          <w:color w:val="auto"/>
          <w:lang w:val="pl"/>
        </w:rPr>
        <w:lastRenderedPageBreak/>
        <w:t>Opis wyrobu</w:t>
      </w:r>
      <w:bookmarkEnd w:id="14"/>
    </w:p>
    <w:p w14:paraId="7115673A" w14:textId="77777777" w:rsidR="00042B91" w:rsidRPr="00001F32" w:rsidRDefault="00042B91" w:rsidP="00001F32">
      <w:pPr>
        <w:keepNext/>
        <w:spacing w:after="0" w:afterAutospacing="0" w:line="240" w:lineRule="auto"/>
        <w:rPr>
          <w:rFonts w:cs="Times New Roman"/>
        </w:rPr>
      </w:pPr>
    </w:p>
    <w:p w14:paraId="33649869" w14:textId="52085753" w:rsidR="00D20FA4" w:rsidRPr="00001F32" w:rsidRDefault="00D20FA4" w:rsidP="00001F32">
      <w:pPr>
        <w:pStyle w:val="Heading1"/>
        <w:keepNext/>
        <w:rPr>
          <w:rFonts w:cs="Times New Roman"/>
          <w:color w:val="auto"/>
        </w:rPr>
      </w:pPr>
      <w:bookmarkStart w:id="15" w:name="_Toc240532198"/>
      <w:r w:rsidRPr="00001F32">
        <w:rPr>
          <w:rFonts w:cs="Times New Roman"/>
          <w:bCs/>
          <w:color w:val="auto"/>
          <w:lang w:val="pl"/>
        </w:rPr>
        <w:t>Opis urządzenia</w:t>
      </w:r>
      <w:bookmarkEnd w:id="15"/>
      <w:r w:rsidRPr="00001F32">
        <w:rPr>
          <w:rFonts w:cs="Times New Roman"/>
          <w:bCs/>
          <w:color w:val="auto"/>
          <w:lang w:val="pl"/>
        </w:rPr>
        <w:t xml:space="preserve"> </w:t>
      </w:r>
    </w:p>
    <w:p w14:paraId="4E6984B9" w14:textId="77777777" w:rsidR="004A3746" w:rsidRPr="00001F32" w:rsidRDefault="004A3746" w:rsidP="00001F32">
      <w:pPr>
        <w:keepNext/>
        <w:spacing w:after="0" w:afterAutospacing="0" w:line="240" w:lineRule="auto"/>
        <w:rPr>
          <w:rFonts w:cs="Times New Roman"/>
          <w:i/>
        </w:rPr>
      </w:pPr>
    </w:p>
    <w:p w14:paraId="7EFEB1CF" w14:textId="06E78531" w:rsidR="00B3395E" w:rsidRPr="00001F32" w:rsidRDefault="00B3395E">
      <w:pPr>
        <w:spacing w:after="0" w:afterAutospacing="0"/>
        <w:rPr>
          <w:rFonts w:cs="Times New Roman"/>
          <w:kern w:val="2"/>
          <w:szCs w:val="24"/>
          <w:lang w:val="pl"/>
          <w14:ligatures w14:val="standardContextual"/>
        </w:rPr>
      </w:pPr>
      <w:r w:rsidRPr="00001F32">
        <w:rPr>
          <w:rFonts w:cs="Times New Roman"/>
          <w:lang w:val="pl"/>
        </w:rPr>
        <w:t>Filtr do żyły głównej Option ELITE jest przeznaczony do przezskórnego zakładania do żyły głównej dolnej (IVC). Usuwalny filtr Option ELITE do żyły głównej dolnej przeznaczony jest do zapobiegania zatorowości płucnej (PE) i jest przeznaczony wyłącznie do jednorazowego użytku. Zawartość jest dostarczana w stanie wysterylizowanym z użyciem tlenku etylenu (EO). Potwierdzono, że urządzenie jest niepirogenne, co oznacza, że podczas użytkowania nie wytwarza ono szkodliwych substancji pirogennych. Filtr jest nieprzepuszczalny dla promieni rentgenowskich, co pozwala na wyraźną obserwację urządzenia podczas badań obrazowych.</w:t>
      </w:r>
    </w:p>
    <w:p w14:paraId="3C0B7C35" w14:textId="77777777" w:rsidR="00EB4F95" w:rsidRPr="00001F32" w:rsidRDefault="00EB4F95">
      <w:pPr>
        <w:spacing w:after="0" w:afterAutospacing="0"/>
        <w:rPr>
          <w:rFonts w:cs="Times New Roman"/>
          <w:kern w:val="2"/>
          <w:szCs w:val="24"/>
          <w:lang w:val="pl"/>
          <w14:ligatures w14:val="standardContextual"/>
        </w:rPr>
      </w:pPr>
      <w:r w:rsidRPr="00001F32">
        <w:rPr>
          <w:rFonts w:cs="Times New Roman"/>
          <w:lang w:val="pl"/>
        </w:rPr>
        <w:t>System o długości 70 cm przeznaczony jest do porodu przez dostęp szyjny lub udowy, a system o długości 100 cm przeznaczony jest do porodu przez dostęp zgięciowy lub podkolanowy.</w:t>
      </w:r>
    </w:p>
    <w:p w14:paraId="2E546626" w14:textId="77777777" w:rsidR="004A3746" w:rsidRPr="00001F32" w:rsidRDefault="004A3746" w:rsidP="004A3746">
      <w:pPr>
        <w:spacing w:after="0" w:afterAutospacing="0" w:line="240" w:lineRule="auto"/>
        <w:rPr>
          <w:rFonts w:cs="Times New Roman"/>
          <w:iCs/>
          <w:lang w:val="pl"/>
        </w:rPr>
      </w:pPr>
    </w:p>
    <w:p w14:paraId="37EF38C1" w14:textId="28263D1F" w:rsidR="00B3395E" w:rsidRPr="00001F32" w:rsidRDefault="00B3395E">
      <w:pPr>
        <w:spacing w:after="0" w:afterAutospacing="0"/>
        <w:rPr>
          <w:rFonts w:cs="Times New Roman"/>
          <w:kern w:val="2"/>
          <w:szCs w:val="24"/>
          <w:lang w:val="pl"/>
          <w14:ligatures w14:val="standardContextual"/>
        </w:rPr>
      </w:pPr>
      <w:r w:rsidRPr="00001F32">
        <w:rPr>
          <w:rFonts w:cs="Times New Roman"/>
          <w:lang w:val="pl"/>
        </w:rPr>
        <w:t>Samośrodkujący usuwalny filtr Option ELITE do żyły głównej dolnej jest wycięty laserem z rurki wykonanej ze stopu niklu i tytanu (nitinolu). Usuwalny filtr Option ELITE do żyły głównej dolnej składa się z nitinolowych elementów z pamięcią kształtu, rozchodzących się w centralnym miejscu, i jest zaprojektowany w celu optymalnego wychwytywania skrzepów. W części ogonowej filtra znajduje się sześć (6) kotwic mocujących (haków mocujących). Kotwice te służą do mocowania filtra do ściany naczynia. Usuwalny filtr do żyły głównej dolnej Option ELITE jest przeznaczony do stosowania w żyłach głównych o średnicy do 32 mm. Haczyk do wyjmowania jest umieszczony centralnie na dogłowowym końcu filtra.</w:t>
      </w:r>
    </w:p>
    <w:p w14:paraId="78A65CAD" w14:textId="77777777" w:rsidR="004A3746" w:rsidRPr="00001F32" w:rsidRDefault="004A3746" w:rsidP="004A3746">
      <w:pPr>
        <w:spacing w:after="0" w:afterAutospacing="0" w:line="240" w:lineRule="auto"/>
        <w:rPr>
          <w:rFonts w:cs="Times New Roman"/>
          <w:iCs/>
          <w:lang w:val="pl"/>
        </w:rPr>
      </w:pPr>
    </w:p>
    <w:p w14:paraId="63979F2E" w14:textId="3EBA5D8D" w:rsidR="00B3395E" w:rsidRPr="00001F32" w:rsidRDefault="00B3395E">
      <w:pPr>
        <w:spacing w:after="0" w:afterAutospacing="0"/>
        <w:rPr>
          <w:rFonts w:cs="Times New Roman"/>
          <w:kern w:val="2"/>
          <w:szCs w:val="24"/>
          <w:lang w:val="pl"/>
          <w14:ligatures w14:val="standardContextual"/>
        </w:rPr>
      </w:pPr>
      <w:r w:rsidRPr="00001F32">
        <w:rPr>
          <w:rFonts w:cs="Times New Roman"/>
          <w:lang w:val="pl"/>
        </w:rPr>
        <w:t>Ściśnięty usuwalny filtr do żyły głównej dolnej Option™ ELITE jest elastyczny i po rozprężeniu rozszerza się do średnicy wewnętrznej IVC. Filtr wywiera skierowany na zewnątrz nacisk odśrodkowy na powierzchnię światła żyły głównej, zapewniając właściwe ułożenie i stabilność.</w:t>
      </w:r>
    </w:p>
    <w:p w14:paraId="6BE607C4" w14:textId="77777777" w:rsidR="004A3746" w:rsidRPr="00001F32" w:rsidRDefault="004A3746" w:rsidP="004A3746">
      <w:pPr>
        <w:spacing w:after="0" w:afterAutospacing="0" w:line="240" w:lineRule="auto"/>
        <w:rPr>
          <w:rFonts w:cs="Times New Roman"/>
          <w:iCs/>
          <w:lang w:val="pl"/>
        </w:rPr>
      </w:pPr>
    </w:p>
    <w:p w14:paraId="1A396849" w14:textId="77777777" w:rsidR="00B3395E" w:rsidRPr="00001F32" w:rsidRDefault="00B3395E">
      <w:pPr>
        <w:spacing w:after="0" w:afterAutospacing="0"/>
        <w:rPr>
          <w:rFonts w:cs="Times New Roman"/>
          <w:kern w:val="2"/>
          <w:szCs w:val="24"/>
          <w:lang w:val="pl"/>
          <w14:ligatures w14:val="standardContextual"/>
        </w:rPr>
      </w:pPr>
      <w:r w:rsidRPr="00001F32">
        <w:rPr>
          <w:rFonts w:cs="Times New Roman"/>
          <w:lang w:val="pl"/>
        </w:rPr>
        <w:t>W skład systemu wchodzą następujące części składowe:</w:t>
      </w:r>
    </w:p>
    <w:p w14:paraId="6BF3C09B" w14:textId="77777777" w:rsidR="00B3395E" w:rsidRPr="00001F32" w:rsidRDefault="00B3395E">
      <w:pPr>
        <w:spacing w:after="0" w:afterAutospacing="0"/>
        <w:rPr>
          <w:rFonts w:cs="Times New Roman"/>
          <w:kern w:val="2"/>
          <w:szCs w:val="24"/>
          <w:lang w:val="pl"/>
          <w14:ligatures w14:val="standardContextual"/>
        </w:rPr>
      </w:pPr>
      <w:r w:rsidRPr="00001F32">
        <w:rPr>
          <w:rFonts w:cs="Times New Roman"/>
          <w:lang w:val="pl"/>
        </w:rPr>
        <w:t>A. Koszulka wprowadzająca cewnika</w:t>
      </w:r>
    </w:p>
    <w:p w14:paraId="2DC9F5A8" w14:textId="77777777" w:rsidR="00B3395E" w:rsidRPr="00001F32" w:rsidRDefault="00B3395E">
      <w:pPr>
        <w:spacing w:after="0" w:afterAutospacing="0"/>
        <w:rPr>
          <w:rFonts w:cs="Times New Roman"/>
          <w:kern w:val="2"/>
          <w:szCs w:val="24"/>
          <w:lang w:val="pl"/>
          <w14:ligatures w14:val="standardContextual"/>
        </w:rPr>
      </w:pPr>
      <w:r w:rsidRPr="00001F32">
        <w:rPr>
          <w:rFonts w:cs="Times New Roman"/>
          <w:lang w:val="pl"/>
        </w:rPr>
        <w:t>B. Angiograficzny rozszerzacz naczyń</w:t>
      </w:r>
    </w:p>
    <w:p w14:paraId="27736DE0" w14:textId="77777777" w:rsidR="00B3395E" w:rsidRPr="00001F32" w:rsidRDefault="00B3395E">
      <w:pPr>
        <w:spacing w:after="0" w:afterAutospacing="0"/>
        <w:rPr>
          <w:rFonts w:cs="Times New Roman"/>
          <w:kern w:val="2"/>
          <w:szCs w:val="24"/>
          <w:lang w:val="pl"/>
          <w14:ligatures w14:val="standardContextual"/>
        </w:rPr>
      </w:pPr>
      <w:r w:rsidRPr="00001F32">
        <w:rPr>
          <w:rFonts w:cs="Times New Roman"/>
          <w:lang w:val="pl"/>
        </w:rPr>
        <w:t>C. Popychacz ze znacznikiem rozprężenia</w:t>
      </w:r>
    </w:p>
    <w:p w14:paraId="3A66461F" w14:textId="77777777" w:rsidR="00B3395E" w:rsidRPr="00001F32" w:rsidRDefault="00B3395E">
      <w:pPr>
        <w:spacing w:after="0" w:afterAutospacing="0"/>
        <w:rPr>
          <w:rFonts w:cs="Times New Roman"/>
          <w:kern w:val="2"/>
          <w:szCs w:val="24"/>
          <w:lang w:val="pl"/>
          <w14:ligatures w14:val="standardContextual"/>
        </w:rPr>
      </w:pPr>
      <w:r w:rsidRPr="00001F32">
        <w:rPr>
          <w:rFonts w:cs="Times New Roman"/>
          <w:lang w:val="pl"/>
        </w:rPr>
        <w:t>D. System usuwalnego filtra do żyły głównej Option™ ELITE we wkładzie</w:t>
      </w:r>
    </w:p>
    <w:p w14:paraId="295A7591" w14:textId="77777777" w:rsidR="00B3395E" w:rsidRPr="00001F32" w:rsidRDefault="00B3395E">
      <w:pPr>
        <w:spacing w:after="0" w:afterAutospacing="0"/>
        <w:rPr>
          <w:rFonts w:cs="Times New Roman"/>
          <w:kern w:val="2"/>
          <w:szCs w:val="24"/>
          <w:lang w:val="pl"/>
          <w14:ligatures w14:val="standardContextual"/>
        </w:rPr>
      </w:pPr>
      <w:r w:rsidRPr="00001F32">
        <w:rPr>
          <w:rFonts w:cs="Times New Roman"/>
          <w:lang w:val="pl"/>
        </w:rPr>
        <w:t>E. Nasadka koszulki</w:t>
      </w:r>
    </w:p>
    <w:p w14:paraId="163CBA0E" w14:textId="77777777" w:rsidR="004A3746" w:rsidRPr="00001F32" w:rsidRDefault="004A3746" w:rsidP="004A3746">
      <w:pPr>
        <w:spacing w:after="0" w:afterAutospacing="0" w:line="240" w:lineRule="auto"/>
        <w:rPr>
          <w:rFonts w:cs="Times New Roman"/>
          <w:iCs/>
          <w:lang w:val="pl"/>
        </w:rPr>
      </w:pPr>
    </w:p>
    <w:p w14:paraId="2791EC18" w14:textId="003108CE" w:rsidR="00B3395E" w:rsidRPr="00001F32" w:rsidRDefault="00655670">
      <w:pPr>
        <w:spacing w:after="0" w:afterAutospacing="0"/>
        <w:rPr>
          <w:rFonts w:cs="Times New Roman"/>
          <w:kern w:val="2"/>
          <w:szCs w:val="24"/>
          <w:lang w:val="pl"/>
          <w14:ligatures w14:val="standardContextual"/>
        </w:rPr>
      </w:pPr>
      <w:r w:rsidRPr="00001F32">
        <w:rPr>
          <w:rFonts w:cs="Times New Roman"/>
          <w:lang w:val="pl"/>
        </w:rPr>
        <w:t>System obejmuje filtr umieszczony we wkładzie, koszulkę wprowadzającą cewnika o śr. wewn. 5</w:t>
      </w:r>
      <w:r w:rsidR="00217574" w:rsidRPr="00001F32">
        <w:rPr>
          <w:rFonts w:cs="Times New Roman"/>
          <w:lang w:val="pl"/>
        </w:rPr>
        <w:t> </w:t>
      </w:r>
      <w:r w:rsidRPr="00001F32">
        <w:rPr>
          <w:rFonts w:cs="Times New Roman"/>
          <w:lang w:val="pl"/>
        </w:rPr>
        <w:t>F</w:t>
      </w:r>
      <w:r w:rsidR="00217574" w:rsidRPr="00001F32">
        <w:rPr>
          <w:rFonts w:cs="Times New Roman"/>
          <w:lang w:val="pl"/>
        </w:rPr>
        <w:t>r</w:t>
      </w:r>
      <w:r w:rsidRPr="00001F32">
        <w:rPr>
          <w:rFonts w:cs="Times New Roman"/>
          <w:lang w:val="pl"/>
        </w:rPr>
        <w:t xml:space="preserve"> z otwartym angiograficznym rozszerzaczem naczyń oraz popychacz ze znacznikiem rozprężenia.</w:t>
      </w:r>
    </w:p>
    <w:p w14:paraId="5C5B296D" w14:textId="77777777" w:rsidR="00A2306C" w:rsidRPr="00001F32" w:rsidRDefault="00A2306C" w:rsidP="004A3746">
      <w:pPr>
        <w:spacing w:after="0" w:afterAutospacing="0" w:line="240" w:lineRule="auto"/>
        <w:rPr>
          <w:rFonts w:cs="Times New Roman"/>
          <w:iCs/>
          <w:lang w:val="pl"/>
        </w:rPr>
      </w:pPr>
    </w:p>
    <w:p w14:paraId="57A699E9" w14:textId="77777777" w:rsidR="00B3395E" w:rsidRPr="00001F32" w:rsidRDefault="00B3395E">
      <w:pPr>
        <w:spacing w:after="0" w:afterAutospacing="0"/>
        <w:rPr>
          <w:rFonts w:cs="Times New Roman"/>
          <w:kern w:val="2"/>
          <w:szCs w:val="24"/>
          <w:lang w:val="pl"/>
          <w14:ligatures w14:val="standardContextual"/>
        </w:rPr>
      </w:pPr>
      <w:r w:rsidRPr="00001F32">
        <w:rPr>
          <w:rFonts w:cs="Times New Roman"/>
          <w:lang w:val="pl"/>
        </w:rPr>
        <w:t xml:space="preserve">Angiograficzny rozszerzacz naczyń jest wyposażony w otwory boczne oraz 2 znaczniki radiocieniujące, znajdujące się w odległości 32 mm od siebie (odstęp pomiędzy paskami znaczników), które zapewniają liniowy pomiar żyły głównej dolnej i ułatwiają angiograficzną wizualizację po podaniu kontrastu radiocieniującego. Popychacz wprowadza filtr poprzez koszulkę wprowadzającą cewnik do znacznika </w:t>
      </w:r>
      <w:r w:rsidRPr="00001F32">
        <w:rPr>
          <w:rFonts w:cs="Times New Roman"/>
          <w:lang w:val="pl"/>
        </w:rPr>
        <w:lastRenderedPageBreak/>
        <w:t>rozprężenia, po czym zostaje użyty do zamocowania filtra na miejscu podczas odsłaniania. Lokalizację dystalnego końca koszulki wprowadzającej cewnika można regulować, obracając cały wyrób tak, aby umieścić koszulkę wprowadzającą cewnik w centralnej części żyły głównej.</w:t>
      </w:r>
    </w:p>
    <w:p w14:paraId="48C2D3C1" w14:textId="77777777" w:rsidR="003B7152" w:rsidRPr="00001F32" w:rsidRDefault="003B7152">
      <w:pPr>
        <w:spacing w:after="0" w:afterAutospacing="0"/>
        <w:rPr>
          <w:rFonts w:cs="Times New Roman"/>
          <w:lang w:val="pl"/>
        </w:rPr>
      </w:pPr>
    </w:p>
    <w:p w14:paraId="5B8DD9F0" w14:textId="5E03899A" w:rsidR="00B3395E" w:rsidRPr="00001F32" w:rsidRDefault="00B3395E">
      <w:pPr>
        <w:spacing w:after="0" w:afterAutospacing="0"/>
        <w:rPr>
          <w:rFonts w:cs="Times New Roman"/>
          <w:kern w:val="2"/>
          <w:szCs w:val="24"/>
          <w:lang w:val="pl"/>
          <w14:ligatures w14:val="standardContextual"/>
        </w:rPr>
      </w:pPr>
      <w:r w:rsidRPr="00001F32">
        <w:rPr>
          <w:rFonts w:cs="Times New Roman"/>
          <w:lang w:val="pl"/>
        </w:rPr>
        <w:t>Wkład filtrujący mieści w sobie system usuwalnego filtra do żyły głównej Option™ ELITE. Na korpusie wkładu znajduje się wydrukowany tekst i kolorowe strzałki oznaczające zorientowanie zespołu, przy czym kierunek udowy wydrukowano w kolorze zielonym, a szyjny w kolorze niebieskim. W przypadku systemu 70 cm strzałka żądanego miejsca dostępu będzie skierowana w stronę środka koszulki wprowadzającej cewnik. W przypadku systemu 100 cm udowa strona wkładu filtra jest używana do dostępu udowego i podkolanowego, a szyjna strona wkładu jest używana do dostępu szyjnego i odłokciowego. Strzałka żądanego miejsca dostępu będzie skierowana w stronę środka koszulki wprowadzającej cewnik.</w:t>
      </w:r>
    </w:p>
    <w:p w14:paraId="19796238" w14:textId="77777777" w:rsidR="00042B91" w:rsidRPr="00001F32" w:rsidRDefault="00042B91" w:rsidP="00042B91">
      <w:pPr>
        <w:spacing w:after="0" w:afterAutospacing="0" w:line="240" w:lineRule="auto"/>
        <w:rPr>
          <w:rFonts w:cs="Times New Roman"/>
          <w:i/>
          <w:lang w:val="pl"/>
        </w:rPr>
      </w:pPr>
    </w:p>
    <w:p w14:paraId="1F483F2E" w14:textId="7030FC46" w:rsidR="0037766D" w:rsidRPr="00001F32" w:rsidRDefault="00D20FA4" w:rsidP="00001F32">
      <w:pPr>
        <w:pStyle w:val="Heading1"/>
        <w:rPr>
          <w:rFonts w:cs="Times New Roman"/>
          <w:iCs/>
          <w:lang w:val="pl-PL"/>
        </w:rPr>
      </w:pPr>
      <w:bookmarkStart w:id="16" w:name="_Toc240532199"/>
      <w:r w:rsidRPr="00001F32">
        <w:rPr>
          <w:rFonts w:cs="Times New Roman"/>
          <w:bCs/>
          <w:color w:val="auto"/>
          <w:lang w:val="pl"/>
        </w:rPr>
        <w:t>Poprzednie warianty i ich różnice</w:t>
      </w:r>
      <w:bookmarkEnd w:id="16"/>
    </w:p>
    <w:p w14:paraId="6B899DC5" w14:textId="595BDCC6" w:rsidR="0068418E" w:rsidRPr="00001F32" w:rsidRDefault="0068418E" w:rsidP="0068418E">
      <w:pPr>
        <w:spacing w:after="0" w:afterAutospacing="0" w:line="240" w:lineRule="auto"/>
        <w:rPr>
          <w:rFonts w:cs="Times New Roman"/>
          <w:iCs/>
          <w:lang w:val="pl"/>
        </w:rPr>
      </w:pPr>
      <w:r w:rsidRPr="00001F32">
        <w:rPr>
          <w:rFonts w:cs="Times New Roman"/>
          <w:lang w:val="pl"/>
        </w:rPr>
        <w:t>Option ELITE to urządzenie drugiej generacji, opracowane na podstawie oryginalnego filtra do żyły głównej Option. Główne zmiany konstrukcyjne obejmowały zmniejszenie rozmiarów filtra i układu wprowadzania w celu poprawy działania w skomplikowanych cechach anatomicznych. Dokładniej rzecz ujmując, w modelu Option zastosowano trzy małe i trzy duże haczyki mocujące, natomiast w modelu Option ELITE zastosowano sześć małych haczyków w celu lepszego zamocowania. Zmodyfikowano również koszulkę wprowadzającą, zmieniając koszulkę wzmacniającą plecioną (0,071") na koszulkę wzmacniającą spiralną (0,073").</w:t>
      </w:r>
    </w:p>
    <w:p w14:paraId="19766CE7" w14:textId="77777777" w:rsidR="0068418E" w:rsidRPr="00001F32" w:rsidRDefault="0068418E" w:rsidP="0068418E">
      <w:pPr>
        <w:spacing w:after="0" w:afterAutospacing="0" w:line="240" w:lineRule="auto"/>
        <w:rPr>
          <w:rFonts w:cs="Times New Roman"/>
          <w:iCs/>
          <w:lang w:val="pl"/>
        </w:rPr>
      </w:pPr>
    </w:p>
    <w:p w14:paraId="6F13053D" w14:textId="6F3CA7C4" w:rsidR="002B1395" w:rsidRPr="00001F32" w:rsidRDefault="0068418E" w:rsidP="0068418E">
      <w:pPr>
        <w:spacing w:after="0" w:afterAutospacing="0" w:line="240" w:lineRule="auto"/>
        <w:rPr>
          <w:rFonts w:cs="Times New Roman"/>
          <w:iCs/>
          <w:lang w:val="pl"/>
        </w:rPr>
      </w:pPr>
      <w:r w:rsidRPr="00001F32">
        <w:rPr>
          <w:rFonts w:cs="Times New Roman"/>
          <w:lang w:val="pl"/>
        </w:rPr>
        <w:t>W 2015 roku wprowadzono system wprowadzający o długości 100 cm, umożliwiający umieszczenie przez dostęp zgięciowy i podkolanowy, oprócz dostępu szyjnego i udowego. Pomimo tych udoskonaleń, podstawowe wskazania, materiały i parametry działania pozostały spójne we wszystkich wariantach, co czyni je zasadniczo równoważnymi.</w:t>
      </w:r>
    </w:p>
    <w:p w14:paraId="6DE7912E" w14:textId="77777777" w:rsidR="00F77497" w:rsidRPr="00001F32" w:rsidRDefault="00F77497" w:rsidP="002B1395">
      <w:pPr>
        <w:spacing w:after="0" w:afterAutospacing="0" w:line="240" w:lineRule="auto"/>
        <w:rPr>
          <w:rFonts w:cs="Times New Roman"/>
          <w:iCs/>
          <w:lang w:val="pl"/>
        </w:rPr>
      </w:pPr>
    </w:p>
    <w:p w14:paraId="19F57FFB" w14:textId="224AFAF3" w:rsidR="00521477" w:rsidRPr="00001F32" w:rsidRDefault="00C27094" w:rsidP="00001F32">
      <w:pPr>
        <w:pStyle w:val="Heading1"/>
        <w:rPr>
          <w:rFonts w:cs="Times New Roman"/>
          <w:iCs/>
          <w:lang w:val="pl"/>
        </w:rPr>
      </w:pPr>
      <w:bookmarkStart w:id="17" w:name="_Toc240532200"/>
      <w:r w:rsidRPr="00001F32">
        <w:rPr>
          <w:lang w:val="pl"/>
        </w:rPr>
        <w:t>Akcesoria i inny sprzęt używany podczas umieszczania lub usuwania systemu</w:t>
      </w:r>
      <w:bookmarkEnd w:id="17"/>
    </w:p>
    <w:p w14:paraId="4DDE2DE8" w14:textId="77777777" w:rsidR="00FA4FD4" w:rsidRPr="00001F32" w:rsidRDefault="00FA4FD4">
      <w:pPr>
        <w:spacing w:after="0" w:afterAutospacing="0"/>
        <w:rPr>
          <w:rFonts w:cs="Times New Roman"/>
          <w:kern w:val="2"/>
          <w:szCs w:val="24"/>
          <w:lang w:val="pl"/>
          <w14:ligatures w14:val="standardContextual"/>
        </w:rPr>
      </w:pPr>
      <w:r w:rsidRPr="00001F32">
        <w:rPr>
          <w:rFonts w:cs="Times New Roman"/>
          <w:lang w:val="pl"/>
        </w:rPr>
        <w:t>Usuwalny system filtra do żyły głównej Option ELITE dostarczany jest w postaci zestawu wprowadzającego zawierającego elementy służące do przezskórnego wprowadzenia i umieszczenia filtra. Zestaw wprowadzający nie zawiera przyrządów do usuwania filtra.</w:t>
      </w:r>
    </w:p>
    <w:p w14:paraId="05038986" w14:textId="77777777" w:rsidR="00CF26DC" w:rsidRPr="00001F32" w:rsidRDefault="00CF26DC" w:rsidP="00CF26DC">
      <w:pPr>
        <w:spacing w:after="0" w:afterAutospacing="0" w:line="240" w:lineRule="auto"/>
        <w:rPr>
          <w:rFonts w:cs="Times New Roman"/>
          <w:iCs/>
          <w:lang w:val="pl"/>
        </w:rPr>
      </w:pPr>
    </w:p>
    <w:p w14:paraId="73BF87D5" w14:textId="77777777" w:rsidR="00CF26DC" w:rsidRPr="00001F32" w:rsidRDefault="00CF26DC" w:rsidP="00CF26DC">
      <w:pPr>
        <w:spacing w:after="0" w:afterAutospacing="0" w:line="240" w:lineRule="auto"/>
        <w:rPr>
          <w:rFonts w:cs="Times New Roman"/>
          <w:b/>
          <w:bCs/>
          <w:iCs/>
          <w:lang w:val="pl"/>
        </w:rPr>
      </w:pPr>
      <w:r w:rsidRPr="00001F32">
        <w:rPr>
          <w:rFonts w:cs="Times New Roman"/>
          <w:b/>
          <w:bCs/>
          <w:lang w:val="pl"/>
        </w:rPr>
        <w:t>Akcesoria zawarte w zestawie:</w:t>
      </w:r>
    </w:p>
    <w:p w14:paraId="422C530C" w14:textId="49173F1A" w:rsidR="00CF26DC" w:rsidRPr="00001F32" w:rsidRDefault="00CF26DC" w:rsidP="00921507">
      <w:pPr>
        <w:pStyle w:val="ListParagraph"/>
        <w:numPr>
          <w:ilvl w:val="0"/>
          <w:numId w:val="9"/>
        </w:numPr>
        <w:spacing w:after="0" w:afterAutospacing="0" w:line="240" w:lineRule="auto"/>
        <w:rPr>
          <w:rFonts w:cs="Times New Roman"/>
          <w:iCs/>
          <w:lang w:val="pl"/>
        </w:rPr>
      </w:pPr>
      <w:r w:rsidRPr="00001F32">
        <w:rPr>
          <w:rFonts w:cs="Times New Roman"/>
          <w:lang w:val="pl"/>
        </w:rPr>
        <w:t>Koszulka wprowadzająca cewnika - służy do wprowadzenia filtra do odpowiedniego miejsca w żyle głównej dolnej (IVC).</w:t>
      </w:r>
    </w:p>
    <w:p w14:paraId="7CD54F16" w14:textId="0BBA713C" w:rsidR="00CF26DC" w:rsidRPr="00001F32" w:rsidRDefault="00CF26DC" w:rsidP="00921507">
      <w:pPr>
        <w:pStyle w:val="ListParagraph"/>
        <w:numPr>
          <w:ilvl w:val="0"/>
          <w:numId w:val="9"/>
        </w:numPr>
        <w:spacing w:after="0" w:afterAutospacing="0" w:line="240" w:lineRule="auto"/>
        <w:rPr>
          <w:rFonts w:cs="Times New Roman"/>
          <w:iCs/>
          <w:lang w:val="pl"/>
        </w:rPr>
      </w:pPr>
      <w:r w:rsidRPr="00001F32">
        <w:rPr>
          <w:rFonts w:cs="Times New Roman"/>
          <w:lang w:val="pl"/>
        </w:rPr>
        <w:t>Angiograficzny rozszerzacz naczyń – ułatwia dostęp naczyniowy i pomaga rozszerzyć naczynie w celu wprowadzenia osłonki.</w:t>
      </w:r>
    </w:p>
    <w:p w14:paraId="2F09C520" w14:textId="503EE418" w:rsidR="00CF26DC" w:rsidRPr="00001F32" w:rsidRDefault="00CF26DC" w:rsidP="00921507">
      <w:pPr>
        <w:pStyle w:val="ListParagraph"/>
        <w:numPr>
          <w:ilvl w:val="0"/>
          <w:numId w:val="10"/>
        </w:numPr>
        <w:spacing w:after="0" w:afterAutospacing="0" w:line="240" w:lineRule="auto"/>
        <w:rPr>
          <w:rFonts w:cs="Times New Roman"/>
          <w:iCs/>
          <w:lang w:val="pl"/>
        </w:rPr>
      </w:pPr>
      <w:r w:rsidRPr="00001F32">
        <w:rPr>
          <w:rFonts w:cs="Times New Roman"/>
          <w:lang w:val="pl"/>
        </w:rPr>
        <w:t>Popychacz ze znacznikiem rozprężenia – używany do przesuwania i rozmieszczania filtra z systemu wprowadzającego do miejsca docelowego w obrębie żyły głównej dolnej.</w:t>
      </w:r>
    </w:p>
    <w:p w14:paraId="7D5262B4" w14:textId="4D721C73" w:rsidR="00CF26DC" w:rsidRPr="00001F32" w:rsidRDefault="00CF26DC" w:rsidP="00921507">
      <w:pPr>
        <w:pStyle w:val="ListParagraph"/>
        <w:numPr>
          <w:ilvl w:val="0"/>
          <w:numId w:val="10"/>
        </w:numPr>
        <w:spacing w:after="0" w:afterAutospacing="0" w:line="240" w:lineRule="auto"/>
        <w:rPr>
          <w:rFonts w:cs="Times New Roman"/>
          <w:iCs/>
          <w:lang w:val="pl"/>
        </w:rPr>
      </w:pPr>
      <w:r w:rsidRPr="00001F32">
        <w:rPr>
          <w:rFonts w:cs="Times New Roman"/>
          <w:lang w:val="pl"/>
        </w:rPr>
        <w:t xml:space="preserve">Filtr we wkładzie rozprężeniowym — zawiera gotowy do wprowadzenia filtr </w:t>
      </w:r>
      <w:r w:rsidR="001C3DB6" w:rsidRPr="00001F32">
        <w:rPr>
          <w:rFonts w:cs="Times New Roman"/>
          <w:lang w:val="pl"/>
        </w:rPr>
        <w:t xml:space="preserve">Option </w:t>
      </w:r>
      <w:r w:rsidRPr="00001F32">
        <w:rPr>
          <w:rFonts w:cs="Times New Roman"/>
          <w:lang w:val="pl"/>
        </w:rPr>
        <w:t>ELITE.</w:t>
      </w:r>
    </w:p>
    <w:p w14:paraId="4B37BA85" w14:textId="15A7F844" w:rsidR="00CF26DC" w:rsidRPr="00001F32" w:rsidRDefault="00FA4FD4" w:rsidP="00D023C2">
      <w:pPr>
        <w:pStyle w:val="ListParagraph"/>
        <w:numPr>
          <w:ilvl w:val="0"/>
          <w:numId w:val="10"/>
        </w:numPr>
        <w:rPr>
          <w:rFonts w:cs="Times New Roman"/>
          <w:iCs/>
          <w:lang w:val="pl"/>
        </w:rPr>
      </w:pPr>
      <w:r w:rsidRPr="00001F32">
        <w:rPr>
          <w:rFonts w:cs="Times New Roman"/>
          <w:lang w:val="pl"/>
        </w:rPr>
        <w:t>Nasadka koszulki dostarczana jest jako część zestawu wprowadzającego.</w:t>
      </w:r>
    </w:p>
    <w:p w14:paraId="3DB13247" w14:textId="3189F6F3" w:rsidR="00C27094" w:rsidRPr="00001F32" w:rsidRDefault="00C27094">
      <w:pPr>
        <w:spacing w:after="0" w:afterAutospacing="0"/>
        <w:rPr>
          <w:rFonts w:cs="Times New Roman"/>
          <w:kern w:val="2"/>
          <w:szCs w:val="24"/>
          <w:lang w:val="pl"/>
          <w14:ligatures w14:val="standardContextual"/>
        </w:rPr>
      </w:pPr>
      <w:r w:rsidRPr="00001F32">
        <w:rPr>
          <w:rFonts w:cs="Times New Roman"/>
          <w:b/>
          <w:bCs/>
          <w:lang w:val="pl"/>
        </w:rPr>
        <w:lastRenderedPageBreak/>
        <w:t>Inne elementy wyposażenia używane, w stosownych przypadkach, podczas umieszczania lub usuwania filtra</w:t>
      </w:r>
    </w:p>
    <w:p w14:paraId="7CA95F6F" w14:textId="77777777" w:rsidR="00C27094" w:rsidRPr="00001F32" w:rsidRDefault="00C27094" w:rsidP="00C27094">
      <w:pPr>
        <w:pStyle w:val="ListParagraph"/>
        <w:numPr>
          <w:ilvl w:val="0"/>
          <w:numId w:val="8"/>
        </w:numPr>
        <w:rPr>
          <w:rFonts w:cs="Times New Roman"/>
          <w:kern w:val="2"/>
          <w:szCs w:val="24"/>
          <w:lang w:val="pl"/>
          <w14:ligatures w14:val="standardContextual"/>
        </w:rPr>
      </w:pPr>
      <w:r w:rsidRPr="00001F32">
        <w:rPr>
          <w:rFonts w:cs="Times New Roman"/>
          <w:lang w:val="pl"/>
        </w:rPr>
        <w:t>Do obrazowania podczas procedur umieszczania i usuwania filtra niezbędny jest sprzęt do obrazowania fluoroskopowego.</w:t>
      </w:r>
    </w:p>
    <w:p w14:paraId="05B1E7A9" w14:textId="77777777" w:rsidR="00C27094" w:rsidRPr="00001F32" w:rsidRDefault="00C27094" w:rsidP="00C27094">
      <w:pPr>
        <w:pStyle w:val="ListParagraph"/>
        <w:numPr>
          <w:ilvl w:val="0"/>
          <w:numId w:val="8"/>
        </w:numPr>
        <w:rPr>
          <w:rFonts w:cs="Times New Roman"/>
          <w:kern w:val="2"/>
          <w:szCs w:val="24"/>
          <w:lang w:val="pl"/>
          <w14:ligatures w14:val="standardContextual"/>
        </w:rPr>
      </w:pPr>
      <w:r w:rsidRPr="00001F32">
        <w:rPr>
          <w:rFonts w:cs="Times New Roman"/>
          <w:lang w:val="pl"/>
        </w:rPr>
        <w:t>Zestaw do wprowadzania Option ELITE nie zawiera drutów prowadzących, używanych podczas porodu; należy je dobierać i stosować zgodnie z odpowiednimi instrukcjami producenta oraz stosowanymi procedurami.</w:t>
      </w:r>
    </w:p>
    <w:p w14:paraId="6DD10736" w14:textId="0F9EAA8A" w:rsidR="00CF26DC" w:rsidRPr="00001F32" w:rsidRDefault="00C27094" w:rsidP="00D023C2">
      <w:pPr>
        <w:pStyle w:val="ListParagraph"/>
        <w:numPr>
          <w:ilvl w:val="0"/>
          <w:numId w:val="8"/>
        </w:numPr>
        <w:rPr>
          <w:rFonts w:cs="Times New Roman"/>
          <w:kern w:val="2"/>
          <w:szCs w:val="24"/>
          <w14:ligatures w14:val="standardContextual"/>
        </w:rPr>
      </w:pPr>
      <w:r w:rsidRPr="00001F32">
        <w:rPr>
          <w:rFonts w:cs="Times New Roman"/>
          <w:lang w:val="pl"/>
        </w:rPr>
        <w:t>Urządzenia do usuwania filtra, w tym pętle, cewniki do wyjmowania i wyposażenie dodatkowe, nie wchodzą w skład zestawu do wprowadzania Option ELITE i należy je stosować wyłącznie wówczas, gdy istnieją ku temu wskazania kliniczne i zgodnie z odpowiednimi instrukcjami producenta. Zaleca się pobieranie przez koszulki o rozmiarze minimum 8 Fr.</w:t>
      </w:r>
    </w:p>
    <w:p w14:paraId="070E91AA" w14:textId="14D3845F" w:rsidR="00CF26DC" w:rsidRPr="00001F32" w:rsidRDefault="00CF26DC" w:rsidP="00CF26DC">
      <w:pPr>
        <w:spacing w:after="0" w:afterAutospacing="0" w:line="240" w:lineRule="auto"/>
        <w:rPr>
          <w:rFonts w:cs="Times New Roman"/>
          <w:b/>
          <w:bCs/>
          <w:iCs/>
          <w:lang w:val="pl-PL"/>
        </w:rPr>
      </w:pPr>
      <w:r w:rsidRPr="00001F32">
        <w:rPr>
          <w:rFonts w:cs="Times New Roman"/>
          <w:b/>
          <w:bCs/>
          <w:lang w:val="pl"/>
        </w:rPr>
        <w:t>Stosowanie w połączeniu z innymi produktami</w:t>
      </w:r>
    </w:p>
    <w:p w14:paraId="45E3717C" w14:textId="77777777" w:rsidR="00C27094" w:rsidRPr="00001F32" w:rsidRDefault="00C27094" w:rsidP="00C27094">
      <w:pPr>
        <w:pStyle w:val="ListParagraph"/>
        <w:numPr>
          <w:ilvl w:val="0"/>
          <w:numId w:val="7"/>
        </w:numPr>
        <w:rPr>
          <w:rFonts w:cs="Times New Roman"/>
          <w:kern w:val="2"/>
          <w:szCs w:val="24"/>
          <w:lang w:val="pl-PL"/>
          <w14:ligatures w14:val="standardContextual"/>
        </w:rPr>
      </w:pPr>
      <w:r w:rsidRPr="00001F32">
        <w:rPr>
          <w:rFonts w:cs="Times New Roman"/>
          <w:lang w:val="pl"/>
        </w:rPr>
        <w:t>Filtr Option ELITE jest przeznaczony do działania jako urządzenie mechaniczne zapobiegające nawrotom zatorowości płucnej poprzez przerwanie przemieszczania się zakrzepu w żyle głównej dolnej.</w:t>
      </w:r>
    </w:p>
    <w:p w14:paraId="52C1B30C" w14:textId="28090024" w:rsidR="00CF26DC" w:rsidRPr="00001F32" w:rsidRDefault="00C27094" w:rsidP="00D023C2">
      <w:pPr>
        <w:pStyle w:val="ListParagraph"/>
        <w:numPr>
          <w:ilvl w:val="0"/>
          <w:numId w:val="7"/>
        </w:numPr>
        <w:rPr>
          <w:rFonts w:cs="Times New Roman"/>
          <w:kern w:val="2"/>
          <w:szCs w:val="24"/>
          <w:lang w:val="pl"/>
          <w14:ligatures w14:val="standardContextual"/>
        </w:rPr>
      </w:pPr>
      <w:r w:rsidRPr="00001F32">
        <w:rPr>
          <w:rFonts w:cs="Times New Roman"/>
          <w:lang w:val="pl"/>
        </w:rPr>
        <w:t>Urządzenie nie zawiera i nie podaje substancji leczniczych. O ewentualnym leczeniu przeciwzakrzepowym lub innym leczeniu decyduje lekarz prowadzący indywidualnie, biorąc pod uwagę stan kliniczny pacjenta.</w:t>
      </w:r>
    </w:p>
    <w:p w14:paraId="14C2EFF7" w14:textId="24FFB826" w:rsidR="00CF26DC" w:rsidRPr="00001F32" w:rsidRDefault="00FA4FD4" w:rsidP="00181ED5">
      <w:pPr>
        <w:spacing w:after="0" w:afterAutospacing="0"/>
        <w:rPr>
          <w:rFonts w:cs="Times New Roman"/>
          <w:kern w:val="2"/>
          <w:szCs w:val="24"/>
          <w:lang w:val="pl"/>
          <w14:ligatures w14:val="standardContextual"/>
        </w:rPr>
      </w:pPr>
      <w:r w:rsidRPr="00001F32">
        <w:rPr>
          <w:rFonts w:cs="Times New Roman"/>
          <w:lang w:val="pl"/>
        </w:rPr>
        <w:t>Zestaw wprowadzający Option ELITE jest dostarczany w stanie sterylnym do jednorazowego użytku i przeznaczony jest do stosowania przez przeszkolonych lekarzy lub klinicystów.</w:t>
      </w:r>
    </w:p>
    <w:p w14:paraId="17CCC4B6" w14:textId="77777777" w:rsidR="00042B91" w:rsidRPr="00001F32" w:rsidRDefault="00042B91" w:rsidP="00042B91">
      <w:pPr>
        <w:spacing w:after="0" w:afterAutospacing="0" w:line="240" w:lineRule="auto"/>
        <w:rPr>
          <w:rFonts w:cs="Times New Roman"/>
          <w:i/>
          <w:lang w:val="pl"/>
        </w:rPr>
      </w:pPr>
    </w:p>
    <w:p w14:paraId="45C0A245" w14:textId="61A622A4" w:rsidR="008745ED" w:rsidRPr="00001F32" w:rsidRDefault="008745ED" w:rsidP="00170FE5">
      <w:pPr>
        <w:pStyle w:val="Heading1"/>
        <w:numPr>
          <w:ilvl w:val="0"/>
          <w:numId w:val="2"/>
        </w:numPr>
        <w:rPr>
          <w:rFonts w:cs="Times New Roman"/>
          <w:color w:val="auto"/>
        </w:rPr>
      </w:pPr>
      <w:bookmarkStart w:id="18" w:name="_Toc240532201"/>
      <w:r w:rsidRPr="00001F32">
        <w:rPr>
          <w:rFonts w:cs="Times New Roman"/>
          <w:bCs/>
          <w:color w:val="auto"/>
          <w:lang w:val="pl"/>
        </w:rPr>
        <w:t>Zagrożenia i ostrzeżenia</w:t>
      </w:r>
      <w:bookmarkEnd w:id="18"/>
    </w:p>
    <w:p w14:paraId="3D8BE6E3" w14:textId="77777777" w:rsidR="00042B91" w:rsidRPr="00001F32" w:rsidRDefault="00042B91" w:rsidP="00042B91">
      <w:pPr>
        <w:spacing w:after="0" w:afterAutospacing="0" w:line="240" w:lineRule="auto"/>
        <w:rPr>
          <w:rFonts w:cs="Times New Roman"/>
        </w:rPr>
      </w:pPr>
    </w:p>
    <w:p w14:paraId="23B3DF1D" w14:textId="769AD98E" w:rsidR="00A94684" w:rsidRPr="00001F32" w:rsidRDefault="008745ED" w:rsidP="0060258C">
      <w:pPr>
        <w:pStyle w:val="Heading1"/>
        <w:rPr>
          <w:rFonts w:cs="Times New Roman"/>
          <w:color w:val="auto"/>
          <w:lang w:val="pl-PL"/>
        </w:rPr>
      </w:pPr>
      <w:bookmarkStart w:id="19" w:name="_Toc240532202"/>
      <w:r w:rsidRPr="00001F32">
        <w:rPr>
          <w:rFonts w:cs="Times New Roman"/>
          <w:bCs/>
          <w:color w:val="auto"/>
          <w:lang w:val="pl"/>
        </w:rPr>
        <w:t>Pozostałe zagrożenia i niepożądane skutki uboczne</w:t>
      </w:r>
      <w:bookmarkEnd w:id="19"/>
    </w:p>
    <w:p w14:paraId="151630FD" w14:textId="558297B9" w:rsidR="005F4CCD" w:rsidRPr="00001F32" w:rsidRDefault="005F4CCD">
      <w:pPr>
        <w:rPr>
          <w:rFonts w:cs="Times New Roman"/>
          <w:kern w:val="2"/>
          <w:szCs w:val="24"/>
          <w:lang w:val="pl"/>
          <w14:ligatures w14:val="standardContextual"/>
        </w:rPr>
      </w:pPr>
      <w:r w:rsidRPr="00001F32">
        <w:rPr>
          <w:rFonts w:cs="Times New Roman"/>
          <w:lang w:val="pl"/>
        </w:rPr>
        <w:t>Pomimo środków kontroli ryzyka wdrożonych na etapie projektowania, produkcji i stosowania klinicznego, system usuwalnego filtra do żyły głównej Option ELITE wiąże się z ryzykiem resztkowym, które jest nieodłącznie związane z implantowanymi filtrami do żyły głównej dolnej oraz procedurami ich umieszczania, osadzania i usuwania. Powikłania mogą wystąpić w każdej chwili podczas implantacji, w czasie przebywania wyrobu w ciele pacjenta, podczas usuwania filtra lub po jego usunięciu.</w:t>
      </w:r>
    </w:p>
    <w:p w14:paraId="75D0C8D4" w14:textId="77777777" w:rsidR="005F4CCD" w:rsidRPr="00001F32" w:rsidRDefault="005F4CCD">
      <w:pPr>
        <w:rPr>
          <w:rFonts w:cs="Times New Roman"/>
          <w:kern w:val="2"/>
          <w:szCs w:val="24"/>
          <w:lang w:val="pl"/>
          <w14:ligatures w14:val="standardContextual"/>
        </w:rPr>
      </w:pPr>
      <w:r w:rsidRPr="00001F32">
        <w:rPr>
          <w:rFonts w:cs="Times New Roman"/>
          <w:lang w:val="pl"/>
        </w:rPr>
        <w:t>Możliwe niepożądane skutki uboczne i powikłania mogą obejmować m.in. co następuje:</w:t>
      </w:r>
    </w:p>
    <w:p w14:paraId="3AEE4E31" w14:textId="77777777" w:rsidR="00A94684" w:rsidRPr="00001F32" w:rsidRDefault="00A94684" w:rsidP="00921507">
      <w:pPr>
        <w:pStyle w:val="NormalWeb"/>
        <w:numPr>
          <w:ilvl w:val="0"/>
          <w:numId w:val="11"/>
        </w:numPr>
      </w:pPr>
      <w:r w:rsidRPr="00001F32">
        <w:rPr>
          <w:rStyle w:val="Strong"/>
          <w:b w:val="0"/>
          <w:bCs w:val="0"/>
          <w:lang w:val="pl"/>
        </w:rPr>
        <w:t>Ryzyko związane z urządzeniami</w:t>
      </w:r>
    </w:p>
    <w:p w14:paraId="79074972" w14:textId="77777777" w:rsidR="005F4CCD" w:rsidRPr="00001F32" w:rsidRDefault="005F4CCD" w:rsidP="005F4CCD">
      <w:pPr>
        <w:numPr>
          <w:ilvl w:val="1"/>
          <w:numId w:val="11"/>
        </w:numPr>
        <w:rPr>
          <w:rFonts w:cs="Times New Roman"/>
          <w:kern w:val="2"/>
          <w:szCs w:val="24"/>
          <w:lang w:val="pl-PL"/>
          <w14:ligatures w14:val="standardContextual"/>
        </w:rPr>
      </w:pPr>
      <w:r w:rsidRPr="00001F32">
        <w:rPr>
          <w:rFonts w:cs="Times New Roman"/>
          <w:lang w:val="pl"/>
        </w:rPr>
        <w:t>Nieprawidłowe położenie lub orientacja, ruchomość, przemieszczenie, przechylenie lub nieprawidłowe ułożenie filtra w żyle głównej dolnej</w:t>
      </w:r>
    </w:p>
    <w:p w14:paraId="2EA13F74" w14:textId="77777777" w:rsidR="005F4CCD" w:rsidRPr="00001F32" w:rsidRDefault="005F4CCD" w:rsidP="005F4CCD">
      <w:pPr>
        <w:numPr>
          <w:ilvl w:val="1"/>
          <w:numId w:val="11"/>
        </w:numPr>
        <w:rPr>
          <w:rFonts w:cs="Times New Roman"/>
          <w:kern w:val="2"/>
          <w:szCs w:val="24"/>
          <w:lang w:val="pl-PL"/>
          <w14:ligatures w14:val="standardContextual"/>
        </w:rPr>
      </w:pPr>
      <w:r w:rsidRPr="00001F32">
        <w:rPr>
          <w:rFonts w:cs="Times New Roman"/>
          <w:lang w:val="pl"/>
        </w:rPr>
        <w:t>Trudności lub niemożność usunięcia filtra po implantacji, w tym konieczność innej interwencji lub innego sposobu leczenia w celu dokończenia zabiegu</w:t>
      </w:r>
    </w:p>
    <w:p w14:paraId="4FE3311F" w14:textId="77777777" w:rsidR="005F4CCD" w:rsidRPr="00001F32" w:rsidRDefault="005F4CCD" w:rsidP="005F4CCD">
      <w:pPr>
        <w:numPr>
          <w:ilvl w:val="1"/>
          <w:numId w:val="11"/>
        </w:numPr>
        <w:rPr>
          <w:rFonts w:cs="Times New Roman"/>
          <w:kern w:val="2"/>
          <w:szCs w:val="24"/>
          <w:lang w:val="pl-PL"/>
          <w14:ligatures w14:val="standardContextual"/>
        </w:rPr>
      </w:pPr>
      <w:r w:rsidRPr="00001F32">
        <w:rPr>
          <w:rFonts w:cs="Times New Roman"/>
          <w:lang w:val="pl"/>
        </w:rPr>
        <w:t>Uszkodzenie, awaria, pęknięcie, odkształcenie urządzenia, przemieszczenie elementów lub niemożność usunięcia zaimplantowanego urządzenia</w:t>
      </w:r>
    </w:p>
    <w:p w14:paraId="1B5DF1A4" w14:textId="77777777" w:rsidR="005F4CCD" w:rsidRPr="00001F32" w:rsidRDefault="005F4CCD" w:rsidP="005F4CCD">
      <w:pPr>
        <w:numPr>
          <w:ilvl w:val="1"/>
          <w:numId w:val="11"/>
        </w:numPr>
        <w:rPr>
          <w:rFonts w:cs="Times New Roman"/>
          <w:kern w:val="2"/>
          <w:szCs w:val="24"/>
          <w:lang w:val="pl-PL"/>
          <w14:ligatures w14:val="standardContextual"/>
        </w:rPr>
      </w:pPr>
      <w:r w:rsidRPr="00001F32">
        <w:rPr>
          <w:rFonts w:cs="Times New Roman"/>
          <w:lang w:val="pl"/>
        </w:rPr>
        <w:lastRenderedPageBreak/>
        <w:t>Powikłania związane z filtrem, w tym perforacja, przemieszczenie, złamanie, przechylenie/nieprawidłowe ułożenie, zakrzepica żyły głównej lub okluzja oraz powikłania związane z usunięciem filtra</w:t>
      </w:r>
    </w:p>
    <w:p w14:paraId="4D0E60D4" w14:textId="77777777" w:rsidR="00A94684" w:rsidRPr="00001F32" w:rsidRDefault="00A94684" w:rsidP="00921507">
      <w:pPr>
        <w:pStyle w:val="NormalWeb"/>
        <w:numPr>
          <w:ilvl w:val="0"/>
          <w:numId w:val="11"/>
        </w:numPr>
      </w:pPr>
      <w:r w:rsidRPr="00001F32">
        <w:rPr>
          <w:rStyle w:val="Strong"/>
          <w:b w:val="0"/>
          <w:bCs w:val="0"/>
          <w:lang w:val="pl"/>
        </w:rPr>
        <w:t>Ryzyko naczyniowe i zakrzepowe</w:t>
      </w:r>
    </w:p>
    <w:p w14:paraId="6CD7B40B" w14:textId="77777777" w:rsidR="005F4CCD" w:rsidRPr="00001F32" w:rsidRDefault="005F4CCD" w:rsidP="005F4CCD">
      <w:pPr>
        <w:numPr>
          <w:ilvl w:val="1"/>
          <w:numId w:val="11"/>
        </w:numPr>
        <w:rPr>
          <w:rFonts w:cs="Times New Roman"/>
          <w:kern w:val="2"/>
          <w:szCs w:val="24"/>
          <w:lang w:val="pl-PL"/>
          <w14:ligatures w14:val="standardContextual"/>
        </w:rPr>
      </w:pPr>
      <w:r w:rsidRPr="00001F32">
        <w:rPr>
          <w:rFonts w:cs="Times New Roman"/>
          <w:lang w:val="pl"/>
        </w:rPr>
        <w:t>Zdarzenia zakrzepowo-zatorowe, w tym nowopowstała lub pogarszająca się zakrzepica żył głębokich, ostra lub nawracająca zatorowość płucna, zator powietrzny lub tworzenie się skrzepu w filtrze lub wokół niego</w:t>
      </w:r>
    </w:p>
    <w:p w14:paraId="3D3CE9CC" w14:textId="77777777" w:rsidR="005F4CCD" w:rsidRPr="00001F32" w:rsidRDefault="005F4CCD" w:rsidP="005F4CCD">
      <w:pPr>
        <w:numPr>
          <w:ilvl w:val="1"/>
          <w:numId w:val="11"/>
        </w:numPr>
        <w:rPr>
          <w:rFonts w:cs="Times New Roman"/>
          <w:kern w:val="2"/>
          <w:szCs w:val="24"/>
          <w:lang w:val="pl-PL"/>
          <w14:ligatures w14:val="standardContextual"/>
        </w:rPr>
      </w:pPr>
      <w:r w:rsidRPr="00001F32">
        <w:rPr>
          <w:rFonts w:cs="Times New Roman"/>
          <w:lang w:val="pl"/>
        </w:rPr>
        <w:t>Zwężenie żyły głównej, częściowa lub całkowita okluzja żyły głównej, zakrzepica żyły głównej, skurcz naczyń lub zmniejszony/upośledzony przepływ krwi</w:t>
      </w:r>
    </w:p>
    <w:p w14:paraId="28EB7EB4" w14:textId="77777777" w:rsidR="005F4CCD" w:rsidRPr="00001F32" w:rsidRDefault="005F4CCD" w:rsidP="005F4CCD">
      <w:pPr>
        <w:numPr>
          <w:ilvl w:val="1"/>
          <w:numId w:val="11"/>
        </w:numPr>
        <w:rPr>
          <w:rFonts w:cs="Times New Roman"/>
          <w:kern w:val="2"/>
          <w:szCs w:val="24"/>
          <w:lang w:val="pl-PL"/>
          <w14:ligatures w14:val="standardContextual"/>
        </w:rPr>
      </w:pPr>
      <w:r w:rsidRPr="00001F32">
        <w:rPr>
          <w:rFonts w:cs="Times New Roman"/>
          <w:lang w:val="pl"/>
        </w:rPr>
        <w:t>Uraz lub uszkodzenie żyły głównej dolnej lub innego naczynia, w tym perforacja, penetracja, pęknięcie, rozwarstwienie, wynaczynienie środka kontrastowego lub uszkodzenie narządów sąsiadujących z żyłą główną dolną, potencjalnie wymagające leczenia farmakologicznego, chirurgicznego lub interwencyjnego</w:t>
      </w:r>
    </w:p>
    <w:p w14:paraId="7118DADA" w14:textId="77777777" w:rsidR="00A94684" w:rsidRPr="00001F32" w:rsidRDefault="00A94684" w:rsidP="00921507">
      <w:pPr>
        <w:pStyle w:val="NormalWeb"/>
        <w:numPr>
          <w:ilvl w:val="0"/>
          <w:numId w:val="11"/>
        </w:numPr>
      </w:pPr>
      <w:r w:rsidRPr="00001F32">
        <w:rPr>
          <w:rStyle w:val="Strong"/>
          <w:b w:val="0"/>
          <w:bCs w:val="0"/>
          <w:lang w:val="pl"/>
        </w:rPr>
        <w:t>Ryzyko związane z procedurami</w:t>
      </w:r>
    </w:p>
    <w:p w14:paraId="524B6120" w14:textId="77777777" w:rsidR="005F4CCD" w:rsidRPr="00001F32" w:rsidRDefault="005F4CCD" w:rsidP="005F4CCD">
      <w:pPr>
        <w:numPr>
          <w:ilvl w:val="1"/>
          <w:numId w:val="11"/>
        </w:numPr>
        <w:rPr>
          <w:rFonts w:cs="Times New Roman"/>
          <w:kern w:val="2"/>
          <w:szCs w:val="24"/>
          <w:lang w:val="pl-PL"/>
          <w14:ligatures w14:val="standardContextual"/>
        </w:rPr>
      </w:pPr>
      <w:r w:rsidRPr="00001F32">
        <w:rPr>
          <w:rFonts w:cs="Times New Roman"/>
          <w:lang w:val="pl"/>
        </w:rPr>
        <w:t>Krwawienie, siniaki, krwiaki, powikłania krwotoczne wymagające transfuzji lub interwencji medycznej lub inne urazy miejsca dostępu naczyniowego, w tym przetoka tętniczo-żylna lub tętniak rzekomy</w:t>
      </w:r>
    </w:p>
    <w:p w14:paraId="025787AE" w14:textId="77777777" w:rsidR="005F4CCD" w:rsidRPr="00001F32" w:rsidRDefault="005F4CCD" w:rsidP="005F4CCD">
      <w:pPr>
        <w:numPr>
          <w:ilvl w:val="1"/>
          <w:numId w:val="11"/>
        </w:numPr>
        <w:rPr>
          <w:rFonts w:cs="Times New Roman"/>
          <w:kern w:val="2"/>
          <w:szCs w:val="24"/>
          <w:lang w:val="pl-PL"/>
          <w14:ligatures w14:val="standardContextual"/>
        </w:rPr>
      </w:pPr>
      <w:r w:rsidRPr="00001F32">
        <w:rPr>
          <w:rFonts w:cs="Times New Roman"/>
          <w:lang w:val="pl"/>
        </w:rPr>
        <w:t>Zakażenie, potencjalnie wymagające interwencji medycznej lub chirurgicznej</w:t>
      </w:r>
    </w:p>
    <w:p w14:paraId="4B491F14" w14:textId="77777777" w:rsidR="005F4CCD" w:rsidRPr="00001F32" w:rsidRDefault="005F4CCD" w:rsidP="005F4CCD">
      <w:pPr>
        <w:numPr>
          <w:ilvl w:val="1"/>
          <w:numId w:val="11"/>
        </w:numPr>
        <w:rPr>
          <w:rFonts w:cs="Times New Roman"/>
          <w:kern w:val="2"/>
          <w:szCs w:val="24"/>
          <w:lang w:val="pl-PL"/>
          <w14:ligatures w14:val="standardContextual"/>
        </w:rPr>
      </w:pPr>
      <w:r w:rsidRPr="00001F32">
        <w:rPr>
          <w:rFonts w:cs="Times New Roman"/>
          <w:lang w:val="pl"/>
        </w:rPr>
        <w:t>Reakcje na środki kontrastowe, leki lub znieczulenie stosowane podczas zabiegu</w:t>
      </w:r>
    </w:p>
    <w:p w14:paraId="28AA3F05" w14:textId="77777777" w:rsidR="00E8141E" w:rsidRPr="00001F32" w:rsidRDefault="00E8141E" w:rsidP="00E8141E">
      <w:pPr>
        <w:pStyle w:val="ListParagraph"/>
        <w:numPr>
          <w:ilvl w:val="1"/>
          <w:numId w:val="11"/>
        </w:numPr>
        <w:rPr>
          <w:rFonts w:cs="Times New Roman"/>
          <w:kern w:val="2"/>
          <w:lang w:val="pl-PL"/>
          <w14:ligatures w14:val="standardContextual"/>
        </w:rPr>
      </w:pPr>
      <w:r w:rsidRPr="00001F32">
        <w:rPr>
          <w:rFonts w:cs="Times New Roman"/>
          <w:lang w:val="pl"/>
        </w:rPr>
        <w:t>Inne poważne zdarzenia kliniczne mogą obejmować niewydolność oddechową, arytmię serca, zawał mięśnia sercowego lub niedokrwienie wieńcowe, udar mózgu lub inne zdarzenie neurologiczne, niewydolność nerek, deficyt neurologiczny związany z dostępem naczyniowym, zawał, uszkodzenie lub niewydolność narządu końcowego lub zgon.</w:t>
      </w:r>
    </w:p>
    <w:p w14:paraId="2CD3CD34" w14:textId="77777777" w:rsidR="00CE195E" w:rsidRPr="00001F32" w:rsidRDefault="00CE195E">
      <w:pPr>
        <w:rPr>
          <w:rFonts w:cs="Times New Roman"/>
          <w:kern w:val="2"/>
          <w:szCs w:val="24"/>
          <w:lang w:val="pl"/>
          <w14:ligatures w14:val="standardContextual"/>
        </w:rPr>
      </w:pPr>
      <w:r w:rsidRPr="00001F32">
        <w:rPr>
          <w:rFonts w:cs="Times New Roman"/>
          <w:lang w:val="pl"/>
        </w:rPr>
        <w:t>Zagrożenia te są dobrze udokumentowane w przypadku usuwalnych filtrów żyły głównej dolnej i zostały ocenione w badaniach klinicznych, w opublikowanej literaturze oraz w ramach prowadzenia nadzoru po wprowadzeniu produktu na rynek. Częstość występowania i nasilenie tych zdarzeń mogą się różnić w zależności od stanu pacjenta, czasu trwania implantacji, ryzyka wystąpienia powikłań zakrzepowo-zatorowych i praktyki klinicznej. Zdarzenia te mogą mieć poważne konsekwencje i wymagać hospitalizacji, leczenia, operacji lub interwencji. Na podstawie przeanalizowanych dotychczas, dostępnych dowodów klinicznych i danych po wprowadzeniu produktu na rynek nie stwierdzono żadnych nowych zagrożeń bezpieczeństwa, które wymagałyby dodatkowych środków ograniczania ryzyka lub zmian w stosunku do obecnie przyjmowanego stosunku korzyści do ryzyka dla urządzenia Option ELITE.</w:t>
      </w:r>
    </w:p>
    <w:p w14:paraId="631404EA" w14:textId="77777777" w:rsidR="00CE195E" w:rsidRPr="00001F32" w:rsidRDefault="00CE195E">
      <w:pPr>
        <w:rPr>
          <w:rFonts w:cs="Times New Roman"/>
          <w:kern w:val="2"/>
          <w:szCs w:val="24"/>
          <w:lang w:val="pl"/>
          <w14:ligatures w14:val="standardContextual"/>
        </w:rPr>
      </w:pPr>
      <w:r w:rsidRPr="00001F32">
        <w:rPr>
          <w:rFonts w:cs="Times New Roman"/>
          <w:lang w:val="pl"/>
        </w:rPr>
        <w:t xml:space="preserve">W przypadku stosowania zgodnie z przeznaczeniem, instrukcją użycia i obowiązującymi wytycznymi klinicznymi, zidentyfikowane ryzyko resztkowe uznaje się za akceptowalne w stosunku do korzyści klinicznych wynikających ze zmniejszenia ryzyka zatorowości płucnej u pacjentek, u których leczenie przeciwzakrzepowe jest przeciwwskazane lub nieskuteczne. Lekarz prowadzący może przeprowadzać okresową ocenę kliniczną w celu ustalenia, czy nadal zachodzi potrzeba filtracji żyły głównej dolnej. U pacjentów, u których nie występuje już początkowe ryzyko zatorowości płucnej i u których usunięcie filtra jest klinicznie uzasadnione, można rozważyć usunięcie filtra zgodnie z instrukcją użycia, aby zmniejszyć </w:t>
      </w:r>
      <w:r w:rsidRPr="00001F32">
        <w:rPr>
          <w:rFonts w:cs="Times New Roman"/>
          <w:lang w:val="pl"/>
        </w:rPr>
        <w:lastRenderedPageBreak/>
        <w:t>ryzyko powikłań związanych z wydłużonym czasem implantacji. Decyzje dotyczące pozostawienia lub usunięcia filtra należy podejmować indywidualnie, biorąc pod uwagę ogólny stan kliniczny pacjenta, ryzyko zakrzepicy, stan przeciwzakrzepowy, czynniki anatomiczne i względy proceduralne.</w:t>
      </w:r>
    </w:p>
    <w:p w14:paraId="23429C4B" w14:textId="031063BB" w:rsidR="008745ED" w:rsidRPr="00001F32" w:rsidRDefault="008745ED" w:rsidP="00042B91">
      <w:pPr>
        <w:pStyle w:val="Heading1"/>
        <w:rPr>
          <w:rFonts w:cs="Times New Roman"/>
          <w:color w:val="auto"/>
        </w:rPr>
      </w:pPr>
      <w:bookmarkStart w:id="20" w:name="_Toc240532203"/>
      <w:r w:rsidRPr="00001F32">
        <w:rPr>
          <w:rFonts w:cs="Times New Roman"/>
          <w:bCs/>
          <w:color w:val="auto"/>
          <w:lang w:val="pl"/>
        </w:rPr>
        <w:t>Ostrzeżenia i środki ostrożności</w:t>
      </w:r>
      <w:bookmarkEnd w:id="20"/>
    </w:p>
    <w:p w14:paraId="4D729B86" w14:textId="598A602D" w:rsidR="008745ED" w:rsidRPr="00001F32" w:rsidRDefault="0097578E" w:rsidP="00042B91">
      <w:pPr>
        <w:spacing w:after="0" w:afterAutospacing="0" w:line="240" w:lineRule="auto"/>
        <w:rPr>
          <w:rFonts w:cs="Times New Roman"/>
          <w:b/>
          <w:bCs/>
          <w:iCs/>
          <w:szCs w:val="24"/>
        </w:rPr>
      </w:pPr>
      <w:r w:rsidRPr="00001F32">
        <w:rPr>
          <w:rFonts w:cs="Times New Roman"/>
          <w:b/>
          <w:bCs/>
          <w:szCs w:val="24"/>
          <w:lang w:val="pl"/>
        </w:rPr>
        <w:t>Ostrzeżenia:</w:t>
      </w:r>
    </w:p>
    <w:p w14:paraId="3347AC55" w14:textId="77777777" w:rsidR="000C109C" w:rsidRPr="00001F32" w:rsidRDefault="000C109C">
      <w:pPr>
        <w:pStyle w:val="ListParagraph"/>
        <w:numPr>
          <w:ilvl w:val="0"/>
          <w:numId w:val="20"/>
        </w:numPr>
        <w:rPr>
          <w:rFonts w:cs="Times New Roman"/>
          <w:kern w:val="2"/>
          <w:szCs w:val="24"/>
          <w:lang w:val="pl"/>
          <w14:ligatures w14:val="standardContextual"/>
        </w:rPr>
      </w:pPr>
      <w:r w:rsidRPr="00001F32">
        <w:rPr>
          <w:rFonts w:cs="Times New Roman"/>
          <w:lang w:val="pl"/>
        </w:rPr>
        <w:t>Zawartość jest dostarczana w stanie WYSTERYLIZOWANYM z użyciem tlenku etylenu (EO). Nie używać, jeśli opakowanie lub bariera sterylna są uszkodzone albo jeśli data ważności została przekroczona.</w:t>
      </w:r>
    </w:p>
    <w:p w14:paraId="7FD6A140" w14:textId="77777777" w:rsidR="000C109C" w:rsidRPr="00001F32" w:rsidRDefault="000C109C" w:rsidP="000C109C">
      <w:pPr>
        <w:pStyle w:val="ListParagraph"/>
        <w:numPr>
          <w:ilvl w:val="0"/>
          <w:numId w:val="5"/>
        </w:numPr>
        <w:rPr>
          <w:rFonts w:cs="Times New Roman"/>
          <w:kern w:val="2"/>
          <w:szCs w:val="24"/>
          <w:lang w:val="pl"/>
          <w14:ligatures w14:val="standardContextual"/>
        </w:rPr>
      </w:pPr>
      <w:r w:rsidRPr="00001F32">
        <w:rPr>
          <w:rFonts w:cs="Times New Roman"/>
          <w:lang w:val="pl"/>
        </w:rPr>
        <w:t>Wyłącznie do jednorazowego zastosowania produktu u jednego pacjenta. Nie używać, nie przetwarzać ani nie sterylizować ponownie. Ponowne użycie, reprocesowanie lub ponowna sterylizacja mogą naruszyć spójność strukturalną wyrobu i/lub prowadzić do jego awarii, co z kolei może skutkować urazem, chorobą lub zgonem pacjenta. Ponowne użycie, reprocesowanie lub ponowna sterylizacja mogą także stworzyć ryzyko zanieczyszczenia wyrobu i/lub spowodować zakażenie lub zakażenie krzyżowe pacjenta, w tym m.in. przeniesienie chorób zakaźnych pomiędzy pacjentami. Zanieczyszczenie wyrobu może prowadzić do obrażeń, choroby lub zgonu pacjenta.</w:t>
      </w:r>
    </w:p>
    <w:p w14:paraId="7AFD75A3" w14:textId="706DEC6F" w:rsidR="00406633" w:rsidRPr="00001F32" w:rsidRDefault="00406633" w:rsidP="00921507">
      <w:pPr>
        <w:pStyle w:val="ListParagraph"/>
        <w:numPr>
          <w:ilvl w:val="0"/>
          <w:numId w:val="5"/>
        </w:numPr>
        <w:spacing w:after="0" w:afterAutospacing="0" w:line="240" w:lineRule="auto"/>
        <w:rPr>
          <w:rFonts w:cs="Times New Roman"/>
          <w:iCs/>
          <w:szCs w:val="24"/>
          <w:lang w:val="pl"/>
        </w:rPr>
      </w:pPr>
      <w:r w:rsidRPr="00001F32">
        <w:rPr>
          <w:rFonts w:cs="Times New Roman"/>
          <w:szCs w:val="24"/>
          <w:lang w:val="pl"/>
        </w:rPr>
        <w:t xml:space="preserve">Przy wstrzykiwaniu środka kontrastowego przez angiograficzny rozszerzacz naczyń nie wolno przekraczać maksymalnego ciśnienia znamionowego 800 psi. </w:t>
      </w:r>
    </w:p>
    <w:p w14:paraId="6896EAAB" w14:textId="6B3CD9E0" w:rsidR="00406633" w:rsidRPr="00001F32" w:rsidRDefault="00406633" w:rsidP="00921507">
      <w:pPr>
        <w:pStyle w:val="ListParagraph"/>
        <w:numPr>
          <w:ilvl w:val="0"/>
          <w:numId w:val="5"/>
        </w:numPr>
        <w:spacing w:after="0" w:afterAutospacing="0" w:line="240" w:lineRule="auto"/>
        <w:rPr>
          <w:rFonts w:cs="Times New Roman"/>
          <w:iCs/>
          <w:szCs w:val="24"/>
          <w:lang w:val="pl"/>
        </w:rPr>
      </w:pPr>
      <w:r w:rsidRPr="00001F32">
        <w:rPr>
          <w:rFonts w:cs="Times New Roman"/>
          <w:szCs w:val="24"/>
          <w:lang w:val="pl"/>
        </w:rPr>
        <w:t xml:space="preserve">Po implantacji filtra wszelkie zabiegi cewnikowania wymagające przeprowadzenia przyrządu przez filtr mogą być utrudnione. </w:t>
      </w:r>
    </w:p>
    <w:p w14:paraId="3DF123DA" w14:textId="2EB401D5" w:rsidR="000C109C" w:rsidRPr="00001F32" w:rsidRDefault="000C109C" w:rsidP="000C109C">
      <w:pPr>
        <w:pStyle w:val="ListParagraph"/>
        <w:numPr>
          <w:ilvl w:val="0"/>
          <w:numId w:val="5"/>
        </w:numPr>
        <w:rPr>
          <w:rFonts w:cs="Times New Roman"/>
          <w:iCs/>
          <w:szCs w:val="24"/>
          <w:lang w:val="pl-PL"/>
        </w:rPr>
      </w:pPr>
      <w:r w:rsidRPr="00001F32">
        <w:rPr>
          <w:rFonts w:cs="Times New Roman"/>
          <w:lang w:val="pl"/>
        </w:rPr>
        <w:t>W chwili dostarczenia usuwalny filtr żyły głównej dolnej Option ELITE jest załadowany we wkładzie wskazującym właściwe ustawienie w zabiegu z dostępu przez żyłę udową i szyjną. Nigdy nie wolno ponownie ładować do wkładu całkowicie rozprężonego filtra, gdyż może to wpłynąć na jego kształt i działanie oraz spowodować niewłaściwe ustawienie filtra w stosunku do wybranego miejsca dostępu. Nigdy nie wolno ponownie ładować do wkładu (częściowo) rozprężonego filtra, gdyż może to wpłynąć na jego kształt i działanie.</w:t>
      </w:r>
    </w:p>
    <w:p w14:paraId="621F2918" w14:textId="4AB7255D" w:rsidR="000C109C" w:rsidRPr="00001F32" w:rsidRDefault="000C109C" w:rsidP="000C109C">
      <w:pPr>
        <w:pStyle w:val="ListParagraph"/>
        <w:numPr>
          <w:ilvl w:val="0"/>
          <w:numId w:val="5"/>
        </w:numPr>
        <w:rPr>
          <w:rFonts w:cs="Times New Roman"/>
          <w:iCs/>
          <w:szCs w:val="24"/>
          <w:lang w:val="pl-PL"/>
        </w:rPr>
      </w:pPr>
      <w:r w:rsidRPr="00001F32">
        <w:rPr>
          <w:rFonts w:cs="Times New Roman"/>
          <w:lang w:val="pl"/>
        </w:rPr>
        <w:t>Usuwalny filtr do żyły głównej dolnej Option ELITE powinni stosować wyłącznie lekarze przeszkoleni w diagnostycznych i przezskórnych technikach interwencyjnych, takich jak wprowadzanie filtrów do żyły głównej.</w:t>
      </w:r>
    </w:p>
    <w:p w14:paraId="1A23D9A8" w14:textId="77777777" w:rsidR="000C109C" w:rsidRPr="00001F32" w:rsidRDefault="000C109C" w:rsidP="000C109C">
      <w:pPr>
        <w:pStyle w:val="ListParagraph"/>
        <w:numPr>
          <w:ilvl w:val="0"/>
          <w:numId w:val="5"/>
        </w:numPr>
        <w:rPr>
          <w:rFonts w:cs="Times New Roman"/>
          <w:iCs/>
          <w:szCs w:val="24"/>
          <w:lang w:val="pl-PL"/>
        </w:rPr>
      </w:pPr>
      <w:r w:rsidRPr="00001F32">
        <w:rPr>
          <w:rFonts w:cs="Times New Roman"/>
          <w:lang w:val="pl"/>
        </w:rPr>
        <w:t>Dlatego producent ani dystrybutorzy nie ponoszą odpowiedzialności za żadne szkody bezpośrednie lub wtórne ani za koszty wynikające z użycia filtra przez nieprzeszkolony personel.</w:t>
      </w:r>
    </w:p>
    <w:p w14:paraId="003C4C46" w14:textId="40440FEF" w:rsidR="00406633" w:rsidRPr="00001F32" w:rsidRDefault="00406633" w:rsidP="00921507">
      <w:pPr>
        <w:pStyle w:val="ListParagraph"/>
        <w:numPr>
          <w:ilvl w:val="0"/>
          <w:numId w:val="5"/>
        </w:numPr>
        <w:spacing w:after="0" w:afterAutospacing="0" w:line="240" w:lineRule="auto"/>
        <w:rPr>
          <w:rFonts w:cs="Times New Roman"/>
          <w:iCs/>
          <w:szCs w:val="24"/>
          <w:lang w:val="pl-PL"/>
        </w:rPr>
      </w:pPr>
      <w:r w:rsidRPr="00001F32">
        <w:rPr>
          <w:rFonts w:cs="Times New Roman"/>
          <w:szCs w:val="24"/>
          <w:lang w:val="pl"/>
        </w:rPr>
        <w:t xml:space="preserve">U osób wykazujących reakcje alergiczne na stopy niklu i tytanu (nitinol) może wystąpić odpowiedź alergiczna na ten implant. </w:t>
      </w:r>
    </w:p>
    <w:p w14:paraId="2446D453" w14:textId="724C33DE" w:rsidR="00406633" w:rsidRPr="00001F32" w:rsidRDefault="00406633" w:rsidP="00921507">
      <w:pPr>
        <w:pStyle w:val="ListParagraph"/>
        <w:numPr>
          <w:ilvl w:val="0"/>
          <w:numId w:val="5"/>
        </w:numPr>
        <w:spacing w:after="0" w:afterAutospacing="0" w:line="240" w:lineRule="auto"/>
        <w:rPr>
          <w:rFonts w:cs="Times New Roman"/>
          <w:iCs/>
          <w:szCs w:val="24"/>
          <w:lang w:val="pl-PL"/>
        </w:rPr>
      </w:pPr>
      <w:r w:rsidRPr="00001F32">
        <w:rPr>
          <w:rFonts w:cs="Times New Roman"/>
          <w:szCs w:val="24"/>
          <w:lang w:val="pl"/>
        </w:rPr>
        <w:t xml:space="preserve">Nigdy nie wolno przesuwać prowadnika, koszulki wprowadzającej/rozszerzacza ani rozprężać filtra bez obrazowania fluoroskopowego. </w:t>
      </w:r>
    </w:p>
    <w:p w14:paraId="4C4C4527" w14:textId="4C19DE6A" w:rsidR="00406633" w:rsidRPr="00001F32" w:rsidRDefault="00406633" w:rsidP="00921507">
      <w:pPr>
        <w:pStyle w:val="ListParagraph"/>
        <w:numPr>
          <w:ilvl w:val="0"/>
          <w:numId w:val="5"/>
        </w:numPr>
        <w:spacing w:after="0" w:afterAutospacing="0" w:line="240" w:lineRule="auto"/>
        <w:rPr>
          <w:rFonts w:cs="Times New Roman"/>
          <w:iCs/>
          <w:szCs w:val="24"/>
          <w:lang w:val="pl-PL"/>
        </w:rPr>
      </w:pPr>
      <w:r w:rsidRPr="00001F32">
        <w:rPr>
          <w:rFonts w:cs="Times New Roman"/>
          <w:szCs w:val="24"/>
          <w:lang w:val="pl"/>
        </w:rPr>
        <w:t xml:space="preserve">Jeśli w początkowo planowanym miejscu wprowadzenia zostanie zaobserwowana skrzeplina dużych rozmiarów, należy spróbować wprowadzić filtr przez inne miejsce. Małą skrzeplinę można ominąć, przeprowadzając obok niej prowadnik i koszulką wprowadzającą. </w:t>
      </w:r>
    </w:p>
    <w:p w14:paraId="2505B898" w14:textId="6D423165" w:rsidR="00406633" w:rsidRPr="00001F32" w:rsidRDefault="00406633" w:rsidP="00921507">
      <w:pPr>
        <w:pStyle w:val="ListParagraph"/>
        <w:numPr>
          <w:ilvl w:val="0"/>
          <w:numId w:val="5"/>
        </w:numPr>
        <w:spacing w:after="0" w:afterAutospacing="0" w:line="240" w:lineRule="auto"/>
        <w:rPr>
          <w:rFonts w:cs="Times New Roman"/>
          <w:iCs/>
          <w:szCs w:val="24"/>
          <w:lang w:val="pl-PL"/>
        </w:rPr>
      </w:pPr>
      <w:r w:rsidRPr="00001F32">
        <w:rPr>
          <w:rFonts w:cs="Times New Roman"/>
          <w:szCs w:val="24"/>
          <w:lang w:val="pl"/>
        </w:rPr>
        <w:t xml:space="preserve">Nigdy nie wolno ponownie zakładać niewłaściwie założonego lub uprzednio usuniętego filtra. </w:t>
      </w:r>
    </w:p>
    <w:p w14:paraId="4F5CDE7D" w14:textId="77777777" w:rsidR="000C109C" w:rsidRPr="00001F32" w:rsidRDefault="000C109C" w:rsidP="000C109C">
      <w:pPr>
        <w:pStyle w:val="ListParagraph"/>
        <w:numPr>
          <w:ilvl w:val="0"/>
          <w:numId w:val="5"/>
        </w:numPr>
        <w:rPr>
          <w:rFonts w:cs="Times New Roman"/>
          <w:iCs/>
          <w:szCs w:val="24"/>
          <w:lang w:val="pl-PL"/>
        </w:rPr>
      </w:pPr>
      <w:r w:rsidRPr="00001F32">
        <w:rPr>
          <w:rFonts w:cs="Times New Roman"/>
          <w:lang w:val="pl"/>
        </w:rPr>
        <w:t>W przypadku procedury standardowej, po wsunięciu filtra Option™ ELITE do koszulki, nie wolno cofać i ponownie wsuwać popychacza, ponieważ może to spowodować przedwczesne rozprężenie filtra.</w:t>
      </w:r>
    </w:p>
    <w:p w14:paraId="52232BF6" w14:textId="77777777" w:rsidR="000C109C" w:rsidRPr="00001F32" w:rsidRDefault="000C109C" w:rsidP="000C109C">
      <w:pPr>
        <w:pStyle w:val="ListParagraph"/>
        <w:numPr>
          <w:ilvl w:val="0"/>
          <w:numId w:val="5"/>
        </w:numPr>
        <w:rPr>
          <w:rFonts w:cs="Times New Roman"/>
          <w:iCs/>
          <w:szCs w:val="24"/>
          <w:lang w:val="pl-PL"/>
        </w:rPr>
      </w:pPr>
      <w:r w:rsidRPr="00001F32">
        <w:rPr>
          <w:rFonts w:cs="Times New Roman"/>
          <w:lang w:val="pl"/>
        </w:rPr>
        <w:lastRenderedPageBreak/>
        <w:t>W przypadku standardowej procedury z chwilą, gdy znacznik rozprężenia na popychaczu wejdzie do metalowej rurki wkładu filtra, filtr musi zostać całkowicie rozprężony i nie można go ponownie wprowadzić do koszulki.</w:t>
      </w:r>
    </w:p>
    <w:p w14:paraId="0058F440" w14:textId="77777777" w:rsidR="000C109C" w:rsidRPr="00001F32" w:rsidRDefault="000C109C" w:rsidP="000C109C">
      <w:pPr>
        <w:pStyle w:val="ListParagraph"/>
        <w:numPr>
          <w:ilvl w:val="0"/>
          <w:numId w:val="5"/>
        </w:numPr>
        <w:rPr>
          <w:rFonts w:cs="Times New Roman"/>
          <w:iCs/>
          <w:szCs w:val="24"/>
          <w:lang w:val="pl-PL"/>
        </w:rPr>
      </w:pPr>
      <w:r w:rsidRPr="00001F32">
        <w:rPr>
          <w:rFonts w:cs="Times New Roman"/>
          <w:lang w:val="pl"/>
        </w:rPr>
        <w:t>W przypadku zabiegu wykonywanego po prowadniku z chwilą, gdy znacznik rozprężenia na rozszerzaczu wejdzie do metalowej rurki wkładu filtra, filtr musi zostać całkowicie rozprężony i nie można go ponownie wprowadzić do koszulki.</w:t>
      </w:r>
    </w:p>
    <w:p w14:paraId="496FBD6A" w14:textId="77777777" w:rsidR="00B87B98" w:rsidRPr="00001F32" w:rsidRDefault="00B87B98" w:rsidP="00B87B98">
      <w:pPr>
        <w:pStyle w:val="ListParagraph"/>
        <w:numPr>
          <w:ilvl w:val="0"/>
          <w:numId w:val="5"/>
        </w:numPr>
        <w:rPr>
          <w:rFonts w:cs="Times New Roman"/>
          <w:iCs/>
          <w:szCs w:val="24"/>
          <w:lang w:val="pl-PL"/>
        </w:rPr>
      </w:pPr>
      <w:r w:rsidRPr="00001F32">
        <w:rPr>
          <w:rFonts w:cs="Times New Roman"/>
          <w:lang w:val="pl"/>
        </w:rPr>
        <w:t>W przypadku systemu 100 cm przeznaczony jest on do dostępu podkolanowego i łokciowego. Orientacji szyjnej nie należy stosować w przypadku dostępu podkolanowego, a orientacji udowej nie należy stosować w przypadku dostępu od strony łokciowej.</w:t>
      </w:r>
    </w:p>
    <w:p w14:paraId="1610D2D5" w14:textId="77777777" w:rsidR="000C109C" w:rsidRPr="00001F32" w:rsidRDefault="000C109C" w:rsidP="000C109C">
      <w:pPr>
        <w:pStyle w:val="ListParagraph"/>
        <w:numPr>
          <w:ilvl w:val="0"/>
          <w:numId w:val="5"/>
        </w:numPr>
        <w:rPr>
          <w:rFonts w:cs="Times New Roman"/>
          <w:iCs/>
          <w:szCs w:val="24"/>
          <w:lang w:val="pl-PL"/>
        </w:rPr>
      </w:pPr>
      <w:r w:rsidRPr="00001F32">
        <w:rPr>
          <w:rFonts w:cs="Times New Roman"/>
          <w:lang w:val="pl"/>
        </w:rPr>
        <w:t>Nie kontynuować używania, jeśli którykolwiek element zostanie uszkodzony podczas zabiegu.</w:t>
      </w:r>
    </w:p>
    <w:p w14:paraId="627552C8" w14:textId="01E02E5E" w:rsidR="00406633" w:rsidRPr="00001F32" w:rsidRDefault="000C109C" w:rsidP="00ED5A79">
      <w:pPr>
        <w:pStyle w:val="ListParagraph"/>
        <w:numPr>
          <w:ilvl w:val="0"/>
          <w:numId w:val="5"/>
        </w:numPr>
        <w:rPr>
          <w:rFonts w:cs="Times New Roman"/>
          <w:iCs/>
          <w:szCs w:val="24"/>
          <w:lang w:val="pl-PL"/>
        </w:rPr>
      </w:pPr>
      <w:r w:rsidRPr="00001F32">
        <w:rPr>
          <w:rFonts w:cs="Times New Roman"/>
          <w:lang w:val="pl"/>
        </w:rPr>
        <w:t>Nie należy sterylizować produktu w autoklawie, gdyż może to spowodować utratę jego integralności i funkcjonalności.</w:t>
      </w:r>
    </w:p>
    <w:p w14:paraId="08FD09C6" w14:textId="0DF9C620" w:rsidR="000C109C" w:rsidRPr="00001F32" w:rsidRDefault="000C109C">
      <w:pPr>
        <w:spacing w:after="0" w:afterAutospacing="0"/>
        <w:rPr>
          <w:rFonts w:cs="Times New Roman"/>
          <w:kern w:val="2"/>
          <w:szCs w:val="24"/>
          <w:lang w:val="pl-PL"/>
          <w14:ligatures w14:val="standardContextual"/>
        </w:rPr>
      </w:pPr>
      <w:r w:rsidRPr="00001F32">
        <w:rPr>
          <w:rFonts w:cs="Times New Roman"/>
          <w:b/>
          <w:bCs/>
          <w:lang w:val="pl"/>
        </w:rPr>
        <w:t>Ostrzeżenia dotyczące opcjonalnego usunięcia filtra:</w:t>
      </w:r>
    </w:p>
    <w:p w14:paraId="248A072D" w14:textId="77777777" w:rsidR="000C109C" w:rsidRPr="00001F32" w:rsidRDefault="000C109C" w:rsidP="000C109C">
      <w:pPr>
        <w:pStyle w:val="ListParagraph"/>
        <w:numPr>
          <w:ilvl w:val="0"/>
          <w:numId w:val="3"/>
        </w:numPr>
        <w:rPr>
          <w:rFonts w:cs="Times New Roman"/>
          <w:kern w:val="2"/>
          <w:szCs w:val="24"/>
          <w:lang w:val="pl-PL"/>
          <w14:ligatures w14:val="standardContextual"/>
        </w:rPr>
      </w:pPr>
      <w:r w:rsidRPr="00001F32">
        <w:rPr>
          <w:rFonts w:cs="Times New Roman"/>
          <w:lang w:val="pl"/>
        </w:rPr>
        <w:t>Przy usuwaniu filtra nie wolno stosować nadmiernej siły.</w:t>
      </w:r>
    </w:p>
    <w:p w14:paraId="3E3A03FE" w14:textId="77777777" w:rsidR="000C109C" w:rsidRPr="00001F32" w:rsidRDefault="000C109C" w:rsidP="000C109C">
      <w:pPr>
        <w:pStyle w:val="ListParagraph"/>
        <w:numPr>
          <w:ilvl w:val="0"/>
          <w:numId w:val="3"/>
        </w:numPr>
        <w:rPr>
          <w:rFonts w:cs="Times New Roman"/>
          <w:kern w:val="2"/>
          <w:szCs w:val="24"/>
          <w:lang w:val="pl-PL"/>
          <w14:ligatures w14:val="standardContextual"/>
        </w:rPr>
      </w:pPr>
      <w:r w:rsidRPr="00001F32">
        <w:rPr>
          <w:rFonts w:cs="Times New Roman"/>
          <w:lang w:val="pl"/>
        </w:rPr>
        <w:t>Nie wolno podejmować prób usunięcia filtra w przypadku obecności skrzepliny w filtrze, IVC lub żyłach głębokich.</w:t>
      </w:r>
    </w:p>
    <w:p w14:paraId="6748148B" w14:textId="77777777" w:rsidR="000C109C" w:rsidRPr="00001F32" w:rsidRDefault="000C109C" w:rsidP="000C109C">
      <w:pPr>
        <w:pStyle w:val="ListParagraph"/>
        <w:numPr>
          <w:ilvl w:val="0"/>
          <w:numId w:val="3"/>
        </w:numPr>
        <w:rPr>
          <w:rFonts w:cs="Times New Roman"/>
          <w:kern w:val="2"/>
          <w:szCs w:val="24"/>
          <w:lang w:val="pl-PL"/>
          <w14:ligatures w14:val="standardContextual"/>
        </w:rPr>
      </w:pPr>
      <w:r w:rsidRPr="00001F32">
        <w:rPr>
          <w:rFonts w:cs="Times New Roman"/>
          <w:lang w:val="pl"/>
        </w:rPr>
        <w:t>Usunięcie filtra jest możliwe wyłącznie z dostępu przez żyłę szyjną. Przed podjęciem próby usunięcia filtra z miejsca dostępu szyjnego należy się upewnić, że haczyk do odzyskiwania filtra jest zorientowany w kierunku dogłowowym, tzn. skierowany w stronę szyjnego miejsca dostępu. Haczyk do usuwania znajdujący się na dogłowowym końcu filtra jest miejscem umocowania pętli wewnątrznaczyniowej.</w:t>
      </w:r>
    </w:p>
    <w:p w14:paraId="7864DA4D" w14:textId="77777777" w:rsidR="000C109C" w:rsidRPr="00001F32" w:rsidRDefault="000C109C" w:rsidP="000C109C">
      <w:pPr>
        <w:pStyle w:val="ListParagraph"/>
        <w:numPr>
          <w:ilvl w:val="0"/>
          <w:numId w:val="3"/>
        </w:numPr>
        <w:rPr>
          <w:rFonts w:cs="Times New Roman"/>
          <w:kern w:val="2"/>
          <w:szCs w:val="24"/>
          <w:lang w:val="pl-PL"/>
          <w14:ligatures w14:val="standardContextual"/>
        </w:rPr>
      </w:pPr>
      <w:r w:rsidRPr="00001F32">
        <w:rPr>
          <w:rFonts w:cs="Times New Roman"/>
          <w:lang w:val="pl"/>
        </w:rPr>
        <w:t>Procedurę usunięcia filtra powinni wykonywać wyłącznie lekarze i klinicyści przeszkoleni w przezskórnych technikach interwencyjnych.</w:t>
      </w:r>
    </w:p>
    <w:p w14:paraId="2A7F7C45" w14:textId="60A711C6" w:rsidR="008648B6" w:rsidRPr="00001F32" w:rsidRDefault="000C109C" w:rsidP="00F141FB">
      <w:pPr>
        <w:pStyle w:val="ListParagraph"/>
        <w:numPr>
          <w:ilvl w:val="0"/>
          <w:numId w:val="3"/>
        </w:numPr>
        <w:rPr>
          <w:rFonts w:cs="Times New Roman"/>
          <w:kern w:val="2"/>
          <w:szCs w:val="24"/>
          <w:lang w:val="pl-PL"/>
          <w14:ligatures w14:val="standardContextual"/>
        </w:rPr>
      </w:pPr>
      <w:r w:rsidRPr="00001F32">
        <w:rPr>
          <w:rFonts w:cs="Times New Roman"/>
          <w:lang w:val="pl"/>
        </w:rPr>
        <w:t>Nigdy nie wolno ponownie zakładać odzyskanego filtra.</w:t>
      </w:r>
      <w:r w:rsidRPr="00001F32">
        <w:rPr>
          <w:lang w:val="pl"/>
        </w:rPr>
        <w:tab/>
      </w:r>
    </w:p>
    <w:p w14:paraId="4A9AC793" w14:textId="1189FDEA" w:rsidR="008648B6" w:rsidRPr="00001F32" w:rsidRDefault="008648B6" w:rsidP="00F141FB">
      <w:pPr>
        <w:spacing w:after="0" w:afterAutospacing="0"/>
        <w:rPr>
          <w:rFonts w:cs="Times New Roman"/>
          <w:b/>
          <w:bCs/>
        </w:rPr>
      </w:pPr>
      <w:r w:rsidRPr="00001F32">
        <w:rPr>
          <w:rFonts w:cs="Times New Roman"/>
          <w:b/>
          <w:bCs/>
          <w:lang w:val="pl"/>
        </w:rPr>
        <w:t>Środki ostrożności:</w:t>
      </w:r>
    </w:p>
    <w:p w14:paraId="2D5B3F67" w14:textId="77777777" w:rsidR="005F73B3" w:rsidRPr="00001F32" w:rsidRDefault="005F73B3" w:rsidP="005F73B3">
      <w:pPr>
        <w:pStyle w:val="ListParagraph"/>
        <w:numPr>
          <w:ilvl w:val="0"/>
          <w:numId w:val="4"/>
        </w:numPr>
        <w:jc w:val="both"/>
        <w:rPr>
          <w:rFonts w:cs="Times New Roman"/>
          <w:kern w:val="2"/>
          <w:szCs w:val="24"/>
          <w:lang w:val="pl-PL"/>
          <w14:ligatures w14:val="standardContextual"/>
        </w:rPr>
      </w:pPr>
      <w:r w:rsidRPr="00001F32">
        <w:rPr>
          <w:rFonts w:cs="Times New Roman"/>
          <w:lang w:val="pl"/>
        </w:rPr>
        <w:t>Jeśli na jakimkolwiek etapie zabiegu wystąpi silny opór, należy przerwać zabieg i ustalić przyczynę oporu przed kontynuowaniem czynności.</w:t>
      </w:r>
    </w:p>
    <w:p w14:paraId="5F6088A1" w14:textId="77777777" w:rsidR="005F73B3" w:rsidRPr="00001F32" w:rsidRDefault="005F73B3" w:rsidP="005F73B3">
      <w:pPr>
        <w:pStyle w:val="ListParagraph"/>
        <w:numPr>
          <w:ilvl w:val="0"/>
          <w:numId w:val="4"/>
        </w:numPr>
        <w:jc w:val="both"/>
        <w:rPr>
          <w:rFonts w:cs="Times New Roman"/>
          <w:kern w:val="2"/>
          <w:szCs w:val="24"/>
          <w:lang w:val="pl-PL"/>
          <w14:ligatures w14:val="standardContextual"/>
        </w:rPr>
      </w:pPr>
      <w:r w:rsidRPr="00001F32">
        <w:rPr>
          <w:rFonts w:cs="Times New Roman"/>
          <w:lang w:val="pl"/>
        </w:rPr>
        <w:t>System usuwalnego filtra do żyły głównej dolnej Option™ ELITE został przetestowany i zatwierdzony wraz z dołączonymi akcesoriami. Użycie jakichkolwiek innych akcesoriów może spowodować powikłania i/lub niepowodzenie zabiegu.</w:t>
      </w:r>
    </w:p>
    <w:p w14:paraId="4DA9A71F" w14:textId="77777777" w:rsidR="005F73B3" w:rsidRPr="00001F32" w:rsidRDefault="005F73B3" w:rsidP="005F73B3">
      <w:pPr>
        <w:pStyle w:val="ListParagraph"/>
        <w:numPr>
          <w:ilvl w:val="0"/>
          <w:numId w:val="4"/>
        </w:numPr>
        <w:jc w:val="both"/>
        <w:rPr>
          <w:rFonts w:cs="Times New Roman"/>
          <w:kern w:val="2"/>
          <w:szCs w:val="24"/>
          <w:lang w:val="pl-PL"/>
          <w14:ligatures w14:val="standardContextual"/>
        </w:rPr>
      </w:pPr>
      <w:r w:rsidRPr="00001F32">
        <w:rPr>
          <w:rFonts w:cs="Times New Roman"/>
          <w:lang w:val="pl"/>
        </w:rPr>
        <w:t>Różnice anatomiczne mogą utrudniać wprowadzenie i założenie filtra. Staranne przestrzeganie niniejszej instrukcji użycia może skrócić czas wprowadzania i zmniejszyć prawdopodobieństwo wystąpienia powikłań.</w:t>
      </w:r>
    </w:p>
    <w:p w14:paraId="42951DA9" w14:textId="77777777" w:rsidR="005F73B3" w:rsidRPr="00001F32" w:rsidRDefault="005F73B3" w:rsidP="005F73B3">
      <w:pPr>
        <w:pStyle w:val="ListParagraph"/>
        <w:numPr>
          <w:ilvl w:val="0"/>
          <w:numId w:val="4"/>
        </w:numPr>
        <w:jc w:val="both"/>
        <w:rPr>
          <w:rFonts w:cs="Times New Roman"/>
          <w:kern w:val="2"/>
          <w:szCs w:val="24"/>
          <w:lang w:val="pl-PL"/>
          <w14:ligatures w14:val="standardContextual"/>
        </w:rPr>
      </w:pPr>
      <w:r w:rsidRPr="00001F32">
        <w:rPr>
          <w:rFonts w:cs="Times New Roman"/>
          <w:lang w:val="pl"/>
        </w:rPr>
        <w:t>Deformacje kręgosłupa: ważne jest zachowanie ostrożności przy rozważaniu założenia filtra pacjentowi ze znacznymi kyfoskoliotycznymi deformacjami kręgosłupa, gdyż kształt żyły głównej dolnej może być zbieżny z ogólnym przebiegiem takich deformacji anatomicznych.</w:t>
      </w:r>
    </w:p>
    <w:p w14:paraId="42EE87AF" w14:textId="77777777" w:rsidR="00B87B98" w:rsidRPr="00001F32" w:rsidRDefault="00B87B98" w:rsidP="00B87B98">
      <w:pPr>
        <w:pStyle w:val="ListParagraph"/>
        <w:numPr>
          <w:ilvl w:val="0"/>
          <w:numId w:val="4"/>
        </w:numPr>
        <w:jc w:val="both"/>
        <w:rPr>
          <w:rFonts w:cs="Times New Roman"/>
          <w:kern w:val="2"/>
          <w:szCs w:val="24"/>
          <w:lang w:val="pl-PL"/>
          <w14:ligatures w14:val="standardContextual"/>
        </w:rPr>
      </w:pPr>
      <w:r w:rsidRPr="00001F32">
        <w:rPr>
          <w:rFonts w:cs="Times New Roman"/>
          <w:lang w:val="pl"/>
        </w:rPr>
        <w:t xml:space="preserve">Popychacz tego urządzenia zawiera następującą substancję zdefiniowaną jako CMR 1B w stężeniu powyżej 0,1% wagowo: kobalt; nr CAS 7440-48-4; nr WE 231-158-0. Obecne dowody naukowe potwierdzają, że wyroby medyczne wykonane ze stopów kobaltu lub stopów stali nierdzewnej </w:t>
      </w:r>
      <w:r w:rsidRPr="00001F32">
        <w:rPr>
          <w:rFonts w:cs="Times New Roman"/>
          <w:lang w:val="pl"/>
        </w:rPr>
        <w:lastRenderedPageBreak/>
        <w:t>zawierających kobalt nie zwiększają ryzyka zachorowania na raka ani nie wpływają negatywnie na reprodukcję.</w:t>
      </w:r>
    </w:p>
    <w:p w14:paraId="2ADBDDDB" w14:textId="5656190B" w:rsidR="00EF1058" w:rsidRPr="00001F32" w:rsidRDefault="00EF1058" w:rsidP="00EF1058">
      <w:pPr>
        <w:pStyle w:val="Heading1"/>
        <w:rPr>
          <w:rFonts w:cs="Times New Roman"/>
          <w:color w:val="auto"/>
          <w:kern w:val="36"/>
          <w:szCs w:val="24"/>
          <w14:ligatures w14:val="standardContextual"/>
        </w:rPr>
      </w:pPr>
      <w:bookmarkStart w:id="21" w:name="_Toc240532204"/>
      <w:r w:rsidRPr="00001F32">
        <w:rPr>
          <w:rFonts w:cs="Times New Roman"/>
          <w:bCs/>
          <w:color w:val="auto"/>
          <w:lang w:val="pl"/>
        </w:rPr>
        <w:t>Bezpieczeństwo w zakresie rezonansu magnetycznego</w:t>
      </w:r>
      <w:bookmarkEnd w:id="21"/>
    </w:p>
    <w:p w14:paraId="5126B506" w14:textId="77777777" w:rsidR="00EF1058" w:rsidRPr="00001F32" w:rsidRDefault="00EF1058">
      <w:pPr>
        <w:spacing w:after="0" w:afterAutospacing="0"/>
        <w:rPr>
          <w:rFonts w:cs="Times New Roman"/>
          <w:kern w:val="2"/>
          <w:szCs w:val="24"/>
          <w:lang w:val="pl-PL"/>
          <w14:ligatures w14:val="standardContextual"/>
        </w:rPr>
      </w:pPr>
      <w:r w:rsidRPr="00001F32">
        <w:rPr>
          <w:rFonts w:cs="Times New Roman"/>
          <w:lang w:val="pl"/>
        </w:rPr>
        <w:t>Badania niekliniczne wykazały, że system usuwalnego filtra do żyły głównej dolnej Option™ ELITE jest warunkowo zgodny ze środowiskiem rezonansu magnetycznego. Pacjenta z systemem usuwalnego filtra do żyły głównej dolnej Option™ ELITE można bezpiecznie poddać skanowaniu natychmiast po założeniu filtra przy zachowaniu następujących warunków:</w:t>
      </w:r>
    </w:p>
    <w:p w14:paraId="7C7D1594" w14:textId="77777777" w:rsidR="00EF1058" w:rsidRPr="00001F32" w:rsidRDefault="00EF1058">
      <w:pPr>
        <w:pStyle w:val="ListParagraph"/>
        <w:numPr>
          <w:ilvl w:val="0"/>
          <w:numId w:val="21"/>
        </w:numPr>
        <w:rPr>
          <w:rFonts w:cs="Times New Roman"/>
          <w:kern w:val="2"/>
          <w14:ligatures w14:val="standardContextual"/>
        </w:rPr>
      </w:pPr>
      <w:r w:rsidRPr="00001F32">
        <w:rPr>
          <w:rFonts w:cs="Times New Roman"/>
          <w:lang w:val="pl"/>
        </w:rPr>
        <w:t>Statyczne pole magnetyczne 3 Tesla</w:t>
      </w:r>
    </w:p>
    <w:p w14:paraId="65B1C826" w14:textId="77777777" w:rsidR="00EF1058" w:rsidRPr="00001F32" w:rsidRDefault="00EF1058">
      <w:pPr>
        <w:pStyle w:val="ListParagraph"/>
        <w:numPr>
          <w:ilvl w:val="0"/>
          <w:numId w:val="21"/>
        </w:numPr>
        <w:rPr>
          <w:rFonts w:cs="Times New Roman"/>
          <w:lang w:val="pl-PL"/>
        </w:rPr>
      </w:pPr>
      <w:r w:rsidRPr="00001F32">
        <w:rPr>
          <w:rFonts w:cs="Times New Roman"/>
          <w:lang w:val="pl"/>
        </w:rPr>
        <w:t>Gradient przestrzenny pola magnetycznego równy 720 Gs/cm</w:t>
      </w:r>
    </w:p>
    <w:p w14:paraId="70583D88" w14:textId="77777777" w:rsidR="00EF1058" w:rsidRPr="00001F32" w:rsidRDefault="00EF1058">
      <w:pPr>
        <w:pStyle w:val="ListParagraph"/>
        <w:numPr>
          <w:ilvl w:val="0"/>
          <w:numId w:val="21"/>
        </w:numPr>
        <w:rPr>
          <w:rFonts w:cs="Times New Roman"/>
          <w:lang w:val="pl-PL"/>
        </w:rPr>
      </w:pPr>
      <w:r w:rsidRPr="00001F32">
        <w:rPr>
          <w:rFonts w:cs="Times New Roman"/>
          <w:lang w:val="pl"/>
        </w:rPr>
        <w:t>Maksymalny współczynnik absorpcji swoistej (SAR) uśredniony dla całego ciała równy 3,0 W/kg dla 15 minut skanowania</w:t>
      </w:r>
    </w:p>
    <w:p w14:paraId="0A862649" w14:textId="24DF6098" w:rsidR="00EF1058" w:rsidRPr="00001F32" w:rsidRDefault="00EF1058">
      <w:pPr>
        <w:spacing w:after="0" w:afterAutospacing="0"/>
        <w:rPr>
          <w:rFonts w:cs="Times New Roman"/>
          <w:lang w:val="pl-PL"/>
        </w:rPr>
      </w:pPr>
      <w:r w:rsidRPr="00001F32">
        <w:rPr>
          <w:rFonts w:cs="Times New Roman"/>
          <w:lang w:val="pl"/>
        </w:rPr>
        <w:t>W badaniu nieklinicznym system usuwalnego filtra do żyły głównej dolnej Option™ ELITE powodował wzrost temperatury o nie więcej niż 1,70°C przy maksymalnym współczynniku absorpcji swoistej (SAR) uśrednionym dla całego ciała równym 3,0 W/kg w ciągu 15 minut skanowania MR skanerem o indukcji 3,0 T firmy General Electric Healthcare. Współczynnik SAR obliczony metodą kalorymetrii wynosił 2,8 W/kg. Jakość obrazu MR może ulec pogorszeniu, jeśli obszar zainteresowania pokrywa się z lokalizacją lub znajduje stosunkowo blisko filtra Option™ ELITE. Dlatego może być niezbędna optymalizacja parametrów obrazowania MR w celu skompensowania obecności tego metalowego implantu.</w:t>
      </w:r>
    </w:p>
    <w:p w14:paraId="25CCAD24" w14:textId="77777777" w:rsidR="00EF1058" w:rsidRPr="00001F32" w:rsidRDefault="00EF1058">
      <w:pPr>
        <w:spacing w:after="0" w:afterAutospacing="0"/>
        <w:rPr>
          <w:rFonts w:cs="Times New Roman"/>
          <w:kern w:val="2"/>
          <w:szCs w:val="24"/>
          <w:lang w:val="pl-PL"/>
          <w14:ligatures w14:val="standardContextual"/>
        </w:rPr>
      </w:pPr>
    </w:p>
    <w:p w14:paraId="104D71FD" w14:textId="5242FA5D" w:rsidR="000F3BD2" w:rsidRPr="00001F32" w:rsidRDefault="008745ED" w:rsidP="000F3BD2">
      <w:pPr>
        <w:pStyle w:val="Heading1"/>
        <w:rPr>
          <w:rFonts w:cs="Times New Roman"/>
          <w:color w:val="auto"/>
          <w:lang w:val="pl-PL"/>
        </w:rPr>
      </w:pPr>
      <w:bookmarkStart w:id="22" w:name="_Toc240532205"/>
      <w:r w:rsidRPr="00001F32">
        <w:rPr>
          <w:rFonts w:cs="Times New Roman"/>
          <w:bCs/>
          <w:color w:val="auto"/>
          <w:lang w:val="pl"/>
        </w:rPr>
        <w:t>Inne istotne aspekty bezpieczeństwa, w tym podsumowanie wszelkich zewnętrznych działań korygujących dotyczących bezpieczeństwa (FSCA, w tym FSN), jeśli ma to zastosowanie</w:t>
      </w:r>
      <w:bookmarkEnd w:id="22"/>
    </w:p>
    <w:p w14:paraId="0AEB5D8B" w14:textId="77777777" w:rsidR="00663763" w:rsidRPr="00001F32" w:rsidRDefault="00663763" w:rsidP="00001F32">
      <w:pPr>
        <w:pStyle w:val="NormalWeb"/>
        <w:spacing w:before="0" w:beforeAutospacing="0"/>
        <w:rPr>
          <w:lang w:val="pl-PL"/>
        </w:rPr>
      </w:pPr>
      <w:r w:rsidRPr="00001F32">
        <w:rPr>
          <w:lang w:val="pl"/>
        </w:rPr>
        <w:t>Profil bezpieczeństwa systemu usuwalnego filtra do żyły głównej dolnej Option ELITE jest zgodny ze znanymi ryzykami powiązanymi z usuwalnymi filtrami do żyły głównej dolnej, w tym z ryzykiem przemieszczenia, złamania, perforacji, zakrzepicy, zatorowości, przechylenia filtra i powikłań związanych z procedurami wyjmowania.</w:t>
      </w:r>
    </w:p>
    <w:p w14:paraId="1A7CA2B2" w14:textId="77777777" w:rsidR="00635CB0" w:rsidRPr="00001F32" w:rsidRDefault="00635CB0">
      <w:pPr>
        <w:rPr>
          <w:rFonts w:cs="Times New Roman"/>
          <w:kern w:val="2"/>
          <w:szCs w:val="24"/>
          <w:lang w:val="pl-PL"/>
          <w14:ligatures w14:val="standardContextual"/>
        </w:rPr>
      </w:pPr>
      <w:r w:rsidRPr="00001F32">
        <w:rPr>
          <w:rFonts w:cs="Times New Roman"/>
          <w:lang w:val="pl"/>
        </w:rPr>
        <w:t>W 2023 r. rozpoczęto działania naprawcze w zakresie bezpieczeństwa (FSCA) związane z systemem filtra do żyły głównej Option ELITE, mające na celu rozwiązanie potencjalnego problemu z działaniem urządzenia, który mógłby wpłynąć na zamierzoną wydajność filtra, co mogłoby skutkować zatorowością płucną. Powiązane komunikaty dotyczące bezpieczeństwa w terenie (FSN) zostały wydane klientom/użytkownikom, których to dotyczy, zgodnie z obowiązującymi wymogami regulacyjnymi.</w:t>
      </w:r>
    </w:p>
    <w:p w14:paraId="4B4CE4B6" w14:textId="77777777" w:rsidR="00A5743D" w:rsidRPr="00001F32" w:rsidRDefault="00A5743D">
      <w:pPr>
        <w:rPr>
          <w:rFonts w:cs="Times New Roman"/>
          <w:kern w:val="2"/>
          <w:szCs w:val="24"/>
          <w:lang w:val="pl-PL"/>
          <w14:ligatures w14:val="standardContextual"/>
        </w:rPr>
      </w:pPr>
      <w:r w:rsidRPr="00001F32">
        <w:rPr>
          <w:rFonts w:cs="Times New Roman"/>
          <w:lang w:val="pl"/>
        </w:rPr>
        <w:t>Dane FSCA i późniejsze dane po wprowadzeniu produktu na rynek zostały przeanalizowane w ramach bieżących działań w zakresie nadzoru po wprowadzeniu do obrotu i nadzoru nad bezpieczeństwem. Na podstawie dostępnych dotychczas danych nie zidentyfikowano żadnych nowych sygnałów dotyczących bezpieczeństwa, które wymagałyby dodatkowych środków ograniczania ryzyka lub modyfikacji obecnego sposobu określania stosunku korzyści do ryzyka.</w:t>
      </w:r>
    </w:p>
    <w:p w14:paraId="45ECB646" w14:textId="75DEC5D5" w:rsidR="008745ED" w:rsidRPr="00001F32" w:rsidRDefault="00663763" w:rsidP="00663763">
      <w:pPr>
        <w:pStyle w:val="NormalWeb"/>
        <w:rPr>
          <w:lang w:val="pl-PL"/>
        </w:rPr>
      </w:pPr>
      <w:r w:rsidRPr="00001F32">
        <w:rPr>
          <w:lang w:val="pl"/>
        </w:rPr>
        <w:lastRenderedPageBreak/>
        <w:t>Całkowita charakterystyka korzyści i ryzyka stosowania systemu usuwalnego filtra do żyły głównej Option</w:t>
      </w:r>
      <w:r w:rsidR="00CA4D4E" w:rsidRPr="00001F32">
        <w:rPr>
          <w:lang w:val="pl"/>
        </w:rPr>
        <w:t> </w:t>
      </w:r>
      <w:r w:rsidRPr="00001F32">
        <w:rPr>
          <w:lang w:val="pl"/>
        </w:rPr>
        <w:t>ELITE pozostaje akceptowalny, jeśli jest stosowany zgodnie z instrukcją użytkowania.</w:t>
      </w:r>
    </w:p>
    <w:p w14:paraId="21FC0F42" w14:textId="6F4CDE71" w:rsidR="008745ED" w:rsidRPr="00001F32" w:rsidRDefault="008745ED" w:rsidP="00170FE5">
      <w:pPr>
        <w:pStyle w:val="Heading1"/>
        <w:numPr>
          <w:ilvl w:val="0"/>
          <w:numId w:val="2"/>
        </w:numPr>
        <w:rPr>
          <w:rFonts w:cs="Times New Roman"/>
          <w:color w:val="auto"/>
          <w:lang w:val="pl-PL"/>
        </w:rPr>
      </w:pPr>
      <w:bookmarkStart w:id="23" w:name="_Toc240532206"/>
      <w:r w:rsidRPr="00001F32">
        <w:rPr>
          <w:rFonts w:cs="Times New Roman"/>
          <w:bCs/>
          <w:color w:val="auto"/>
          <w:lang w:val="pl"/>
        </w:rPr>
        <w:t>Podsumowanie oceny klinicznej i obserwacji klinicznych po wprowadzeniu do obrotu (PMCF)</w:t>
      </w:r>
      <w:bookmarkEnd w:id="23"/>
    </w:p>
    <w:p w14:paraId="72FE8271" w14:textId="77777777" w:rsidR="00042B91" w:rsidRPr="00001F32" w:rsidRDefault="00042B91" w:rsidP="00042B91">
      <w:pPr>
        <w:spacing w:after="0" w:afterAutospacing="0" w:line="240" w:lineRule="auto"/>
        <w:rPr>
          <w:rFonts w:cs="Times New Roman"/>
          <w:lang w:val="pl-PL"/>
        </w:rPr>
      </w:pPr>
    </w:p>
    <w:p w14:paraId="6B0FE2F5" w14:textId="7E5875AF" w:rsidR="003C50D3" w:rsidRPr="00001F32" w:rsidRDefault="008745ED" w:rsidP="00001F32">
      <w:pPr>
        <w:pStyle w:val="Heading1"/>
        <w:rPr>
          <w:rFonts w:cs="Times New Roman"/>
          <w:iCs/>
          <w:lang w:val="pl-PL"/>
        </w:rPr>
      </w:pPr>
      <w:bookmarkStart w:id="24" w:name="_Toc240532207"/>
      <w:r w:rsidRPr="00001F32">
        <w:rPr>
          <w:rFonts w:cs="Times New Roman"/>
          <w:bCs/>
          <w:color w:val="auto"/>
          <w:lang w:val="pl"/>
        </w:rPr>
        <w:t>Podsumowanie danych klinicznych dotyczących równoważnego urządzenia, jeśli dotyczy</w:t>
      </w:r>
      <w:bookmarkEnd w:id="24"/>
      <w:r w:rsidRPr="00001F32">
        <w:rPr>
          <w:rFonts w:cs="Times New Roman"/>
          <w:bCs/>
          <w:color w:val="auto"/>
          <w:lang w:val="pl"/>
        </w:rPr>
        <w:t xml:space="preserve"> </w:t>
      </w:r>
    </w:p>
    <w:p w14:paraId="2AC0557C" w14:textId="68CC98B1" w:rsidR="003A75BD" w:rsidRPr="00001F32" w:rsidRDefault="003A75BD" w:rsidP="003A75BD">
      <w:pPr>
        <w:spacing w:after="0" w:afterAutospacing="0" w:line="240" w:lineRule="auto"/>
        <w:rPr>
          <w:rFonts w:cs="Times New Roman"/>
          <w:iCs/>
          <w:lang w:val="pl-PL"/>
        </w:rPr>
      </w:pPr>
      <w:r w:rsidRPr="00001F32">
        <w:rPr>
          <w:rFonts w:cs="Times New Roman"/>
          <w:lang w:val="pl"/>
        </w:rPr>
        <w:t>Jako podstawowego dowodu potwierdzającego bezpieczeństwo i skuteczność kliniczną systemu usuwalnego filtra do żyły głównej Option ELITE nie wykorzystano żadnych danych klinicznych dotyczących równoważnego urządzenia. Ocena kliniczna opiera się na danych klinicznych dotyczących danego urządzenia, popartych najnowszą literaturą dotyczącą filtrów żyły głównej dolnej (IVC) oraz odpowiednimi danymi z nadzoru po wprowadzeniu do obrotu.</w:t>
      </w:r>
    </w:p>
    <w:p w14:paraId="2F9C52F6" w14:textId="77777777" w:rsidR="003A75BD" w:rsidRPr="00001F32" w:rsidRDefault="003A75BD" w:rsidP="003A75BD">
      <w:pPr>
        <w:spacing w:after="0" w:afterAutospacing="0" w:line="240" w:lineRule="auto"/>
        <w:rPr>
          <w:rFonts w:cs="Times New Roman"/>
          <w:iCs/>
          <w:lang w:val="pl-PL"/>
        </w:rPr>
      </w:pPr>
    </w:p>
    <w:p w14:paraId="6C62E5D2" w14:textId="77777777" w:rsidR="003C147E" w:rsidRPr="00001F32" w:rsidRDefault="003C147E">
      <w:pPr>
        <w:spacing w:after="0" w:afterAutospacing="0"/>
        <w:rPr>
          <w:rFonts w:cs="Times New Roman"/>
          <w:kern w:val="2"/>
          <w:szCs w:val="24"/>
          <w:lang w:val="pl-PL"/>
          <w14:ligatures w14:val="standardContextual"/>
        </w:rPr>
      </w:pPr>
      <w:r w:rsidRPr="00001F32">
        <w:rPr>
          <w:rFonts w:cs="Times New Roman"/>
          <w:lang w:val="pl"/>
        </w:rPr>
        <w:t>Urządzenie Option ELITE to usuwalny filtr żyły głównej dolnej o ugruntowanej historii klinicznej i długotrwałym zastosowaniu klinicznym. W stosownych przypadkach w ramach oceny klinicznej dokonano przeglądu opublikowanej literatury na temat podobnych usuwalnych filtrów żyły głównej dolnej, aby umieścić wyniki dotyczące bezpieczeństwa i skuteczności w kontekście obecnej praktyki medycznej; niemniej jednak w ocenie zgodności nie oparto się na żadnym formalnym wykazaniu równoważności.</w:t>
      </w:r>
    </w:p>
    <w:p w14:paraId="5715ABCA" w14:textId="77777777" w:rsidR="00265864" w:rsidRPr="00001F32" w:rsidRDefault="00265864" w:rsidP="00265864">
      <w:pPr>
        <w:spacing w:after="0" w:afterAutospacing="0" w:line="240" w:lineRule="auto"/>
        <w:rPr>
          <w:rFonts w:cs="Times New Roman"/>
          <w:i/>
          <w:lang w:val="pl-PL"/>
        </w:rPr>
      </w:pPr>
    </w:p>
    <w:p w14:paraId="46CE7D79" w14:textId="2B10E133" w:rsidR="008745ED" w:rsidRPr="00001F32" w:rsidRDefault="008745ED" w:rsidP="00042B91">
      <w:pPr>
        <w:pStyle w:val="Heading1"/>
        <w:rPr>
          <w:rFonts w:cs="Times New Roman"/>
          <w:color w:val="auto"/>
          <w:lang w:val="pl-PL"/>
        </w:rPr>
      </w:pPr>
      <w:bookmarkStart w:id="25" w:name="_Toc240532208"/>
      <w:r w:rsidRPr="00001F32">
        <w:rPr>
          <w:rFonts w:cs="Times New Roman"/>
          <w:bCs/>
          <w:color w:val="auto"/>
          <w:lang w:val="pl"/>
        </w:rPr>
        <w:t>Podsumowanie danych klinicznych z przeprowadzonych badań urządzenia przed oznakowaniem CE, jeśli dotyczy</w:t>
      </w:r>
      <w:bookmarkEnd w:id="25"/>
      <w:r w:rsidRPr="00001F32">
        <w:rPr>
          <w:rFonts w:cs="Times New Roman"/>
          <w:bCs/>
          <w:color w:val="auto"/>
          <w:lang w:val="pl"/>
        </w:rPr>
        <w:t xml:space="preserve"> </w:t>
      </w:r>
    </w:p>
    <w:p w14:paraId="206789F9" w14:textId="73A15B57" w:rsidR="00CC4F62" w:rsidRPr="00001F32" w:rsidRDefault="00D845CC">
      <w:pPr>
        <w:rPr>
          <w:rFonts w:cs="Times New Roman"/>
          <w:kern w:val="2"/>
          <w:szCs w:val="24"/>
          <w:lang w:val="pl-PL"/>
          <w14:ligatures w14:val="standardContextual"/>
        </w:rPr>
      </w:pPr>
      <w:r w:rsidRPr="00001F32">
        <w:rPr>
          <w:rFonts w:cs="Times New Roman"/>
          <w:lang w:val="pl"/>
        </w:rPr>
        <w:t xml:space="preserve">Nie dotyczy. Nie znaleziono żadnych badań klinicznych systemu usuwalnego filtra do żyły głównej Option ELITE wykonanych przed nadaniem znaku CE. </w:t>
      </w:r>
    </w:p>
    <w:p w14:paraId="49E4AA89" w14:textId="235640E0" w:rsidR="00042B91" w:rsidRPr="00001F32" w:rsidRDefault="008745ED" w:rsidP="00042B91">
      <w:pPr>
        <w:pStyle w:val="Heading1"/>
        <w:rPr>
          <w:rFonts w:cs="Times New Roman"/>
          <w:color w:val="auto"/>
          <w:lang w:val="pl-PL"/>
        </w:rPr>
      </w:pPr>
      <w:bookmarkStart w:id="26" w:name="_Toc240532209"/>
      <w:r w:rsidRPr="00001F32">
        <w:rPr>
          <w:rFonts w:cs="Times New Roman"/>
          <w:bCs/>
          <w:color w:val="auto"/>
          <w:lang w:val="pl"/>
        </w:rPr>
        <w:t>Podsumowanie danych klinicznych z innych źródeł, jeśli dotyczy</w:t>
      </w:r>
      <w:bookmarkEnd w:id="26"/>
      <w:r w:rsidRPr="00001F32">
        <w:rPr>
          <w:rFonts w:cs="Times New Roman"/>
          <w:bCs/>
          <w:color w:val="auto"/>
          <w:lang w:val="pl"/>
        </w:rPr>
        <w:t xml:space="preserve"> </w:t>
      </w:r>
    </w:p>
    <w:p w14:paraId="6FC7CABC" w14:textId="650C35F8" w:rsidR="000463DC" w:rsidRPr="00001F32" w:rsidRDefault="00CC4F62" w:rsidP="00201AAB">
      <w:pPr>
        <w:rPr>
          <w:rFonts w:cs="Times New Roman"/>
          <w:kern w:val="2"/>
          <w:szCs w:val="24"/>
          <w:lang w:val="pl-PL"/>
          <w14:ligatures w14:val="standardContextual"/>
        </w:rPr>
      </w:pPr>
      <w:r w:rsidRPr="00001F32">
        <w:rPr>
          <w:rFonts w:cs="Times New Roman"/>
          <w:lang w:val="pl"/>
        </w:rPr>
        <w:t>Dodatkowe dowody kliniczne potwierdzające bezpieczeństwo i skuteczność kliniczną systemu usuwalnego filtra do żyły głównej Option ELITE pochodzą z opublikowanej literatury dotyczącej danego wyrobu, najnowszej literatury na temat usuwalnych filtrów do żyły głównej dolnej, monitorowania po wprowadzeniu do obrotu, danych z obserwacji i planowanych działań klinicznych po wprowadzeniu do obrotu. Źródła te wspierają kontekstową interpretację danych klinicznych dotyczących danego urządzenia i pomagają potwierdzić, że znana charakterystyka bezpieczeństwa i działania jest odpowiednio monitorowana przez cały cykl życia urządzenia.</w:t>
      </w:r>
    </w:p>
    <w:p w14:paraId="54474C85" w14:textId="77777777" w:rsidR="00CC4F62" w:rsidRPr="00001F32" w:rsidRDefault="00CC4F62">
      <w:pPr>
        <w:rPr>
          <w:rFonts w:cs="Times New Roman"/>
          <w:kern w:val="2"/>
          <w:szCs w:val="24"/>
          <w:lang w:val="pl-PL"/>
          <w14:ligatures w14:val="standardContextual"/>
        </w:rPr>
      </w:pPr>
      <w:r w:rsidRPr="00001F32">
        <w:rPr>
          <w:rFonts w:cs="Times New Roman"/>
          <w:lang w:val="pl"/>
        </w:rPr>
        <w:t>Literatura dotycząca przedmiotowych urządzeń i literatura dotycząca urządzeń porównawczych są analizowane jako oddzielne, niełączone ze sobą strumienie danych kontekstowych. Do opisania aktualnego stanu wiedzy oraz oczekiwanych wzorców klinicznych dla usuwalnych filtrów żyły głównej dolnej wykorzystano literaturę dotyczącą wyrobów porównawczych, natomiast do oceny zgodności z opublikowanymi doświadczeniami dotyczącymi urządzenia Option ELITE wykorzystano literaturę dotyczącą urządzeń przedmiotowych. Źródła w literaturze nie definiują kryteriów akceptacji, nie zastępują dowodów klinicznych dotyczących konkretnego wyrobu i nie określają niezależnie zgodności.</w:t>
      </w:r>
    </w:p>
    <w:p w14:paraId="3FF3279B" w14:textId="77777777" w:rsidR="005A55B1" w:rsidRPr="00001F32" w:rsidRDefault="005A55B1">
      <w:pPr>
        <w:rPr>
          <w:rFonts w:cs="Times New Roman"/>
          <w:kern w:val="2"/>
          <w:szCs w:val="24"/>
          <w:lang w:val="pl-PL"/>
          <w14:ligatures w14:val="standardContextual"/>
        </w:rPr>
      </w:pPr>
      <w:r w:rsidRPr="00001F32">
        <w:rPr>
          <w:rFonts w:cs="Times New Roman"/>
          <w:lang w:val="pl"/>
        </w:rPr>
        <w:t xml:space="preserve">W opublikowanej literaturze i danych z rejestrów opisano kliniczne zastosowanie usuwalnych filtrów żyły głównej dolnej u pacjentów z ryzykiem żylnej choroby zakrzepowo-zatorowej, przeciwwskazaniami do </w:t>
      </w:r>
      <w:r w:rsidRPr="00001F32">
        <w:rPr>
          <w:rFonts w:cs="Times New Roman"/>
          <w:lang w:val="pl"/>
        </w:rPr>
        <w:lastRenderedPageBreak/>
        <w:t>stosowania leków przeciwzakrzepowych, nieskutecznością leczenia przeciwzakrzepowego lub ciągłą potrzebą stosowania ochrony przed zatorowością płucną. Dane te przedstawiają kontekst oczekiwanych wyników, takich jak wystąpienie zatorowości płucnej, zakrzepicy żył głębokich, skuteczność usunięcia, skuteczność umieszczenia, powikłania związane z filtrem i śmiertelność, jednocześnie uwzględniając różnice w projekcie badania, ryzyku pacjenta, czasie trwania obserwacji, definicjach punktów końcowych i raportowaniu czasu przebywania.</w:t>
      </w:r>
    </w:p>
    <w:p w14:paraId="20DC0FE7" w14:textId="77777777" w:rsidR="00CC4F62" w:rsidRPr="00001F32" w:rsidRDefault="00CC4F62">
      <w:pPr>
        <w:rPr>
          <w:rFonts w:cs="Times New Roman"/>
          <w:kern w:val="2"/>
          <w:szCs w:val="24"/>
          <w:lang w:val="pl-PL"/>
          <w14:ligatures w14:val="standardContextual"/>
        </w:rPr>
      </w:pPr>
      <w:r w:rsidRPr="00001F32">
        <w:rPr>
          <w:rFonts w:cs="Times New Roman"/>
          <w:lang w:val="pl"/>
        </w:rPr>
        <w:t>Dane z nadzoru i obserwacji po wprowadzeniu produktu na rynek są również analizowane w ramach bieżącego monitorowania klinicznego i monitorowania po wprowadzeniu produktu na rynek. Źródła te obejmują trendy dotyczące skarg, raporty dotyczące nadzoru, przegląd działań korygujących w zakresie bezpieczeństwa w terenie, monitorowanie baz danych organów regulacyjnych i inne wyniki nadzoru po wprowadzeniu produktu na rynek. Dostępne dane z nadzoru po wprowadzeniu produktu na rynek oraz z nadzoru posprzedażowego nie wykazały żadnych nowych lub wynikowych sygnałów dotyczących bezpieczeństwa wykraczających poza znane i przewidywalne zagrożenia związane z usuwalnymi filtrami żyły głównej dolnej.</w:t>
      </w:r>
    </w:p>
    <w:p w14:paraId="2C23E388" w14:textId="77777777" w:rsidR="00CC4F62" w:rsidRPr="00001F32" w:rsidRDefault="00CC4F62">
      <w:pPr>
        <w:rPr>
          <w:rFonts w:cs="Times New Roman"/>
          <w:kern w:val="2"/>
          <w:szCs w:val="24"/>
          <w:lang w:val="pl-PL"/>
          <w14:ligatures w14:val="standardContextual"/>
        </w:rPr>
      </w:pPr>
      <w:r w:rsidRPr="00001F32">
        <w:rPr>
          <w:rFonts w:cs="Times New Roman"/>
          <w:lang w:val="pl"/>
        </w:rPr>
        <w:t>Zaplanowane działania kliniczne mające na celu monitorowanie po wprowadzeniu produktu na rynek obejmują ogólne metody monitorowania oraz ukierunkowaną, prospektywną działalność opartą na badaniu ankietowym poziomu 4. Badanie ma charakter obserwacyjny, a nie interwencyjny. Jego celem jest zebranie ustrukturyzowanych informacji uzupełniających w ramach rutynowego stosowania klinicznego, w tym czasu trwania badania, statusu usuwania, wyników bezpieczeństwa związanych z filtrem i najistotniejszych wyników klinicznych. Działania te mają na celu wspieranie ciągłego monitorowania cyklu życia i wykrywania sygnałów, nie służą natomiast ustalaniu oddzielnych, stwierdzeń dotyczących działania systemu w dłuższym okresie.</w:t>
      </w:r>
    </w:p>
    <w:p w14:paraId="6A1244C4" w14:textId="77777777" w:rsidR="00CC4F62" w:rsidRPr="00001F32" w:rsidRDefault="00CC4F62">
      <w:pPr>
        <w:rPr>
          <w:rFonts w:cs="Times New Roman"/>
          <w:kern w:val="2"/>
          <w:szCs w:val="24"/>
          <w:lang w:val="pl-PL"/>
          <w14:ligatures w14:val="standardContextual"/>
        </w:rPr>
      </w:pPr>
      <w:r w:rsidRPr="00001F32">
        <w:rPr>
          <w:rFonts w:cs="Times New Roman"/>
          <w:lang w:val="pl"/>
        </w:rPr>
        <w:t>Ogólne ilościowe wyniki dotyczące bezpieczeństwa i skuteczności uzyskane na podstawie badań klinicznych dotyczących konkretnych wyrobów oraz danych z obserwacji klinicznych po wprowadzeniu do obrotu podsumowano w rozdziale 5.4. W związku z tym rozdział 5.3 ogranicza się do roli innych źródeł danych klinicznych i bieżących dowodów gromadzonych po wprowadzeniu produktu na rynek w celu wsparcia interpretacji kontekstowej i ciągłego potwierdzania charakterystyki korzyści i ryzyka.</w:t>
      </w:r>
    </w:p>
    <w:p w14:paraId="2F0F8771" w14:textId="77777777" w:rsidR="00DA2517" w:rsidRPr="00001F32" w:rsidRDefault="00DA2517" w:rsidP="00B53587">
      <w:pPr>
        <w:pStyle w:val="NormalWeb"/>
        <w:spacing w:before="0" w:beforeAutospacing="0" w:after="0" w:afterAutospacing="0"/>
        <w:rPr>
          <w:lang w:val="pl-PL"/>
        </w:rPr>
      </w:pPr>
    </w:p>
    <w:p w14:paraId="0F96955A" w14:textId="22A7BDC7" w:rsidR="000C79AF" w:rsidRPr="00001F32" w:rsidRDefault="008745ED" w:rsidP="00001F32">
      <w:pPr>
        <w:pStyle w:val="Heading1"/>
        <w:rPr>
          <w:rFonts w:eastAsia="Times New Roman" w:cs="Times New Roman"/>
          <w:szCs w:val="24"/>
          <w:lang w:val="pl-PL"/>
        </w:rPr>
      </w:pPr>
      <w:bookmarkStart w:id="27" w:name="_Toc240532210"/>
      <w:r w:rsidRPr="00001F32">
        <w:rPr>
          <w:rFonts w:cs="Times New Roman"/>
          <w:bCs/>
          <w:color w:val="auto"/>
          <w:lang w:val="pl"/>
        </w:rPr>
        <w:t>Ogólne podsumowanie dotyczące bezpieczeństwa i skuteczności klinicznej</w:t>
      </w:r>
      <w:bookmarkEnd w:id="27"/>
      <w:r w:rsidRPr="00001F32">
        <w:rPr>
          <w:rFonts w:cs="Times New Roman"/>
          <w:bCs/>
          <w:color w:val="auto"/>
          <w:lang w:val="pl"/>
        </w:rPr>
        <w:t xml:space="preserve"> </w:t>
      </w:r>
    </w:p>
    <w:p w14:paraId="38CA41E2" w14:textId="77777777" w:rsidR="00CC4F62" w:rsidRPr="00001F32" w:rsidRDefault="00CC4F62">
      <w:pPr>
        <w:rPr>
          <w:rFonts w:cs="Times New Roman"/>
          <w:kern w:val="2"/>
          <w:szCs w:val="24"/>
          <w:lang w:val="pl-PL"/>
          <w14:ligatures w14:val="standardContextual"/>
        </w:rPr>
      </w:pPr>
      <w:r w:rsidRPr="00001F32">
        <w:rPr>
          <w:rFonts w:cs="Times New Roman"/>
          <w:lang w:val="pl"/>
        </w:rPr>
        <w:t>Ocena kliniczna usuwalnego systemu filtru żyły głównej Option ELITE opiera się na całości dostępnych dowodów klinicznych, obejmujących dane z badań klinicznych dotyczących konkretnego urządzenia, dane z rejestru badań klinicznych po wprowadzeniu do obrotu, opublikowaną literaturę dotyczącą danego urządzenia, najnowszą literaturę porównawczą, dane z nadzoru po wprowadzeniu do obrotu i dane z obserwacji.</w:t>
      </w:r>
    </w:p>
    <w:p w14:paraId="6CB47CE0" w14:textId="77777777" w:rsidR="00CC4F62" w:rsidRPr="00001F32" w:rsidRDefault="00CC4F62">
      <w:pPr>
        <w:rPr>
          <w:rFonts w:cs="Times New Roman"/>
          <w:kern w:val="2"/>
          <w:szCs w:val="24"/>
          <w:lang w:val="pl-PL"/>
          <w14:ligatures w14:val="standardContextual"/>
        </w:rPr>
      </w:pPr>
      <w:r w:rsidRPr="00001F32">
        <w:rPr>
          <w:rFonts w:cs="Times New Roman"/>
          <w:lang w:val="pl"/>
        </w:rPr>
        <w:lastRenderedPageBreak/>
        <w:t>W podsumowaniu danych z badań klinicznych dotyczących konkretnego urządzenia oraz danych z obserwacji klinicznych po wprowadzeniu do obrotu dla tego urządzenia, skuteczność kliniczną i bezpieczeństwo potwierdzają następujące wyniki ilościowe:</w:t>
      </w:r>
    </w:p>
    <w:tbl>
      <w:tblPr>
        <w:tblW w:w="5000" w:type="pct"/>
        <w:tblCellMar>
          <w:left w:w="0" w:type="dxa"/>
          <w:right w:w="0" w:type="dxa"/>
        </w:tblCellMar>
        <w:tblLook w:val="04A0" w:firstRow="1" w:lastRow="0" w:firstColumn="1" w:lastColumn="0" w:noHBand="0" w:noVBand="1"/>
      </w:tblPr>
      <w:tblGrid>
        <w:gridCol w:w="3142"/>
        <w:gridCol w:w="1978"/>
        <w:gridCol w:w="5300"/>
      </w:tblGrid>
      <w:tr w:rsidR="00C33C05" w:rsidRPr="00001F32" w14:paraId="28955547" w14:textId="77777777" w:rsidTr="00001F32">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77777777" w:rsidR="00C33C05" w:rsidRPr="00001F32" w:rsidRDefault="00C33C05">
            <w:pPr>
              <w:spacing w:after="0" w:afterAutospacing="0"/>
              <w:jc w:val="center"/>
              <w:rPr>
                <w:rFonts w:cs="Times New Roman"/>
                <w:kern w:val="2"/>
                <w:szCs w:val="24"/>
                <w14:ligatures w14:val="standardContextual"/>
              </w:rPr>
            </w:pPr>
            <w:r w:rsidRPr="00001F32">
              <w:rPr>
                <w:rFonts w:cs="Times New Roman"/>
                <w:b/>
                <w:bCs/>
                <w:lang w:val="pl"/>
              </w:rPr>
              <w:t>Punkt końcowy</w:t>
            </w:r>
            <w:r w:rsidRPr="00001F32">
              <w:rPr>
                <w:rFonts w:cs="Times New Roman"/>
                <w:lang w:val="pl"/>
              </w:rPr>
              <w:t xml:space="preserve"> </w:t>
            </w:r>
            <w:r w:rsidRPr="00001F32">
              <w:rPr>
                <w:rFonts w:cs="Times New Roman"/>
                <w:b/>
                <w:bCs/>
                <w:lang w:val="pl"/>
              </w:rPr>
              <w:t>kliniczny</w:t>
            </w:r>
          </w:p>
        </w:tc>
        <w:tc>
          <w:tcPr>
            <w:tcW w:w="949"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001F32" w:rsidRDefault="00C33C05">
            <w:pPr>
              <w:spacing w:after="0" w:afterAutospacing="0"/>
              <w:jc w:val="center"/>
              <w:rPr>
                <w:rFonts w:cs="Times New Roman"/>
              </w:rPr>
            </w:pPr>
            <w:r w:rsidRPr="00001F32">
              <w:rPr>
                <w:rFonts w:cs="Times New Roman"/>
                <w:b/>
                <w:bCs/>
                <w:lang w:val="pl"/>
              </w:rPr>
              <w:t>Wynik ilościowy</w:t>
            </w:r>
          </w:p>
        </w:tc>
        <w:tc>
          <w:tcPr>
            <w:tcW w:w="2543"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001F32" w:rsidRDefault="00C33C05">
            <w:pPr>
              <w:spacing w:after="0" w:afterAutospacing="0"/>
              <w:jc w:val="center"/>
              <w:rPr>
                <w:rFonts w:cs="Times New Roman"/>
              </w:rPr>
            </w:pPr>
            <w:r w:rsidRPr="00001F32">
              <w:rPr>
                <w:rFonts w:cs="Times New Roman"/>
                <w:b/>
                <w:bCs/>
                <w:lang w:val="pl"/>
              </w:rPr>
              <w:t>Interpretacja</w:t>
            </w:r>
          </w:p>
        </w:tc>
      </w:tr>
      <w:tr w:rsidR="00C33C05" w:rsidRPr="00001F32" w14:paraId="0FF0A32F" w14:textId="77777777" w:rsidTr="00001F32">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55233" w14:textId="77777777" w:rsidR="00C33C05" w:rsidRPr="00001F32" w:rsidRDefault="00C33C05">
            <w:pPr>
              <w:spacing w:after="0" w:afterAutospacing="0"/>
              <w:rPr>
                <w:rFonts w:cs="Times New Roman"/>
              </w:rPr>
            </w:pPr>
            <w:r w:rsidRPr="00001F32">
              <w:rPr>
                <w:rFonts w:cs="Times New Roman"/>
                <w:lang w:val="pl"/>
              </w:rPr>
              <w:t>Umieszczenie/sukces techniczny</w:t>
            </w:r>
          </w:p>
        </w:tc>
        <w:tc>
          <w:tcPr>
            <w:tcW w:w="9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F13FD" w14:textId="77777777" w:rsidR="00C33C05" w:rsidRPr="00001F32" w:rsidRDefault="00C33C05">
            <w:pPr>
              <w:spacing w:after="0" w:afterAutospacing="0"/>
              <w:rPr>
                <w:rFonts w:cs="Times New Roman"/>
              </w:rPr>
            </w:pPr>
            <w:r w:rsidRPr="00001F32">
              <w:rPr>
                <w:rFonts w:cs="Times New Roman"/>
                <w:lang w:val="pl"/>
              </w:rPr>
              <w:t>99,9% łącznie; 95% CI 99,3–100</w:t>
            </w:r>
          </w:p>
        </w:tc>
        <w:tc>
          <w:tcPr>
            <w:tcW w:w="25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ECA38" w14:textId="77777777" w:rsidR="00C33C05" w:rsidRPr="00001F32" w:rsidRDefault="00C33C05">
            <w:pPr>
              <w:spacing w:after="0" w:afterAutospacing="0"/>
              <w:rPr>
                <w:rFonts w:cs="Times New Roman"/>
                <w:lang w:val="pl-PL"/>
              </w:rPr>
            </w:pPr>
            <w:r w:rsidRPr="00001F32">
              <w:rPr>
                <w:rFonts w:cs="Times New Roman"/>
                <w:lang w:val="pl"/>
              </w:rPr>
              <w:t>Wspomaga prawidłowe umieszczenie filtra w warunkach klinicznych.</w:t>
            </w:r>
          </w:p>
        </w:tc>
      </w:tr>
      <w:tr w:rsidR="00C33C05" w:rsidRPr="00001F32" w14:paraId="02BBA4D5" w14:textId="77777777" w:rsidTr="00001F32">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0F793" w14:textId="2E9F59B7" w:rsidR="00C33C05" w:rsidRPr="00001F32" w:rsidRDefault="0088480B" w:rsidP="0088480B">
            <w:pPr>
              <w:spacing w:after="0" w:afterAutospacing="0"/>
              <w:rPr>
                <w:rFonts w:cs="Times New Roman"/>
                <w:kern w:val="2"/>
                <w:szCs w:val="24"/>
                <w:lang w:val="pl-PL"/>
                <w14:ligatures w14:val="standardContextual"/>
              </w:rPr>
            </w:pPr>
            <w:r w:rsidRPr="00001F32">
              <w:rPr>
                <w:rFonts w:cs="Times New Roman"/>
                <w:lang w:val="pl"/>
              </w:rPr>
              <w:t>Sukces usunięcia w przypadkach, w których podjęto co najmniej jedną próbę usunięcia</w:t>
            </w:r>
          </w:p>
        </w:tc>
        <w:tc>
          <w:tcPr>
            <w:tcW w:w="9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69068" w14:textId="77777777" w:rsidR="00C33C05" w:rsidRPr="00001F32" w:rsidRDefault="00C33C05">
            <w:pPr>
              <w:spacing w:after="0" w:afterAutospacing="0"/>
              <w:rPr>
                <w:rFonts w:cs="Times New Roman"/>
              </w:rPr>
            </w:pPr>
            <w:r w:rsidRPr="00001F32">
              <w:rPr>
                <w:rFonts w:cs="Times New Roman"/>
                <w:lang w:val="pl"/>
              </w:rPr>
              <w:t>98,2% łącznie; 95% CI 96,2–99,3</w:t>
            </w:r>
          </w:p>
        </w:tc>
        <w:tc>
          <w:tcPr>
            <w:tcW w:w="25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AE9CA1" w14:textId="77777777" w:rsidR="00C33C05" w:rsidRPr="00001F32" w:rsidRDefault="00C33C05">
            <w:pPr>
              <w:spacing w:after="0" w:afterAutospacing="0"/>
              <w:rPr>
                <w:rFonts w:cs="Times New Roman"/>
                <w:lang w:val="pl-PL"/>
              </w:rPr>
            </w:pPr>
            <w:r w:rsidRPr="00001F32">
              <w:rPr>
                <w:rFonts w:cs="Times New Roman"/>
                <w:lang w:val="pl"/>
              </w:rPr>
              <w:t>Wspiera wysoką skuteczność odzyskiwania, gdy jest to klinicznie wskazane i podjęta zostaje próba.</w:t>
            </w:r>
          </w:p>
        </w:tc>
      </w:tr>
      <w:tr w:rsidR="00C33C05" w:rsidRPr="00001F32" w14:paraId="2ED48A32" w14:textId="77777777" w:rsidTr="00001F32">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AF38C5" w14:textId="22E54DF1" w:rsidR="00C33C05" w:rsidRPr="00001F32" w:rsidRDefault="0088480B" w:rsidP="0088480B">
            <w:pPr>
              <w:spacing w:after="0" w:afterAutospacing="0"/>
              <w:rPr>
                <w:rFonts w:cs="Times New Roman"/>
                <w:kern w:val="2"/>
                <w:szCs w:val="24"/>
                <w14:ligatures w14:val="standardContextual"/>
              </w:rPr>
            </w:pPr>
            <w:r w:rsidRPr="00001F32">
              <w:rPr>
                <w:rFonts w:cs="Times New Roman"/>
                <w:lang w:val="pl"/>
              </w:rPr>
              <w:t>Nawracająca zatorowość płucna (PE)</w:t>
            </w:r>
          </w:p>
        </w:tc>
        <w:tc>
          <w:tcPr>
            <w:tcW w:w="9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1E305" w14:textId="77777777" w:rsidR="00C33C05" w:rsidRPr="00001F32" w:rsidRDefault="00C33C05">
            <w:pPr>
              <w:spacing w:after="0" w:afterAutospacing="0"/>
              <w:rPr>
                <w:rFonts w:cs="Times New Roman"/>
              </w:rPr>
            </w:pPr>
            <w:r w:rsidRPr="00001F32">
              <w:rPr>
                <w:rFonts w:cs="Times New Roman"/>
                <w:lang w:val="pl"/>
              </w:rPr>
              <w:t>3,1% łącznie; 95% CI 2,0–4,6</w:t>
            </w:r>
          </w:p>
        </w:tc>
        <w:tc>
          <w:tcPr>
            <w:tcW w:w="25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EEE30" w14:textId="77777777" w:rsidR="00C33C05" w:rsidRPr="00001F32" w:rsidRDefault="00C33C05">
            <w:pPr>
              <w:spacing w:after="0" w:afterAutospacing="0"/>
              <w:rPr>
                <w:rFonts w:cs="Times New Roman"/>
              </w:rPr>
            </w:pPr>
            <w:r w:rsidRPr="00001F32">
              <w:rPr>
                <w:rFonts w:cs="Times New Roman"/>
                <w:lang w:val="pl"/>
              </w:rPr>
              <w:t>Poniżej ustalonego kryterium akceptacji ≤6%.</w:t>
            </w:r>
          </w:p>
        </w:tc>
      </w:tr>
      <w:tr w:rsidR="00C33C05" w:rsidRPr="00001F32" w14:paraId="64F98792" w14:textId="77777777" w:rsidTr="00001F32">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C66314" w14:textId="22235DFB" w:rsidR="00C33C05" w:rsidRPr="00001F32" w:rsidRDefault="0088480B" w:rsidP="0088480B">
            <w:pPr>
              <w:spacing w:after="0" w:afterAutospacing="0"/>
              <w:rPr>
                <w:rFonts w:cs="Times New Roman"/>
                <w:kern w:val="2"/>
                <w:szCs w:val="24"/>
                <w:lang w:val="pl-PL"/>
                <w14:ligatures w14:val="standardContextual"/>
              </w:rPr>
            </w:pPr>
            <w:r w:rsidRPr="00001F32">
              <w:rPr>
                <w:rFonts w:cs="Times New Roman"/>
                <w:lang w:val="pl"/>
              </w:rPr>
              <w:t>Nowa lub pogarszająca się zakrzepica żył głębokich (DVT)</w:t>
            </w:r>
          </w:p>
        </w:tc>
        <w:tc>
          <w:tcPr>
            <w:tcW w:w="9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D3B19D" w14:textId="77777777" w:rsidR="00C33C05" w:rsidRPr="00001F32" w:rsidRDefault="00C33C05">
            <w:pPr>
              <w:spacing w:after="0" w:afterAutospacing="0"/>
              <w:rPr>
                <w:rFonts w:cs="Times New Roman"/>
              </w:rPr>
            </w:pPr>
            <w:r w:rsidRPr="00001F32">
              <w:rPr>
                <w:rFonts w:cs="Times New Roman"/>
                <w:lang w:val="pl"/>
              </w:rPr>
              <w:t>8,7% łącznie; 95% CI 7,0–10,8</w:t>
            </w:r>
          </w:p>
        </w:tc>
        <w:tc>
          <w:tcPr>
            <w:tcW w:w="25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51821E" w14:textId="1A91C9B2" w:rsidR="00C33C05" w:rsidRPr="00001F32" w:rsidRDefault="00CC4F62" w:rsidP="00CC4F62">
            <w:pPr>
              <w:spacing w:after="0" w:afterAutospacing="0"/>
              <w:rPr>
                <w:rFonts w:cs="Times New Roman"/>
                <w:kern w:val="2"/>
                <w:szCs w:val="24"/>
                <w:lang w:val="pl-PL"/>
                <w14:ligatures w14:val="standardContextual"/>
              </w:rPr>
            </w:pPr>
            <w:r w:rsidRPr="00001F32">
              <w:rPr>
                <w:rFonts w:cs="Times New Roman"/>
                <w:lang w:val="pl"/>
              </w:rPr>
              <w:t>Interpretowane w kontekście, ponieważ wstępnie zdefiniowane kryterium liczbowe ma zastosowanie do zakrzepicy okluzyjnej w miejscu dostępu ≤3%, podczas gdy ten zbiorczy punkt końcowy obejmuje szersze nowe lub pogarszające się zdarzenia zakrzepicy żył głębokich.</w:t>
            </w:r>
          </w:p>
        </w:tc>
      </w:tr>
      <w:tr w:rsidR="00C33C05" w:rsidRPr="00001F32" w14:paraId="0CA1CC06" w14:textId="77777777" w:rsidTr="00001F32">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001F32" w:rsidRDefault="0088480B" w:rsidP="0088480B">
            <w:pPr>
              <w:spacing w:after="0" w:afterAutospacing="0"/>
              <w:rPr>
                <w:rFonts w:cs="Times New Roman"/>
                <w:kern w:val="2"/>
                <w:szCs w:val="24"/>
                <w14:ligatures w14:val="standardContextual"/>
              </w:rPr>
            </w:pPr>
            <w:r w:rsidRPr="00001F32">
              <w:rPr>
                <w:rFonts w:cs="Times New Roman"/>
                <w:lang w:val="pl"/>
              </w:rPr>
              <w:t>Powikłania związane z filtrem</w:t>
            </w:r>
          </w:p>
        </w:tc>
        <w:tc>
          <w:tcPr>
            <w:tcW w:w="9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5AA8F" w14:textId="77777777" w:rsidR="00C33C05" w:rsidRPr="00001F32" w:rsidRDefault="00C33C05">
            <w:pPr>
              <w:spacing w:after="0" w:afterAutospacing="0"/>
              <w:rPr>
                <w:rFonts w:cs="Times New Roman"/>
              </w:rPr>
            </w:pPr>
            <w:r w:rsidRPr="00001F32">
              <w:rPr>
                <w:rFonts w:cs="Times New Roman"/>
                <w:lang w:val="pl"/>
              </w:rPr>
              <w:t>1,1% łącznie; 95% CI 0,8–1,5</w:t>
            </w:r>
          </w:p>
        </w:tc>
        <w:tc>
          <w:tcPr>
            <w:tcW w:w="25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0D1315" w14:textId="11652CB6" w:rsidR="00C33C05" w:rsidRPr="00001F32" w:rsidRDefault="00CC4F62" w:rsidP="00CC4F62">
            <w:pPr>
              <w:spacing w:after="0" w:afterAutospacing="0"/>
              <w:rPr>
                <w:rFonts w:cs="Times New Roman"/>
                <w:kern w:val="2"/>
                <w:szCs w:val="24"/>
                <w:lang w:val="pl-PL"/>
                <w14:ligatures w14:val="standardContextual"/>
              </w:rPr>
            </w:pPr>
            <w:r w:rsidRPr="00001F32">
              <w:rPr>
                <w:rFonts w:cs="Times New Roman"/>
                <w:lang w:val="pl"/>
              </w:rPr>
              <w:t>Zgodnie z określonym punktem końcowym dotyczącym powikłań związanych z filtrem, obejmującym przemieszczenie, złamanie, przechylenie &gt;15°, perforację żyły głównej, zakrzepicę/niedrożność żyły głównej i powikłania związane z usunięciem.</w:t>
            </w:r>
          </w:p>
        </w:tc>
      </w:tr>
    </w:tbl>
    <w:p w14:paraId="3051C109" w14:textId="77777777" w:rsidR="00CC09D6" w:rsidRPr="00001F32" w:rsidRDefault="00CC09D6" w:rsidP="00001F32">
      <w:pPr>
        <w:spacing w:after="0" w:afterAutospacing="0"/>
        <w:rPr>
          <w:rFonts w:cs="Times New Roman"/>
          <w:color w:val="008000"/>
          <w:lang w:val="pl-PL"/>
        </w:rPr>
      </w:pPr>
    </w:p>
    <w:p w14:paraId="51526A1C" w14:textId="537450EF" w:rsidR="005A55B1" w:rsidRPr="00001F32" w:rsidRDefault="005A55B1">
      <w:pPr>
        <w:rPr>
          <w:rFonts w:cs="Times New Roman"/>
          <w:kern w:val="2"/>
          <w:szCs w:val="24"/>
          <w:lang w:val="pl-PL"/>
          <w14:ligatures w14:val="standardContextual"/>
        </w:rPr>
      </w:pPr>
      <w:r w:rsidRPr="00001F32">
        <w:rPr>
          <w:rFonts w:cs="Times New Roman"/>
          <w:lang w:val="pl"/>
        </w:rPr>
        <w:t>Śmiertelność została uznana w ocenie klinicznej za klinicznie istotny wynik bezpieczeństwa i jest uwzględniona w planowanych działaniach PMCF w celu ciągłego monitorowania stosunku korzyści do ryzyka. Całkowita śmiertelność jest interpretowana w kontekście populacji pacjentów wysokiego ryzyka zakrzepicy, chorób współistniejących i zmienności w okresie obserwacji. Nie jest ona przedstawiana jako punkt końcowy dotyczący działania urządzenia lub twierdzenie dotyczące korzyści klinicznych. Zdefiniowane wcześniej kryterium bezpieczeństwa dotyczy śmiertelności związanej z urządzeniem lub zabiegiem, a nie śmiertelności z jakiejkolwiek przyczyny. Na podstawie dostępnych dowodów klinicznych, danych dotyczących PMS i danych z nadzoru nad bezpieczeństwem nie zidentyfikowano żadnego sygnału wskazującego na śmiertelność związaną z danym urządzeniem.</w:t>
      </w:r>
    </w:p>
    <w:p w14:paraId="3A85B801" w14:textId="77777777" w:rsidR="00CC4F62" w:rsidRPr="00001F32" w:rsidRDefault="00CC4F62">
      <w:pPr>
        <w:rPr>
          <w:rFonts w:cs="Times New Roman"/>
          <w:kern w:val="2"/>
          <w:szCs w:val="24"/>
          <w:lang w:val="pl-PL"/>
          <w14:ligatures w14:val="standardContextual"/>
        </w:rPr>
      </w:pPr>
      <w:r w:rsidRPr="00001F32">
        <w:rPr>
          <w:rFonts w:cs="Times New Roman"/>
          <w:lang w:val="pl"/>
        </w:rPr>
        <w:t xml:space="preserve">Połączone wyniki potwierdziły spójne ustalenia badania PRESERVE oraz retrospektywnego rejestru Uniwersytetu Indiana, w tym wysoki poziom powodzenia w umieszczaniu i usuwaniu oraz częstość występowania PE poniżej wstępnie zdefiniowanych kryteriów skuteczności i bezpieczeństwa. Wyniki dotyczące zakrzepicy żył głębokich zinterpretowano w kontekście klinicznym, ponieważ kryterium </w:t>
      </w:r>
      <w:r w:rsidRPr="00001F32">
        <w:rPr>
          <w:rFonts w:cs="Times New Roman"/>
          <w:lang w:val="pl"/>
        </w:rPr>
        <w:lastRenderedPageBreak/>
        <w:t>liczbowe odnosi się do zakrzepicy w miejscu dostępu, a nie do wszystkich wyników dotyczących zakrzepicy żył głębokich, a częstość powikłań związanych z filtrem pozostała zgodna ze znanym profilem ryzyka dla usuwalnych filtrów żyły głównej dolnej.</w:t>
      </w:r>
    </w:p>
    <w:p w14:paraId="3EDE6561" w14:textId="1B9EE961" w:rsidR="006022AD" w:rsidRPr="00001F32" w:rsidRDefault="00EC2621" w:rsidP="0078716B">
      <w:pPr>
        <w:rPr>
          <w:rFonts w:cs="Times New Roman"/>
          <w:kern w:val="2"/>
          <w:szCs w:val="24"/>
          <w:lang w:val="pl-PL"/>
          <w14:ligatures w14:val="standardContextual"/>
        </w:rPr>
      </w:pPr>
      <w:r w:rsidRPr="00001F32">
        <w:rPr>
          <w:rFonts w:cs="Times New Roman"/>
          <w:lang w:val="pl"/>
        </w:rPr>
        <w:t>Obserwowany profil bezpieczeństwa jest zgodny ze znanymi i przewidywalnymi ryzykami związanymi ze stosowaniem usuwalnych filtrów żyły głównej dolnej. Zgłoszone zdarzenia na poziomie elementów składowych obejmowały perforację, przemieszczenie, złamanie, zakrzepicę/niedrożność żyły głównej dolnej i powikłania związane z usunięciem. W dowodach klinicznych, PMS i danych z nadzoru nad bezpieczeństwem nie stwierdzono nieoczekiwanego zlepiania, zależnej od czasu degradacji mechanicznej ani nowych sygnałów dotyczących bezpieczeństwa specyficznych dla danego urządzenia.</w:t>
      </w:r>
    </w:p>
    <w:p w14:paraId="55C78ADA" w14:textId="77777777" w:rsidR="00FA4FD4" w:rsidRPr="00001F32" w:rsidRDefault="00FA4FD4">
      <w:pPr>
        <w:rPr>
          <w:rFonts w:cs="Times New Roman"/>
          <w:kern w:val="2"/>
          <w:szCs w:val="24"/>
          <w:lang w:val="pl-PL"/>
          <w14:ligatures w14:val="standardContextual"/>
        </w:rPr>
      </w:pPr>
      <w:r w:rsidRPr="00001F32">
        <w:rPr>
          <w:rFonts w:cs="Times New Roman"/>
          <w:lang w:val="pl"/>
        </w:rPr>
        <w:t>Wyniki te potwierdzają zamierzoną korzyść kliniczną polegającą na zmniejszeniu ryzyka klinicznie istotnego zatoru płucnego poprzez zapobieganie przemieszczeniu zakrzepu w żyle głównej dolnej u odpowiednio wybranych pacjentów, gdy lek jest stosowany zgodnie z instrukcją użycia. Nie wysuwa się żadnych twierdzeń dotyczących korzyści klinicznych, wyższości ani niezależnych długoterminowych wyników wykraczających poza zamierzony cel.</w:t>
      </w:r>
    </w:p>
    <w:p w14:paraId="3DC5CBFB" w14:textId="73DF5313" w:rsidR="00CC4F62" w:rsidRPr="00001F32" w:rsidRDefault="00CC4F62">
      <w:pPr>
        <w:rPr>
          <w:rFonts w:cs="Times New Roman"/>
          <w:kern w:val="2"/>
          <w:szCs w:val="24"/>
          <w:lang w:val="pl-PL"/>
          <w14:ligatures w14:val="standardContextual"/>
        </w:rPr>
      </w:pPr>
      <w:r w:rsidRPr="00001F32">
        <w:rPr>
          <w:rFonts w:cs="Times New Roman"/>
          <w:lang w:val="pl"/>
        </w:rPr>
        <w:t>Do dokładniejszego scharakteryzowania wyników na przestrzeni klinicznie istotnych okresów implantacji zastosowano stratyfikowaną analizę czasu przebywania w organizmie. W okresie 175 dni i dłużej wskaźnik skuteczności usunięcia utrzymywał się na wysokim poziomie. Niektóre stwierdzone dane dotyczące zatorowości płucnej, zakrzepicy żył głębokich, zakrzepicy żył głównych i niedrożności żył głównych były liczbowo wyższe w warstwach z dłuższym okresem przebywania w żyłach; jednak dane te zinterpretowano w kontekście znanych wzorców ryzyka zależnych od czasu dla usuwalnych filtrów żyły głównej dolnej i ryzyka pacjenta. Nie mają one, jeśli rozpatrywać je z osobna, negatywnego wpływu na ogólną charakterystykę korzyści i ryzyka.</w:t>
      </w:r>
    </w:p>
    <w:p w14:paraId="68502EE9" w14:textId="182830DF" w:rsidR="00433F6F" w:rsidRPr="00001F32" w:rsidRDefault="006016AB" w:rsidP="00001F32">
      <w:pPr>
        <w:rPr>
          <w:rFonts w:cs="Times New Roman"/>
          <w:i/>
          <w:lang w:val="pl-PL"/>
        </w:rPr>
      </w:pPr>
      <w:r w:rsidRPr="00001F32">
        <w:rPr>
          <w:rFonts w:cs="Times New Roman"/>
          <w:lang w:val="pl"/>
        </w:rPr>
        <w:t>Na podstawie dostępnych ilościowych dowodów klinicznych, planowanych i bieżących działań z zakresu obserwacji klinicznej po wprowadzeniu produktu na rynek oraz ciągłego monitorowania po wprowadzeniu produktu na rynek, ogólny profil korzyści i ryzyka systemu usuwalnego filtra żyły głównej Option ELITE pozostaje korzystny i akceptowalny dla zamierzonego celu, gdy jest stosowany u odpowiednio wybranych pacjentów zgodnie z instrukcją użytkowania.</w:t>
      </w:r>
    </w:p>
    <w:p w14:paraId="382804C1" w14:textId="58E7899E" w:rsidR="00071055" w:rsidRPr="00001F32" w:rsidRDefault="008745ED" w:rsidP="00001F32">
      <w:pPr>
        <w:pStyle w:val="Heading1"/>
        <w:rPr>
          <w:rFonts w:cs="Times New Roman"/>
          <w:iCs/>
          <w:lang w:val="pl-PL"/>
        </w:rPr>
      </w:pPr>
      <w:bookmarkStart w:id="28" w:name="_Toc240532211"/>
      <w:r w:rsidRPr="00001F32">
        <w:rPr>
          <w:rFonts w:cs="Times New Roman"/>
          <w:bCs/>
          <w:color w:val="auto"/>
          <w:lang w:val="pl"/>
        </w:rPr>
        <w:t>Bieżąca lub planowana obserwacja kliniczna po wprowadzeniu do obrotu</w:t>
      </w:r>
      <w:bookmarkEnd w:id="28"/>
    </w:p>
    <w:p w14:paraId="7E87C50F" w14:textId="77777777" w:rsidR="00CC4F62" w:rsidRPr="00001F32" w:rsidRDefault="00CC4F62">
      <w:pPr>
        <w:spacing w:after="0" w:afterAutospacing="0"/>
        <w:rPr>
          <w:rFonts w:cs="Times New Roman"/>
          <w:kern w:val="2"/>
          <w:szCs w:val="24"/>
          <w:lang w:val="pl-PL"/>
          <w14:ligatures w14:val="standardContextual"/>
        </w:rPr>
      </w:pPr>
      <w:r w:rsidRPr="00001F32">
        <w:rPr>
          <w:rFonts w:cs="Times New Roman"/>
          <w:lang w:val="pl"/>
        </w:rPr>
        <w:t>Działania związane z klinicznym monitorowaniem po wprowadzeniu na rynek systemu usuwalnego filtra żyły głównej Option ELITE mają na celu ciągłe potwierdzanie bezpieczeństwa i skuteczności klinicznej urządzenia przez cały cykl jego eksploatacji oraz zapewnienie, że profil korzyści i ryzyka pozostaje akceptowalny.</w:t>
      </w:r>
    </w:p>
    <w:p w14:paraId="66079778" w14:textId="77777777" w:rsidR="003C147E" w:rsidRPr="00001F32" w:rsidRDefault="003C147E">
      <w:pPr>
        <w:spacing w:after="0" w:afterAutospacing="0"/>
        <w:rPr>
          <w:rFonts w:cs="Times New Roman"/>
          <w:kern w:val="2"/>
          <w:szCs w:val="24"/>
          <w:lang w:val="pl-PL"/>
          <w14:ligatures w14:val="standardContextual"/>
        </w:rPr>
      </w:pPr>
      <w:r w:rsidRPr="00001F32">
        <w:rPr>
          <w:rFonts w:cs="Times New Roman"/>
          <w:lang w:val="pl"/>
        </w:rPr>
        <w:t xml:space="preserve">Działania PMCF obejmują ogólne metody PMCF, takie jak systematyczne i okresowe przeglądy odpowiedniej opublikowanej literatury naukowej, a także ciągłe gromadzenie i ocenę danych pochodzące ze skarg, raportów z nadzoru, działań korygujących bezpieczeństwo w terenie oraz działań korygujących i zapobiegawczych </w:t>
      </w:r>
      <w:r w:rsidRPr="00001F32">
        <w:rPr>
          <w:rFonts w:cs="Times New Roman"/>
          <w:color w:val="008000"/>
          <w:lang w:val="pl"/>
        </w:rPr>
        <w:t>po wprowadzeniu na rynek</w:t>
      </w:r>
      <w:r w:rsidRPr="00001F32">
        <w:rPr>
          <w:rFonts w:cs="Times New Roman"/>
          <w:lang w:val="pl"/>
        </w:rPr>
        <w:t xml:space="preserve">. Monitorowane są również odpowiednie krajowe i </w:t>
      </w:r>
      <w:r w:rsidRPr="00001F32">
        <w:rPr>
          <w:rFonts w:cs="Times New Roman"/>
          <w:lang w:val="pl"/>
        </w:rPr>
        <w:lastRenderedPageBreak/>
        <w:t>międzynarodowe bazy danych dotyczące nadzoru nad bezpieczeństwem, co ma na celu wspomaganie wykrywania sygnałów i analizy trendów.</w:t>
      </w:r>
    </w:p>
    <w:p w14:paraId="2783A21A" w14:textId="77777777" w:rsidR="005A2D80" w:rsidRPr="00001F32" w:rsidRDefault="005A2D80">
      <w:pPr>
        <w:spacing w:after="0" w:afterAutospacing="0"/>
        <w:rPr>
          <w:rFonts w:cs="Times New Roman"/>
          <w:kern w:val="2"/>
          <w:szCs w:val="24"/>
          <w:lang w:val="pl-PL"/>
          <w14:ligatures w14:val="standardContextual"/>
        </w:rPr>
      </w:pPr>
      <w:r w:rsidRPr="00001F32">
        <w:rPr>
          <w:rFonts w:cs="Times New Roman"/>
          <w:lang w:val="pl"/>
        </w:rPr>
        <w:t>Oprócz ogólnych metod PMCF przeprowadzone zostanie ukierunkowane, prospektywne badanie PMCF poziomu 4 dla wyrobu Option ELITE. Badanie ma charakter obserwacyjny, a nie interwencyjny. Będzie ono wypełniane przez lekarzy prowadzących leczenie lub w ośrodkach klinicznych z wykorzystaniem danych z rutynowej obserwacji lub dokumentacji medycznej. Ma na celu dokładniejsze scharakteryzowanie bezpieczeństwa i skuteczności leczenia w rutynowym zastosowaniu klinicznym, w tym w przypadkach wydłużonego czasu przebywania w organizmie.</w:t>
      </w:r>
    </w:p>
    <w:p w14:paraId="38BE135A" w14:textId="77777777" w:rsidR="006016AB" w:rsidRPr="00001F32" w:rsidRDefault="006016AB">
      <w:pPr>
        <w:spacing w:after="0" w:afterAutospacing="0"/>
        <w:rPr>
          <w:rFonts w:cs="Times New Roman"/>
          <w:kern w:val="2"/>
          <w:szCs w:val="24"/>
          <w:lang w:val="pl-PL"/>
          <w14:ligatures w14:val="standardContextual"/>
        </w:rPr>
      </w:pPr>
      <w:r w:rsidRPr="00001F32">
        <w:rPr>
          <w:rFonts w:cs="Times New Roman"/>
          <w:lang w:val="pl"/>
        </w:rPr>
        <w:t>Badanie obejmie dorosłych pacjentów, u których dokonano implantacji zgodnie z instrukcją użytkowania, a będzie ono obejmować następujące kliniczne punkty końcowe i zmienne kontekstowe:</w:t>
      </w:r>
    </w:p>
    <w:p w14:paraId="3C5EC18A" w14:textId="77777777" w:rsidR="000554E9" w:rsidRPr="00001F32" w:rsidRDefault="000554E9">
      <w:pPr>
        <w:pStyle w:val="ListParagraph"/>
        <w:numPr>
          <w:ilvl w:val="0"/>
          <w:numId w:val="19"/>
        </w:numPr>
        <w:rPr>
          <w:rFonts w:cs="Times New Roman"/>
          <w:kern w:val="2"/>
          <w:lang w:val="pl-PL"/>
          <w14:ligatures w14:val="standardContextual"/>
        </w:rPr>
      </w:pPr>
      <w:r w:rsidRPr="00001F32">
        <w:rPr>
          <w:rFonts w:cs="Times New Roman"/>
          <w:lang w:val="pl"/>
        </w:rPr>
        <w:t>Umieszczenie/sukces techniczny, w tym udane umieszczenie filtra w rutynowym zastosowaniu klinicznym</w:t>
      </w:r>
    </w:p>
    <w:p w14:paraId="32081152" w14:textId="77777777" w:rsidR="008800E3" w:rsidRPr="00001F32" w:rsidRDefault="008800E3">
      <w:pPr>
        <w:pStyle w:val="ListParagraph"/>
        <w:numPr>
          <w:ilvl w:val="0"/>
          <w:numId w:val="19"/>
        </w:numPr>
        <w:rPr>
          <w:rFonts w:cs="Times New Roman"/>
          <w:kern w:val="2"/>
          <w:lang w:val="pl-PL"/>
          <w14:ligatures w14:val="standardContextual"/>
        </w:rPr>
      </w:pPr>
      <w:r w:rsidRPr="00001F32">
        <w:rPr>
          <w:rFonts w:cs="Times New Roman"/>
          <w:lang w:val="pl"/>
        </w:rPr>
        <w:t>Status dotyczący usuwania i skuteczność usuwania w przypadkach, w których podjęto co najmniej jedną próbę usunięcia</w:t>
      </w:r>
    </w:p>
    <w:p w14:paraId="7A8D4922" w14:textId="77777777" w:rsidR="008800E3" w:rsidRPr="00001F32" w:rsidRDefault="008800E3">
      <w:pPr>
        <w:pStyle w:val="ListParagraph"/>
        <w:numPr>
          <w:ilvl w:val="0"/>
          <w:numId w:val="19"/>
        </w:numPr>
        <w:rPr>
          <w:rFonts w:cs="Times New Roman"/>
        </w:rPr>
      </w:pPr>
      <w:r w:rsidRPr="00001F32">
        <w:rPr>
          <w:rFonts w:cs="Times New Roman"/>
          <w:lang w:val="pl"/>
        </w:rPr>
        <w:t>Nawracająca zatorowość płucna (PE)</w:t>
      </w:r>
    </w:p>
    <w:p w14:paraId="193B8F18" w14:textId="77777777" w:rsidR="008800E3" w:rsidRPr="00001F32" w:rsidRDefault="008800E3">
      <w:pPr>
        <w:pStyle w:val="ListParagraph"/>
        <w:numPr>
          <w:ilvl w:val="0"/>
          <w:numId w:val="19"/>
        </w:numPr>
        <w:rPr>
          <w:rFonts w:cs="Times New Roman"/>
          <w:lang w:val="pl-PL"/>
        </w:rPr>
      </w:pPr>
      <w:r w:rsidRPr="00001F32">
        <w:rPr>
          <w:rFonts w:cs="Times New Roman"/>
          <w:lang w:val="pl"/>
        </w:rPr>
        <w:t>Nowa lub pogarszająca się zakrzepica żył głębokich (DVT)</w:t>
      </w:r>
    </w:p>
    <w:p w14:paraId="1CED5B5F" w14:textId="77777777" w:rsidR="008800E3" w:rsidRPr="00001F32" w:rsidRDefault="008800E3">
      <w:pPr>
        <w:pStyle w:val="ListParagraph"/>
        <w:numPr>
          <w:ilvl w:val="0"/>
          <w:numId w:val="19"/>
        </w:numPr>
        <w:rPr>
          <w:rFonts w:cs="Times New Roman"/>
        </w:rPr>
      </w:pPr>
      <w:r w:rsidRPr="00001F32">
        <w:rPr>
          <w:rFonts w:cs="Times New Roman"/>
          <w:lang w:val="pl"/>
        </w:rPr>
        <w:t>Śmiertelność, tam gdzie jest znana</w:t>
      </w:r>
    </w:p>
    <w:p w14:paraId="58D70235" w14:textId="77777777" w:rsidR="008800E3" w:rsidRPr="00001F32" w:rsidRDefault="008800E3">
      <w:pPr>
        <w:pStyle w:val="ListParagraph"/>
        <w:numPr>
          <w:ilvl w:val="0"/>
          <w:numId w:val="19"/>
        </w:numPr>
        <w:rPr>
          <w:rFonts w:cs="Times New Roman"/>
          <w:lang w:val="pl-PL"/>
        </w:rPr>
      </w:pPr>
      <w:r w:rsidRPr="00001F32">
        <w:rPr>
          <w:rFonts w:cs="Times New Roman"/>
          <w:lang w:val="pl"/>
        </w:rPr>
        <w:t>Powikłania związane z filtrem, w tym przemieszczenie, złamanie, pochylenie o ponad 15 stopni, perforacja żyły głównej, zakrzepica lub niedrożność żyły głównej oraz powikłania związane z usunięciem filtra</w:t>
      </w:r>
    </w:p>
    <w:p w14:paraId="4B7C9C05" w14:textId="77777777" w:rsidR="008800E3" w:rsidRPr="00001F32" w:rsidRDefault="008800E3">
      <w:pPr>
        <w:pStyle w:val="ListParagraph"/>
        <w:numPr>
          <w:ilvl w:val="0"/>
          <w:numId w:val="19"/>
        </w:numPr>
        <w:rPr>
          <w:rFonts w:cs="Times New Roman"/>
          <w:lang w:val="pl-PL"/>
        </w:rPr>
      </w:pPr>
      <w:r w:rsidRPr="00001F32">
        <w:rPr>
          <w:rFonts w:cs="Times New Roman"/>
          <w:lang w:val="pl"/>
        </w:rPr>
        <w:t>Czas pozostawiania, w tym przypadki wydłużonego czasu pozostawania</w:t>
      </w:r>
    </w:p>
    <w:p w14:paraId="1F8E67BD" w14:textId="77777777" w:rsidR="005A2D80" w:rsidRPr="00001F32" w:rsidRDefault="005A2D80">
      <w:pPr>
        <w:spacing w:after="0" w:afterAutospacing="0"/>
        <w:rPr>
          <w:rFonts w:cs="Times New Roman"/>
          <w:kern w:val="2"/>
          <w:szCs w:val="24"/>
          <w:lang w:val="pl-PL"/>
          <w14:ligatures w14:val="standardContextual"/>
        </w:rPr>
      </w:pPr>
      <w:r w:rsidRPr="00001F32">
        <w:rPr>
          <w:rFonts w:cs="Times New Roman"/>
          <w:lang w:val="pl"/>
        </w:rPr>
        <w:t>Zaplanowano docelową wielkość próby wynoszącą 300 osób, aby wesprzeć ocenę opisową, wykrywanie sygnałów, monitorowanie trendów i reprezentację w oczekiwanych rozkładach czasu przebywania.</w:t>
      </w:r>
    </w:p>
    <w:p w14:paraId="77EB4B98" w14:textId="77777777" w:rsidR="00CC4F62" w:rsidRPr="00001F32" w:rsidRDefault="00CC4F62">
      <w:pPr>
        <w:spacing w:after="0" w:afterAutospacing="0"/>
        <w:rPr>
          <w:rFonts w:cs="Times New Roman"/>
          <w:kern w:val="2"/>
          <w:szCs w:val="24"/>
          <w:lang w:val="pl-PL"/>
          <w14:ligatures w14:val="standardContextual"/>
        </w:rPr>
      </w:pPr>
      <w:r w:rsidRPr="00001F32">
        <w:rPr>
          <w:rFonts w:cs="Times New Roman"/>
          <w:lang w:val="pl"/>
        </w:rPr>
        <w:t>Wyniki ankiety zostaną poddane analizie opisowej i zinterpretowane przy użyciu wstępnie zdefiniowanych kryteriów skuteczności klinicznej i bezpieczeństwa, punktów odniesienia w postaci najnowocześniejszych rozwiązań oraz zaobserwowanych trendów. Nie zdefiniowano osobnych kryteriów akceptacji dla przypadków dłuższego przebywania w szpitalu, ponieważ odpowiadają one przewidywalnej zmienności praktyki klinicznej, nie stanowią zaś odrębnego zamierzonego stanu sprawności.</w:t>
      </w:r>
    </w:p>
    <w:p w14:paraId="51FFDF35" w14:textId="77777777" w:rsidR="006016AB" w:rsidRPr="00001F32" w:rsidRDefault="006016AB">
      <w:pPr>
        <w:spacing w:after="0" w:afterAutospacing="0"/>
        <w:rPr>
          <w:rFonts w:cs="Times New Roman"/>
          <w:kern w:val="2"/>
          <w:szCs w:val="24"/>
          <w:lang w:val="pl-PL"/>
          <w14:ligatures w14:val="standardContextual"/>
        </w:rPr>
      </w:pPr>
      <w:r w:rsidRPr="00001F32">
        <w:rPr>
          <w:rFonts w:cs="Times New Roman"/>
          <w:lang w:val="pl"/>
        </w:rPr>
        <w:t>Badanie ma się rozpocząć po zakończeniu i wdrożeniu działań, a rejestracja uczestników potrwa od około 12 do 24 miesięcy. Wstępne dane będą dostępne po około 12 miesiącach od rozpoczęcia badania. Wyniki zostaną ocenione w ramach bieżącego monitorowania klinicznego i monitorowania po wprowadzeniu do obrotu, i zostaną wykorzystane, w zależności od sytuacji, do dalszej oceny bezpieczeństwa, skuteczności, stosunku korzyści do ryzyka, skuteczności kontroli ryzyka i identyfikowalności punktów końcowych.</w:t>
      </w:r>
    </w:p>
    <w:p w14:paraId="2BEABC48" w14:textId="77777777" w:rsidR="005A2D80" w:rsidRPr="00001F32" w:rsidRDefault="005A2D80">
      <w:pPr>
        <w:spacing w:after="0" w:afterAutospacing="0"/>
        <w:rPr>
          <w:rFonts w:cs="Times New Roman"/>
          <w:kern w:val="2"/>
          <w:szCs w:val="24"/>
          <w:lang w:val="pl-PL"/>
          <w14:ligatures w14:val="standardContextual"/>
        </w:rPr>
      </w:pPr>
      <w:r w:rsidRPr="00001F32">
        <w:rPr>
          <w:rFonts w:cs="Times New Roman"/>
          <w:lang w:val="pl"/>
        </w:rPr>
        <w:t>Badanie poziomu 4 jest proporcjonalnym działaniem potwierdzającym na przestrzeni cyklu życia i nie jest przeprowadzane z powodu zidentyfikowanych braków w bazie dowodów klinicznych. Dodatkowe działania PMCF mogą zostać podjęte, jeśli nowe informacje lub pojawiające się trendy będą wskazywać na potencjalną zmianę w bezpieczeństwie lub działaniu urządzenia.</w:t>
      </w:r>
    </w:p>
    <w:p w14:paraId="54905783" w14:textId="77777777" w:rsidR="00D82761" w:rsidRPr="00001F32" w:rsidRDefault="00D82761" w:rsidP="00D82761">
      <w:pPr>
        <w:spacing w:after="0" w:afterAutospacing="0" w:line="240" w:lineRule="auto"/>
        <w:rPr>
          <w:rFonts w:cs="Times New Roman"/>
          <w:iCs/>
          <w:lang w:val="pl-PL"/>
        </w:rPr>
      </w:pPr>
      <w:r w:rsidRPr="00001F32">
        <w:rPr>
          <w:rFonts w:cs="Times New Roman"/>
          <w:lang w:val="pl"/>
        </w:rPr>
        <w:t>W miarę dostępności analizowane są także informacje z rejestrów, badań wieloośrodkowych i analiz retrospektywnych, aby zapewnić dodatkowy kontekst dotyczący działania urządzeń i wyników klinicznych w rutynowej praktyce klinicznej.</w:t>
      </w:r>
    </w:p>
    <w:p w14:paraId="0773D963" w14:textId="77777777" w:rsidR="007A6CEE" w:rsidRPr="00001F32" w:rsidRDefault="007A6CEE" w:rsidP="007A6CEE">
      <w:pPr>
        <w:spacing w:after="0" w:afterAutospacing="0" w:line="240" w:lineRule="auto"/>
        <w:rPr>
          <w:rFonts w:cs="Times New Roman"/>
          <w:i/>
          <w:lang w:val="pl-PL"/>
        </w:rPr>
      </w:pPr>
    </w:p>
    <w:p w14:paraId="144FF4A9" w14:textId="45974B7D" w:rsidR="00B20361" w:rsidRPr="00001F32" w:rsidRDefault="00760400" w:rsidP="00001F32">
      <w:pPr>
        <w:pStyle w:val="Heading1"/>
        <w:numPr>
          <w:ilvl w:val="0"/>
          <w:numId w:val="2"/>
        </w:numPr>
        <w:rPr>
          <w:rFonts w:eastAsia="Times New Roman" w:cs="Times New Roman"/>
          <w:szCs w:val="24"/>
          <w:lang w:val="pl-PL"/>
        </w:rPr>
      </w:pPr>
      <w:bookmarkStart w:id="29" w:name="_Toc240532212"/>
      <w:r w:rsidRPr="00001F32">
        <w:rPr>
          <w:rFonts w:cs="Times New Roman"/>
          <w:bCs/>
          <w:color w:val="auto"/>
          <w:lang w:val="pl"/>
        </w:rPr>
        <w:t>Możliwe alternatywy diagnostyczne lub terapeutyczne</w:t>
      </w:r>
      <w:bookmarkEnd w:id="29"/>
      <w:r w:rsidRPr="00001F32">
        <w:rPr>
          <w:rFonts w:cs="Times New Roman"/>
          <w:bCs/>
          <w:color w:val="auto"/>
          <w:lang w:val="pl"/>
        </w:rPr>
        <w:t xml:space="preserve"> </w:t>
      </w:r>
    </w:p>
    <w:p w14:paraId="4789D360" w14:textId="16C99189" w:rsidR="00750F90" w:rsidRPr="00001F32" w:rsidRDefault="00750F90" w:rsidP="00750F90">
      <w:pPr>
        <w:spacing w:after="0" w:afterAutospacing="0" w:line="240" w:lineRule="auto"/>
        <w:rPr>
          <w:rFonts w:eastAsia="Times New Roman" w:cs="Times New Roman"/>
          <w:szCs w:val="24"/>
          <w:lang w:val="pl-PL"/>
        </w:rPr>
      </w:pPr>
      <w:r w:rsidRPr="00001F32">
        <w:rPr>
          <w:rFonts w:eastAsia="Times New Roman" w:cs="Times New Roman"/>
          <w:szCs w:val="24"/>
          <w:lang w:val="pl"/>
        </w:rPr>
        <w:t>W celu zapobiegania i leczenia żylnej choroby zakrzepowo-zatorowej dostępne są różne opcje diagnostyczne i terapeutyczne, zależne od stanu klinicznego pacjenta. Farmakologiczne leczenie przeciwzakrzepowe pozostaje standardową terapią pierwszego rzutu, ale u niektórych pacjentów może być przeciwwskazane.</w:t>
      </w:r>
    </w:p>
    <w:p w14:paraId="0D7ED6C1" w14:textId="77777777" w:rsidR="00750F90" w:rsidRPr="00001F32" w:rsidRDefault="00750F90" w:rsidP="00750F90">
      <w:pPr>
        <w:spacing w:after="0" w:afterAutospacing="0" w:line="240" w:lineRule="auto"/>
        <w:rPr>
          <w:rFonts w:eastAsia="Times New Roman" w:cs="Times New Roman"/>
          <w:szCs w:val="24"/>
          <w:lang w:val="pl-PL"/>
        </w:rPr>
      </w:pPr>
    </w:p>
    <w:p w14:paraId="56016B86" w14:textId="77777777" w:rsidR="00750F90" w:rsidRPr="00001F32" w:rsidRDefault="00750F90" w:rsidP="00750F90">
      <w:pPr>
        <w:spacing w:after="0" w:afterAutospacing="0" w:line="240" w:lineRule="auto"/>
        <w:rPr>
          <w:rFonts w:eastAsia="Times New Roman" w:cs="Times New Roman"/>
          <w:szCs w:val="24"/>
          <w:lang w:val="pl-PL"/>
        </w:rPr>
      </w:pPr>
      <w:r w:rsidRPr="00001F32">
        <w:rPr>
          <w:rFonts w:eastAsia="Times New Roman" w:cs="Times New Roman"/>
          <w:szCs w:val="24"/>
          <w:lang w:val="pl"/>
        </w:rPr>
        <w:t>W wybranych przypadkach można rozważyć alternatywne metody leczenia, takie jak tromboliza lub trombektomia chirurgiczna lub mechaniczna, zwłaszcza w sytuacjach ciężkich lub zagrażających życiu. Dostępne są również inne filtry żyły głównej dolnej, które mogą różnić się konstrukcją i cechami zastosowania klinicznego.</w:t>
      </w:r>
    </w:p>
    <w:p w14:paraId="0F86E37A" w14:textId="77777777" w:rsidR="00750F90" w:rsidRPr="00001F32" w:rsidRDefault="00750F90" w:rsidP="00750F90">
      <w:pPr>
        <w:spacing w:after="0" w:afterAutospacing="0" w:line="240" w:lineRule="auto"/>
        <w:rPr>
          <w:rFonts w:eastAsia="Times New Roman" w:cs="Times New Roman"/>
          <w:szCs w:val="24"/>
          <w:lang w:val="pl-PL"/>
        </w:rPr>
      </w:pPr>
    </w:p>
    <w:p w14:paraId="6384DA35" w14:textId="77777777" w:rsidR="00FA4FD4" w:rsidRPr="00001F32" w:rsidRDefault="00FA4FD4">
      <w:pPr>
        <w:spacing w:after="0" w:afterAutospacing="0"/>
        <w:rPr>
          <w:rFonts w:cs="Times New Roman"/>
          <w:kern w:val="2"/>
          <w:szCs w:val="24"/>
          <w:lang w:val="pl-PL"/>
          <w14:ligatures w14:val="standardContextual"/>
        </w:rPr>
      </w:pPr>
      <w:r w:rsidRPr="00001F32">
        <w:rPr>
          <w:rFonts w:cs="Times New Roman"/>
          <w:lang w:val="pl"/>
        </w:rPr>
        <w:t>Filtry żyły głównej dolnej, w tym wyrób Option ELITE, stosuje się u wybranych pacjentów, gdy leczenie przeciwzakrzepowe jest przeciwwskazane, nie powiodło się lub musi zostać przerwane. Wybór i zastosowanie urządzenia opierają się na indywidualnej ocenie pacjenta i ocenie klinicznej.</w:t>
      </w:r>
    </w:p>
    <w:p w14:paraId="35F32433" w14:textId="77777777" w:rsidR="00B12DFD" w:rsidRPr="00001F32" w:rsidRDefault="00B12DFD" w:rsidP="00AE01B4">
      <w:pPr>
        <w:spacing w:after="0" w:afterAutospacing="0" w:line="240" w:lineRule="auto"/>
        <w:rPr>
          <w:rFonts w:cs="Times New Roman"/>
          <w:i/>
          <w:lang w:val="pl-PL"/>
        </w:rPr>
      </w:pPr>
    </w:p>
    <w:p w14:paraId="2CDE6FBF" w14:textId="77777777" w:rsidR="00042B91" w:rsidRPr="00001F32" w:rsidRDefault="00042B91" w:rsidP="00170FE5">
      <w:pPr>
        <w:pStyle w:val="Heading1"/>
        <w:numPr>
          <w:ilvl w:val="0"/>
          <w:numId w:val="2"/>
        </w:numPr>
        <w:rPr>
          <w:rFonts w:cs="Times New Roman"/>
          <w:color w:val="auto"/>
          <w:lang w:val="pl-PL"/>
        </w:rPr>
      </w:pPr>
      <w:bookmarkStart w:id="30" w:name="_Toc240532213"/>
      <w:r w:rsidRPr="00001F32">
        <w:rPr>
          <w:rFonts w:cs="Times New Roman"/>
          <w:bCs/>
          <w:color w:val="auto"/>
          <w:lang w:val="pl"/>
        </w:rPr>
        <w:t>Sugerowany profil i szkolenie dla użytkowników</w:t>
      </w:r>
      <w:bookmarkEnd w:id="30"/>
    </w:p>
    <w:p w14:paraId="388557AB" w14:textId="7D2C3667" w:rsidR="004A3F32" w:rsidRPr="00001F32" w:rsidRDefault="00142E9D" w:rsidP="00142E9D">
      <w:pPr>
        <w:spacing w:after="0" w:afterAutospacing="0" w:line="240" w:lineRule="auto"/>
        <w:rPr>
          <w:rFonts w:cs="Times New Roman"/>
          <w:iCs/>
          <w:lang w:val="pl-PL"/>
        </w:rPr>
      </w:pPr>
      <w:r w:rsidRPr="00001F32">
        <w:rPr>
          <w:rFonts w:cs="Times New Roman"/>
          <w:lang w:val="pl"/>
        </w:rPr>
        <w:t xml:space="preserve">System usuwalnego filtra żyły głównej dolnej Option ELITE powinni stosować wyłącznie lekarze przeszkoleni w diagnostycznych i przezskórnych technikach interwencyjnych, takich jak wprowadzanie filtrów do żyły głównej. </w:t>
      </w:r>
    </w:p>
    <w:p w14:paraId="55F75040" w14:textId="77777777" w:rsidR="00755A10" w:rsidRPr="00001F32" w:rsidRDefault="00755A10" w:rsidP="00042B91">
      <w:pPr>
        <w:spacing w:after="0" w:afterAutospacing="0" w:line="240" w:lineRule="auto"/>
        <w:rPr>
          <w:rFonts w:cs="Times New Roman"/>
          <w:i/>
          <w:lang w:val="pl-PL"/>
        </w:rPr>
      </w:pPr>
    </w:p>
    <w:p w14:paraId="5925C566" w14:textId="5837D320" w:rsidR="005E1822" w:rsidRPr="00001F32" w:rsidRDefault="00760400" w:rsidP="00001F32">
      <w:pPr>
        <w:pStyle w:val="Heading1"/>
        <w:numPr>
          <w:ilvl w:val="0"/>
          <w:numId w:val="2"/>
        </w:numPr>
        <w:rPr>
          <w:rFonts w:cs="Times New Roman"/>
          <w:iCs/>
        </w:rPr>
      </w:pPr>
      <w:bookmarkStart w:id="31" w:name="_Toc240532214"/>
      <w:r w:rsidRPr="00001F32">
        <w:rPr>
          <w:rFonts w:cs="Times New Roman"/>
          <w:bCs/>
          <w:color w:val="auto"/>
          <w:lang w:val="pl"/>
        </w:rPr>
        <w:t>Zharmonizowane normy / wspólne specyfikacje</w:t>
      </w:r>
      <w:bookmarkEnd w:id="31"/>
    </w:p>
    <w:p w14:paraId="485092C8" w14:textId="77777777" w:rsidR="00E938EC" w:rsidRPr="00001F32" w:rsidRDefault="00E938EC">
      <w:pPr>
        <w:spacing w:after="0" w:afterAutospacing="0"/>
        <w:rPr>
          <w:rFonts w:cs="Times New Roman"/>
          <w:kern w:val="2"/>
          <w:szCs w:val="24"/>
          <w:lang w:val="pl-PL"/>
          <w14:ligatures w14:val="standardContextual"/>
        </w:rPr>
      </w:pPr>
      <w:r w:rsidRPr="00001F32">
        <w:rPr>
          <w:rFonts w:cs="Times New Roman"/>
          <w:lang w:val="pl"/>
        </w:rPr>
        <w:t>Poniżej wymieniono dokumenty obejmujące stosowne zharmonizowane normy, inne stosowane normy oraz wytyczne służące zapewnieniu zgodności z odpowiednimi wymogami MDR. Nie wszystkie wymienione dokumenty są normami zharmonizowanymi lub wspólnymi specyfikacjami. Nie zidentyfikowano żadnych wspólnych specyfikacji mających zastosowanie na mocy Rozporządzenia (UE) 2017/745 dla tego urządzenia. W przypadku gdy służą one wsparciu oceny klinicznej, monitorowania klinicznego po wprowadzeniu produktu na rynek, nadzoru po wprowadzeniu produktu na rynek i nadzoru nad bezpieczeństwem, uwzględniono starsze wytyczne MEDDEV i stosowne wytyczne MDCG.</w:t>
      </w:r>
    </w:p>
    <w:p w14:paraId="4E5CFB3D" w14:textId="77777777" w:rsidR="00E11BBB" w:rsidRPr="00001F32" w:rsidRDefault="00E11BBB" w:rsidP="00042B91">
      <w:pPr>
        <w:spacing w:after="0" w:afterAutospacing="0" w:line="240" w:lineRule="auto"/>
        <w:rPr>
          <w:rFonts w:cs="Times New Roman"/>
          <w:iCs/>
          <w:lang w:val="pl-PL"/>
        </w:rPr>
      </w:pPr>
    </w:p>
    <w:tbl>
      <w:tblPr>
        <w:tblW w:w="5000" w:type="pct"/>
        <w:tblCellMar>
          <w:left w:w="0" w:type="dxa"/>
          <w:right w:w="0" w:type="dxa"/>
        </w:tblCellMar>
        <w:tblLook w:val="04A0" w:firstRow="1" w:lastRow="0" w:firstColumn="1" w:lastColumn="0" w:noHBand="0" w:noVBand="1"/>
      </w:tblPr>
      <w:tblGrid>
        <w:gridCol w:w="2059"/>
        <w:gridCol w:w="2722"/>
        <w:gridCol w:w="5639"/>
      </w:tblGrid>
      <w:tr w:rsidR="00E56145" w:rsidRPr="00001F32" w14:paraId="2C0DE425" w14:textId="77777777" w:rsidTr="00D832B0">
        <w:trPr>
          <w:tblHeader/>
        </w:trPr>
        <w:tc>
          <w:tcPr>
            <w:tcW w:w="988"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001F32" w:rsidRDefault="00E56145">
            <w:pPr>
              <w:spacing w:after="0" w:afterAutospacing="0"/>
              <w:jc w:val="center"/>
              <w:rPr>
                <w:rFonts w:cs="Times New Roman"/>
                <w:kern w:val="2"/>
                <w:szCs w:val="24"/>
                <w14:ligatures w14:val="standardContextual"/>
              </w:rPr>
            </w:pPr>
            <w:r w:rsidRPr="00001F32">
              <w:rPr>
                <w:rFonts w:cs="Times New Roman"/>
                <w:b/>
                <w:bCs/>
                <w:sz w:val="20"/>
                <w:szCs w:val="20"/>
                <w:lang w:val="pl"/>
              </w:rPr>
              <w:t>Kategoria</w:t>
            </w:r>
          </w:p>
        </w:tc>
        <w:tc>
          <w:tcPr>
            <w:tcW w:w="13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77777777" w:rsidR="00E56145" w:rsidRPr="00001F32" w:rsidRDefault="00E56145">
            <w:pPr>
              <w:spacing w:after="0" w:afterAutospacing="0"/>
              <w:jc w:val="center"/>
              <w:rPr>
                <w:rFonts w:cs="Times New Roman"/>
              </w:rPr>
            </w:pPr>
            <w:r w:rsidRPr="00001F32">
              <w:rPr>
                <w:rFonts w:cs="Times New Roman"/>
                <w:b/>
                <w:bCs/>
                <w:sz w:val="20"/>
                <w:szCs w:val="20"/>
                <w:lang w:val="pl"/>
              </w:rPr>
              <w:t>Norma / Wytyczne</w:t>
            </w:r>
          </w:p>
        </w:tc>
        <w:tc>
          <w:tcPr>
            <w:tcW w:w="27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001F32" w:rsidRDefault="00E56145">
            <w:pPr>
              <w:spacing w:after="0" w:afterAutospacing="0"/>
              <w:jc w:val="center"/>
              <w:rPr>
                <w:rFonts w:cs="Times New Roman"/>
              </w:rPr>
            </w:pPr>
            <w:r w:rsidRPr="00001F32">
              <w:rPr>
                <w:rFonts w:cs="Times New Roman"/>
                <w:b/>
                <w:bCs/>
                <w:sz w:val="20"/>
                <w:szCs w:val="20"/>
                <w:lang w:val="pl"/>
              </w:rPr>
              <w:t>Zakres i zastosowanie</w:t>
            </w:r>
          </w:p>
        </w:tc>
      </w:tr>
      <w:tr w:rsidR="00E56145" w:rsidRPr="00001F32" w14:paraId="65556F00"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E56145" w:rsidRPr="00001F32" w:rsidRDefault="00E56145">
            <w:pPr>
              <w:spacing w:after="0" w:afterAutospacing="0"/>
              <w:rPr>
                <w:rFonts w:cs="Times New Roman"/>
              </w:rPr>
            </w:pPr>
            <w:r w:rsidRPr="00001F32">
              <w:rPr>
                <w:rFonts w:cs="Times New Roman"/>
                <w:b/>
                <w:bCs/>
                <w:sz w:val="20"/>
                <w:szCs w:val="20"/>
                <w:lang w:val="pl"/>
              </w:rPr>
              <w:t>Oznakowanie i dostarczone informacje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77777777" w:rsidR="00E56145" w:rsidRPr="00001F32" w:rsidRDefault="00E56145">
            <w:pPr>
              <w:spacing w:after="0" w:afterAutospacing="0"/>
              <w:rPr>
                <w:rFonts w:cs="Times New Roman"/>
              </w:rPr>
            </w:pPr>
            <w:r w:rsidRPr="00001F32">
              <w:rPr>
                <w:rFonts w:cs="Times New Roman"/>
                <w:sz w:val="20"/>
                <w:szCs w:val="20"/>
                <w:lang w:val="pl"/>
              </w:rPr>
              <w:t>EN ISO 15223-1:2021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E56145" w:rsidRPr="00001F32" w:rsidRDefault="00E56145">
            <w:pPr>
              <w:spacing w:after="0" w:afterAutospacing="0"/>
              <w:rPr>
                <w:rFonts w:cs="Times New Roman"/>
                <w:lang w:val="pl-PL"/>
              </w:rPr>
            </w:pPr>
            <w:r w:rsidRPr="00001F32">
              <w:rPr>
                <w:rFonts w:cs="Times New Roman"/>
                <w:sz w:val="20"/>
                <w:szCs w:val="20"/>
                <w:lang w:val="pl"/>
              </w:rPr>
              <w:t>Określa symbole stosowane na etykietach wyrobów medycznych, mające na celu zapewnienie jasnego i spójnego przekazywania informacji dotyczących bezpieczeństwa i zgodności z wymogami.</w:t>
            </w:r>
          </w:p>
        </w:tc>
      </w:tr>
      <w:tr w:rsidR="00E56145" w:rsidRPr="00001F32" w14:paraId="4D4AD7E4"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E56145" w:rsidRPr="00001F32" w:rsidRDefault="00E56145">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77777777" w:rsidR="00E56145" w:rsidRPr="00001F32" w:rsidRDefault="00E56145">
            <w:pPr>
              <w:spacing w:after="0" w:afterAutospacing="0"/>
              <w:rPr>
                <w:rFonts w:cs="Times New Roman"/>
              </w:rPr>
            </w:pPr>
            <w:r w:rsidRPr="00001F32">
              <w:rPr>
                <w:rFonts w:cs="Times New Roman"/>
                <w:sz w:val="20"/>
                <w:szCs w:val="20"/>
                <w:lang w:val="pl"/>
              </w:rPr>
              <w:t>EN ISO 20417:2021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E56145" w:rsidRPr="00001F32" w:rsidRDefault="00E56145">
            <w:pPr>
              <w:spacing w:after="0" w:afterAutospacing="0"/>
              <w:rPr>
                <w:rFonts w:cs="Times New Roman"/>
                <w:lang w:val="pl-PL"/>
              </w:rPr>
            </w:pPr>
            <w:r w:rsidRPr="00001F32">
              <w:rPr>
                <w:rFonts w:cs="Times New Roman"/>
                <w:sz w:val="20"/>
                <w:szCs w:val="20"/>
                <w:lang w:val="pl"/>
              </w:rPr>
              <w:t>Określa wymagania dotyczące informacji dostarczanych przez producenta w celu zapewnienia bezpiecznego i skutecznego użytkowania urządzenia przez cały okres jego eksploatacji.</w:t>
            </w:r>
          </w:p>
        </w:tc>
      </w:tr>
      <w:tr w:rsidR="00E56145" w:rsidRPr="00001F32" w14:paraId="7C00705A"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E56145" w:rsidRPr="00001F32" w:rsidRDefault="00E56145">
            <w:pPr>
              <w:spacing w:after="0" w:afterAutospacing="0"/>
              <w:rPr>
                <w:rFonts w:cs="Times New Roman"/>
              </w:rPr>
            </w:pPr>
            <w:r w:rsidRPr="00001F32">
              <w:rPr>
                <w:rFonts w:cs="Times New Roman"/>
                <w:b/>
                <w:bCs/>
                <w:sz w:val="20"/>
                <w:szCs w:val="20"/>
                <w:lang w:val="pl"/>
              </w:rPr>
              <w:t>Sterylizacja i bezpieczeństwo mikrobiologiczne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7777777" w:rsidR="00E56145" w:rsidRPr="00001F32" w:rsidRDefault="00E56145">
            <w:pPr>
              <w:spacing w:after="0" w:afterAutospacing="0"/>
              <w:rPr>
                <w:rFonts w:cs="Times New Roman"/>
              </w:rPr>
            </w:pPr>
            <w:r w:rsidRPr="00001F32">
              <w:rPr>
                <w:rFonts w:cs="Times New Roman"/>
                <w:sz w:val="20"/>
                <w:szCs w:val="20"/>
                <w:lang w:val="pl"/>
              </w:rPr>
              <w:t>EN 556-1:2024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E56145" w:rsidRPr="00001F32" w:rsidRDefault="00E56145">
            <w:pPr>
              <w:spacing w:after="0" w:afterAutospacing="0"/>
              <w:rPr>
                <w:rFonts w:cs="Times New Roman"/>
                <w:lang w:val="pl-PL"/>
              </w:rPr>
            </w:pPr>
            <w:r w:rsidRPr="00001F32">
              <w:rPr>
                <w:rFonts w:cs="Times New Roman"/>
                <w:sz w:val="20"/>
                <w:szCs w:val="20"/>
                <w:lang w:val="pl"/>
              </w:rPr>
              <w:t>Ustala wymagania dotyczące urządzeń oznaczonych jako sterylne i wspiera weryfikację końcowej sterylizacji.</w:t>
            </w:r>
          </w:p>
        </w:tc>
      </w:tr>
      <w:tr w:rsidR="005F7AEC" w:rsidRPr="00001F32" w14:paraId="39AB47CA" w14:textId="77777777" w:rsidTr="003D68CE">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7E327A7"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77777777" w:rsidR="005F7AEC" w:rsidRPr="00001F32" w:rsidRDefault="005F7AEC">
            <w:pPr>
              <w:spacing w:after="0" w:afterAutospacing="0"/>
              <w:rPr>
                <w:rFonts w:cs="Times New Roman"/>
              </w:rPr>
            </w:pPr>
            <w:r w:rsidRPr="00001F32">
              <w:rPr>
                <w:rFonts w:cs="Times New Roman"/>
                <w:sz w:val="20"/>
                <w:szCs w:val="20"/>
                <w:lang w:val="pl"/>
              </w:rPr>
              <w:t>EN ISO 11135:2014+A1:2019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5F7AEC" w:rsidRPr="00001F32" w:rsidRDefault="005F7AEC">
            <w:pPr>
              <w:spacing w:after="0" w:afterAutospacing="0"/>
              <w:rPr>
                <w:rFonts w:cs="Times New Roman"/>
                <w:lang w:val="pl-PL"/>
              </w:rPr>
            </w:pPr>
            <w:r w:rsidRPr="00001F32">
              <w:rPr>
                <w:rFonts w:cs="Times New Roman"/>
                <w:sz w:val="20"/>
                <w:szCs w:val="20"/>
                <w:lang w:val="pl"/>
              </w:rPr>
              <w:t>Określa wymagania dotyczące walidacji i rutynowej kontroli procesów sterylizacji tlenkiem etylenu.</w:t>
            </w:r>
          </w:p>
        </w:tc>
      </w:tr>
      <w:tr w:rsidR="005F7AEC" w:rsidRPr="00001F32" w14:paraId="483C2DAE"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AEDECD7"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77777777" w:rsidR="005F7AEC" w:rsidRPr="00001F32" w:rsidRDefault="005F7AEC">
            <w:pPr>
              <w:spacing w:after="0" w:afterAutospacing="0"/>
              <w:rPr>
                <w:rFonts w:cs="Times New Roman"/>
              </w:rPr>
            </w:pPr>
            <w:r w:rsidRPr="00001F32">
              <w:rPr>
                <w:rFonts w:cs="Times New Roman"/>
                <w:sz w:val="20"/>
                <w:szCs w:val="20"/>
                <w:lang w:val="pl"/>
              </w:rPr>
              <w:t>EN ISO 11737-1:2018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5F7AEC" w:rsidRPr="00001F32" w:rsidRDefault="005F7AEC">
            <w:pPr>
              <w:spacing w:after="0" w:afterAutospacing="0"/>
              <w:rPr>
                <w:rFonts w:cs="Times New Roman"/>
                <w:lang w:val="pl-PL"/>
              </w:rPr>
            </w:pPr>
            <w:r w:rsidRPr="00001F32">
              <w:rPr>
                <w:rFonts w:cs="Times New Roman"/>
                <w:sz w:val="20"/>
                <w:szCs w:val="20"/>
                <w:lang w:val="pl"/>
              </w:rPr>
              <w:t>Opisuje metody określania populacji drobnoustrojów na wyrobach medycznych przed sterylizacją.</w:t>
            </w:r>
          </w:p>
        </w:tc>
      </w:tr>
      <w:tr w:rsidR="005F7AEC" w:rsidRPr="00001F32" w14:paraId="23C6E260"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47B1520A"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77777777" w:rsidR="005F7AEC" w:rsidRPr="00001F32" w:rsidRDefault="005F7AEC">
            <w:pPr>
              <w:spacing w:after="0" w:afterAutospacing="0"/>
              <w:rPr>
                <w:rFonts w:cs="Times New Roman"/>
              </w:rPr>
            </w:pPr>
            <w:r w:rsidRPr="00001F32">
              <w:rPr>
                <w:rFonts w:cs="Times New Roman"/>
                <w:sz w:val="20"/>
                <w:szCs w:val="20"/>
                <w:lang w:val="pl"/>
              </w:rPr>
              <w:t>EN ISO 10993-7:2022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5F7AEC" w:rsidRPr="00001F32" w:rsidRDefault="005F7AEC">
            <w:pPr>
              <w:spacing w:after="0" w:afterAutospacing="0"/>
              <w:rPr>
                <w:rFonts w:cs="Times New Roman"/>
                <w:lang w:val="pl-PL"/>
              </w:rPr>
            </w:pPr>
            <w:r w:rsidRPr="00001F32">
              <w:rPr>
                <w:rFonts w:cs="Times New Roman"/>
                <w:sz w:val="20"/>
                <w:szCs w:val="20"/>
                <w:lang w:val="pl"/>
              </w:rPr>
              <w:t>Zawiera wskazówki dotyczące dopuszczalnych limitów i oceny pozostałości po sterylizacji tlenkiem etylenu.</w:t>
            </w:r>
          </w:p>
        </w:tc>
      </w:tr>
      <w:tr w:rsidR="005F7AEC" w:rsidRPr="00001F32" w14:paraId="7F522ABD"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FE7354C"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7777777" w:rsidR="005F7AEC" w:rsidRPr="00001F32" w:rsidRDefault="005F7AEC">
            <w:pPr>
              <w:spacing w:after="0" w:afterAutospacing="0"/>
              <w:rPr>
                <w:rFonts w:cs="Times New Roman"/>
              </w:rPr>
            </w:pPr>
            <w:r w:rsidRPr="00001F32">
              <w:rPr>
                <w:rFonts w:cs="Times New Roman"/>
                <w:sz w:val="20"/>
                <w:szCs w:val="20"/>
                <w:lang w:val="pl"/>
              </w:rPr>
              <w:t>AAMI ST72:2019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5F7AEC" w:rsidRPr="00001F32" w:rsidRDefault="005F7AEC">
            <w:pPr>
              <w:spacing w:after="0" w:afterAutospacing="0"/>
              <w:rPr>
                <w:rFonts w:cs="Times New Roman"/>
                <w:lang w:val="pl-PL"/>
              </w:rPr>
            </w:pPr>
            <w:r w:rsidRPr="00001F32">
              <w:rPr>
                <w:rFonts w:cs="Times New Roman"/>
                <w:sz w:val="20"/>
                <w:szCs w:val="20"/>
                <w:lang w:val="pl"/>
              </w:rPr>
              <w:t>Inne stosowane normy dotyczą badania endotoksyn bakteryjnych w celu zapewnienia bezpieczeństwa pirogenów dla odpowiednich urządzeń.</w:t>
            </w:r>
          </w:p>
        </w:tc>
      </w:tr>
      <w:tr w:rsidR="005F7AEC" w:rsidRPr="00001F32" w14:paraId="2F23E99B"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E3E8488"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77777777" w:rsidR="005F7AEC" w:rsidRPr="00001F32" w:rsidRDefault="005F7AEC">
            <w:pPr>
              <w:spacing w:after="0" w:afterAutospacing="0"/>
              <w:rPr>
                <w:rFonts w:cs="Times New Roman"/>
              </w:rPr>
            </w:pPr>
            <w:r w:rsidRPr="00001F32">
              <w:rPr>
                <w:rFonts w:cs="Times New Roman"/>
                <w:sz w:val="20"/>
                <w:szCs w:val="20"/>
                <w:lang w:val="pl"/>
              </w:rPr>
              <w:t>ISO 14644-1:2015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5F7AEC" w:rsidRPr="00001F32" w:rsidRDefault="005F7AEC">
            <w:pPr>
              <w:spacing w:after="0" w:afterAutospacing="0"/>
              <w:rPr>
                <w:rFonts w:cs="Times New Roman"/>
                <w:lang w:val="pl-PL"/>
              </w:rPr>
            </w:pPr>
            <w:r w:rsidRPr="00001F32">
              <w:rPr>
                <w:rFonts w:cs="Times New Roman"/>
                <w:sz w:val="20"/>
                <w:szCs w:val="20"/>
                <w:lang w:val="pl"/>
              </w:rPr>
              <w:t>Określa klasyfikację pomieszczeń czystych i środowisk kontrolowanych według stężenia cząstek, tam gdzie ma to zastosowanie w kontroli produkcji.</w:t>
            </w:r>
          </w:p>
        </w:tc>
      </w:tr>
      <w:tr w:rsidR="005F7AEC" w:rsidRPr="00001F32" w14:paraId="383E1574" w14:textId="77777777" w:rsidTr="003D68CE">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FC5ABE3"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77777777" w:rsidR="005F7AEC" w:rsidRPr="00001F32" w:rsidRDefault="005F7AEC">
            <w:pPr>
              <w:spacing w:after="0" w:afterAutospacing="0"/>
              <w:rPr>
                <w:rFonts w:cs="Times New Roman"/>
              </w:rPr>
            </w:pPr>
            <w:r w:rsidRPr="00001F32">
              <w:rPr>
                <w:rFonts w:cs="Times New Roman"/>
                <w:sz w:val="20"/>
                <w:szCs w:val="20"/>
                <w:lang w:val="pl"/>
              </w:rPr>
              <w:t>ISO 14644-2:2015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5F7AEC" w:rsidRPr="00001F32" w:rsidRDefault="005F7AEC">
            <w:pPr>
              <w:spacing w:after="0" w:afterAutospacing="0"/>
              <w:rPr>
                <w:rFonts w:cs="Times New Roman"/>
                <w:lang w:val="pl-PL"/>
              </w:rPr>
            </w:pPr>
            <w:r w:rsidRPr="00001F32">
              <w:rPr>
                <w:rFonts w:cs="Times New Roman"/>
                <w:sz w:val="20"/>
                <w:szCs w:val="20"/>
                <w:lang w:val="pl"/>
              </w:rPr>
              <w:t>Określa wymagania dotyczące monitorowania działania pomieszczeń czystych, w przypadku gdy ma to zastosowanie w kontrolowanych środowiskach produkcyjnych.</w:t>
            </w:r>
          </w:p>
        </w:tc>
      </w:tr>
      <w:tr w:rsidR="005F7AEC" w:rsidRPr="00001F32" w14:paraId="6C748822" w14:textId="77777777" w:rsidTr="00CC2E6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0C9D869" w14:textId="77777777" w:rsidR="005F7AEC" w:rsidRPr="00001F32" w:rsidRDefault="005F7AEC">
            <w:pPr>
              <w:spacing w:after="0" w:afterAutospacing="0"/>
              <w:rPr>
                <w:rFonts w:cs="Times New Roman"/>
                <w:lang w:val="pl-PL"/>
              </w:rPr>
            </w:pPr>
            <w:r w:rsidRPr="00001F32">
              <w:rPr>
                <w:rFonts w:cs="Times New Roman"/>
                <w:b/>
                <w:bCs/>
                <w:sz w:val="20"/>
                <w:szCs w:val="20"/>
                <w:lang w:val="pl"/>
              </w:rPr>
              <w:t>Zarządzanie jakością i zarządzanie ryzykiem</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77777777" w:rsidR="005F7AEC" w:rsidRPr="00001F32" w:rsidRDefault="005F7AEC">
            <w:pPr>
              <w:spacing w:after="0" w:afterAutospacing="0"/>
              <w:rPr>
                <w:rFonts w:cs="Times New Roman"/>
              </w:rPr>
            </w:pPr>
            <w:r w:rsidRPr="00001F32">
              <w:rPr>
                <w:rFonts w:cs="Times New Roman"/>
                <w:sz w:val="20"/>
                <w:szCs w:val="20"/>
                <w:lang w:val="pl"/>
              </w:rPr>
              <w:t>EN ISO 13485:2016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5F7AEC" w:rsidRPr="00001F32" w:rsidRDefault="005F7AEC">
            <w:pPr>
              <w:spacing w:after="0" w:afterAutospacing="0"/>
              <w:rPr>
                <w:rFonts w:cs="Times New Roman"/>
                <w:lang w:val="pl-PL"/>
              </w:rPr>
            </w:pPr>
            <w:r w:rsidRPr="00001F32">
              <w:rPr>
                <w:rFonts w:cs="Times New Roman"/>
                <w:sz w:val="20"/>
                <w:szCs w:val="20"/>
                <w:lang w:val="pl"/>
              </w:rPr>
              <w:t>Określa wymagania dotyczące systemu zarządzania jakością mającego zastosowanie w projektowaniu, produkcji i działaniach po wprowadzeniu wyrobu medycznego na rynek.</w:t>
            </w:r>
          </w:p>
        </w:tc>
      </w:tr>
      <w:tr w:rsidR="005F7AEC" w:rsidRPr="00001F32" w14:paraId="20016278" w14:textId="77777777" w:rsidTr="00CC2E6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D97631B"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77777777" w:rsidR="005F7AEC" w:rsidRPr="00001F32" w:rsidRDefault="005F7AEC">
            <w:pPr>
              <w:spacing w:after="0" w:afterAutospacing="0"/>
              <w:rPr>
                <w:rFonts w:cs="Times New Roman"/>
              </w:rPr>
            </w:pPr>
            <w:r w:rsidRPr="00001F32">
              <w:rPr>
                <w:rFonts w:cs="Times New Roman"/>
                <w:sz w:val="20"/>
                <w:szCs w:val="20"/>
                <w:lang w:val="pl"/>
              </w:rPr>
              <w:t>EN ISO 14971:2019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5F7AEC" w:rsidRPr="00001F32" w:rsidRDefault="005F7AEC">
            <w:pPr>
              <w:spacing w:after="0" w:afterAutospacing="0"/>
              <w:rPr>
                <w:rFonts w:cs="Times New Roman"/>
                <w:lang w:val="pl-PL"/>
              </w:rPr>
            </w:pPr>
            <w:r w:rsidRPr="00001F32">
              <w:rPr>
                <w:rFonts w:cs="Times New Roman"/>
                <w:sz w:val="20"/>
                <w:szCs w:val="20"/>
                <w:lang w:val="pl"/>
              </w:rPr>
              <w:t>Ustanawia systematyczny proces identyfikowania, oceny, ograniczania i monitorowania ryzyka związanego z wyrobami medycznymi.</w:t>
            </w:r>
          </w:p>
        </w:tc>
      </w:tr>
      <w:tr w:rsidR="00E56145" w:rsidRPr="00001F32" w14:paraId="575F629B" w14:textId="77777777" w:rsidTr="00001F32">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E56145" w:rsidRPr="00001F32" w:rsidRDefault="00E56145">
            <w:pPr>
              <w:spacing w:after="0" w:afterAutospacing="0"/>
              <w:rPr>
                <w:rFonts w:cs="Times New Roman"/>
                <w:lang w:val="pl-PL"/>
              </w:rPr>
            </w:pPr>
            <w:r w:rsidRPr="00001F32">
              <w:rPr>
                <w:rFonts w:cs="Times New Roman"/>
                <w:b/>
                <w:bCs/>
                <w:sz w:val="20"/>
                <w:szCs w:val="20"/>
                <w:lang w:val="pl"/>
              </w:rPr>
              <w:t>Cewniki wewnątrznaczyniowe i implanty naczyniowe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77777777" w:rsidR="00E56145" w:rsidRPr="00001F32" w:rsidRDefault="00E56145">
            <w:pPr>
              <w:spacing w:after="0" w:afterAutospacing="0"/>
              <w:rPr>
                <w:rFonts w:cs="Times New Roman"/>
              </w:rPr>
            </w:pPr>
            <w:r w:rsidRPr="00001F32">
              <w:rPr>
                <w:rFonts w:cs="Times New Roman"/>
                <w:sz w:val="20"/>
                <w:szCs w:val="20"/>
                <w:lang w:val="pl"/>
              </w:rPr>
              <w:t>EN ISO 10555-1:2023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E56145" w:rsidRPr="00001F32" w:rsidRDefault="00E56145">
            <w:pPr>
              <w:spacing w:after="0" w:afterAutospacing="0"/>
              <w:rPr>
                <w:rFonts w:cs="Times New Roman"/>
                <w:lang w:val="pl-PL"/>
              </w:rPr>
            </w:pPr>
            <w:r w:rsidRPr="00001F32">
              <w:rPr>
                <w:rFonts w:cs="Times New Roman"/>
                <w:sz w:val="20"/>
                <w:szCs w:val="20"/>
                <w:lang w:val="pl"/>
              </w:rPr>
              <w:t>Określa ogólne wymagania dotyczące sterylnych, jednorazowych cewników wewnątrznaczyniowych, w przypadku gdy mają one zastosowanie do składników układu wprowadzania.</w:t>
            </w:r>
          </w:p>
        </w:tc>
      </w:tr>
      <w:tr w:rsidR="005F7AEC" w:rsidRPr="00001F32" w14:paraId="6B6B55E1" w14:textId="77777777" w:rsidTr="00001F32">
        <w:tc>
          <w:tcPr>
            <w:tcW w:w="988" w:type="pct"/>
            <w:vMerge w:val="restart"/>
            <w:tcBorders>
              <w:top w:val="single" w:sz="8" w:space="0" w:color="auto"/>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0156B6FE"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70AB4EDC" w:rsidR="005F7AEC" w:rsidRPr="00001F32" w:rsidRDefault="005F7AEC">
            <w:pPr>
              <w:spacing w:after="0" w:afterAutospacing="0"/>
              <w:rPr>
                <w:rFonts w:cs="Times New Roman"/>
              </w:rPr>
            </w:pPr>
            <w:r w:rsidRPr="00001F32">
              <w:rPr>
                <w:rFonts w:cs="Times New Roman"/>
                <w:sz w:val="20"/>
                <w:szCs w:val="20"/>
                <w:lang w:val="pl"/>
              </w:rPr>
              <w:t>EN ISO 11070:2014/Amd</w:t>
            </w:r>
            <w:r w:rsidR="00FC5A42" w:rsidRPr="00001F32">
              <w:rPr>
                <w:rFonts w:cs="Times New Roman"/>
                <w:sz w:val="20"/>
                <w:szCs w:val="20"/>
                <w:lang w:val="pl"/>
              </w:rPr>
              <w:t> </w:t>
            </w:r>
            <w:r w:rsidRPr="00001F32">
              <w:rPr>
                <w:rFonts w:cs="Times New Roman"/>
                <w:sz w:val="20"/>
                <w:szCs w:val="20"/>
                <w:lang w:val="pl"/>
              </w:rPr>
              <w:t>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5F7AEC" w:rsidRPr="00001F32" w:rsidRDefault="005F7AEC">
            <w:pPr>
              <w:spacing w:after="0" w:afterAutospacing="0"/>
              <w:rPr>
                <w:rFonts w:cs="Times New Roman"/>
                <w:lang w:val="pl-PL"/>
              </w:rPr>
            </w:pPr>
            <w:r w:rsidRPr="00001F32">
              <w:rPr>
                <w:rFonts w:cs="Times New Roman"/>
                <w:sz w:val="20"/>
                <w:szCs w:val="20"/>
                <w:lang w:val="pl"/>
              </w:rPr>
              <w:t>Określa wymagania dotyczące sterylnych jednorazowych introduktorów wewnątrznaczyniowych, rozszerzaczy i prowadników, w przypadku gdy mają one zastosowanie do elementów wprowadzających wyrobu.</w:t>
            </w:r>
          </w:p>
        </w:tc>
      </w:tr>
      <w:tr w:rsidR="005F7AEC" w:rsidRPr="00001F32" w14:paraId="7B664BA4" w14:textId="77777777" w:rsidTr="00001F32">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0FCA9738"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77777777" w:rsidR="005F7AEC" w:rsidRPr="00001F32" w:rsidRDefault="005F7AEC">
            <w:pPr>
              <w:spacing w:after="0" w:afterAutospacing="0"/>
              <w:rPr>
                <w:rFonts w:cs="Times New Roman"/>
              </w:rPr>
            </w:pPr>
            <w:r w:rsidRPr="00001F32">
              <w:rPr>
                <w:rFonts w:cs="Times New Roman"/>
                <w:sz w:val="20"/>
                <w:szCs w:val="20"/>
                <w:lang w:val="pl"/>
              </w:rPr>
              <w:t>EN ISO 25539-1:2017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5F7AEC" w:rsidRPr="00001F32" w:rsidRDefault="005F7AEC">
            <w:pPr>
              <w:spacing w:after="0" w:afterAutospacing="0"/>
              <w:rPr>
                <w:rFonts w:cs="Times New Roman"/>
                <w:lang w:val="pl-PL"/>
              </w:rPr>
            </w:pPr>
            <w:r w:rsidRPr="00001F32">
              <w:rPr>
                <w:rFonts w:cs="Times New Roman"/>
                <w:sz w:val="20"/>
                <w:szCs w:val="20"/>
                <w:lang w:val="pl"/>
              </w:rPr>
              <w:t>Omawia wymagania dotyczące wyrobów wewnątrznaczyniowych, mające wpływ na bezpieczeństwo i wydajność implantów naczyniowych.</w:t>
            </w:r>
          </w:p>
        </w:tc>
      </w:tr>
      <w:tr w:rsidR="005F7AEC" w:rsidRPr="00001F32" w14:paraId="7DD88EF1" w14:textId="77777777" w:rsidTr="00001F32">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1E70C8F8"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77777777" w:rsidR="005F7AEC" w:rsidRPr="00001F32" w:rsidRDefault="005F7AEC">
            <w:pPr>
              <w:spacing w:after="0" w:afterAutospacing="0"/>
              <w:rPr>
                <w:rFonts w:cs="Times New Roman"/>
              </w:rPr>
            </w:pPr>
            <w:r w:rsidRPr="00001F32">
              <w:rPr>
                <w:rFonts w:cs="Times New Roman"/>
                <w:sz w:val="20"/>
                <w:szCs w:val="20"/>
                <w:lang w:val="pl"/>
              </w:rPr>
              <w:t>EN ISO 25539-3:2011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5F7AEC" w:rsidRPr="00001F32" w:rsidRDefault="005F7AEC">
            <w:pPr>
              <w:spacing w:after="0" w:afterAutospacing="0"/>
              <w:rPr>
                <w:rFonts w:cs="Times New Roman"/>
                <w:lang w:val="pl-PL"/>
              </w:rPr>
            </w:pPr>
            <w:r w:rsidRPr="00001F32">
              <w:rPr>
                <w:rFonts w:cs="Times New Roman"/>
                <w:sz w:val="20"/>
                <w:szCs w:val="20"/>
                <w:lang w:val="pl"/>
              </w:rPr>
              <w:t>Dotyczy wymagań dotyczących filtrów żyły głównej, odnoszących się do oceny konstrukcji, skuteczności i bezpieczeństwa.</w:t>
            </w:r>
          </w:p>
        </w:tc>
      </w:tr>
      <w:tr w:rsidR="005F7AEC" w:rsidRPr="00001F32" w14:paraId="2D3A92C2" w14:textId="77777777" w:rsidTr="00001F32">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77F0A6A3"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77777777" w:rsidR="005F7AEC" w:rsidRPr="00001F32" w:rsidRDefault="005F7AEC">
            <w:pPr>
              <w:spacing w:after="0" w:afterAutospacing="0"/>
              <w:rPr>
                <w:rFonts w:cs="Times New Roman"/>
              </w:rPr>
            </w:pPr>
            <w:r w:rsidRPr="00001F32">
              <w:rPr>
                <w:rFonts w:cs="Times New Roman"/>
                <w:sz w:val="20"/>
                <w:szCs w:val="20"/>
                <w:lang w:val="pl"/>
              </w:rPr>
              <w:t>EN ISO 80369-7:2021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5F7AEC" w:rsidRPr="00001F32" w:rsidRDefault="005F7AEC">
            <w:pPr>
              <w:spacing w:after="0" w:afterAutospacing="0"/>
              <w:rPr>
                <w:rFonts w:cs="Times New Roman"/>
                <w:lang w:val="pl-PL"/>
              </w:rPr>
            </w:pPr>
            <w:r w:rsidRPr="00001F32">
              <w:rPr>
                <w:rFonts w:cs="Times New Roman"/>
                <w:sz w:val="20"/>
                <w:szCs w:val="20"/>
                <w:lang w:val="pl"/>
              </w:rPr>
              <w:t>Określa wymagania dotyczące złączy o małym przekroju do zastosowań wewnątrznaczyniowych lub podskórnych, w przypadkach, gdy ma to zastosowanie.</w:t>
            </w:r>
          </w:p>
        </w:tc>
      </w:tr>
      <w:tr w:rsidR="005F7AEC" w:rsidRPr="00001F32" w14:paraId="3A56889A" w14:textId="77777777" w:rsidTr="00001F32">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3B1CE695"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77777777" w:rsidR="005F7AEC" w:rsidRPr="00001F32" w:rsidRDefault="005F7AEC">
            <w:pPr>
              <w:spacing w:after="0" w:afterAutospacing="0"/>
              <w:rPr>
                <w:rFonts w:cs="Times New Roman"/>
              </w:rPr>
            </w:pPr>
            <w:r w:rsidRPr="00001F32">
              <w:rPr>
                <w:rFonts w:cs="Times New Roman"/>
                <w:sz w:val="20"/>
                <w:szCs w:val="20"/>
                <w:lang w:val="pl"/>
              </w:rPr>
              <w:t>EN ISO 80369-20:2024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5F7AEC" w:rsidRPr="00001F32" w:rsidRDefault="005F7AEC">
            <w:pPr>
              <w:spacing w:after="0" w:afterAutospacing="0"/>
              <w:rPr>
                <w:rFonts w:cs="Times New Roman"/>
                <w:lang w:val="pl-PL"/>
              </w:rPr>
            </w:pPr>
            <w:r w:rsidRPr="00001F32">
              <w:rPr>
                <w:rFonts w:cs="Times New Roman"/>
                <w:sz w:val="20"/>
                <w:szCs w:val="20"/>
                <w:lang w:val="pl"/>
              </w:rPr>
              <w:t>Określa powszechnie stosowane metody testowania złączy o małym przekroju stosowanych w placówkach służby zdrowia, tam gdzie ma to zastosowanie.</w:t>
            </w:r>
          </w:p>
        </w:tc>
      </w:tr>
      <w:tr w:rsidR="00E56145" w:rsidRPr="00001F32" w14:paraId="31F78746" w14:textId="77777777" w:rsidTr="00001F32">
        <w:tc>
          <w:tcPr>
            <w:tcW w:w="988" w:type="pct"/>
            <w:tcBorders>
              <w:top w:val="single" w:sz="4" w:space="0" w:color="auto"/>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E56145" w:rsidRPr="00001F32" w:rsidRDefault="00E56145">
            <w:pPr>
              <w:spacing w:after="0" w:afterAutospacing="0"/>
              <w:rPr>
                <w:rFonts w:cs="Times New Roman"/>
              </w:rPr>
            </w:pPr>
            <w:r w:rsidRPr="00001F32">
              <w:rPr>
                <w:rFonts w:cs="Times New Roman"/>
                <w:b/>
                <w:bCs/>
                <w:sz w:val="20"/>
                <w:szCs w:val="20"/>
                <w:lang w:val="pl"/>
              </w:rPr>
              <w:t>Bezpieczeństwo biologiczne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77777777" w:rsidR="00E56145" w:rsidRPr="00001F32" w:rsidRDefault="00E56145">
            <w:pPr>
              <w:spacing w:after="0" w:afterAutospacing="0"/>
              <w:rPr>
                <w:rFonts w:cs="Times New Roman"/>
              </w:rPr>
            </w:pPr>
            <w:r w:rsidRPr="00001F32">
              <w:rPr>
                <w:rFonts w:cs="Times New Roman"/>
                <w:sz w:val="20"/>
                <w:szCs w:val="20"/>
                <w:lang w:val="pl"/>
              </w:rPr>
              <w:t>EN ISO 10993-1:2025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E56145" w:rsidRPr="00001F32" w:rsidRDefault="00E56145">
            <w:pPr>
              <w:spacing w:after="0" w:afterAutospacing="0"/>
              <w:rPr>
                <w:rFonts w:cs="Times New Roman"/>
                <w:lang w:val="pl-PL"/>
              </w:rPr>
            </w:pPr>
            <w:r w:rsidRPr="00001F32">
              <w:rPr>
                <w:rFonts w:cs="Times New Roman"/>
                <w:sz w:val="20"/>
                <w:szCs w:val="20"/>
                <w:lang w:val="pl"/>
              </w:rPr>
              <w:t>Tworzy ramy biologicznej oceny wyrobów medycznych w oparciu o rodzaj i czas trwania kontaktu z ciałem.</w:t>
            </w:r>
          </w:p>
        </w:tc>
      </w:tr>
      <w:tr w:rsidR="005F7AEC" w:rsidRPr="00001F32" w14:paraId="44BF1070" w14:textId="77777777" w:rsidTr="00E80707">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00D63B2"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77777777" w:rsidR="005F7AEC" w:rsidRPr="00001F32" w:rsidRDefault="005F7AEC">
            <w:pPr>
              <w:spacing w:after="0" w:afterAutospacing="0"/>
              <w:rPr>
                <w:rFonts w:cs="Times New Roman"/>
              </w:rPr>
            </w:pPr>
            <w:r w:rsidRPr="00001F32">
              <w:rPr>
                <w:rFonts w:cs="Times New Roman"/>
                <w:sz w:val="20"/>
                <w:szCs w:val="20"/>
                <w:lang w:val="pl"/>
              </w:rPr>
              <w:t>EN ISO 10993-5:2009 + A11:2025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5F7AEC" w:rsidRPr="00001F32" w:rsidRDefault="005F7AEC">
            <w:pPr>
              <w:spacing w:after="0" w:afterAutospacing="0"/>
              <w:rPr>
                <w:rFonts w:cs="Times New Roman"/>
                <w:lang w:val="pl-PL"/>
              </w:rPr>
            </w:pPr>
            <w:r w:rsidRPr="00001F32">
              <w:rPr>
                <w:rFonts w:cs="Times New Roman"/>
                <w:sz w:val="20"/>
                <w:szCs w:val="20"/>
                <w:lang w:val="pl"/>
              </w:rPr>
              <w:t>Określa metody badań służące ocenie cytotoksyczności in vitro.</w:t>
            </w:r>
          </w:p>
        </w:tc>
      </w:tr>
      <w:tr w:rsidR="005F7AEC" w:rsidRPr="00001F32" w14:paraId="74625AA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0E67080"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77777777" w:rsidR="005F7AEC" w:rsidRPr="00001F32" w:rsidRDefault="005F7AEC">
            <w:pPr>
              <w:spacing w:after="0" w:afterAutospacing="0"/>
              <w:rPr>
                <w:rFonts w:cs="Times New Roman"/>
              </w:rPr>
            </w:pPr>
            <w:r w:rsidRPr="00001F32">
              <w:rPr>
                <w:rFonts w:cs="Times New Roman"/>
                <w:sz w:val="20"/>
                <w:szCs w:val="20"/>
                <w:lang w:val="pl"/>
              </w:rPr>
              <w:t>EN ISO 10993-10:2023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5F7AEC" w:rsidRPr="00001F32" w:rsidRDefault="005F7AEC">
            <w:pPr>
              <w:spacing w:after="0" w:afterAutospacing="0"/>
              <w:rPr>
                <w:rFonts w:cs="Times New Roman"/>
                <w:lang w:val="pl-PL"/>
              </w:rPr>
            </w:pPr>
            <w:r w:rsidRPr="00001F32">
              <w:rPr>
                <w:rFonts w:cs="Times New Roman"/>
                <w:sz w:val="20"/>
                <w:szCs w:val="20"/>
                <w:lang w:val="pl"/>
              </w:rPr>
              <w:t>Dotyczy oceny potencjału podrażnienia i uczulenia.</w:t>
            </w:r>
          </w:p>
        </w:tc>
      </w:tr>
      <w:tr w:rsidR="005F7AEC" w:rsidRPr="00001F32" w14:paraId="68B78B39"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C3BD2D6"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77777777" w:rsidR="005F7AEC" w:rsidRPr="00001F32" w:rsidRDefault="005F7AEC">
            <w:pPr>
              <w:spacing w:after="0" w:afterAutospacing="0"/>
              <w:rPr>
                <w:rFonts w:cs="Times New Roman"/>
              </w:rPr>
            </w:pPr>
            <w:r w:rsidRPr="00001F32">
              <w:rPr>
                <w:rFonts w:cs="Times New Roman"/>
                <w:sz w:val="20"/>
                <w:szCs w:val="20"/>
                <w:lang w:val="pl"/>
              </w:rPr>
              <w:t>EN ISO 10993-11:2018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5F7AEC" w:rsidRPr="00001F32" w:rsidRDefault="005F7AEC">
            <w:pPr>
              <w:spacing w:after="0" w:afterAutospacing="0"/>
              <w:rPr>
                <w:rFonts w:cs="Times New Roman"/>
                <w:lang w:val="pl-PL"/>
              </w:rPr>
            </w:pPr>
            <w:r w:rsidRPr="00001F32">
              <w:rPr>
                <w:rFonts w:cs="Times New Roman"/>
                <w:sz w:val="20"/>
                <w:szCs w:val="20"/>
                <w:lang w:val="pl"/>
              </w:rPr>
              <w:t>Określa wymagania dotyczące badań toksyczności układowej.</w:t>
            </w:r>
          </w:p>
        </w:tc>
      </w:tr>
      <w:tr w:rsidR="005F7AEC" w:rsidRPr="00001F32" w14:paraId="0BF771D6"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464F108"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77777777" w:rsidR="005F7AEC" w:rsidRPr="00001F32" w:rsidRDefault="005F7AEC">
            <w:pPr>
              <w:spacing w:after="0" w:afterAutospacing="0"/>
              <w:rPr>
                <w:rFonts w:cs="Times New Roman"/>
              </w:rPr>
            </w:pPr>
            <w:r w:rsidRPr="00001F32">
              <w:rPr>
                <w:rFonts w:cs="Times New Roman"/>
                <w:sz w:val="20"/>
                <w:szCs w:val="20"/>
                <w:lang w:val="pl"/>
              </w:rPr>
              <w:t>EN ISO 10993-4:2017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5F7AEC" w:rsidRPr="00001F32" w:rsidRDefault="005F7AEC">
            <w:pPr>
              <w:spacing w:after="0" w:afterAutospacing="0"/>
              <w:rPr>
                <w:rFonts w:cs="Times New Roman"/>
                <w:lang w:val="pl-PL"/>
              </w:rPr>
            </w:pPr>
            <w:r w:rsidRPr="00001F32">
              <w:rPr>
                <w:rFonts w:cs="Times New Roman"/>
                <w:sz w:val="20"/>
                <w:szCs w:val="20"/>
                <w:lang w:val="pl"/>
              </w:rPr>
              <w:t>Omawia dobór testów na interakcje z krwią, w tym zagadnienia hemokompatybilności w przypadku wyrobów medycznych mających styczność z krwią.</w:t>
            </w:r>
          </w:p>
        </w:tc>
      </w:tr>
      <w:tr w:rsidR="005F7AEC" w:rsidRPr="00001F32" w14:paraId="3174A20D"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2ED6D66A"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7777777" w:rsidR="005F7AEC" w:rsidRPr="00001F32" w:rsidRDefault="005F7AEC">
            <w:pPr>
              <w:spacing w:after="0" w:afterAutospacing="0"/>
              <w:rPr>
                <w:rFonts w:cs="Times New Roman"/>
              </w:rPr>
            </w:pPr>
            <w:r w:rsidRPr="00001F32">
              <w:rPr>
                <w:rFonts w:cs="Times New Roman"/>
                <w:sz w:val="20"/>
                <w:szCs w:val="20"/>
                <w:lang w:val="pl"/>
              </w:rPr>
              <w:t>EN ISO 10993-12:2021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5F7AEC" w:rsidRPr="00001F32" w:rsidRDefault="005F7AEC">
            <w:pPr>
              <w:spacing w:after="0" w:afterAutospacing="0"/>
              <w:rPr>
                <w:rFonts w:cs="Times New Roman"/>
                <w:lang w:val="pl-PL"/>
              </w:rPr>
            </w:pPr>
            <w:r w:rsidRPr="00001F32">
              <w:rPr>
                <w:rFonts w:cs="Times New Roman"/>
                <w:sz w:val="20"/>
                <w:szCs w:val="20"/>
                <w:lang w:val="pl"/>
              </w:rPr>
              <w:t>Określa wymagania dotyczące przygotowania próbek i materiałów odniesienia stosowanych w testach oceny biologicznej.</w:t>
            </w:r>
          </w:p>
        </w:tc>
      </w:tr>
      <w:tr w:rsidR="005F7AEC" w:rsidRPr="00001F32" w14:paraId="7060B5F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279AA15"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7777777" w:rsidR="005F7AEC" w:rsidRPr="00001F32" w:rsidRDefault="005F7AEC">
            <w:pPr>
              <w:spacing w:after="0" w:afterAutospacing="0"/>
              <w:rPr>
                <w:rFonts w:cs="Times New Roman"/>
              </w:rPr>
            </w:pPr>
            <w:r w:rsidRPr="00001F32">
              <w:rPr>
                <w:rFonts w:cs="Times New Roman"/>
                <w:sz w:val="20"/>
                <w:szCs w:val="20"/>
                <w:lang w:val="pl"/>
              </w:rPr>
              <w:t>EN ISO 10993-17:2023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5F7AEC" w:rsidRPr="00001F32" w:rsidRDefault="005F7AEC">
            <w:pPr>
              <w:spacing w:after="0" w:afterAutospacing="0"/>
              <w:rPr>
                <w:rFonts w:cs="Times New Roman"/>
                <w:lang w:val="pl-PL"/>
              </w:rPr>
            </w:pPr>
            <w:r w:rsidRPr="00001F32">
              <w:rPr>
                <w:rFonts w:cs="Times New Roman"/>
                <w:sz w:val="20"/>
                <w:szCs w:val="20"/>
                <w:lang w:val="pl"/>
              </w:rPr>
              <w:t>Zawiera zasady oceny ryzyka toksykologicznego składników wyrobów medycznych w celu wsparcia oceny bezpieczeństwa biologicznego.</w:t>
            </w:r>
          </w:p>
        </w:tc>
      </w:tr>
      <w:tr w:rsidR="005F7AEC" w:rsidRPr="00001F32" w14:paraId="74BEDA88" w14:textId="77777777" w:rsidTr="00E80707">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930C49A"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77777777" w:rsidR="005F7AEC" w:rsidRPr="00001F32" w:rsidRDefault="005F7AEC">
            <w:pPr>
              <w:spacing w:after="0" w:afterAutospacing="0"/>
              <w:rPr>
                <w:rFonts w:cs="Times New Roman"/>
              </w:rPr>
            </w:pPr>
            <w:r w:rsidRPr="00001F32">
              <w:rPr>
                <w:rFonts w:cs="Times New Roman"/>
                <w:sz w:val="20"/>
                <w:szCs w:val="20"/>
                <w:lang w:val="pl"/>
              </w:rPr>
              <w:t>EN ISO 10993-18:2020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5F7AEC" w:rsidRPr="00001F32" w:rsidRDefault="005F7AEC">
            <w:pPr>
              <w:spacing w:after="0" w:afterAutospacing="0"/>
              <w:rPr>
                <w:rFonts w:cs="Times New Roman"/>
                <w:lang w:val="pl-PL"/>
              </w:rPr>
            </w:pPr>
            <w:r w:rsidRPr="00001F32">
              <w:rPr>
                <w:rFonts w:cs="Times New Roman"/>
                <w:sz w:val="20"/>
                <w:szCs w:val="20"/>
                <w:lang w:val="pl"/>
              </w:rPr>
              <w:t>Zajmuje się charakterystyką chemiczną materiałów stosowanych w wyrobach medycznych w ramach procesu zarządzania ryzykiem biologicznym.</w:t>
            </w:r>
          </w:p>
        </w:tc>
      </w:tr>
      <w:tr w:rsidR="00E56145" w:rsidRPr="00001F32" w14:paraId="14F3D973"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E56145" w:rsidRPr="00001F32" w:rsidRDefault="00E56145">
            <w:pPr>
              <w:spacing w:after="0" w:afterAutospacing="0"/>
              <w:rPr>
                <w:rFonts w:cs="Times New Roman"/>
              </w:rPr>
            </w:pPr>
            <w:r w:rsidRPr="00001F32">
              <w:rPr>
                <w:rFonts w:cs="Times New Roman"/>
                <w:b/>
                <w:bCs/>
                <w:sz w:val="20"/>
                <w:szCs w:val="20"/>
                <w:lang w:val="pl"/>
              </w:rPr>
              <w:t>Ocena kliniczna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77777777" w:rsidR="00E56145" w:rsidRPr="00001F32" w:rsidRDefault="00E56145">
            <w:pPr>
              <w:spacing w:after="0" w:afterAutospacing="0"/>
              <w:rPr>
                <w:rFonts w:cs="Times New Roman"/>
              </w:rPr>
            </w:pPr>
            <w:r w:rsidRPr="00001F32">
              <w:rPr>
                <w:rFonts w:cs="Times New Roman"/>
                <w:sz w:val="20"/>
                <w:szCs w:val="20"/>
                <w:lang w:val="pl"/>
              </w:rPr>
              <w:t>MEDDEV 2.7/1 Wersja 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E56145" w:rsidRPr="00001F32" w:rsidRDefault="00E56145">
            <w:pPr>
              <w:spacing w:after="0" w:afterAutospacing="0"/>
              <w:rPr>
                <w:rFonts w:cs="Times New Roman"/>
                <w:lang w:val="pl-PL"/>
              </w:rPr>
            </w:pPr>
            <w:r w:rsidRPr="00001F32">
              <w:rPr>
                <w:rFonts w:cs="Times New Roman"/>
                <w:sz w:val="20"/>
                <w:szCs w:val="20"/>
                <w:lang w:val="pl"/>
              </w:rPr>
              <w:t>Wytyczne służące wsparciu metodologii oceny klinicznej.</w:t>
            </w:r>
          </w:p>
        </w:tc>
      </w:tr>
      <w:tr w:rsidR="00E56145" w:rsidRPr="00001F32" w14:paraId="6861D9B2"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E56145" w:rsidRPr="00001F32" w:rsidRDefault="00E56145">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77777777" w:rsidR="00E56145" w:rsidRPr="00001F32" w:rsidRDefault="00E56145">
            <w:pPr>
              <w:spacing w:after="0" w:afterAutospacing="0"/>
              <w:rPr>
                <w:rFonts w:cs="Times New Roman"/>
              </w:rPr>
            </w:pPr>
            <w:r w:rsidRPr="00001F32">
              <w:rPr>
                <w:rFonts w:cs="Times New Roman"/>
                <w:sz w:val="20"/>
                <w:szCs w:val="20"/>
                <w:lang w:val="pl"/>
              </w:rPr>
              <w:t>MDCG 2020-6</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E56145" w:rsidRPr="00001F32" w:rsidRDefault="00E56145">
            <w:pPr>
              <w:spacing w:after="0" w:afterAutospacing="0"/>
              <w:rPr>
                <w:rFonts w:cs="Times New Roman"/>
                <w:lang w:val="pl-PL"/>
              </w:rPr>
            </w:pPr>
            <w:r w:rsidRPr="00001F32">
              <w:rPr>
                <w:rFonts w:cs="Times New Roman"/>
                <w:sz w:val="20"/>
                <w:szCs w:val="20"/>
                <w:lang w:val="pl"/>
              </w:rPr>
              <w:t>Zawiera wytyczne dotyczące wystarczających dowodów klinicznych dla starszych urządzeń zgodnie z rozporządzeniem (UE) 2017/745.</w:t>
            </w:r>
          </w:p>
        </w:tc>
      </w:tr>
      <w:tr w:rsidR="00E56145" w:rsidRPr="00001F32" w14:paraId="0D42665C"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E56145" w:rsidRPr="00001F32" w:rsidRDefault="00E56145">
            <w:pPr>
              <w:spacing w:after="0" w:afterAutospacing="0"/>
              <w:rPr>
                <w:rFonts w:cs="Times New Roman"/>
              </w:rPr>
            </w:pPr>
            <w:r w:rsidRPr="00001F32">
              <w:rPr>
                <w:rFonts w:cs="Times New Roman"/>
                <w:b/>
                <w:bCs/>
                <w:sz w:val="20"/>
                <w:szCs w:val="20"/>
                <w:lang w:val="pl"/>
              </w:rPr>
              <w:t>Wytyczne SSCP / 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77777777" w:rsidR="00E56145" w:rsidRPr="00001F32" w:rsidRDefault="00E56145">
            <w:pPr>
              <w:spacing w:after="0" w:afterAutospacing="0"/>
              <w:rPr>
                <w:rFonts w:cs="Times New Roman"/>
              </w:rPr>
            </w:pPr>
            <w:r w:rsidRPr="00001F32">
              <w:rPr>
                <w:rFonts w:cs="Times New Roman"/>
                <w:sz w:val="20"/>
                <w:szCs w:val="20"/>
                <w:lang w:val="pl"/>
              </w:rPr>
              <w:t>MDCG 2019-9 Wersja 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E56145" w:rsidRPr="00001F32" w:rsidRDefault="00E56145">
            <w:pPr>
              <w:spacing w:after="0" w:afterAutospacing="0"/>
              <w:rPr>
                <w:rFonts w:cs="Times New Roman"/>
                <w:lang w:val="pl-PL"/>
              </w:rPr>
            </w:pPr>
            <w:r w:rsidRPr="00001F32">
              <w:rPr>
                <w:rFonts w:cs="Times New Roman"/>
                <w:sz w:val="20"/>
                <w:szCs w:val="20"/>
                <w:lang w:val="pl"/>
              </w:rPr>
              <w:t>Zawiera wytyczne dotyczące opracowania, zatwierdzania i publicznego udostępnienia Podsumowania bezpieczeństwa i skuteczności klinicznej.</w:t>
            </w:r>
          </w:p>
        </w:tc>
      </w:tr>
      <w:tr w:rsidR="005F7AEC" w:rsidRPr="00001F32" w14:paraId="02991115" w14:textId="77777777" w:rsidTr="003E022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75D8A86"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77777777" w:rsidR="005F7AEC" w:rsidRPr="00001F32" w:rsidRDefault="005F7AEC">
            <w:pPr>
              <w:spacing w:after="0" w:afterAutospacing="0"/>
              <w:rPr>
                <w:rFonts w:cs="Times New Roman"/>
              </w:rPr>
            </w:pPr>
            <w:r w:rsidRPr="00001F32">
              <w:rPr>
                <w:rFonts w:cs="Times New Roman"/>
                <w:sz w:val="20"/>
                <w:szCs w:val="20"/>
                <w:lang w:val="pl"/>
              </w:rPr>
              <w:t>MDCG 2020-7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5F7AEC" w:rsidRPr="00001F32" w:rsidRDefault="005F7AEC">
            <w:pPr>
              <w:spacing w:after="0" w:afterAutospacing="0"/>
              <w:rPr>
                <w:rFonts w:cs="Times New Roman"/>
                <w:lang w:val="pl-PL"/>
              </w:rPr>
            </w:pPr>
            <w:r w:rsidRPr="00001F32">
              <w:rPr>
                <w:rFonts w:cs="Times New Roman"/>
                <w:sz w:val="20"/>
                <w:szCs w:val="20"/>
                <w:lang w:val="pl"/>
              </w:rPr>
              <w:t>Zawiera wytyczne dotyczące szablonu planu badań klinicznych po wprowadzeniu produktu na rynek.</w:t>
            </w:r>
          </w:p>
        </w:tc>
      </w:tr>
      <w:tr w:rsidR="005F7AEC" w:rsidRPr="00001F32" w14:paraId="679DA3F4" w14:textId="77777777" w:rsidTr="003E022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53109A0"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77777777" w:rsidR="005F7AEC" w:rsidRPr="00001F32" w:rsidRDefault="005F7AEC">
            <w:pPr>
              <w:spacing w:after="0" w:afterAutospacing="0"/>
              <w:rPr>
                <w:rFonts w:cs="Times New Roman"/>
              </w:rPr>
            </w:pPr>
            <w:r w:rsidRPr="00001F32">
              <w:rPr>
                <w:rFonts w:cs="Times New Roman"/>
                <w:sz w:val="20"/>
                <w:szCs w:val="20"/>
                <w:lang w:val="pl"/>
              </w:rPr>
              <w:t>MDCG 2020-8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5F7AEC" w:rsidRPr="00001F32" w:rsidRDefault="005F7AEC">
            <w:pPr>
              <w:spacing w:after="0" w:afterAutospacing="0"/>
              <w:rPr>
                <w:rFonts w:cs="Times New Roman"/>
                <w:lang w:val="pl-PL"/>
              </w:rPr>
            </w:pPr>
            <w:r w:rsidRPr="00001F32">
              <w:rPr>
                <w:rFonts w:cs="Times New Roman"/>
                <w:sz w:val="20"/>
                <w:szCs w:val="20"/>
                <w:lang w:val="pl"/>
              </w:rPr>
              <w:t>Zawiera wytyczne dotyczące szablonu raportu z oceny klinicznej po wprowadzeniu produktu na rynek oraz dalszej oceny bezpieczeństwa klinicznego i skuteczności działania.</w:t>
            </w:r>
          </w:p>
        </w:tc>
      </w:tr>
      <w:tr w:rsidR="00E56145" w:rsidRPr="00001F32" w14:paraId="22DAFE49"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E56145" w:rsidRPr="00001F32" w:rsidRDefault="00E56145">
            <w:pPr>
              <w:spacing w:after="0" w:afterAutospacing="0"/>
              <w:rPr>
                <w:rFonts w:cs="Times New Roman"/>
              </w:rPr>
            </w:pPr>
            <w:r w:rsidRPr="00001F32">
              <w:rPr>
                <w:rFonts w:cs="Times New Roman"/>
                <w:b/>
                <w:bCs/>
                <w:sz w:val="20"/>
                <w:szCs w:val="20"/>
                <w:lang w:val="pl"/>
              </w:rPr>
              <w:t>Inżynieria użyteczności</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77777777" w:rsidR="00E56145" w:rsidRPr="00001F32" w:rsidRDefault="00E56145">
            <w:pPr>
              <w:spacing w:after="0" w:afterAutospacing="0"/>
              <w:rPr>
                <w:rFonts w:cs="Times New Roman"/>
              </w:rPr>
            </w:pPr>
            <w:r w:rsidRPr="00001F32">
              <w:rPr>
                <w:rFonts w:cs="Times New Roman"/>
                <w:sz w:val="20"/>
                <w:szCs w:val="20"/>
                <w:lang w:val="pl"/>
              </w:rPr>
              <w:t>EN IEC 62366-1:2015 + AC:2016 + A1:2020</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E56145" w:rsidRPr="00001F32" w:rsidRDefault="00E56145">
            <w:pPr>
              <w:spacing w:after="0" w:afterAutospacing="0"/>
              <w:rPr>
                <w:rFonts w:cs="Times New Roman"/>
                <w:lang w:val="pl-PL"/>
              </w:rPr>
            </w:pPr>
            <w:r w:rsidRPr="00001F32">
              <w:rPr>
                <w:rFonts w:cs="Times New Roman"/>
                <w:sz w:val="20"/>
                <w:szCs w:val="20"/>
                <w:lang w:val="pl"/>
              </w:rPr>
              <w:t>Określa proces inżynierii użyteczności mający na celu identyfikację i ograniczenie ryzyka związanego z użytkowaniem.</w:t>
            </w:r>
          </w:p>
        </w:tc>
      </w:tr>
      <w:tr w:rsidR="00E56145" w:rsidRPr="00001F32" w14:paraId="27458A86" w14:textId="77777777" w:rsidTr="00001F32">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E56145" w:rsidRPr="00001F32" w:rsidRDefault="00E56145">
            <w:pPr>
              <w:spacing w:after="0" w:afterAutospacing="0"/>
              <w:rPr>
                <w:rFonts w:cs="Times New Roman"/>
                <w:lang w:val="pl-PL"/>
              </w:rPr>
            </w:pPr>
            <w:r w:rsidRPr="00001F32">
              <w:rPr>
                <w:rFonts w:cs="Times New Roman"/>
                <w:b/>
                <w:bCs/>
                <w:sz w:val="20"/>
                <w:szCs w:val="20"/>
                <w:lang w:val="pl"/>
              </w:rPr>
              <w:t>Opakowanie i okres przydatności do spożycia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77777777" w:rsidR="00E56145" w:rsidRPr="00001F32" w:rsidRDefault="00E56145">
            <w:pPr>
              <w:spacing w:after="0" w:afterAutospacing="0"/>
              <w:rPr>
                <w:rFonts w:cs="Times New Roman"/>
              </w:rPr>
            </w:pPr>
            <w:r w:rsidRPr="00001F32">
              <w:rPr>
                <w:rFonts w:cs="Times New Roman"/>
                <w:sz w:val="20"/>
                <w:szCs w:val="20"/>
                <w:lang w:val="pl"/>
              </w:rPr>
              <w:t>EN ISO 11607-1:2020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E56145" w:rsidRPr="00001F32" w:rsidRDefault="00E56145">
            <w:pPr>
              <w:spacing w:after="0" w:afterAutospacing="0"/>
              <w:rPr>
                <w:rFonts w:cs="Times New Roman"/>
                <w:lang w:val="pl-PL"/>
              </w:rPr>
            </w:pPr>
            <w:r w:rsidRPr="00001F32">
              <w:rPr>
                <w:rFonts w:cs="Times New Roman"/>
                <w:sz w:val="20"/>
                <w:szCs w:val="20"/>
                <w:lang w:val="pl"/>
              </w:rPr>
              <w:t>Określa wymagania dotyczące materiałów, systemów bariery sterylnej i systemów opakowaniowych.</w:t>
            </w:r>
          </w:p>
        </w:tc>
      </w:tr>
      <w:tr w:rsidR="005F7AEC" w:rsidRPr="00001F32" w14:paraId="65D7BA40" w14:textId="77777777" w:rsidTr="00001F32">
        <w:tc>
          <w:tcPr>
            <w:tcW w:w="988" w:type="pct"/>
            <w:vMerge w:val="restart"/>
            <w:tcBorders>
              <w:top w:val="single" w:sz="8" w:space="0" w:color="auto"/>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31DFFA57"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7777777" w:rsidR="005F7AEC" w:rsidRPr="00001F32" w:rsidRDefault="005F7AEC">
            <w:pPr>
              <w:spacing w:after="0" w:afterAutospacing="0"/>
              <w:rPr>
                <w:rFonts w:cs="Times New Roman"/>
              </w:rPr>
            </w:pPr>
            <w:r w:rsidRPr="00001F32">
              <w:rPr>
                <w:rFonts w:cs="Times New Roman"/>
                <w:sz w:val="20"/>
                <w:szCs w:val="20"/>
                <w:lang w:val="pl"/>
              </w:rPr>
              <w:t>EN ISO 11607-2:2020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5F7AEC" w:rsidRPr="00001F32" w:rsidRDefault="005F7AEC">
            <w:pPr>
              <w:spacing w:after="0" w:afterAutospacing="0"/>
              <w:rPr>
                <w:rFonts w:cs="Times New Roman"/>
                <w:lang w:val="pl-PL"/>
              </w:rPr>
            </w:pPr>
            <w:r w:rsidRPr="00001F32">
              <w:rPr>
                <w:rFonts w:cs="Times New Roman"/>
                <w:sz w:val="20"/>
                <w:szCs w:val="20"/>
                <w:lang w:val="pl"/>
              </w:rPr>
              <w:t>Określa wymagania dotyczące walidacji procesów pakowania.</w:t>
            </w:r>
          </w:p>
        </w:tc>
      </w:tr>
      <w:tr w:rsidR="005F7AEC" w:rsidRPr="00001F32" w14:paraId="626B7972" w14:textId="77777777" w:rsidTr="00001F32">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201128EE" w14:textId="77777777" w:rsidR="005F7AEC" w:rsidRPr="00001F32"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77777777" w:rsidR="005F7AEC" w:rsidRPr="00001F32" w:rsidRDefault="005F7AEC">
            <w:pPr>
              <w:spacing w:after="0" w:afterAutospacing="0"/>
              <w:rPr>
                <w:rFonts w:cs="Times New Roman"/>
              </w:rPr>
            </w:pPr>
            <w:r w:rsidRPr="00001F32">
              <w:rPr>
                <w:rFonts w:cs="Times New Roman"/>
                <w:sz w:val="20"/>
                <w:szCs w:val="20"/>
                <w:lang w:val="pl"/>
              </w:rPr>
              <w:t>ASTM F1980-2021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5F7AEC" w:rsidRPr="00001F32" w:rsidRDefault="005F7AEC">
            <w:pPr>
              <w:spacing w:after="0" w:afterAutospacing="0"/>
              <w:rPr>
                <w:rFonts w:cs="Times New Roman"/>
                <w:lang w:val="pl-PL"/>
              </w:rPr>
            </w:pPr>
            <w:r w:rsidRPr="00001F32">
              <w:rPr>
                <w:rFonts w:cs="Times New Roman"/>
                <w:sz w:val="20"/>
                <w:szCs w:val="20"/>
                <w:lang w:val="pl"/>
              </w:rPr>
              <w:t>Inne stosowane normy zawierające wskazówki dotyczące badań przyspieszonego starzenia w celu poparcia twierdzeń dotyczących okresu przydatności do spożycia.</w:t>
            </w:r>
          </w:p>
        </w:tc>
      </w:tr>
      <w:tr w:rsidR="00E56145" w:rsidRPr="00001F32" w14:paraId="07B5A577" w14:textId="77777777" w:rsidTr="00001F32">
        <w:tc>
          <w:tcPr>
            <w:tcW w:w="988" w:type="pct"/>
            <w:tcBorders>
              <w:top w:val="single" w:sz="4" w:space="0" w:color="auto"/>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77777777" w:rsidR="00E56145" w:rsidRPr="00001F32" w:rsidRDefault="00E56145">
            <w:pPr>
              <w:spacing w:after="0" w:afterAutospacing="0"/>
              <w:rPr>
                <w:rFonts w:cs="Times New Roman"/>
                <w:lang w:val="pl-PL"/>
              </w:rPr>
            </w:pPr>
            <w:r w:rsidRPr="00001F32">
              <w:rPr>
                <w:rFonts w:cs="Times New Roman"/>
                <w:b/>
                <w:bCs/>
                <w:sz w:val="20"/>
                <w:szCs w:val="20"/>
                <w:lang w:val="pl"/>
              </w:rPr>
              <w:lastRenderedPageBreak/>
              <w:t>Nadzór po wprowadzeniu do obrotu / 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77777777" w:rsidR="00E56145" w:rsidRPr="00001F32" w:rsidRDefault="00E56145">
            <w:pPr>
              <w:spacing w:after="0" w:afterAutospacing="0"/>
              <w:rPr>
                <w:rFonts w:cs="Times New Roman"/>
              </w:rPr>
            </w:pPr>
            <w:r w:rsidRPr="00001F32">
              <w:rPr>
                <w:rFonts w:cs="Times New Roman"/>
                <w:sz w:val="20"/>
                <w:szCs w:val="20"/>
                <w:lang w:val="pl"/>
              </w:rPr>
              <w:t>MEDDEV 2.12/2 Wersja 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E56145" w:rsidRPr="00001F32" w:rsidRDefault="00E56145">
            <w:pPr>
              <w:spacing w:after="0" w:afterAutospacing="0"/>
              <w:rPr>
                <w:rFonts w:cs="Times New Roman"/>
                <w:lang w:val="pl-PL"/>
              </w:rPr>
            </w:pPr>
            <w:r w:rsidRPr="00001F32">
              <w:rPr>
                <w:rFonts w:cs="Times New Roman"/>
                <w:sz w:val="20"/>
                <w:szCs w:val="20"/>
                <w:lang w:val="pl"/>
              </w:rPr>
              <w:t>Wytyczne służące wsparciu działań związanych z monitorowaniem klinicznym po wprowadzeniu produktu na rynek w celu potwierdzenia jego bezpieczeństwa i skuteczności.</w:t>
            </w:r>
          </w:p>
        </w:tc>
      </w:tr>
      <w:tr w:rsidR="00E56145" w:rsidRPr="00001F32" w14:paraId="560B33E5"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E56145" w:rsidRPr="00001F32" w:rsidRDefault="00E56145">
            <w:pPr>
              <w:spacing w:after="0" w:afterAutospacing="0"/>
              <w:rPr>
                <w:rFonts w:cs="Times New Roman"/>
              </w:rPr>
            </w:pPr>
            <w:r w:rsidRPr="00001F32">
              <w:rPr>
                <w:rFonts w:cs="Times New Roman"/>
                <w:b/>
                <w:bCs/>
                <w:sz w:val="20"/>
                <w:szCs w:val="20"/>
                <w:lang w:val="pl"/>
              </w:rPr>
              <w:t>Nadzór nad bezpieczeństwem wyrobu</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77777777" w:rsidR="00E56145" w:rsidRPr="00001F32" w:rsidRDefault="00E56145">
            <w:pPr>
              <w:spacing w:after="0" w:afterAutospacing="0"/>
              <w:rPr>
                <w:rFonts w:cs="Times New Roman"/>
              </w:rPr>
            </w:pPr>
            <w:r w:rsidRPr="00001F32">
              <w:rPr>
                <w:rFonts w:cs="Times New Roman"/>
                <w:sz w:val="20"/>
                <w:szCs w:val="20"/>
                <w:lang w:val="pl"/>
              </w:rPr>
              <w:t>MEDDEV 2.12/1 Wersja 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E56145" w:rsidRPr="00001F32" w:rsidRDefault="00E56145">
            <w:pPr>
              <w:spacing w:after="0" w:afterAutospacing="0"/>
              <w:rPr>
                <w:rFonts w:cs="Times New Roman"/>
                <w:lang w:val="pl-PL"/>
              </w:rPr>
            </w:pPr>
            <w:r w:rsidRPr="00001F32">
              <w:rPr>
                <w:rFonts w:cs="Times New Roman"/>
                <w:sz w:val="20"/>
                <w:szCs w:val="20"/>
                <w:lang w:val="pl"/>
              </w:rPr>
              <w:t>Wskazówki służące wspomaganiu procesów nadzoru nad urządzeniami medycznymi oraz zgłaszania poważnych incydentów i działań korygujących w zakresie bezpieczeństwa w terenie.</w:t>
            </w:r>
          </w:p>
        </w:tc>
      </w:tr>
    </w:tbl>
    <w:p w14:paraId="4EEA1268" w14:textId="77777777" w:rsidR="00D832B0" w:rsidRPr="00001F32" w:rsidRDefault="00D832B0" w:rsidP="00D832B0">
      <w:pPr>
        <w:pStyle w:val="Heading1"/>
        <w:numPr>
          <w:ilvl w:val="0"/>
          <w:numId w:val="0"/>
        </w:numPr>
        <w:rPr>
          <w:rFonts w:cs="Times New Roman"/>
          <w:color w:val="auto"/>
          <w:lang w:val="pl-PL"/>
        </w:rPr>
      </w:pPr>
      <w:bookmarkStart w:id="32" w:name="_Toc196514402"/>
      <w:bookmarkStart w:id="33" w:name="_Toc181362707"/>
    </w:p>
    <w:p w14:paraId="07E1186E" w14:textId="76FD3EC3" w:rsidR="00C070F9" w:rsidRPr="00001F32" w:rsidRDefault="00C070F9" w:rsidP="00170FE5">
      <w:pPr>
        <w:pStyle w:val="Heading1"/>
        <w:numPr>
          <w:ilvl w:val="0"/>
          <w:numId w:val="2"/>
        </w:numPr>
        <w:rPr>
          <w:rFonts w:cs="Times New Roman"/>
          <w:color w:val="auto"/>
          <w:lang w:val="pl-PL"/>
        </w:rPr>
      </w:pPr>
      <w:bookmarkStart w:id="34" w:name="_Toc240532215"/>
      <w:r w:rsidRPr="00001F32">
        <w:rPr>
          <w:rFonts w:cs="Times New Roman"/>
          <w:bCs/>
          <w:color w:val="auto"/>
          <w:lang w:val="pl"/>
        </w:rPr>
        <w:t>Podsumowanie bezpieczeństwa i skuteczności dla pacjentów/osób postronnych</w:t>
      </w:r>
      <w:bookmarkEnd w:id="32"/>
      <w:bookmarkEnd w:id="33"/>
      <w:bookmarkEnd w:id="34"/>
    </w:p>
    <w:p w14:paraId="43787158" w14:textId="77777777" w:rsidR="00721595" w:rsidRPr="00001F32" w:rsidRDefault="00721595" w:rsidP="00721595">
      <w:pPr>
        <w:spacing w:after="0" w:afterAutospacing="0" w:line="240" w:lineRule="auto"/>
        <w:rPr>
          <w:rFonts w:cs="Times New Roman"/>
          <w:szCs w:val="24"/>
          <w:lang w:val="pl-PL"/>
        </w:rPr>
      </w:pPr>
    </w:p>
    <w:p w14:paraId="2D546AA7" w14:textId="5969AC1B" w:rsidR="00440750" w:rsidRPr="00001F32" w:rsidRDefault="00440750">
      <w:pPr>
        <w:spacing w:after="0" w:afterAutospacing="0"/>
        <w:rPr>
          <w:rFonts w:cs="Times New Roman"/>
          <w:kern w:val="2"/>
          <w:szCs w:val="24"/>
          <w:lang w:val="pl-PL"/>
          <w14:ligatures w14:val="standardContextual"/>
        </w:rPr>
      </w:pPr>
      <w:r w:rsidRPr="00001F32">
        <w:rPr>
          <w:rFonts w:cs="Times New Roman"/>
          <w:b/>
          <w:bCs/>
          <w:lang w:val="pl"/>
        </w:rPr>
        <w:t>Nazwa urządzenia:</w:t>
      </w:r>
      <w:r w:rsidRPr="00001F32">
        <w:rPr>
          <w:rFonts w:cs="Times New Roman"/>
          <w:lang w:val="pl"/>
        </w:rPr>
        <w:t xml:space="preserve"> System usuwalnego filtra do żyły głównej Option ELITE</w:t>
      </w:r>
      <w:r w:rsidRPr="00001F32">
        <w:rPr>
          <w:rFonts w:cs="Times New Roman"/>
          <w:lang w:val="pl"/>
        </w:rPr>
        <w:br/>
      </w:r>
      <w:r w:rsidRPr="00001F32">
        <w:rPr>
          <w:rFonts w:cs="Times New Roman"/>
          <w:b/>
          <w:bCs/>
          <w:lang w:val="pl"/>
        </w:rPr>
        <w:t>Dokument:</w:t>
      </w:r>
      <w:r w:rsidRPr="00001F32">
        <w:rPr>
          <w:rFonts w:cs="Times New Roman"/>
          <w:lang w:val="pl"/>
        </w:rPr>
        <w:t xml:space="preserve"> Podsumowanie bezpieczeństwa i skuteczności klinicznej</w:t>
      </w:r>
      <w:r w:rsidRPr="00001F32">
        <w:rPr>
          <w:rFonts w:cs="Times New Roman"/>
          <w:lang w:val="pl"/>
        </w:rPr>
        <w:br/>
      </w:r>
      <w:r w:rsidRPr="00001F32">
        <w:rPr>
          <w:rFonts w:cs="Times New Roman"/>
          <w:b/>
          <w:bCs/>
          <w:lang w:val="pl"/>
        </w:rPr>
        <w:t>Data wydania:</w:t>
      </w:r>
      <w:r w:rsidRPr="00001F32">
        <w:rPr>
          <w:rFonts w:cs="Times New Roman"/>
          <w:i/>
          <w:iCs/>
          <w:color w:val="EE0000"/>
          <w:lang w:val="pl"/>
        </w:rPr>
        <w:t xml:space="preserve"> </w:t>
      </w:r>
      <w:r w:rsidRPr="00001F32">
        <w:rPr>
          <w:rFonts w:cs="Times New Roman"/>
          <w:lang w:val="pl"/>
        </w:rPr>
        <w:t>25 sierpnia 2026 r.</w:t>
      </w:r>
    </w:p>
    <w:p w14:paraId="39EB9B49" w14:textId="75610A19" w:rsidR="00662711" w:rsidRPr="00001F32" w:rsidRDefault="00662711" w:rsidP="00662711">
      <w:pPr>
        <w:spacing w:after="0" w:afterAutospacing="0" w:line="240" w:lineRule="auto"/>
        <w:rPr>
          <w:rFonts w:eastAsia="Times New Roman" w:cs="Times New Roman"/>
          <w:szCs w:val="24"/>
          <w:lang w:val="pl-PL"/>
        </w:rPr>
      </w:pPr>
    </w:p>
    <w:p w14:paraId="1EB100B6" w14:textId="77777777" w:rsidR="00662711" w:rsidRPr="00001F32" w:rsidRDefault="00662711" w:rsidP="00836337">
      <w:pPr>
        <w:spacing w:after="0" w:afterAutospacing="0" w:line="240" w:lineRule="auto"/>
        <w:rPr>
          <w:rFonts w:eastAsia="Times New Roman" w:cs="Times New Roman"/>
          <w:b/>
          <w:bCs/>
          <w:szCs w:val="24"/>
          <w:lang w:val="pl-PL"/>
        </w:rPr>
      </w:pPr>
      <w:r w:rsidRPr="00001F32">
        <w:rPr>
          <w:rFonts w:eastAsia="Times New Roman" w:cs="Times New Roman"/>
          <w:b/>
          <w:bCs/>
          <w:szCs w:val="24"/>
          <w:lang w:val="pl"/>
        </w:rPr>
        <w:t>Dlaczego napisano to podsumowanie</w:t>
      </w:r>
    </w:p>
    <w:p w14:paraId="3BF0F75F"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W tym podsumowaniu wyjaśniono, do czego służy filtr Option ELITE i co wiadomo na temat jego bezpieczeństwa. Jest ono napisane prostym językiem, z myślą o pacjentach i opinii publicznej.</w:t>
      </w:r>
    </w:p>
    <w:p w14:paraId="083EFE6D"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Podsumowanie to nie zastępuje porady lekarskiej. Jeśli masz pytania dotyczące swojego zdrowia lub leczenia, porozmawiaj ze swoim lekarzem.</w:t>
      </w:r>
    </w:p>
    <w:p w14:paraId="453387B0" w14:textId="26CD4DBB" w:rsidR="00662711" w:rsidRPr="00001F32" w:rsidRDefault="00662711" w:rsidP="00662711">
      <w:pPr>
        <w:spacing w:after="0" w:afterAutospacing="0" w:line="240" w:lineRule="auto"/>
        <w:rPr>
          <w:rFonts w:eastAsia="Times New Roman" w:cs="Times New Roman"/>
          <w:szCs w:val="24"/>
          <w:lang w:val="pl-PL"/>
        </w:rPr>
      </w:pPr>
    </w:p>
    <w:p w14:paraId="64E93E68" w14:textId="77777777" w:rsidR="00662711" w:rsidRPr="00001F32" w:rsidRDefault="00662711" w:rsidP="00836337">
      <w:pPr>
        <w:spacing w:after="0" w:afterAutospacing="0" w:line="240" w:lineRule="auto"/>
        <w:rPr>
          <w:rFonts w:eastAsia="Times New Roman" w:cs="Times New Roman"/>
          <w:b/>
          <w:bCs/>
          <w:szCs w:val="24"/>
          <w:lang w:val="pl-PL"/>
        </w:rPr>
      </w:pPr>
      <w:r w:rsidRPr="00001F32">
        <w:rPr>
          <w:rFonts w:eastAsia="Times New Roman" w:cs="Times New Roman"/>
          <w:b/>
          <w:bCs/>
          <w:szCs w:val="24"/>
          <w:lang w:val="pl"/>
        </w:rPr>
        <w:t>Informacje o wyrobie</w:t>
      </w:r>
    </w:p>
    <w:p w14:paraId="029B9E79" w14:textId="77777777" w:rsidR="00836337" w:rsidRPr="00001F32" w:rsidRDefault="00836337" w:rsidP="00836337">
      <w:pPr>
        <w:spacing w:after="0" w:afterAutospacing="0" w:line="240" w:lineRule="auto"/>
        <w:rPr>
          <w:rFonts w:eastAsia="Times New Roman" w:cs="Times New Roman"/>
          <w:b/>
          <w:bCs/>
          <w:szCs w:val="24"/>
          <w:lang w:val="pl-PL"/>
        </w:rPr>
      </w:pPr>
    </w:p>
    <w:p w14:paraId="630C02F5" w14:textId="7F2F2A51" w:rsidR="00662711" w:rsidRPr="00001F32" w:rsidRDefault="00662711" w:rsidP="00662711">
      <w:pPr>
        <w:spacing w:after="0" w:afterAutospacing="0" w:line="240" w:lineRule="auto"/>
        <w:rPr>
          <w:rFonts w:eastAsia="Times New Roman" w:cs="Times New Roman"/>
          <w:szCs w:val="24"/>
          <w:lang w:val="pl-PL"/>
        </w:rPr>
      </w:pPr>
      <w:r w:rsidRPr="00001F32">
        <w:rPr>
          <w:rFonts w:eastAsia="Times New Roman" w:cs="Times New Roman"/>
          <w:b/>
          <w:bCs/>
          <w:szCs w:val="24"/>
          <w:lang w:val="pl"/>
        </w:rPr>
        <w:t>Nazwa wyrobu:</w:t>
      </w:r>
      <w:r w:rsidRPr="00001F32">
        <w:rPr>
          <w:rFonts w:eastAsia="Times New Roman" w:cs="Times New Roman"/>
          <w:szCs w:val="24"/>
          <w:lang w:val="pl"/>
        </w:rPr>
        <w:br/>
        <w:t>System usuwalnego filtra do żyły głównej Option</w:t>
      </w:r>
      <w:r w:rsidR="005A3CF2" w:rsidRPr="00001F32">
        <w:rPr>
          <w:rFonts w:eastAsia="Times New Roman" w:cs="Times New Roman"/>
          <w:szCs w:val="24"/>
          <w:vertAlign w:val="superscript"/>
          <w:lang w:val="pl"/>
        </w:rPr>
        <w:t>TM</w:t>
      </w:r>
      <w:r w:rsidRPr="00001F32">
        <w:rPr>
          <w:rFonts w:eastAsia="Times New Roman" w:cs="Times New Roman"/>
          <w:szCs w:val="24"/>
          <w:lang w:val="pl"/>
        </w:rPr>
        <w:t xml:space="preserve"> ELITE</w:t>
      </w:r>
    </w:p>
    <w:p w14:paraId="5EDA4F69" w14:textId="77777777" w:rsidR="00662711" w:rsidRPr="00001F32" w:rsidRDefault="00662711" w:rsidP="00662711">
      <w:pPr>
        <w:spacing w:after="0" w:afterAutospacing="0" w:line="240" w:lineRule="auto"/>
        <w:rPr>
          <w:rFonts w:eastAsia="Times New Roman" w:cs="Times New Roman"/>
          <w:szCs w:val="24"/>
        </w:rPr>
      </w:pPr>
      <w:r w:rsidRPr="00001F32">
        <w:rPr>
          <w:rFonts w:eastAsia="Times New Roman" w:cs="Times New Roman"/>
          <w:b/>
          <w:bCs/>
          <w:szCs w:val="24"/>
        </w:rPr>
        <w:t>Producent:</w:t>
      </w:r>
      <w:r w:rsidRPr="00001F32">
        <w:rPr>
          <w:rFonts w:eastAsia="Times New Roman" w:cs="Times New Roman"/>
          <w:b/>
          <w:bCs/>
          <w:szCs w:val="24"/>
        </w:rPr>
        <w:br/>
        <w:t>Argon Medical Devices, Inc.</w:t>
      </w:r>
      <w:r w:rsidRPr="00001F32">
        <w:rPr>
          <w:rFonts w:eastAsia="Times New Roman" w:cs="Times New Roman"/>
          <w:szCs w:val="24"/>
        </w:rPr>
        <w:br/>
        <w:t>1445 Flat Creek Rd</w:t>
      </w:r>
      <w:r w:rsidRPr="00001F32">
        <w:rPr>
          <w:rFonts w:eastAsia="Times New Roman" w:cs="Times New Roman"/>
          <w:szCs w:val="24"/>
        </w:rPr>
        <w:br/>
        <w:t>Athens, Texas 75751</w:t>
      </w:r>
      <w:r w:rsidRPr="00001F32">
        <w:rPr>
          <w:rFonts w:eastAsia="Times New Roman" w:cs="Times New Roman"/>
          <w:szCs w:val="24"/>
        </w:rPr>
        <w:br/>
        <w:t>USA</w:t>
      </w:r>
    </w:p>
    <w:p w14:paraId="1621E817" w14:textId="77777777" w:rsidR="00810EBB" w:rsidRPr="00001F32" w:rsidRDefault="00810EBB">
      <w:pPr>
        <w:spacing w:after="0" w:afterAutospacing="0"/>
        <w:rPr>
          <w:rFonts w:cs="Times New Roman"/>
          <w:kern w:val="2"/>
          <w:szCs w:val="24"/>
          <w:lang w:val="pl-PL"/>
          <w14:ligatures w14:val="standardContextual"/>
        </w:rPr>
      </w:pPr>
      <w:r w:rsidRPr="00001F32">
        <w:rPr>
          <w:rFonts w:cs="Times New Roman"/>
          <w:b/>
          <w:bCs/>
          <w:lang w:val="pl"/>
        </w:rPr>
        <w:t>Pierwsze przyznanie znaku CE w Europie:</w:t>
      </w:r>
      <w:r w:rsidRPr="00001F32">
        <w:rPr>
          <w:rFonts w:cs="Times New Roman"/>
          <w:lang w:val="pl"/>
        </w:rPr>
        <w:br/>
        <w:t>Czerwiec 2016</w:t>
      </w:r>
    </w:p>
    <w:p w14:paraId="25506BE2" w14:textId="77777777" w:rsidR="00FE65F7" w:rsidRPr="00001F32" w:rsidRDefault="00FE65F7" w:rsidP="00FE65F7">
      <w:pPr>
        <w:spacing w:after="0" w:afterAutospacing="0" w:line="240" w:lineRule="auto"/>
        <w:rPr>
          <w:rFonts w:cs="Times New Roman"/>
          <w:szCs w:val="24"/>
          <w:lang w:val="pl-PL"/>
        </w:rPr>
      </w:pPr>
    </w:p>
    <w:p w14:paraId="6695828D"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Poniższa tabela zawiera nazwy wyrobów, numery części i kody identyfikacyjne wyrobów.</w:t>
      </w:r>
    </w:p>
    <w:tbl>
      <w:tblPr>
        <w:tblStyle w:val="TableGrid60004231"/>
        <w:tblW w:w="5000" w:type="pct"/>
        <w:jc w:val="left"/>
        <w:tblInd w:w="0" w:type="dxa"/>
        <w:tblLook w:val="04A0" w:firstRow="1" w:lastRow="0" w:firstColumn="1" w:lastColumn="0" w:noHBand="0" w:noVBand="1"/>
      </w:tblPr>
      <w:tblGrid>
        <w:gridCol w:w="1944"/>
        <w:gridCol w:w="1467"/>
        <w:gridCol w:w="875"/>
        <w:gridCol w:w="1192"/>
        <w:gridCol w:w="1260"/>
        <w:gridCol w:w="1728"/>
        <w:gridCol w:w="1964"/>
      </w:tblGrid>
      <w:tr w:rsidR="00FE65F7" w:rsidRPr="00001F32" w14:paraId="05A10757" w14:textId="77777777" w:rsidTr="00001F32">
        <w:trPr>
          <w:cnfStyle w:val="100000000000" w:firstRow="1" w:lastRow="0" w:firstColumn="0" w:lastColumn="0" w:oddVBand="0" w:evenVBand="0" w:oddHBand="0" w:evenHBand="0" w:firstRowFirstColumn="0" w:firstRowLastColumn="0" w:lastRowFirstColumn="0" w:lastRowLastColumn="0"/>
          <w:tblHeader/>
          <w:jc w:val="left"/>
        </w:trPr>
        <w:tc>
          <w:tcPr>
            <w:tcW w:w="936" w:type="pct"/>
            <w:shd w:val="clear" w:color="auto" w:fill="D9D9D9" w:themeFill="background1" w:themeFillShade="D9"/>
            <w:vAlign w:val="center"/>
          </w:tcPr>
          <w:p w14:paraId="5A04FBFF" w14:textId="77777777" w:rsidR="00FE65F7" w:rsidRPr="00001F32" w:rsidRDefault="00FE65F7" w:rsidP="005801F4">
            <w:pPr>
              <w:spacing w:after="0" w:afterAutospacing="0"/>
              <w:rPr>
                <w:rFonts w:cs="Times New Roman"/>
                <w:sz w:val="20"/>
                <w:szCs w:val="20"/>
              </w:rPr>
            </w:pPr>
            <w:r w:rsidRPr="00001F32">
              <w:rPr>
                <w:rFonts w:cs="Times New Roman"/>
                <w:sz w:val="20"/>
                <w:szCs w:val="20"/>
                <w:lang w:val="pl"/>
              </w:rPr>
              <w:t>Nazwa / opis wyrobu</w:t>
            </w:r>
          </w:p>
        </w:tc>
        <w:tc>
          <w:tcPr>
            <w:tcW w:w="707" w:type="pct"/>
            <w:shd w:val="clear" w:color="auto" w:fill="D9D9D9" w:themeFill="background1" w:themeFillShade="D9"/>
            <w:vAlign w:val="center"/>
          </w:tcPr>
          <w:p w14:paraId="0C4454E9" w14:textId="77777777" w:rsidR="00FE65F7" w:rsidRPr="00001F32" w:rsidRDefault="00FE65F7" w:rsidP="005801F4">
            <w:pPr>
              <w:spacing w:after="0" w:afterAutospacing="0"/>
              <w:rPr>
                <w:rFonts w:cs="Times New Roman"/>
                <w:sz w:val="20"/>
                <w:szCs w:val="20"/>
              </w:rPr>
            </w:pPr>
            <w:r w:rsidRPr="00001F32">
              <w:rPr>
                <w:rFonts w:cs="Times New Roman"/>
                <w:sz w:val="20"/>
                <w:szCs w:val="20"/>
                <w:lang w:val="pl"/>
              </w:rPr>
              <w:t>Numer modelu/numer katalogowy</w:t>
            </w:r>
          </w:p>
        </w:tc>
        <w:tc>
          <w:tcPr>
            <w:tcW w:w="423" w:type="pct"/>
            <w:shd w:val="clear" w:color="auto" w:fill="D9D9D9" w:themeFill="background1" w:themeFillShade="D9"/>
            <w:vAlign w:val="center"/>
          </w:tcPr>
          <w:p w14:paraId="347A1802" w14:textId="77777777" w:rsidR="00FE65F7" w:rsidRPr="00001F32" w:rsidRDefault="00FE65F7" w:rsidP="005801F4">
            <w:pPr>
              <w:spacing w:after="0" w:afterAutospacing="0"/>
              <w:rPr>
                <w:rFonts w:cs="Times New Roman"/>
                <w:sz w:val="20"/>
                <w:szCs w:val="20"/>
              </w:rPr>
            </w:pPr>
            <w:r w:rsidRPr="00001F32">
              <w:rPr>
                <w:rFonts w:cs="Times New Roman"/>
                <w:sz w:val="20"/>
                <w:szCs w:val="20"/>
                <w:lang w:val="pl"/>
              </w:rPr>
              <w:t>Kod GMDN</w:t>
            </w:r>
          </w:p>
        </w:tc>
        <w:tc>
          <w:tcPr>
            <w:tcW w:w="575" w:type="pct"/>
            <w:shd w:val="clear" w:color="auto" w:fill="D9D9D9" w:themeFill="background1" w:themeFillShade="D9"/>
            <w:vAlign w:val="center"/>
          </w:tcPr>
          <w:p w14:paraId="4AF7C264" w14:textId="77777777" w:rsidR="00FE65F7" w:rsidRPr="00001F32" w:rsidRDefault="00FE65F7" w:rsidP="005801F4">
            <w:pPr>
              <w:spacing w:after="0" w:afterAutospacing="0"/>
              <w:rPr>
                <w:rFonts w:cs="Times New Roman"/>
                <w:sz w:val="20"/>
                <w:szCs w:val="20"/>
              </w:rPr>
            </w:pPr>
            <w:r w:rsidRPr="00001F32">
              <w:rPr>
                <w:rFonts w:cs="Times New Roman"/>
                <w:sz w:val="20"/>
                <w:szCs w:val="20"/>
                <w:lang w:val="pl"/>
              </w:rPr>
              <w:t>Kod EMDN</w:t>
            </w:r>
          </w:p>
        </w:tc>
        <w:tc>
          <w:tcPr>
            <w:tcW w:w="586" w:type="pct"/>
            <w:shd w:val="clear" w:color="auto" w:fill="D9D9D9" w:themeFill="background1" w:themeFillShade="D9"/>
            <w:vAlign w:val="center"/>
          </w:tcPr>
          <w:p w14:paraId="1DE962FA" w14:textId="77777777" w:rsidR="00FE65F7" w:rsidRPr="00001F32" w:rsidRDefault="00FE65F7" w:rsidP="005801F4">
            <w:pPr>
              <w:spacing w:after="0" w:afterAutospacing="0"/>
              <w:rPr>
                <w:rFonts w:cs="Times New Roman"/>
                <w:sz w:val="20"/>
                <w:szCs w:val="20"/>
                <w:lang w:val="pl-PL"/>
              </w:rPr>
            </w:pPr>
            <w:r w:rsidRPr="00001F32">
              <w:rPr>
                <w:rFonts w:cs="Times New Roman"/>
                <w:sz w:val="20"/>
                <w:szCs w:val="20"/>
                <w:lang w:val="pl"/>
              </w:rPr>
              <w:t>Klasa/zasada dotycząca wyrobów MDR w UE</w:t>
            </w:r>
          </w:p>
        </w:tc>
        <w:tc>
          <w:tcPr>
            <w:tcW w:w="828" w:type="pct"/>
            <w:shd w:val="clear" w:color="auto" w:fill="D9D9D9" w:themeFill="background1" w:themeFillShade="D9"/>
            <w:vAlign w:val="center"/>
          </w:tcPr>
          <w:p w14:paraId="1D86D2D6" w14:textId="77777777" w:rsidR="00FE65F7" w:rsidRPr="00001F32" w:rsidRDefault="00FE65F7" w:rsidP="005801F4">
            <w:pPr>
              <w:spacing w:after="0" w:afterAutospacing="0"/>
              <w:rPr>
                <w:rFonts w:cs="Times New Roman"/>
                <w:sz w:val="20"/>
                <w:szCs w:val="20"/>
                <w:lang w:val="pl-PL"/>
              </w:rPr>
            </w:pPr>
            <w:r w:rsidRPr="00001F32">
              <w:rPr>
                <w:rFonts w:cs="Times New Roman"/>
                <w:sz w:val="20"/>
                <w:szCs w:val="20"/>
                <w:lang w:val="pl"/>
              </w:rPr>
              <w:t>Podstawowy identyfikator modelu wyrobu (BUDI-DI)</w:t>
            </w:r>
          </w:p>
        </w:tc>
        <w:tc>
          <w:tcPr>
            <w:tcW w:w="946" w:type="pct"/>
            <w:shd w:val="clear" w:color="auto" w:fill="D9D9D9" w:themeFill="background1" w:themeFillShade="D9"/>
            <w:vAlign w:val="center"/>
          </w:tcPr>
          <w:p w14:paraId="58531031" w14:textId="77777777" w:rsidR="00FE65F7" w:rsidRPr="00001F32" w:rsidRDefault="00FE65F7" w:rsidP="00FE0FE7">
            <w:pPr>
              <w:spacing w:after="0" w:afterAutospacing="0"/>
              <w:rPr>
                <w:rFonts w:cs="Times New Roman"/>
                <w:sz w:val="20"/>
                <w:szCs w:val="20"/>
              </w:rPr>
            </w:pPr>
            <w:r w:rsidRPr="00001F32">
              <w:rPr>
                <w:rFonts w:cs="Times New Roman"/>
                <w:sz w:val="20"/>
                <w:szCs w:val="20"/>
                <w:lang w:val="pl"/>
              </w:rPr>
              <w:t>UDI-DI</w:t>
            </w:r>
          </w:p>
        </w:tc>
      </w:tr>
      <w:tr w:rsidR="00FE65F7" w:rsidRPr="00001F32" w14:paraId="3D2300E1" w14:textId="77777777" w:rsidTr="00001F32">
        <w:trPr>
          <w:trHeight w:val="908"/>
          <w:jc w:val="left"/>
        </w:trPr>
        <w:tc>
          <w:tcPr>
            <w:tcW w:w="936" w:type="pct"/>
            <w:vAlign w:val="center"/>
          </w:tcPr>
          <w:p w14:paraId="0DA3386D" w14:textId="77777777" w:rsidR="00FE65F7" w:rsidRPr="00001F32" w:rsidRDefault="00FE65F7" w:rsidP="005801F4">
            <w:pPr>
              <w:spacing w:after="0" w:afterAutospacing="0"/>
              <w:rPr>
                <w:rFonts w:cs="Times New Roman"/>
                <w:sz w:val="20"/>
                <w:szCs w:val="20"/>
                <w:lang w:val="pl-PL"/>
              </w:rPr>
            </w:pPr>
            <w:r w:rsidRPr="00001F32">
              <w:rPr>
                <w:rFonts w:cs="Times New Roman"/>
                <w:sz w:val="20"/>
                <w:szCs w:val="20"/>
                <w:lang w:val="pl"/>
              </w:rPr>
              <w:t>System usuwalnego filtra do żyły głównej Option ELITE</w:t>
            </w:r>
          </w:p>
          <w:p w14:paraId="49B85A54" w14:textId="77777777" w:rsidR="00FE65F7" w:rsidRPr="00001F32" w:rsidRDefault="00FE65F7" w:rsidP="005801F4">
            <w:pPr>
              <w:spacing w:after="0" w:afterAutospacing="0"/>
              <w:rPr>
                <w:rFonts w:cs="Times New Roman"/>
                <w:sz w:val="20"/>
                <w:szCs w:val="20"/>
              </w:rPr>
            </w:pPr>
            <w:r w:rsidRPr="00001F32">
              <w:rPr>
                <w:rFonts w:cs="Times New Roman"/>
                <w:sz w:val="20"/>
                <w:szCs w:val="20"/>
                <w:lang w:val="pl"/>
              </w:rPr>
              <w:t>(70 cm)</w:t>
            </w:r>
          </w:p>
        </w:tc>
        <w:tc>
          <w:tcPr>
            <w:tcW w:w="707" w:type="pct"/>
            <w:vAlign w:val="center"/>
          </w:tcPr>
          <w:p w14:paraId="406E3337" w14:textId="77777777" w:rsidR="00FE65F7" w:rsidRPr="00001F32" w:rsidRDefault="00FE65F7" w:rsidP="005801F4">
            <w:pPr>
              <w:spacing w:after="0" w:afterAutospacing="0"/>
              <w:rPr>
                <w:rFonts w:cs="Times New Roman"/>
                <w:sz w:val="20"/>
                <w:szCs w:val="20"/>
              </w:rPr>
            </w:pPr>
            <w:r w:rsidRPr="00001F32">
              <w:rPr>
                <w:rFonts w:cs="Times New Roman"/>
                <w:sz w:val="20"/>
                <w:szCs w:val="20"/>
              </w:rPr>
              <w:t>352506070E</w:t>
            </w:r>
          </w:p>
        </w:tc>
        <w:tc>
          <w:tcPr>
            <w:tcW w:w="423" w:type="pct"/>
            <w:vMerge w:val="restart"/>
            <w:vAlign w:val="center"/>
          </w:tcPr>
          <w:p w14:paraId="5EAF91A1" w14:textId="77777777" w:rsidR="00FE65F7" w:rsidRPr="00001F32" w:rsidRDefault="00FE65F7" w:rsidP="005801F4">
            <w:pPr>
              <w:spacing w:after="0" w:afterAutospacing="0"/>
              <w:rPr>
                <w:rFonts w:cs="Times New Roman"/>
                <w:sz w:val="20"/>
                <w:szCs w:val="20"/>
              </w:rPr>
            </w:pPr>
          </w:p>
          <w:p w14:paraId="1072C6BA" w14:textId="77777777" w:rsidR="00FE65F7" w:rsidRPr="00001F32" w:rsidRDefault="00FE65F7" w:rsidP="005801F4">
            <w:pPr>
              <w:spacing w:after="0" w:afterAutospacing="0"/>
              <w:rPr>
                <w:rFonts w:cs="Times New Roman"/>
                <w:sz w:val="20"/>
                <w:szCs w:val="20"/>
              </w:rPr>
            </w:pPr>
            <w:r w:rsidRPr="00001F32">
              <w:rPr>
                <w:rFonts w:cs="Times New Roman"/>
                <w:sz w:val="20"/>
                <w:szCs w:val="20"/>
              </w:rPr>
              <w:t>44864</w:t>
            </w:r>
          </w:p>
          <w:p w14:paraId="1E3E7D01" w14:textId="77777777" w:rsidR="00FE65F7" w:rsidRPr="00001F32" w:rsidRDefault="00FE65F7" w:rsidP="005801F4">
            <w:pPr>
              <w:spacing w:after="0" w:afterAutospacing="0"/>
              <w:rPr>
                <w:rFonts w:cs="Times New Roman"/>
                <w:sz w:val="20"/>
                <w:szCs w:val="20"/>
              </w:rPr>
            </w:pPr>
          </w:p>
          <w:p w14:paraId="5E4E4203" w14:textId="77777777" w:rsidR="00FE65F7" w:rsidRPr="00001F32" w:rsidRDefault="00FE65F7" w:rsidP="005801F4">
            <w:pPr>
              <w:spacing w:after="0" w:afterAutospacing="0"/>
              <w:rPr>
                <w:rFonts w:cs="Times New Roman"/>
                <w:sz w:val="20"/>
                <w:szCs w:val="20"/>
              </w:rPr>
            </w:pPr>
          </w:p>
        </w:tc>
        <w:tc>
          <w:tcPr>
            <w:tcW w:w="575" w:type="pct"/>
            <w:vMerge w:val="restart"/>
            <w:vAlign w:val="center"/>
          </w:tcPr>
          <w:p w14:paraId="7B476532" w14:textId="77777777" w:rsidR="00FE65F7" w:rsidRPr="00001F32" w:rsidRDefault="00FE65F7" w:rsidP="005801F4">
            <w:pPr>
              <w:spacing w:after="0" w:afterAutospacing="0"/>
              <w:rPr>
                <w:rFonts w:cs="Times New Roman"/>
                <w:sz w:val="20"/>
                <w:szCs w:val="20"/>
              </w:rPr>
            </w:pPr>
          </w:p>
          <w:p w14:paraId="7D0235E2" w14:textId="77777777" w:rsidR="00FE65F7" w:rsidRPr="00001F32" w:rsidRDefault="00FE65F7" w:rsidP="005801F4">
            <w:pPr>
              <w:spacing w:after="0" w:afterAutospacing="0"/>
              <w:rPr>
                <w:rFonts w:cs="Times New Roman"/>
                <w:sz w:val="20"/>
                <w:szCs w:val="20"/>
              </w:rPr>
            </w:pPr>
            <w:r w:rsidRPr="00001F32">
              <w:rPr>
                <w:rFonts w:cs="Times New Roman"/>
                <w:sz w:val="20"/>
                <w:szCs w:val="20"/>
              </w:rPr>
              <w:t>C01050101</w:t>
            </w:r>
          </w:p>
          <w:p w14:paraId="58DA0FB8" w14:textId="77777777" w:rsidR="00FE65F7" w:rsidRPr="00001F32" w:rsidRDefault="00FE65F7" w:rsidP="005801F4">
            <w:pPr>
              <w:spacing w:after="0" w:afterAutospacing="0"/>
              <w:rPr>
                <w:rFonts w:cs="Times New Roman"/>
                <w:sz w:val="20"/>
                <w:szCs w:val="20"/>
              </w:rPr>
            </w:pPr>
          </w:p>
          <w:p w14:paraId="4099DFFC" w14:textId="77777777" w:rsidR="00FE65F7" w:rsidRPr="00001F32" w:rsidRDefault="00FE65F7" w:rsidP="005801F4">
            <w:pPr>
              <w:spacing w:after="0" w:afterAutospacing="0"/>
              <w:rPr>
                <w:rFonts w:cs="Times New Roman"/>
                <w:sz w:val="20"/>
                <w:szCs w:val="20"/>
              </w:rPr>
            </w:pPr>
          </w:p>
        </w:tc>
        <w:tc>
          <w:tcPr>
            <w:tcW w:w="586" w:type="pct"/>
            <w:vMerge w:val="restart"/>
            <w:vAlign w:val="center"/>
          </w:tcPr>
          <w:p w14:paraId="6A328DBA" w14:textId="77777777" w:rsidR="00FE65F7" w:rsidRPr="00001F32" w:rsidRDefault="00FE65F7" w:rsidP="005801F4">
            <w:pPr>
              <w:spacing w:after="0" w:afterAutospacing="0"/>
              <w:rPr>
                <w:rFonts w:cs="Times New Roman"/>
                <w:sz w:val="20"/>
                <w:szCs w:val="20"/>
              </w:rPr>
            </w:pPr>
            <w:r w:rsidRPr="00001F32">
              <w:rPr>
                <w:rFonts w:cs="Times New Roman"/>
                <w:sz w:val="20"/>
                <w:szCs w:val="20"/>
                <w:lang w:val="pl"/>
              </w:rPr>
              <w:t xml:space="preserve">III/Zasada 8 </w:t>
            </w:r>
          </w:p>
          <w:p w14:paraId="307407D7" w14:textId="77777777" w:rsidR="00FE65F7" w:rsidRPr="00001F32" w:rsidRDefault="00FE65F7" w:rsidP="005801F4">
            <w:pPr>
              <w:spacing w:after="0" w:afterAutospacing="0"/>
              <w:rPr>
                <w:rFonts w:cs="Times New Roman"/>
                <w:sz w:val="20"/>
                <w:szCs w:val="20"/>
              </w:rPr>
            </w:pPr>
          </w:p>
        </w:tc>
        <w:tc>
          <w:tcPr>
            <w:tcW w:w="828" w:type="pct"/>
            <w:vMerge w:val="restart"/>
            <w:vAlign w:val="center"/>
          </w:tcPr>
          <w:p w14:paraId="6E5D92D4" w14:textId="77777777" w:rsidR="00FE65F7" w:rsidRPr="00001F32" w:rsidRDefault="00FE65F7" w:rsidP="005801F4">
            <w:pPr>
              <w:spacing w:after="0" w:afterAutospacing="0"/>
              <w:rPr>
                <w:rFonts w:cs="Times New Roman"/>
                <w:sz w:val="20"/>
                <w:szCs w:val="20"/>
              </w:rPr>
            </w:pPr>
            <w:r w:rsidRPr="00001F32">
              <w:rPr>
                <w:rFonts w:cs="Times New Roman"/>
                <w:sz w:val="20"/>
                <w:szCs w:val="20"/>
              </w:rPr>
              <w:t>08863332800012P</w:t>
            </w:r>
          </w:p>
          <w:p w14:paraId="16D6B30C" w14:textId="77777777" w:rsidR="00FE65F7" w:rsidRPr="00001F32" w:rsidRDefault="00FE65F7" w:rsidP="005801F4">
            <w:pPr>
              <w:spacing w:after="0" w:afterAutospacing="0"/>
              <w:rPr>
                <w:rFonts w:cs="Times New Roman"/>
                <w:sz w:val="20"/>
                <w:szCs w:val="20"/>
              </w:rPr>
            </w:pPr>
          </w:p>
        </w:tc>
        <w:tc>
          <w:tcPr>
            <w:tcW w:w="946" w:type="pct"/>
            <w:vAlign w:val="center"/>
          </w:tcPr>
          <w:p w14:paraId="459F99B8" w14:textId="77777777" w:rsidR="00FE65F7" w:rsidRPr="00001F32" w:rsidRDefault="00FE65F7" w:rsidP="00FE0FE7">
            <w:pPr>
              <w:spacing w:after="0" w:afterAutospacing="0"/>
              <w:rPr>
                <w:rFonts w:cs="Times New Roman"/>
                <w:sz w:val="20"/>
                <w:szCs w:val="20"/>
              </w:rPr>
            </w:pPr>
          </w:p>
          <w:p w14:paraId="16D8F0D4" w14:textId="77777777" w:rsidR="00FE65F7" w:rsidRPr="00001F32" w:rsidRDefault="00FE65F7" w:rsidP="00FE0FE7">
            <w:pPr>
              <w:spacing w:after="0" w:afterAutospacing="0"/>
              <w:rPr>
                <w:rFonts w:cs="Times New Roman"/>
                <w:sz w:val="20"/>
                <w:szCs w:val="20"/>
              </w:rPr>
            </w:pPr>
            <w:r w:rsidRPr="00001F32">
              <w:rPr>
                <w:rFonts w:cs="Times New Roman"/>
                <w:sz w:val="20"/>
                <w:szCs w:val="20"/>
              </w:rPr>
              <w:t>00886333217151</w:t>
            </w:r>
          </w:p>
          <w:p w14:paraId="1B9BA559" w14:textId="77777777" w:rsidR="00FE65F7" w:rsidRPr="00001F32" w:rsidRDefault="00FE65F7" w:rsidP="00FE0FE7">
            <w:pPr>
              <w:spacing w:after="0" w:afterAutospacing="0"/>
              <w:rPr>
                <w:rFonts w:cs="Times New Roman"/>
                <w:sz w:val="20"/>
                <w:szCs w:val="20"/>
              </w:rPr>
            </w:pPr>
          </w:p>
        </w:tc>
      </w:tr>
      <w:tr w:rsidR="00FE65F7" w:rsidRPr="00001F32" w14:paraId="0AD5CB9D" w14:textId="77777777" w:rsidTr="00001F32">
        <w:trPr>
          <w:jc w:val="left"/>
        </w:trPr>
        <w:tc>
          <w:tcPr>
            <w:tcW w:w="936" w:type="pct"/>
            <w:vAlign w:val="center"/>
          </w:tcPr>
          <w:p w14:paraId="02E57E66" w14:textId="6C5DADF5" w:rsidR="00FE65F7" w:rsidRPr="00001F32" w:rsidRDefault="00FE65F7" w:rsidP="005801F4">
            <w:pPr>
              <w:spacing w:after="0" w:afterAutospacing="0"/>
              <w:rPr>
                <w:rFonts w:cs="Times New Roman"/>
                <w:sz w:val="20"/>
                <w:szCs w:val="20"/>
                <w:lang w:val="pl-PL"/>
              </w:rPr>
            </w:pPr>
            <w:r w:rsidRPr="00001F32">
              <w:rPr>
                <w:rFonts w:cs="Times New Roman"/>
                <w:sz w:val="20"/>
                <w:szCs w:val="20"/>
                <w:lang w:val="pl"/>
              </w:rPr>
              <w:lastRenderedPageBreak/>
              <w:t>System usuwalnego filtra do żyły głównej Option Elite (100</w:t>
            </w:r>
            <w:r w:rsidR="00FE0FE7" w:rsidRPr="00001F32">
              <w:rPr>
                <w:rFonts w:cs="Times New Roman"/>
                <w:sz w:val="20"/>
                <w:szCs w:val="20"/>
                <w:lang w:val="pl"/>
              </w:rPr>
              <w:t> </w:t>
            </w:r>
            <w:r w:rsidRPr="00001F32">
              <w:rPr>
                <w:rFonts w:cs="Times New Roman"/>
                <w:sz w:val="20"/>
                <w:szCs w:val="20"/>
                <w:lang w:val="pl"/>
              </w:rPr>
              <w:t>cm)</w:t>
            </w:r>
          </w:p>
        </w:tc>
        <w:tc>
          <w:tcPr>
            <w:tcW w:w="707" w:type="pct"/>
            <w:vAlign w:val="center"/>
          </w:tcPr>
          <w:p w14:paraId="392ECD8C" w14:textId="77777777" w:rsidR="00FE65F7" w:rsidRPr="00001F32" w:rsidRDefault="00FE65F7" w:rsidP="005801F4">
            <w:pPr>
              <w:spacing w:after="0" w:afterAutospacing="0"/>
              <w:rPr>
                <w:rFonts w:cs="Times New Roman"/>
                <w:sz w:val="20"/>
                <w:szCs w:val="20"/>
                <w:lang w:val="pl-PL"/>
              </w:rPr>
            </w:pPr>
            <w:r w:rsidRPr="00001F32">
              <w:rPr>
                <w:rFonts w:cs="Times New Roman"/>
                <w:sz w:val="20"/>
                <w:szCs w:val="20"/>
                <w:lang w:val="pl-PL"/>
              </w:rPr>
              <w:t>352506100E</w:t>
            </w:r>
          </w:p>
        </w:tc>
        <w:tc>
          <w:tcPr>
            <w:tcW w:w="423" w:type="pct"/>
            <w:vMerge/>
            <w:vAlign w:val="center"/>
          </w:tcPr>
          <w:p w14:paraId="53903A12" w14:textId="77777777" w:rsidR="00FE65F7" w:rsidRPr="00001F32" w:rsidRDefault="00FE65F7" w:rsidP="005801F4">
            <w:pPr>
              <w:spacing w:after="0" w:afterAutospacing="0"/>
              <w:rPr>
                <w:rFonts w:cs="Times New Roman"/>
                <w:sz w:val="20"/>
                <w:szCs w:val="20"/>
                <w:lang w:val="pl-PL"/>
              </w:rPr>
            </w:pPr>
          </w:p>
        </w:tc>
        <w:tc>
          <w:tcPr>
            <w:tcW w:w="575" w:type="pct"/>
            <w:vMerge/>
            <w:vAlign w:val="center"/>
          </w:tcPr>
          <w:p w14:paraId="5F109695" w14:textId="77777777" w:rsidR="00FE65F7" w:rsidRPr="00001F32" w:rsidRDefault="00FE65F7" w:rsidP="005801F4">
            <w:pPr>
              <w:spacing w:after="0" w:afterAutospacing="0"/>
              <w:rPr>
                <w:rFonts w:cs="Times New Roman"/>
                <w:sz w:val="20"/>
                <w:szCs w:val="20"/>
                <w:lang w:val="pl-PL"/>
              </w:rPr>
            </w:pPr>
          </w:p>
        </w:tc>
        <w:tc>
          <w:tcPr>
            <w:tcW w:w="586" w:type="pct"/>
            <w:vMerge/>
            <w:vAlign w:val="center"/>
          </w:tcPr>
          <w:p w14:paraId="1A6DCE5D" w14:textId="77777777" w:rsidR="00FE65F7" w:rsidRPr="00001F32" w:rsidRDefault="00FE65F7" w:rsidP="005801F4">
            <w:pPr>
              <w:spacing w:after="0" w:afterAutospacing="0"/>
              <w:rPr>
                <w:rFonts w:cs="Times New Roman"/>
                <w:sz w:val="20"/>
                <w:szCs w:val="20"/>
                <w:lang w:val="pl-PL"/>
              </w:rPr>
            </w:pPr>
          </w:p>
        </w:tc>
        <w:tc>
          <w:tcPr>
            <w:tcW w:w="828" w:type="pct"/>
            <w:vMerge/>
            <w:vAlign w:val="center"/>
          </w:tcPr>
          <w:p w14:paraId="01927F69" w14:textId="77777777" w:rsidR="00FE65F7" w:rsidRPr="00001F32" w:rsidRDefault="00FE65F7" w:rsidP="005801F4">
            <w:pPr>
              <w:spacing w:after="0" w:afterAutospacing="0"/>
              <w:rPr>
                <w:rFonts w:cs="Times New Roman"/>
                <w:sz w:val="20"/>
                <w:szCs w:val="20"/>
                <w:lang w:val="pl-PL"/>
              </w:rPr>
            </w:pPr>
          </w:p>
        </w:tc>
        <w:tc>
          <w:tcPr>
            <w:tcW w:w="946" w:type="pct"/>
            <w:vAlign w:val="center"/>
          </w:tcPr>
          <w:p w14:paraId="6C2E8668" w14:textId="77777777" w:rsidR="00FE65F7" w:rsidRPr="00001F32" w:rsidRDefault="00FE65F7" w:rsidP="00FE0FE7">
            <w:pPr>
              <w:spacing w:after="0" w:afterAutospacing="0"/>
              <w:rPr>
                <w:rFonts w:cs="Times New Roman"/>
                <w:sz w:val="20"/>
                <w:szCs w:val="20"/>
                <w:lang w:val="pl-PL"/>
              </w:rPr>
            </w:pPr>
          </w:p>
          <w:p w14:paraId="4FE72484" w14:textId="77777777" w:rsidR="00FE65F7" w:rsidRPr="00001F32" w:rsidRDefault="00FE65F7" w:rsidP="00FE0FE7">
            <w:pPr>
              <w:spacing w:after="0" w:afterAutospacing="0"/>
              <w:rPr>
                <w:rFonts w:cs="Times New Roman"/>
                <w:sz w:val="20"/>
                <w:szCs w:val="20"/>
                <w:lang w:val="pl-PL"/>
              </w:rPr>
            </w:pPr>
            <w:r w:rsidRPr="00001F32">
              <w:rPr>
                <w:rFonts w:cs="Times New Roman"/>
                <w:sz w:val="20"/>
                <w:szCs w:val="20"/>
                <w:lang w:val="pl-PL"/>
              </w:rPr>
              <w:t>00886333222346</w:t>
            </w:r>
          </w:p>
          <w:p w14:paraId="7170AE26" w14:textId="77777777" w:rsidR="00FE65F7" w:rsidRPr="00001F32" w:rsidRDefault="00FE65F7" w:rsidP="00FE0FE7">
            <w:pPr>
              <w:spacing w:after="0" w:afterAutospacing="0"/>
              <w:rPr>
                <w:rFonts w:cs="Times New Roman"/>
                <w:sz w:val="20"/>
                <w:szCs w:val="20"/>
                <w:lang w:val="pl-PL"/>
              </w:rPr>
            </w:pPr>
          </w:p>
        </w:tc>
      </w:tr>
    </w:tbl>
    <w:p w14:paraId="06F9CA56" w14:textId="77777777" w:rsidR="00FE65F7" w:rsidRPr="00001F32" w:rsidRDefault="00FE65F7" w:rsidP="00662711">
      <w:pPr>
        <w:spacing w:after="0" w:afterAutospacing="0" w:line="240" w:lineRule="auto"/>
        <w:rPr>
          <w:rFonts w:eastAsia="Times New Roman" w:cs="Times New Roman"/>
          <w:szCs w:val="24"/>
          <w:lang w:val="pl-PL"/>
        </w:rPr>
      </w:pPr>
    </w:p>
    <w:p w14:paraId="115BE919" w14:textId="60E7783A" w:rsidR="00657878" w:rsidRPr="00001F32" w:rsidRDefault="00662711" w:rsidP="00657878">
      <w:pPr>
        <w:spacing w:after="0" w:afterAutospacing="0" w:line="240" w:lineRule="auto"/>
        <w:rPr>
          <w:rFonts w:eastAsia="Times New Roman" w:cs="Times New Roman"/>
          <w:b/>
          <w:bCs/>
          <w:szCs w:val="24"/>
          <w:lang w:val="pl-PL"/>
        </w:rPr>
      </w:pPr>
      <w:r w:rsidRPr="00001F32">
        <w:rPr>
          <w:rFonts w:eastAsia="Times New Roman" w:cs="Times New Roman"/>
          <w:b/>
          <w:bCs/>
          <w:szCs w:val="24"/>
          <w:lang w:val="pl"/>
        </w:rPr>
        <w:t>Do czego służy ten wyrób?</w:t>
      </w:r>
    </w:p>
    <w:p w14:paraId="4684C39B" w14:textId="6D1DEE5A"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Filtr Option ELITE pomaga zmniejszyć ryzyko przedostania się skrzepu krwi do płuc. Zakrzep krwi w płucach nazywa się zatorowością płucną, w skrócie ZP. ZP może mieć bardzo poważne skutki.</w:t>
      </w:r>
    </w:p>
    <w:p w14:paraId="5613169E"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Filtr umieszcza się w dużej żyle w brzuchu. Żyła ta nazywana jest żyłą główną dolną, w skrócie IVC. Żyła główna dolna prowadzi krew z nóg z powrotem do serca.</w:t>
      </w:r>
    </w:p>
    <w:p w14:paraId="3912C9BD"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Filtr działa na zasadzie małej siateczki. Wychwytuje skrzepy krwi, ale nadal pozwala krwi przepływać przez żyłę.</w:t>
      </w:r>
    </w:p>
    <w:p w14:paraId="72EEEA08" w14:textId="0E0A263F" w:rsidR="00662711" w:rsidRPr="00001F32" w:rsidRDefault="00662711" w:rsidP="00662711">
      <w:pPr>
        <w:spacing w:after="0" w:afterAutospacing="0" w:line="240" w:lineRule="auto"/>
        <w:rPr>
          <w:rFonts w:eastAsia="Times New Roman" w:cs="Times New Roman"/>
          <w:szCs w:val="24"/>
          <w:lang w:val="pl-PL"/>
        </w:rPr>
      </w:pPr>
    </w:p>
    <w:p w14:paraId="529525D3" w14:textId="77777777" w:rsidR="00662711" w:rsidRPr="00001F32" w:rsidRDefault="00662711" w:rsidP="00657878">
      <w:pPr>
        <w:spacing w:after="0" w:afterAutospacing="0" w:line="240" w:lineRule="auto"/>
        <w:rPr>
          <w:rFonts w:eastAsia="Times New Roman" w:cs="Times New Roman"/>
          <w:b/>
          <w:bCs/>
          <w:szCs w:val="24"/>
          <w:lang w:val="pl-PL"/>
        </w:rPr>
      </w:pPr>
      <w:r w:rsidRPr="00001F32">
        <w:rPr>
          <w:rFonts w:eastAsia="Times New Roman" w:cs="Times New Roman"/>
          <w:b/>
          <w:bCs/>
          <w:szCs w:val="24"/>
          <w:lang w:val="pl"/>
        </w:rPr>
        <w:t>W jakich sytuacjach używa się tego wyrobu?</w:t>
      </w:r>
    </w:p>
    <w:p w14:paraId="2D78018E" w14:textId="1C9483B0"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Filtr można stosować w sytuacji, gdy nie można bezpiecznie stosować leku rozrzedzającego krew, nie działa on zgodnie z oczekiwaniami lub z przyczyn medycznych konieczne jest jego odstawienie. Można go również stosować w przypadku konieczności natychmiastowego leczenia po masywnym zatorze płucnym, gdy oczekiwane korzyści ze standardowego leczenia są zmniejszone.</w:t>
      </w:r>
    </w:p>
    <w:p w14:paraId="5B0E599B"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O zastosowaniu filtra może zdecydować tylko lekarz.</w:t>
      </w:r>
    </w:p>
    <w:p w14:paraId="12F51B61" w14:textId="366A0146" w:rsidR="00662711" w:rsidRPr="00001F32" w:rsidRDefault="00662711" w:rsidP="00662711">
      <w:pPr>
        <w:spacing w:after="0" w:afterAutospacing="0" w:line="240" w:lineRule="auto"/>
        <w:rPr>
          <w:rFonts w:eastAsia="Times New Roman" w:cs="Times New Roman"/>
          <w:szCs w:val="24"/>
          <w:lang w:val="pl-PL"/>
        </w:rPr>
      </w:pPr>
    </w:p>
    <w:p w14:paraId="602820B1" w14:textId="77777777" w:rsidR="00662711" w:rsidRPr="00001F32" w:rsidRDefault="00662711" w:rsidP="00657878">
      <w:pPr>
        <w:spacing w:after="0" w:afterAutospacing="0" w:line="240" w:lineRule="auto"/>
        <w:rPr>
          <w:rFonts w:eastAsia="Times New Roman" w:cs="Times New Roman"/>
          <w:b/>
          <w:bCs/>
          <w:szCs w:val="24"/>
          <w:lang w:val="pl-PL"/>
        </w:rPr>
      </w:pPr>
      <w:r w:rsidRPr="00001F32">
        <w:rPr>
          <w:rFonts w:eastAsia="Times New Roman" w:cs="Times New Roman"/>
          <w:b/>
          <w:bCs/>
          <w:szCs w:val="24"/>
          <w:lang w:val="pl"/>
        </w:rPr>
        <w:t>Dla kogo jest przeznaczone to urządzenie?</w:t>
      </w:r>
    </w:p>
    <w:p w14:paraId="4DDC6C83"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Filtr Option ELITE można stosować u osób dorosłych, u których występują zakrzepy mogące przedostać się do płuc. Może być stosowany w przypadku, gdy nie można bezpiecznie stosować leków rozrzedzających krew, nie działają one wystarczająco skutecznie lub muszą zostać odstawione. Można go również stosować w nagłych przypadkach, gdy duży skrzep krwi dostanie się do płuc, a zwykłe leczenie okazuje się nieskuteczne.</w:t>
      </w:r>
    </w:p>
    <w:p w14:paraId="5378ABF1" w14:textId="2411D123" w:rsidR="00662711" w:rsidRPr="00001F32" w:rsidRDefault="00662711" w:rsidP="00662711">
      <w:pPr>
        <w:spacing w:after="0" w:afterAutospacing="0" w:line="240" w:lineRule="auto"/>
        <w:rPr>
          <w:rFonts w:eastAsia="Times New Roman" w:cs="Times New Roman"/>
          <w:szCs w:val="24"/>
          <w:lang w:val="pl-PL"/>
        </w:rPr>
      </w:pPr>
    </w:p>
    <w:p w14:paraId="57692706" w14:textId="77777777" w:rsidR="00662711" w:rsidRPr="00001F32" w:rsidRDefault="00662711" w:rsidP="00657878">
      <w:pPr>
        <w:spacing w:after="0" w:afterAutospacing="0" w:line="240" w:lineRule="auto"/>
        <w:rPr>
          <w:rFonts w:eastAsia="Times New Roman" w:cs="Times New Roman"/>
          <w:b/>
          <w:bCs/>
          <w:szCs w:val="24"/>
          <w:lang w:val="pl-PL"/>
        </w:rPr>
      </w:pPr>
      <w:r w:rsidRPr="00001F32">
        <w:rPr>
          <w:rFonts w:eastAsia="Times New Roman" w:cs="Times New Roman"/>
          <w:b/>
          <w:bCs/>
          <w:szCs w:val="24"/>
          <w:lang w:val="pl"/>
        </w:rPr>
        <w:t>W jakich sytuacjach wyrobu nie należy używać?</w:t>
      </w:r>
    </w:p>
    <w:p w14:paraId="6EE148F6"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Filtra nie należy używać, jeżeli:</w:t>
      </w:r>
    </w:p>
    <w:p w14:paraId="21050D13" w14:textId="77777777" w:rsidR="00992327" w:rsidRPr="00001F32" w:rsidRDefault="00992327" w:rsidP="00992327">
      <w:pPr>
        <w:pStyle w:val="ListParagraph"/>
        <w:numPr>
          <w:ilvl w:val="0"/>
          <w:numId w:val="12"/>
        </w:numPr>
        <w:rPr>
          <w:rFonts w:cs="Times New Roman"/>
          <w:kern w:val="2"/>
          <w:szCs w:val="24"/>
          <w:lang w:val="pl-PL"/>
          <w14:ligatures w14:val="standardContextual"/>
        </w:rPr>
      </w:pPr>
      <w:r w:rsidRPr="00001F32">
        <w:rPr>
          <w:rFonts w:cs="Times New Roman"/>
          <w:lang w:val="pl"/>
        </w:rPr>
        <w:t>Duża żyła, zwana żyłą główną dolną, jest zbyt szeroka, aby filtr mógł się do niej bezpiecznie dopasować</w:t>
      </w:r>
    </w:p>
    <w:p w14:paraId="065C5C58" w14:textId="77777777" w:rsidR="00992327" w:rsidRPr="00001F32" w:rsidRDefault="00992327" w:rsidP="00992327">
      <w:pPr>
        <w:pStyle w:val="ListParagraph"/>
        <w:numPr>
          <w:ilvl w:val="0"/>
          <w:numId w:val="12"/>
        </w:numPr>
        <w:rPr>
          <w:rFonts w:cs="Times New Roman"/>
          <w:kern w:val="2"/>
          <w:szCs w:val="24"/>
          <w:lang w:val="pl-PL"/>
          <w14:ligatures w14:val="standardContextual"/>
        </w:rPr>
      </w:pPr>
      <w:r w:rsidRPr="00001F32">
        <w:rPr>
          <w:rFonts w:cs="Times New Roman"/>
          <w:lang w:val="pl"/>
        </w:rPr>
        <w:t>Pacjent ma zakażenie krwi lub istnieje ryzyko przemieszczania się wraz z krwią zakażonych skrzepów</w:t>
      </w:r>
    </w:p>
    <w:p w14:paraId="3C6F1540" w14:textId="77777777" w:rsidR="00992327" w:rsidRPr="00001F32" w:rsidRDefault="00992327" w:rsidP="00992327">
      <w:pPr>
        <w:pStyle w:val="ListParagraph"/>
        <w:numPr>
          <w:ilvl w:val="0"/>
          <w:numId w:val="12"/>
        </w:numPr>
        <w:rPr>
          <w:rFonts w:cs="Times New Roman"/>
          <w:kern w:val="2"/>
          <w:szCs w:val="24"/>
          <w:lang w:val="pl-PL"/>
          <w14:ligatures w14:val="standardContextual"/>
        </w:rPr>
      </w:pPr>
      <w:r w:rsidRPr="00001F32">
        <w:rPr>
          <w:rFonts w:cs="Times New Roman"/>
          <w:lang w:val="pl"/>
        </w:rPr>
        <w:t>Pacjent ma uczulenie na nikiel lub tytan, które są metalami zawartymi w filtrze</w:t>
      </w:r>
    </w:p>
    <w:p w14:paraId="60A4AB85" w14:textId="77777777" w:rsidR="00992327" w:rsidRPr="00001F32" w:rsidRDefault="00992327" w:rsidP="00992327">
      <w:pPr>
        <w:pStyle w:val="ListParagraph"/>
        <w:numPr>
          <w:ilvl w:val="0"/>
          <w:numId w:val="12"/>
        </w:numPr>
        <w:rPr>
          <w:rFonts w:cs="Times New Roman"/>
          <w:kern w:val="2"/>
          <w:lang w:val="pl-PL"/>
          <w14:ligatures w14:val="standardContextual"/>
        </w:rPr>
      </w:pPr>
      <w:r w:rsidRPr="00001F32">
        <w:rPr>
          <w:rFonts w:cs="Times New Roman"/>
          <w:lang w:val="pl"/>
        </w:rPr>
        <w:t>Pacjentka jest w ciąży i promienie rentgenowskie mogą zaszkodzić nienarodzonemu dziecku</w:t>
      </w:r>
    </w:p>
    <w:p w14:paraId="33F6A52B"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O tym, czy wyrób ten jest w Państwa przypadku odpowiedni, zadecyduje Państwa lekarz.</w:t>
      </w:r>
    </w:p>
    <w:p w14:paraId="47B0ABE8" w14:textId="43F9A0C1" w:rsidR="00662711" w:rsidRPr="00001F32" w:rsidRDefault="00662711" w:rsidP="00662711">
      <w:pPr>
        <w:spacing w:after="0" w:afterAutospacing="0" w:line="240" w:lineRule="auto"/>
        <w:rPr>
          <w:rFonts w:eastAsia="Times New Roman" w:cs="Times New Roman"/>
          <w:szCs w:val="24"/>
          <w:lang w:val="pl-PL"/>
        </w:rPr>
      </w:pPr>
    </w:p>
    <w:p w14:paraId="5FBFC356" w14:textId="77777777" w:rsidR="00662711" w:rsidRPr="00001F32" w:rsidRDefault="00662711" w:rsidP="00001F32">
      <w:pPr>
        <w:keepNext/>
        <w:spacing w:after="0" w:afterAutospacing="0" w:line="240" w:lineRule="auto"/>
        <w:rPr>
          <w:rFonts w:eastAsia="Times New Roman" w:cs="Times New Roman"/>
          <w:b/>
          <w:bCs/>
          <w:szCs w:val="24"/>
          <w:lang w:val="pl-PL"/>
        </w:rPr>
      </w:pPr>
      <w:r w:rsidRPr="00001F32">
        <w:rPr>
          <w:rFonts w:eastAsia="Times New Roman" w:cs="Times New Roman"/>
          <w:b/>
          <w:bCs/>
          <w:szCs w:val="24"/>
          <w:lang w:val="pl"/>
        </w:rPr>
        <w:lastRenderedPageBreak/>
        <w:t>Co to jest za wyrób i jak działa?</w:t>
      </w:r>
    </w:p>
    <w:p w14:paraId="76BCE32D"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Filtr Option ELITE to niewielkie urządzenie metalowe. Wprowadza się go do dużej żyły za pomocą małej rurki. Nie jest w tym celu konieczna operacja chirurgiczna.</w:t>
      </w:r>
    </w:p>
    <w:p w14:paraId="025691BB"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Wykonany jest z elastycznego stopu niklowo-tytanowego. Dzięki temu filtr może otwierać się i pozostawać na miejscu wewnątrz żyły.</w:t>
      </w:r>
    </w:p>
    <w:p w14:paraId="4512A3A6"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Filtr zatrzymuje skrzepy krwi, zapobiegając ich przedostaniu się do płuc. U niektórych pacjentów filtr można później usunąć, gdy nie będzie już potrzebny. Jeśli filtr nie jest już potrzebny, a jego usunięcie jest bezpieczne i właściwe, lekarze powinni rozważyć jego usunięcie w zalecanym terminie, podanym w instrukcji użytkowania.</w:t>
      </w:r>
    </w:p>
    <w:p w14:paraId="0231F5F9"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Wyrób nie zawiera leków. Działa poprzez fizyczne zapobieganie powstawaniu skrzepów.</w:t>
      </w:r>
    </w:p>
    <w:p w14:paraId="33FA7FF1" w14:textId="5A98EB32" w:rsidR="00662711" w:rsidRPr="00001F32" w:rsidRDefault="00662711" w:rsidP="00662711">
      <w:pPr>
        <w:spacing w:after="0" w:afterAutospacing="0" w:line="240" w:lineRule="auto"/>
        <w:rPr>
          <w:rFonts w:eastAsia="Times New Roman" w:cs="Times New Roman"/>
          <w:szCs w:val="24"/>
          <w:lang w:val="pl-PL"/>
        </w:rPr>
      </w:pPr>
    </w:p>
    <w:p w14:paraId="2C0AFD18" w14:textId="77777777" w:rsidR="00662711" w:rsidRPr="00001F32" w:rsidRDefault="00662711" w:rsidP="0042251D">
      <w:pPr>
        <w:spacing w:after="0" w:afterAutospacing="0" w:line="240" w:lineRule="auto"/>
        <w:rPr>
          <w:rFonts w:eastAsia="Times New Roman" w:cs="Times New Roman"/>
          <w:b/>
          <w:bCs/>
          <w:szCs w:val="24"/>
          <w:lang w:val="pl-PL"/>
        </w:rPr>
      </w:pPr>
      <w:r w:rsidRPr="00001F32">
        <w:rPr>
          <w:rFonts w:eastAsia="Times New Roman" w:cs="Times New Roman"/>
          <w:b/>
          <w:bCs/>
          <w:szCs w:val="24"/>
          <w:lang w:val="pl"/>
        </w:rPr>
        <w:t>Jakie materiały mają styczność z ciałem?</w:t>
      </w:r>
    </w:p>
    <w:p w14:paraId="6B69077D"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Filtr wykonany jest ze stopu niklowo-tytanowego. Posiada również elementy, które ułatwiają lekarzom oglądanie go na zdjęciach rentgenowskich.</w:t>
      </w:r>
    </w:p>
    <w:p w14:paraId="48CA1E4E" w14:textId="77777777" w:rsidR="00CD4BCD" w:rsidRPr="00001F32" w:rsidRDefault="00CD4BCD" w:rsidP="00662711">
      <w:pPr>
        <w:spacing w:after="0" w:afterAutospacing="0" w:line="240" w:lineRule="auto"/>
        <w:rPr>
          <w:rFonts w:eastAsia="Times New Roman" w:cs="Times New Roman"/>
          <w:szCs w:val="24"/>
          <w:lang w:val="pl-PL"/>
        </w:rPr>
      </w:pPr>
    </w:p>
    <w:p w14:paraId="45E06046" w14:textId="77777777" w:rsidR="00662711" w:rsidRPr="00001F32" w:rsidRDefault="00662711" w:rsidP="00A07827">
      <w:pPr>
        <w:spacing w:after="0" w:afterAutospacing="0" w:line="240" w:lineRule="auto"/>
        <w:rPr>
          <w:rFonts w:eastAsia="Times New Roman" w:cs="Times New Roman"/>
          <w:b/>
          <w:bCs/>
          <w:szCs w:val="24"/>
          <w:lang w:val="pl-PL"/>
        </w:rPr>
      </w:pPr>
      <w:r w:rsidRPr="00001F32">
        <w:rPr>
          <w:rFonts w:eastAsia="Times New Roman" w:cs="Times New Roman"/>
          <w:b/>
          <w:bCs/>
          <w:szCs w:val="24"/>
          <w:lang w:val="pl"/>
        </w:rPr>
        <w:t>Jak bezpiecznie używać wyrobu?</w:t>
      </w:r>
    </w:p>
    <w:p w14:paraId="3BF55C17"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Filtr zakładają i usuwają tylko odpowiednio przeszkoleni lekarze.</w:t>
      </w:r>
    </w:p>
    <w:p w14:paraId="5BC7AAAB"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W celu umieszczenia filtru we właściwym miejscu lekarze używają specjalistycznego sprzętu rentgenowskiego.</w:t>
      </w:r>
    </w:p>
    <w:p w14:paraId="75337366"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Pacjenci nie muszą przynosić ze sobą żadnego wyposażenia. Przed i po zabiegu należy stosować się do zaleceń lekarza.</w:t>
      </w:r>
    </w:p>
    <w:p w14:paraId="750D16AC" w14:textId="505F9AA8" w:rsidR="00662711" w:rsidRPr="00001F32" w:rsidRDefault="00662711" w:rsidP="00662711">
      <w:pPr>
        <w:spacing w:after="0" w:afterAutospacing="0" w:line="240" w:lineRule="auto"/>
        <w:rPr>
          <w:rFonts w:eastAsia="Times New Roman" w:cs="Times New Roman"/>
          <w:szCs w:val="24"/>
          <w:lang w:val="pl-PL"/>
        </w:rPr>
      </w:pPr>
    </w:p>
    <w:p w14:paraId="122BC25E" w14:textId="77777777" w:rsidR="00662711" w:rsidRPr="00001F32" w:rsidRDefault="00662711" w:rsidP="00A07827">
      <w:pPr>
        <w:spacing w:after="0" w:afterAutospacing="0" w:line="240" w:lineRule="auto"/>
        <w:rPr>
          <w:rFonts w:eastAsia="Times New Roman" w:cs="Times New Roman"/>
          <w:b/>
          <w:bCs/>
          <w:szCs w:val="24"/>
          <w:lang w:val="pl-PL"/>
        </w:rPr>
      </w:pPr>
      <w:r w:rsidRPr="00001F32">
        <w:rPr>
          <w:rFonts w:eastAsia="Times New Roman" w:cs="Times New Roman"/>
          <w:b/>
          <w:bCs/>
          <w:szCs w:val="24"/>
          <w:lang w:val="pl"/>
        </w:rPr>
        <w:t>Zagrożenia i ostrzeżenia</w:t>
      </w:r>
    </w:p>
    <w:p w14:paraId="21BDD86C"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Każde leczenie wiąże się z pewnym ryzykiem. Możliwe problemy z filtrami żyły głównej dolnej mogą obejmować:</w:t>
      </w:r>
    </w:p>
    <w:p w14:paraId="75F99473" w14:textId="77777777" w:rsidR="00A44350" w:rsidRPr="00001F32" w:rsidRDefault="00A44350">
      <w:pPr>
        <w:pStyle w:val="ListParagraph"/>
        <w:numPr>
          <w:ilvl w:val="0"/>
          <w:numId w:val="13"/>
        </w:numPr>
        <w:rPr>
          <w:rFonts w:cs="Times New Roman"/>
          <w:kern w:val="2"/>
          <w:lang w:val="pl-PL"/>
          <w14:ligatures w14:val="standardContextual"/>
        </w:rPr>
      </w:pPr>
      <w:r w:rsidRPr="00001F32">
        <w:rPr>
          <w:rFonts w:cs="Times New Roman"/>
          <w:lang w:val="pl"/>
        </w:rPr>
        <w:t>Przemieszczenie, przechylenie lub nieprawidłowe umieszczenie filtra</w:t>
      </w:r>
    </w:p>
    <w:p w14:paraId="6455657C" w14:textId="77777777" w:rsidR="00992327" w:rsidRPr="00001F32" w:rsidRDefault="00992327" w:rsidP="00992327">
      <w:pPr>
        <w:pStyle w:val="ListParagraph"/>
        <w:numPr>
          <w:ilvl w:val="0"/>
          <w:numId w:val="13"/>
        </w:numPr>
        <w:rPr>
          <w:rFonts w:cs="Times New Roman"/>
          <w:kern w:val="2"/>
          <w:lang w:val="pl-PL"/>
          <w14:ligatures w14:val="standardContextual"/>
        </w:rPr>
      </w:pPr>
      <w:r w:rsidRPr="00001F32">
        <w:rPr>
          <w:rFonts w:cs="Times New Roman"/>
          <w:lang w:val="pl"/>
        </w:rPr>
        <w:t>Uszkodzenie filtra, w tym jego pęknięcie, zmiana kształtu lub trudności z jego usunięciem</w:t>
      </w:r>
    </w:p>
    <w:p w14:paraId="6D311370" w14:textId="77777777" w:rsidR="00992327" w:rsidRPr="00001F32" w:rsidRDefault="00992327" w:rsidP="00992327">
      <w:pPr>
        <w:pStyle w:val="ListParagraph"/>
        <w:numPr>
          <w:ilvl w:val="0"/>
          <w:numId w:val="13"/>
        </w:numPr>
        <w:rPr>
          <w:rFonts w:cs="Times New Roman"/>
          <w:kern w:val="2"/>
          <w:lang w:val="pl-PL"/>
          <w14:ligatures w14:val="standardContextual"/>
        </w:rPr>
      </w:pPr>
      <w:r w:rsidRPr="00001F32">
        <w:rPr>
          <w:rFonts w:cs="Times New Roman"/>
          <w:lang w:val="pl"/>
        </w:rPr>
        <w:t>Skrzepy krwi tworzące się w filtrze lub wokół niego, w nogach lub w dużej żyle, w której umieszczony jest filtr</w:t>
      </w:r>
    </w:p>
    <w:p w14:paraId="201A642B" w14:textId="77777777" w:rsidR="00A44350" w:rsidRPr="00001F32" w:rsidRDefault="00A44350">
      <w:pPr>
        <w:pStyle w:val="ListParagraph"/>
        <w:numPr>
          <w:ilvl w:val="0"/>
          <w:numId w:val="13"/>
        </w:numPr>
        <w:rPr>
          <w:rFonts w:cs="Times New Roman"/>
          <w:kern w:val="2"/>
          <w:lang w:val="pl-PL"/>
          <w14:ligatures w14:val="standardContextual"/>
        </w:rPr>
      </w:pPr>
      <w:r w:rsidRPr="00001F32">
        <w:rPr>
          <w:rFonts w:cs="Times New Roman"/>
          <w:lang w:val="pl"/>
        </w:rPr>
        <w:t>Ból, siniaki, krwawienie lub zakażenie w miejscu umieszczenia lub usunięcia filtra</w:t>
      </w:r>
    </w:p>
    <w:p w14:paraId="5FD556A9" w14:textId="77777777" w:rsidR="00992327" w:rsidRPr="00001F32" w:rsidRDefault="00992327" w:rsidP="00992327">
      <w:pPr>
        <w:pStyle w:val="ListParagraph"/>
        <w:numPr>
          <w:ilvl w:val="0"/>
          <w:numId w:val="13"/>
        </w:numPr>
        <w:rPr>
          <w:rFonts w:cs="Times New Roman"/>
          <w:kern w:val="2"/>
          <w:lang w:val="pl-PL"/>
          <w14:ligatures w14:val="standardContextual"/>
        </w:rPr>
      </w:pPr>
      <w:r w:rsidRPr="00001F32">
        <w:rPr>
          <w:rFonts w:cs="Times New Roman"/>
          <w:lang w:val="pl"/>
        </w:rPr>
        <w:t>Uraz żyły lub pobliskich narządów, który może wymagać leczenia, operacji lub innego zabiegu</w:t>
      </w:r>
    </w:p>
    <w:p w14:paraId="2395E33A" w14:textId="77777777" w:rsidR="00992327" w:rsidRPr="00001F32" w:rsidRDefault="00992327" w:rsidP="00992327">
      <w:pPr>
        <w:pStyle w:val="ListParagraph"/>
        <w:numPr>
          <w:ilvl w:val="0"/>
          <w:numId w:val="13"/>
        </w:numPr>
        <w:rPr>
          <w:rFonts w:cs="Times New Roman"/>
          <w:kern w:val="2"/>
          <w:lang w:val="pl-PL"/>
          <w14:ligatures w14:val="standardContextual"/>
        </w:rPr>
      </w:pPr>
      <w:r w:rsidRPr="00001F32">
        <w:rPr>
          <w:rFonts w:cs="Times New Roman"/>
          <w:lang w:val="pl"/>
        </w:rPr>
        <w:t>Reakcja alergiczna na środek kontrastowy, lek, środek znieczulający, nikiel lub tytan</w:t>
      </w:r>
    </w:p>
    <w:p w14:paraId="35B80E99" w14:textId="77777777" w:rsidR="00992327" w:rsidRPr="00001F32" w:rsidRDefault="00992327" w:rsidP="00992327">
      <w:pPr>
        <w:pStyle w:val="ListParagraph"/>
        <w:numPr>
          <w:ilvl w:val="0"/>
          <w:numId w:val="13"/>
        </w:numPr>
        <w:rPr>
          <w:rFonts w:cs="Times New Roman"/>
          <w:kern w:val="2"/>
          <w:lang w:val="pl-PL"/>
          <w14:ligatures w14:val="standardContextual"/>
        </w:rPr>
      </w:pPr>
      <w:r w:rsidRPr="00001F32">
        <w:rPr>
          <w:rFonts w:cs="Times New Roman"/>
          <w:lang w:val="pl"/>
        </w:rPr>
        <w:t>Poważne zdarzenia, takie jak problemy z oddychaniem, problemy kardiologiczne, objawy przypominające udar, problemy z nerkami lub śmierć</w:t>
      </w:r>
    </w:p>
    <w:p w14:paraId="39A0ACCE"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Problemy takie nie występują u każdego pacjenta. Niektóre problemy mogą mieć poważny przebieg. Twój lekarz będzie je obserwować i w razie potrzeby udzieli pomocy.</w:t>
      </w:r>
    </w:p>
    <w:p w14:paraId="1ECC1A61"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Jeśli po zabiegu zauważysz nietypowe objawy lub poczujesz się źle, skontaktuj się z lekarzem.</w:t>
      </w:r>
    </w:p>
    <w:p w14:paraId="077BE320" w14:textId="0024DAB0" w:rsidR="00662711" w:rsidRPr="00001F32" w:rsidRDefault="00662711" w:rsidP="00662711">
      <w:pPr>
        <w:spacing w:after="0" w:afterAutospacing="0" w:line="240" w:lineRule="auto"/>
        <w:rPr>
          <w:rFonts w:eastAsia="Times New Roman" w:cs="Times New Roman"/>
          <w:szCs w:val="24"/>
          <w:lang w:val="pl-PL"/>
        </w:rPr>
      </w:pPr>
    </w:p>
    <w:p w14:paraId="36C4EFA8" w14:textId="77777777" w:rsidR="00662711" w:rsidRPr="00001F32" w:rsidRDefault="00662711" w:rsidP="00001F32">
      <w:pPr>
        <w:keepNext/>
        <w:spacing w:after="0" w:afterAutospacing="0" w:line="240" w:lineRule="auto"/>
        <w:rPr>
          <w:rFonts w:eastAsia="Times New Roman" w:cs="Times New Roman"/>
          <w:b/>
          <w:bCs/>
          <w:szCs w:val="24"/>
          <w:lang w:val="pl-PL"/>
        </w:rPr>
      </w:pPr>
      <w:r w:rsidRPr="00001F32">
        <w:rPr>
          <w:rFonts w:eastAsia="Times New Roman" w:cs="Times New Roman"/>
          <w:b/>
          <w:bCs/>
          <w:szCs w:val="24"/>
          <w:lang w:val="pl"/>
        </w:rPr>
        <w:lastRenderedPageBreak/>
        <w:t>Ważne informacje dotyczące bezpieczeństwa</w:t>
      </w:r>
    </w:p>
    <w:p w14:paraId="3C2AE03D" w14:textId="77777777" w:rsidR="00662711" w:rsidRPr="00001F32" w:rsidRDefault="00662711" w:rsidP="00001F32">
      <w:pPr>
        <w:keepNext/>
        <w:spacing w:after="0" w:afterAutospacing="0" w:line="240" w:lineRule="auto"/>
        <w:rPr>
          <w:rFonts w:eastAsia="Times New Roman" w:cs="Times New Roman"/>
          <w:szCs w:val="24"/>
          <w:lang w:val="pl-PL"/>
        </w:rPr>
      </w:pPr>
      <w:r w:rsidRPr="00001F32">
        <w:rPr>
          <w:rFonts w:eastAsia="Times New Roman" w:cs="Times New Roman"/>
          <w:szCs w:val="24"/>
          <w:lang w:val="pl"/>
        </w:rPr>
        <w:t>Poinformuj lekarza, jeśli:</w:t>
      </w:r>
    </w:p>
    <w:p w14:paraId="53E966B1" w14:textId="77777777" w:rsidR="00662711" w:rsidRPr="00001F32" w:rsidRDefault="00662711">
      <w:pPr>
        <w:numPr>
          <w:ilvl w:val="0"/>
          <w:numId w:val="14"/>
        </w:numPr>
        <w:spacing w:after="0" w:afterAutospacing="0" w:line="240" w:lineRule="auto"/>
        <w:rPr>
          <w:rFonts w:eastAsia="Times New Roman" w:cs="Times New Roman"/>
          <w:szCs w:val="24"/>
          <w:lang w:val="pl-PL"/>
        </w:rPr>
      </w:pPr>
      <w:r w:rsidRPr="00001F32">
        <w:rPr>
          <w:rFonts w:eastAsia="Times New Roman" w:cs="Times New Roman"/>
          <w:szCs w:val="24"/>
          <w:lang w:val="pl"/>
        </w:rPr>
        <w:t>Jesteś uczulony na metale takie jak nikiel lub tytan</w:t>
      </w:r>
    </w:p>
    <w:p w14:paraId="3C1568AC" w14:textId="77777777" w:rsidR="00662711" w:rsidRPr="00001F32" w:rsidRDefault="00662711">
      <w:pPr>
        <w:numPr>
          <w:ilvl w:val="0"/>
          <w:numId w:val="14"/>
        </w:numPr>
        <w:spacing w:after="0" w:afterAutospacing="0" w:line="240" w:lineRule="auto"/>
        <w:rPr>
          <w:rFonts w:eastAsia="Times New Roman" w:cs="Times New Roman"/>
          <w:szCs w:val="24"/>
        </w:rPr>
      </w:pPr>
      <w:r w:rsidRPr="00001F32">
        <w:rPr>
          <w:rFonts w:eastAsia="Times New Roman" w:cs="Times New Roman"/>
          <w:szCs w:val="24"/>
          <w:lang w:val="pl"/>
        </w:rPr>
        <w:t>Masz zakażenie krwi</w:t>
      </w:r>
    </w:p>
    <w:p w14:paraId="1C5D5631" w14:textId="77777777" w:rsidR="00662711" w:rsidRPr="00001F32" w:rsidRDefault="00662711">
      <w:pPr>
        <w:numPr>
          <w:ilvl w:val="0"/>
          <w:numId w:val="14"/>
        </w:numPr>
        <w:spacing w:after="0" w:afterAutospacing="0" w:line="240" w:lineRule="auto"/>
        <w:rPr>
          <w:rFonts w:eastAsia="Times New Roman" w:cs="Times New Roman"/>
          <w:szCs w:val="24"/>
          <w:lang w:val="pl-PL"/>
        </w:rPr>
      </w:pPr>
      <w:r w:rsidRPr="00001F32">
        <w:rPr>
          <w:rFonts w:eastAsia="Times New Roman" w:cs="Times New Roman"/>
          <w:szCs w:val="24"/>
          <w:lang w:val="pl"/>
        </w:rPr>
        <w:t>Jesteś w ciąży lub podejrzewasz, że możesz być w ciąży</w:t>
      </w:r>
    </w:p>
    <w:p w14:paraId="09A3B476"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Lekarz może zalecić ograniczenie niektórych rodzajów aktywności przez krótki okres po założeniu filtra.</w:t>
      </w:r>
    </w:p>
    <w:p w14:paraId="74EBA469" w14:textId="77777777" w:rsidR="003C1652" w:rsidRPr="00001F32" w:rsidRDefault="003C1652">
      <w:pPr>
        <w:spacing w:after="0" w:afterAutospacing="0"/>
        <w:rPr>
          <w:rFonts w:cs="Times New Roman"/>
          <w:kern w:val="2"/>
          <w:szCs w:val="24"/>
          <w:lang w:val="pl-PL"/>
          <w14:ligatures w14:val="standardContextual"/>
        </w:rPr>
      </w:pPr>
      <w:r w:rsidRPr="00001F32">
        <w:rPr>
          <w:rFonts w:cs="Times New Roman"/>
          <w:lang w:val="pl"/>
        </w:rPr>
        <w:t>Możliwe jest, że w przypadku użycia tego filtra będziesz mógł poddać się badaniu metodą rezonansu magnetycznego (MRI), ale tylko pod warunkiem przestrzegania pewnych zasad bezpieczeństwa. Przed wykonaniem badania MRI poinformuj swojego lekarza lub personel wykonujący badanie MRI, że masz założony filtr Option ELITE.</w:t>
      </w:r>
    </w:p>
    <w:p w14:paraId="478DA380" w14:textId="734F2959" w:rsidR="00662711" w:rsidRPr="00001F32" w:rsidRDefault="00662711" w:rsidP="00662711">
      <w:pPr>
        <w:spacing w:after="0" w:afterAutospacing="0" w:line="240" w:lineRule="auto"/>
        <w:rPr>
          <w:rFonts w:eastAsia="Times New Roman" w:cs="Times New Roman"/>
          <w:szCs w:val="24"/>
          <w:lang w:val="pl-PL"/>
        </w:rPr>
      </w:pPr>
    </w:p>
    <w:p w14:paraId="1FC64C27" w14:textId="77777777" w:rsidR="00662711" w:rsidRPr="00001F32" w:rsidRDefault="00662711" w:rsidP="00192173">
      <w:pPr>
        <w:spacing w:after="0" w:afterAutospacing="0" w:line="240" w:lineRule="auto"/>
        <w:rPr>
          <w:rFonts w:eastAsia="Times New Roman" w:cs="Times New Roman"/>
          <w:b/>
          <w:bCs/>
          <w:szCs w:val="24"/>
          <w:lang w:val="pl-PL"/>
        </w:rPr>
      </w:pPr>
      <w:r w:rsidRPr="00001F32">
        <w:rPr>
          <w:rFonts w:eastAsia="Times New Roman" w:cs="Times New Roman"/>
          <w:b/>
          <w:bCs/>
          <w:szCs w:val="24"/>
          <w:lang w:val="pl"/>
        </w:rPr>
        <w:t>Czy podjęto działania w celu zapewnienia bezpieczeństwa?</w:t>
      </w:r>
    </w:p>
    <w:p w14:paraId="11F641C1"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Tak. W 2023 roku firma podjęła działania mające na celu zapewnienie bezpieczeństwa, ponieważ potencjalny problem z działaniem urządzenia mógłby wpływać na prawidłowe działanie filtra i zwiększać ryzyko przedostania się skrzepu krwi do płuc. Firma przeanalizowała problem i nadal monitoruje informacje dotyczące bezpieczeństwa urządzenia po jego sprzedaży. Na podstawie przeanalizowanych dotychczas informacji nie stwierdzono żadnych nowych zagrożeń bezpieczeństwa.</w:t>
      </w:r>
    </w:p>
    <w:p w14:paraId="0AC8610C" w14:textId="77777777" w:rsidR="00DA3EF1" w:rsidRPr="00001F32" w:rsidRDefault="00DA3EF1" w:rsidP="00DA3EF1">
      <w:pPr>
        <w:spacing w:after="0" w:afterAutospacing="0" w:line="240" w:lineRule="auto"/>
        <w:rPr>
          <w:rFonts w:eastAsia="Times New Roman" w:cs="Times New Roman"/>
          <w:szCs w:val="24"/>
          <w:lang w:val="pl-PL"/>
        </w:rPr>
      </w:pPr>
    </w:p>
    <w:p w14:paraId="42488257"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Zdarzenie to zostało sprawdzone w ramach bieżącego monitorowania bezpieczeństwa. Dostępne informacje wskazują, że bilans korzyści i ryzyka związanych ze stosowaniem filtra Option ELITE pozostaje na dopuszczalnym poziomie, o ile jest on stosowany zgodnie z przeznaczeniem.</w:t>
      </w:r>
    </w:p>
    <w:p w14:paraId="5A14483E" w14:textId="77777777" w:rsidR="00DA3EF1" w:rsidRPr="00001F32" w:rsidRDefault="00DA3EF1" w:rsidP="00DA3EF1">
      <w:pPr>
        <w:spacing w:after="0" w:afterAutospacing="0" w:line="240" w:lineRule="auto"/>
        <w:rPr>
          <w:rFonts w:eastAsia="Times New Roman" w:cs="Times New Roman"/>
          <w:szCs w:val="24"/>
          <w:lang w:val="pl-PL"/>
        </w:rPr>
      </w:pPr>
    </w:p>
    <w:p w14:paraId="4941305C"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W razie potrzeby więcej szczegółów udzieli Ci Twój lekarz.</w:t>
      </w:r>
    </w:p>
    <w:p w14:paraId="6385239E" w14:textId="77777777" w:rsidR="00BA3A00" w:rsidRPr="00001F32" w:rsidRDefault="00BA3A00">
      <w:pPr>
        <w:spacing w:after="0" w:afterAutospacing="0"/>
        <w:rPr>
          <w:rFonts w:cs="Times New Roman"/>
          <w:b/>
          <w:bCs/>
          <w:lang w:val="pl-PL"/>
        </w:rPr>
      </w:pPr>
    </w:p>
    <w:p w14:paraId="40384B10" w14:textId="530E37F2" w:rsidR="00A44350" w:rsidRPr="00001F32" w:rsidRDefault="00A44350">
      <w:pPr>
        <w:spacing w:after="0" w:afterAutospacing="0"/>
        <w:rPr>
          <w:rFonts w:cs="Times New Roman"/>
          <w:kern w:val="2"/>
          <w:szCs w:val="24"/>
          <w:lang w:val="pl-PL"/>
          <w14:ligatures w14:val="standardContextual"/>
        </w:rPr>
      </w:pPr>
      <w:r w:rsidRPr="00001F32">
        <w:rPr>
          <w:rFonts w:cs="Times New Roman"/>
          <w:b/>
          <w:bCs/>
          <w:lang w:val="pl"/>
        </w:rPr>
        <w:t>Skąd wiemy, że urządzenie jest bezpieczne i działa?</w:t>
      </w:r>
    </w:p>
    <w:p w14:paraId="7AA2BA11"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Informacje dotyczące bezpieczeństwa i użytkowania filtra Option ELITE oparte są na:</w:t>
      </w:r>
    </w:p>
    <w:p w14:paraId="40A87D6C" w14:textId="77777777" w:rsidR="00012C93" w:rsidRPr="00001F32" w:rsidRDefault="00012C93" w:rsidP="00012C93">
      <w:pPr>
        <w:pStyle w:val="ListParagraph"/>
        <w:numPr>
          <w:ilvl w:val="0"/>
          <w:numId w:val="15"/>
        </w:numPr>
        <w:rPr>
          <w:rFonts w:cs="Times New Roman"/>
          <w:kern w:val="2"/>
          <w14:ligatures w14:val="standardContextual"/>
        </w:rPr>
      </w:pPr>
      <w:r w:rsidRPr="00001F32">
        <w:rPr>
          <w:rFonts w:cs="Times New Roman"/>
          <w:lang w:val="pl"/>
        </w:rPr>
        <w:t>Badaniach laboratoryjnych</w:t>
      </w:r>
    </w:p>
    <w:p w14:paraId="1AE05C32" w14:textId="77777777" w:rsidR="00012C93" w:rsidRPr="00001F32" w:rsidRDefault="00012C93" w:rsidP="00012C93">
      <w:pPr>
        <w:pStyle w:val="ListParagraph"/>
        <w:numPr>
          <w:ilvl w:val="0"/>
          <w:numId w:val="15"/>
        </w:numPr>
        <w:rPr>
          <w:rFonts w:cs="Times New Roman"/>
        </w:rPr>
      </w:pPr>
      <w:r w:rsidRPr="00001F32">
        <w:rPr>
          <w:rFonts w:cs="Times New Roman"/>
          <w:lang w:val="pl"/>
        </w:rPr>
        <w:t>Stosowaniu u pacjentów</w:t>
      </w:r>
    </w:p>
    <w:p w14:paraId="53CBDB96" w14:textId="77777777" w:rsidR="00992327" w:rsidRPr="00001F32" w:rsidRDefault="00992327" w:rsidP="00992327">
      <w:pPr>
        <w:pStyle w:val="ListParagraph"/>
        <w:numPr>
          <w:ilvl w:val="0"/>
          <w:numId w:val="15"/>
        </w:numPr>
        <w:rPr>
          <w:rFonts w:cs="Times New Roman"/>
          <w:lang w:val="pl-PL"/>
        </w:rPr>
      </w:pPr>
      <w:r w:rsidRPr="00001F32">
        <w:rPr>
          <w:rFonts w:cs="Times New Roman"/>
          <w:lang w:val="pl"/>
        </w:rPr>
        <w:t>Badaniach medycznych tego filtra i podobnych filtrów</w:t>
      </w:r>
    </w:p>
    <w:p w14:paraId="3C404F94" w14:textId="77777777" w:rsidR="00992327" w:rsidRPr="00001F32" w:rsidRDefault="00992327" w:rsidP="00992327">
      <w:pPr>
        <w:pStyle w:val="ListParagraph"/>
        <w:numPr>
          <w:ilvl w:val="0"/>
          <w:numId w:val="15"/>
        </w:numPr>
        <w:rPr>
          <w:rFonts w:cs="Times New Roman"/>
          <w:lang w:val="pl-PL"/>
        </w:rPr>
      </w:pPr>
      <w:r w:rsidRPr="00001F32">
        <w:rPr>
          <w:rFonts w:cs="Times New Roman"/>
          <w:lang w:val="pl"/>
        </w:rPr>
        <w:t>Reklamacjach, zgłaszanych problemach i bieżących kontrolach bezpieczeństwa po wprowadzeniu wyrobu do obrotu</w:t>
      </w:r>
    </w:p>
    <w:p w14:paraId="426AD6C1"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Źródła te wskazują, że wyrób działa zgodnie z oczekiwaniami, jeżeli jest stosowany w prawidłowy sposób. Dane kliniczne wykazały duży współczynnik powodzenia w zakładaniu i usuwaniu filtra. Na podstawie informacji przeanalizowanych do tej pory, skargi, zgłoszone problemy i bieżące kontrole bezpieczeństwa przeprowadzone po wprowadzeniu wyrobu do obrotu nie wykazały żadnych nowych zagrożeń dla bezpieczeństwa.</w:t>
      </w:r>
    </w:p>
    <w:p w14:paraId="1C7EC8A3" w14:textId="2CFB834F" w:rsidR="00662711" w:rsidRPr="00001F32" w:rsidRDefault="00662711" w:rsidP="00662711">
      <w:pPr>
        <w:spacing w:after="0" w:afterAutospacing="0" w:line="240" w:lineRule="auto"/>
        <w:rPr>
          <w:rFonts w:eastAsia="Times New Roman" w:cs="Times New Roman"/>
          <w:szCs w:val="24"/>
          <w:lang w:val="pl-PL"/>
        </w:rPr>
      </w:pPr>
    </w:p>
    <w:p w14:paraId="46E3D594" w14:textId="77777777" w:rsidR="00662711" w:rsidRPr="00001F32" w:rsidRDefault="00662711" w:rsidP="00001F32">
      <w:pPr>
        <w:keepNext/>
        <w:spacing w:after="0" w:afterAutospacing="0" w:line="240" w:lineRule="auto"/>
        <w:rPr>
          <w:rFonts w:eastAsia="Times New Roman" w:cs="Times New Roman"/>
          <w:b/>
          <w:bCs/>
          <w:szCs w:val="24"/>
          <w:lang w:val="pl-PL"/>
        </w:rPr>
      </w:pPr>
      <w:r w:rsidRPr="00001F32">
        <w:rPr>
          <w:rFonts w:eastAsia="Times New Roman" w:cs="Times New Roman"/>
          <w:b/>
          <w:bCs/>
          <w:szCs w:val="24"/>
          <w:lang w:val="pl"/>
        </w:rPr>
        <w:lastRenderedPageBreak/>
        <w:t>Jak sprawdzane jest bezpieczeństwo na przestrzeni czasu?</w:t>
      </w:r>
    </w:p>
    <w:p w14:paraId="0C6DC71B"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Producent nadal dba o bezpieczeństwo wyrobu po jego wprowadzeniu do obrotu. Obejmuje to przeglądanie skarg, zgłaszanych problemów, badań medycznych, działań mających na celu zapewnienie bezpieczeństwa oraz informacji od lekarzy lub placówek klinicznych, jeśli są dostępne.</w:t>
      </w:r>
    </w:p>
    <w:p w14:paraId="7235F20A" w14:textId="77777777" w:rsidR="00662711" w:rsidRPr="00001F32" w:rsidRDefault="00662711">
      <w:pPr>
        <w:numPr>
          <w:ilvl w:val="0"/>
          <w:numId w:val="16"/>
        </w:numPr>
        <w:spacing w:after="0" w:afterAutospacing="0" w:line="240" w:lineRule="auto"/>
        <w:rPr>
          <w:rFonts w:eastAsia="Times New Roman" w:cs="Times New Roman"/>
          <w:szCs w:val="24"/>
        </w:rPr>
      </w:pPr>
      <w:r w:rsidRPr="00001F32">
        <w:rPr>
          <w:rFonts w:eastAsia="Times New Roman" w:cs="Times New Roman"/>
          <w:szCs w:val="24"/>
          <w:lang w:val="pl"/>
        </w:rPr>
        <w:t>Przeglądanie skarg i zgłaszanych problemów</w:t>
      </w:r>
    </w:p>
    <w:p w14:paraId="1A9351F0" w14:textId="77777777" w:rsidR="00662711" w:rsidRPr="00001F32" w:rsidRDefault="00662711">
      <w:pPr>
        <w:numPr>
          <w:ilvl w:val="0"/>
          <w:numId w:val="16"/>
        </w:numPr>
        <w:spacing w:after="0" w:afterAutospacing="0" w:line="240" w:lineRule="auto"/>
        <w:rPr>
          <w:rFonts w:eastAsia="Times New Roman" w:cs="Times New Roman"/>
          <w:szCs w:val="24"/>
        </w:rPr>
      </w:pPr>
      <w:r w:rsidRPr="00001F32">
        <w:rPr>
          <w:rFonts w:eastAsia="Times New Roman" w:cs="Times New Roman"/>
          <w:szCs w:val="24"/>
          <w:lang w:val="pl"/>
        </w:rPr>
        <w:t>Analiza badań medycznych</w:t>
      </w:r>
    </w:p>
    <w:p w14:paraId="20BB11AC" w14:textId="77777777" w:rsidR="00662711" w:rsidRPr="00001F32" w:rsidRDefault="00662711">
      <w:pPr>
        <w:numPr>
          <w:ilvl w:val="0"/>
          <w:numId w:val="16"/>
        </w:numPr>
        <w:spacing w:after="0" w:afterAutospacing="0" w:line="240" w:lineRule="auto"/>
        <w:rPr>
          <w:rFonts w:eastAsia="Times New Roman" w:cs="Times New Roman"/>
          <w:szCs w:val="24"/>
          <w:lang w:val="pl-PL"/>
        </w:rPr>
      </w:pPr>
      <w:r w:rsidRPr="00001F32">
        <w:rPr>
          <w:rFonts w:eastAsia="Times New Roman" w:cs="Times New Roman"/>
          <w:szCs w:val="24"/>
          <w:lang w:val="pl"/>
        </w:rPr>
        <w:t>Podejmowanie działań w przypadku wystąpienia obaw o bezpieczeństwo</w:t>
      </w:r>
    </w:p>
    <w:p w14:paraId="620C6D87" w14:textId="77777777" w:rsidR="00992327" w:rsidRPr="00001F32" w:rsidRDefault="00992327" w:rsidP="00992327">
      <w:pPr>
        <w:pStyle w:val="ListParagraph"/>
        <w:numPr>
          <w:ilvl w:val="0"/>
          <w:numId w:val="16"/>
        </w:numPr>
        <w:rPr>
          <w:rFonts w:eastAsia="Times New Roman" w:cs="Times New Roman"/>
          <w:szCs w:val="24"/>
          <w:lang w:val="pl-PL"/>
        </w:rPr>
      </w:pPr>
      <w:r w:rsidRPr="00001F32">
        <w:rPr>
          <w:rFonts w:cs="Times New Roman"/>
          <w:lang w:val="pl"/>
        </w:rPr>
        <w:t>Lekarze mogą również udzielić dalszych informacji na temat pacjentów, którym wszczepiono filtr.</w:t>
      </w:r>
    </w:p>
    <w:p w14:paraId="680602FA"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Działania te pomagają aktualizować informacje dotyczące bezpieczeństwa. Pomagają również potwierdzić, że urządzenie nadal działa zgodnie z przeznaczeniem.</w:t>
      </w:r>
    </w:p>
    <w:p w14:paraId="2D078C19" w14:textId="47E92DFD" w:rsidR="00662711" w:rsidRPr="00001F32" w:rsidRDefault="00662711" w:rsidP="00662711">
      <w:pPr>
        <w:spacing w:after="0" w:afterAutospacing="0" w:line="240" w:lineRule="auto"/>
        <w:rPr>
          <w:rFonts w:eastAsia="Times New Roman" w:cs="Times New Roman"/>
          <w:szCs w:val="24"/>
          <w:lang w:val="pl-PL"/>
        </w:rPr>
      </w:pPr>
    </w:p>
    <w:p w14:paraId="159671B4" w14:textId="77777777" w:rsidR="00662711" w:rsidRPr="00001F32" w:rsidRDefault="00662711" w:rsidP="00FD2091">
      <w:pPr>
        <w:spacing w:after="0" w:afterAutospacing="0" w:line="240" w:lineRule="auto"/>
        <w:rPr>
          <w:rFonts w:eastAsia="Times New Roman" w:cs="Times New Roman"/>
          <w:b/>
          <w:bCs/>
          <w:szCs w:val="24"/>
          <w:lang w:val="pl-PL"/>
        </w:rPr>
      </w:pPr>
      <w:r w:rsidRPr="00001F32">
        <w:rPr>
          <w:rFonts w:eastAsia="Times New Roman" w:cs="Times New Roman"/>
          <w:b/>
          <w:bCs/>
          <w:szCs w:val="24"/>
          <w:lang w:val="pl"/>
        </w:rPr>
        <w:t>Jakie istnieją inne dostępne metody leczenia?</w:t>
      </w:r>
    </w:p>
    <w:p w14:paraId="35F45681"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W celu leczenia zakrzepów lekarze zazwyczaj w pierwszej kolejności próbują stosować leki rozrzedzające krew.</w:t>
      </w:r>
    </w:p>
    <w:p w14:paraId="432A64C6"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W sytuacjach, gdy nie można stosować leków rozrzedzających krew, inne możliwości mogą obejmować:</w:t>
      </w:r>
    </w:p>
    <w:p w14:paraId="5FB08A80" w14:textId="77777777" w:rsidR="00662711" w:rsidRPr="00001F32" w:rsidRDefault="00662711">
      <w:pPr>
        <w:numPr>
          <w:ilvl w:val="0"/>
          <w:numId w:val="17"/>
        </w:numPr>
        <w:spacing w:after="0" w:afterAutospacing="0" w:line="240" w:lineRule="auto"/>
        <w:rPr>
          <w:rFonts w:eastAsia="Times New Roman" w:cs="Times New Roman"/>
          <w:szCs w:val="24"/>
          <w:lang w:val="pl-PL"/>
        </w:rPr>
      </w:pPr>
      <w:r w:rsidRPr="00001F32">
        <w:rPr>
          <w:rFonts w:eastAsia="Times New Roman" w:cs="Times New Roman"/>
          <w:szCs w:val="24"/>
          <w:lang w:val="pl"/>
        </w:rPr>
        <w:t>Leki rozbijające skrzepy w nagłych wypadkach</w:t>
      </w:r>
    </w:p>
    <w:p w14:paraId="12BE4684" w14:textId="77777777" w:rsidR="00662711" w:rsidRPr="00001F32" w:rsidRDefault="00662711">
      <w:pPr>
        <w:numPr>
          <w:ilvl w:val="0"/>
          <w:numId w:val="17"/>
        </w:numPr>
        <w:spacing w:after="0" w:afterAutospacing="0" w:line="240" w:lineRule="auto"/>
        <w:rPr>
          <w:rFonts w:eastAsia="Times New Roman" w:cs="Times New Roman"/>
          <w:szCs w:val="24"/>
          <w:lang w:val="pl-PL"/>
        </w:rPr>
      </w:pPr>
      <w:r w:rsidRPr="00001F32">
        <w:rPr>
          <w:rFonts w:eastAsia="Times New Roman" w:cs="Times New Roman"/>
          <w:szCs w:val="24"/>
          <w:lang w:val="pl"/>
        </w:rPr>
        <w:t>W niektórych przypadkach specjalne zabiegi lub operacja</w:t>
      </w:r>
    </w:p>
    <w:p w14:paraId="76EF4AAE" w14:textId="77777777" w:rsidR="00992327" w:rsidRPr="00001F32" w:rsidRDefault="00992327">
      <w:pPr>
        <w:spacing w:after="0" w:afterAutospacing="0"/>
        <w:rPr>
          <w:rFonts w:cs="Times New Roman"/>
          <w:kern w:val="2"/>
          <w:szCs w:val="24"/>
          <w:lang w:val="pl-PL"/>
          <w14:ligatures w14:val="standardContextual"/>
        </w:rPr>
      </w:pPr>
      <w:r w:rsidRPr="00001F32">
        <w:rPr>
          <w:rFonts w:cs="Times New Roman"/>
          <w:lang w:val="pl"/>
        </w:rPr>
        <w:t>Lekarz wyjaśni Ci, która opcja jest dla Ciebie najlepsza.</w:t>
      </w:r>
    </w:p>
    <w:p w14:paraId="33BA8D13" w14:textId="194796CB" w:rsidR="00662711" w:rsidRPr="00001F32" w:rsidRDefault="00662711" w:rsidP="00662711">
      <w:pPr>
        <w:spacing w:after="0" w:afterAutospacing="0" w:line="240" w:lineRule="auto"/>
        <w:rPr>
          <w:rFonts w:eastAsia="Times New Roman" w:cs="Times New Roman"/>
          <w:szCs w:val="24"/>
          <w:lang w:val="pl-PL"/>
        </w:rPr>
      </w:pPr>
    </w:p>
    <w:p w14:paraId="16C2D38B" w14:textId="77777777" w:rsidR="00662711" w:rsidRPr="00001F32" w:rsidRDefault="00662711" w:rsidP="00FD2091">
      <w:pPr>
        <w:spacing w:after="0" w:afterAutospacing="0" w:line="240" w:lineRule="auto"/>
        <w:rPr>
          <w:rFonts w:eastAsia="Times New Roman" w:cs="Times New Roman"/>
          <w:b/>
          <w:bCs/>
          <w:szCs w:val="24"/>
          <w:lang w:val="pl-PL"/>
        </w:rPr>
      </w:pPr>
      <w:r w:rsidRPr="00001F32">
        <w:rPr>
          <w:rFonts w:eastAsia="Times New Roman" w:cs="Times New Roman"/>
          <w:b/>
          <w:bCs/>
          <w:szCs w:val="24"/>
          <w:lang w:val="pl"/>
        </w:rPr>
        <w:t>Kto stosuje ten wyrób?</w:t>
      </w:r>
    </w:p>
    <w:p w14:paraId="4CEB08E6" w14:textId="77777777" w:rsidR="00992327" w:rsidRPr="00001F32" w:rsidRDefault="00992327">
      <w:pPr>
        <w:spacing w:after="0" w:afterAutospacing="0"/>
        <w:rPr>
          <w:rFonts w:cs="Times New Roman"/>
          <w:kern w:val="2"/>
          <w:szCs w:val="24"/>
          <w14:ligatures w14:val="standardContextual"/>
        </w:rPr>
      </w:pPr>
      <w:r w:rsidRPr="00001F32">
        <w:rPr>
          <w:rFonts w:cs="Times New Roman"/>
          <w:lang w:val="pl"/>
        </w:rPr>
        <w:t>Filtr Option ELITE jest przeznaczony wyłącznie dla przeszkolonych lekarzy. Pacjenci nie zakładają ani nie usuwają filtra samodzielnie.</w:t>
      </w:r>
    </w:p>
    <w:p w14:paraId="1FE0B4A6" w14:textId="77777777" w:rsidR="004A3F32" w:rsidRPr="00001F32" w:rsidRDefault="004A3F32" w:rsidP="00662711">
      <w:pPr>
        <w:spacing w:after="0" w:afterAutospacing="0" w:line="240" w:lineRule="auto"/>
        <w:rPr>
          <w:rFonts w:eastAsia="Times New Roman" w:cs="Times New Roman"/>
          <w:szCs w:val="24"/>
        </w:rPr>
      </w:pPr>
    </w:p>
    <w:p w14:paraId="727BDDA2" w14:textId="77777777" w:rsidR="003F3D5E" w:rsidRPr="00001F32" w:rsidRDefault="003F3D5E" w:rsidP="00170FE5">
      <w:pPr>
        <w:pStyle w:val="Heading1"/>
        <w:numPr>
          <w:ilvl w:val="0"/>
          <w:numId w:val="2"/>
        </w:numPr>
        <w:rPr>
          <w:rFonts w:cs="Times New Roman"/>
          <w:color w:val="auto"/>
        </w:rPr>
      </w:pPr>
      <w:bookmarkStart w:id="35" w:name="_Toc240532216"/>
      <w:r w:rsidRPr="00001F32">
        <w:rPr>
          <w:rFonts w:cs="Times New Roman"/>
          <w:bCs/>
          <w:color w:val="auto"/>
          <w:lang w:val="pl"/>
        </w:rPr>
        <w:t>Historia zmian</w:t>
      </w:r>
      <w:bookmarkEnd w:id="35"/>
    </w:p>
    <w:p w14:paraId="4E5D0357" w14:textId="77777777" w:rsidR="003F3D5E" w:rsidRPr="00001F32" w:rsidRDefault="003F3D5E" w:rsidP="003F3D5E">
      <w:pPr>
        <w:spacing w:after="0" w:afterAutospacing="0" w:line="240" w:lineRule="auto"/>
        <w:rPr>
          <w:rFonts w:cs="Times New Roman"/>
        </w:rPr>
      </w:pPr>
    </w:p>
    <w:tbl>
      <w:tblPr>
        <w:tblStyle w:val="TableGrid"/>
        <w:tblW w:w="5000" w:type="pct"/>
        <w:tblLook w:val="04A0" w:firstRow="1" w:lastRow="0" w:firstColumn="1" w:lastColumn="0" w:noHBand="0" w:noVBand="1"/>
      </w:tblPr>
      <w:tblGrid>
        <w:gridCol w:w="894"/>
        <w:gridCol w:w="1811"/>
        <w:gridCol w:w="4671"/>
        <w:gridCol w:w="3054"/>
      </w:tblGrid>
      <w:tr w:rsidR="00AD0D23" w:rsidRPr="00001F32" w14:paraId="2719B72D" w14:textId="77777777" w:rsidTr="00001F32">
        <w:tc>
          <w:tcPr>
            <w:tcW w:w="429" w:type="pct"/>
          </w:tcPr>
          <w:p w14:paraId="4C271237" w14:textId="77777777" w:rsidR="00AD0D23" w:rsidRPr="00001F32" w:rsidRDefault="00AD0D23" w:rsidP="00673978">
            <w:pPr>
              <w:spacing w:after="0" w:afterAutospacing="0"/>
              <w:rPr>
                <w:rFonts w:cs="Times New Roman"/>
                <w:b/>
                <w:sz w:val="20"/>
                <w:szCs w:val="20"/>
              </w:rPr>
            </w:pPr>
            <w:r w:rsidRPr="00001F32">
              <w:rPr>
                <w:rFonts w:cs="Times New Roman"/>
                <w:b/>
                <w:bCs/>
                <w:sz w:val="20"/>
                <w:szCs w:val="20"/>
                <w:lang w:val="pl"/>
              </w:rPr>
              <w:t>Wersja</w:t>
            </w:r>
          </w:p>
        </w:tc>
        <w:tc>
          <w:tcPr>
            <w:tcW w:w="868" w:type="pct"/>
          </w:tcPr>
          <w:p w14:paraId="11F2AE8F" w14:textId="77777777" w:rsidR="00AD0D23" w:rsidRPr="00001F32" w:rsidRDefault="00AD0D23" w:rsidP="00673978">
            <w:pPr>
              <w:spacing w:after="0" w:afterAutospacing="0"/>
              <w:rPr>
                <w:rFonts w:cs="Times New Roman"/>
                <w:b/>
                <w:sz w:val="20"/>
                <w:szCs w:val="20"/>
              </w:rPr>
            </w:pPr>
            <w:r w:rsidRPr="00001F32">
              <w:rPr>
                <w:rFonts w:cs="Times New Roman"/>
                <w:b/>
                <w:bCs/>
                <w:sz w:val="20"/>
                <w:szCs w:val="20"/>
                <w:lang w:val="pl"/>
              </w:rPr>
              <w:t>Data wydania</w:t>
            </w:r>
          </w:p>
        </w:tc>
        <w:tc>
          <w:tcPr>
            <w:tcW w:w="2239" w:type="pct"/>
          </w:tcPr>
          <w:p w14:paraId="261F70FA" w14:textId="77777777" w:rsidR="00AD0D23" w:rsidRPr="00001F32" w:rsidRDefault="00AD0D23" w:rsidP="00673978">
            <w:pPr>
              <w:spacing w:after="0" w:afterAutospacing="0"/>
              <w:rPr>
                <w:rFonts w:cs="Times New Roman"/>
                <w:b/>
                <w:sz w:val="20"/>
                <w:szCs w:val="20"/>
              </w:rPr>
            </w:pPr>
            <w:r w:rsidRPr="00001F32">
              <w:rPr>
                <w:rFonts w:cs="Times New Roman"/>
                <w:b/>
                <w:bCs/>
                <w:sz w:val="20"/>
                <w:szCs w:val="20"/>
                <w:lang w:val="pl"/>
              </w:rPr>
              <w:t>Opis zmian</w:t>
            </w:r>
          </w:p>
        </w:tc>
        <w:tc>
          <w:tcPr>
            <w:tcW w:w="1465" w:type="pct"/>
          </w:tcPr>
          <w:p w14:paraId="1F3DF62C" w14:textId="77777777" w:rsidR="00AD0D23" w:rsidRPr="00001F32" w:rsidRDefault="00AD0D23" w:rsidP="00673978">
            <w:pPr>
              <w:spacing w:after="0" w:afterAutospacing="0"/>
              <w:rPr>
                <w:rFonts w:cs="Times New Roman"/>
                <w:b/>
                <w:sz w:val="20"/>
                <w:szCs w:val="20"/>
                <w:lang w:val="pl-PL"/>
              </w:rPr>
            </w:pPr>
            <w:r w:rsidRPr="00001F32">
              <w:rPr>
                <w:rFonts w:cs="Times New Roman"/>
                <w:b/>
                <w:bCs/>
                <w:sz w:val="20"/>
                <w:szCs w:val="20"/>
                <w:lang w:val="pl"/>
              </w:rPr>
              <w:t>Wersja zatwierdzona przez jednostkę notyfikowaną?</w:t>
            </w:r>
          </w:p>
        </w:tc>
      </w:tr>
      <w:tr w:rsidR="00AD0D23" w:rsidRPr="00001F32" w14:paraId="4DDE5320" w14:textId="77777777" w:rsidTr="00001F32">
        <w:tc>
          <w:tcPr>
            <w:tcW w:w="429" w:type="pct"/>
          </w:tcPr>
          <w:p w14:paraId="2094EDE0" w14:textId="77777777" w:rsidR="00AD0D23" w:rsidRPr="00001F32" w:rsidRDefault="00AD0D23" w:rsidP="00673978">
            <w:pPr>
              <w:spacing w:after="0" w:afterAutospacing="0"/>
              <w:rPr>
                <w:rFonts w:cs="Times New Roman"/>
                <w:sz w:val="20"/>
                <w:szCs w:val="20"/>
              </w:rPr>
            </w:pPr>
            <w:r w:rsidRPr="00001F32">
              <w:rPr>
                <w:rFonts w:cs="Times New Roman"/>
                <w:sz w:val="20"/>
                <w:szCs w:val="20"/>
                <w:lang w:val="pl"/>
              </w:rPr>
              <w:t>A</w:t>
            </w:r>
          </w:p>
        </w:tc>
        <w:tc>
          <w:tcPr>
            <w:tcW w:w="868" w:type="pct"/>
          </w:tcPr>
          <w:p w14:paraId="0C766A84" w14:textId="30CDCCDB" w:rsidR="00AD0D23" w:rsidRPr="00001F32" w:rsidRDefault="00440750" w:rsidP="00440750">
            <w:pPr>
              <w:spacing w:after="0" w:afterAutospacing="0"/>
              <w:rPr>
                <w:rFonts w:cs="Times New Roman"/>
                <w:iCs/>
                <w:kern w:val="2"/>
                <w:sz w:val="20"/>
                <w:szCs w:val="20"/>
                <w14:ligatures w14:val="standardContextual"/>
              </w:rPr>
            </w:pPr>
            <w:r w:rsidRPr="00001F32">
              <w:rPr>
                <w:rFonts w:cs="Times New Roman"/>
                <w:sz w:val="20"/>
                <w:szCs w:val="20"/>
                <w:lang w:val="pl"/>
              </w:rPr>
              <w:t>10 Sierpnia 2021 r.</w:t>
            </w:r>
          </w:p>
        </w:tc>
        <w:tc>
          <w:tcPr>
            <w:tcW w:w="2239" w:type="pct"/>
          </w:tcPr>
          <w:p w14:paraId="35E11003" w14:textId="3E6CA0B1" w:rsidR="00AD0D23" w:rsidRPr="00001F32" w:rsidRDefault="00440750" w:rsidP="00440750">
            <w:pPr>
              <w:spacing w:after="0" w:afterAutospacing="0"/>
              <w:rPr>
                <w:rFonts w:cs="Times New Roman"/>
                <w:kern w:val="2"/>
                <w:sz w:val="20"/>
                <w:szCs w:val="20"/>
                <w14:ligatures w14:val="standardContextual"/>
              </w:rPr>
            </w:pPr>
            <w:r w:rsidRPr="00001F32">
              <w:rPr>
                <w:rFonts w:cs="Times New Roman"/>
                <w:sz w:val="20"/>
                <w:szCs w:val="20"/>
                <w:lang w:val="pl"/>
              </w:rPr>
              <w:t>Pierwsze wydanie podsumowania SSCP.</w:t>
            </w:r>
          </w:p>
        </w:tc>
        <w:tc>
          <w:tcPr>
            <w:tcW w:w="1465" w:type="pct"/>
          </w:tcPr>
          <w:p w14:paraId="16301690" w14:textId="6CDF8764" w:rsidR="00AD0D23" w:rsidRPr="00001F32" w:rsidRDefault="00440750" w:rsidP="00440750">
            <w:pPr>
              <w:spacing w:after="0" w:afterAutospacing="0"/>
              <w:rPr>
                <w:rFonts w:cs="Times New Roman"/>
                <w:kern w:val="2"/>
                <w:sz w:val="20"/>
                <w:szCs w:val="20"/>
                <w:lang w:val="pl-PL"/>
                <w14:ligatures w14:val="standardContextual"/>
              </w:rPr>
            </w:pPr>
            <w:r w:rsidRPr="00001F32">
              <w:rPr>
                <w:rFonts w:cs="Times New Roman"/>
                <w:sz w:val="20"/>
                <w:szCs w:val="20"/>
                <w:lang w:val="pl"/>
              </w:rPr>
              <w:t>Nie; pierwsze wydanie nastąpiło przed zatwierdzeniem przez jednostkę notyfikowaną.</w:t>
            </w:r>
          </w:p>
        </w:tc>
      </w:tr>
      <w:tr w:rsidR="00AD0D23" w:rsidRPr="00001F32" w14:paraId="6FEF5218" w14:textId="77777777" w:rsidTr="00001F32">
        <w:tc>
          <w:tcPr>
            <w:tcW w:w="429" w:type="pct"/>
          </w:tcPr>
          <w:p w14:paraId="6527D108" w14:textId="77777777" w:rsidR="00AD0D23" w:rsidRPr="00001F32" w:rsidRDefault="00AD0D23" w:rsidP="00673978">
            <w:pPr>
              <w:spacing w:after="0" w:afterAutospacing="0"/>
              <w:rPr>
                <w:rFonts w:cs="Times New Roman"/>
                <w:sz w:val="20"/>
                <w:szCs w:val="20"/>
              </w:rPr>
            </w:pPr>
            <w:r w:rsidRPr="00001F32">
              <w:rPr>
                <w:rFonts w:cs="Times New Roman"/>
                <w:sz w:val="20"/>
                <w:szCs w:val="20"/>
                <w:lang w:val="pl"/>
              </w:rPr>
              <w:t xml:space="preserve">B </w:t>
            </w:r>
          </w:p>
        </w:tc>
        <w:tc>
          <w:tcPr>
            <w:tcW w:w="868" w:type="pct"/>
          </w:tcPr>
          <w:p w14:paraId="4A982CA3" w14:textId="54E1083D" w:rsidR="00AD0D23" w:rsidRPr="00001F32" w:rsidRDefault="007D7BAA" w:rsidP="00440750">
            <w:pPr>
              <w:spacing w:after="0" w:afterAutospacing="0"/>
              <w:rPr>
                <w:rFonts w:cs="Times New Roman"/>
                <w:i/>
                <w:iCs/>
                <w:kern w:val="2"/>
                <w:sz w:val="20"/>
                <w:szCs w:val="20"/>
                <w14:ligatures w14:val="standardContextual"/>
              </w:rPr>
            </w:pPr>
            <w:r w:rsidRPr="00001F32">
              <w:rPr>
                <w:rFonts w:cs="Times New Roman"/>
                <w:sz w:val="20"/>
                <w:szCs w:val="20"/>
                <w:lang w:val="pl"/>
              </w:rPr>
              <w:t>25 Sierpnia 2026 r.</w:t>
            </w:r>
          </w:p>
        </w:tc>
        <w:tc>
          <w:tcPr>
            <w:tcW w:w="2239" w:type="pct"/>
          </w:tcPr>
          <w:p w14:paraId="3FC96E5C" w14:textId="24E04B6D" w:rsidR="00AD0D23" w:rsidRPr="00001F32" w:rsidRDefault="00CC4F62" w:rsidP="009C1E15">
            <w:pPr>
              <w:spacing w:after="0" w:afterAutospacing="0"/>
              <w:rPr>
                <w:rFonts w:cs="Times New Roman"/>
                <w:kern w:val="2"/>
                <w:sz w:val="20"/>
                <w:szCs w:val="20"/>
                <w:lang w:val="pl-PL"/>
                <w14:ligatures w14:val="standardContextual"/>
              </w:rPr>
            </w:pPr>
            <w:r w:rsidRPr="00001F32">
              <w:rPr>
                <w:rFonts w:cs="Times New Roman"/>
                <w:sz w:val="20"/>
                <w:szCs w:val="20"/>
                <w:lang w:val="pl"/>
              </w:rPr>
              <w:t xml:space="preserve">Ostateczna wersja SSCP została udostępniona publicznie </w:t>
            </w:r>
          </w:p>
        </w:tc>
        <w:tc>
          <w:tcPr>
            <w:tcW w:w="1465" w:type="pct"/>
          </w:tcPr>
          <w:p w14:paraId="22267420" w14:textId="7CD2259B" w:rsidR="00440750" w:rsidRPr="00001F32" w:rsidRDefault="00000000">
            <w:pPr>
              <w:spacing w:after="0" w:afterAutospacing="0"/>
              <w:rPr>
                <w:rFonts w:cs="Times New Roman"/>
                <w:kern w:val="2"/>
                <w:sz w:val="20"/>
                <w:szCs w:val="20"/>
                <w:lang w:val="pl-PL"/>
                <w14:ligatures w14:val="standardContextual"/>
              </w:rPr>
            </w:pPr>
            <w:sdt>
              <w:sdtPr>
                <w:rPr>
                  <w:rFonts w:ascii="Segoe UI Symbol" w:eastAsia="MS Gothic" w:hAnsi="Segoe UI Symbol" w:cs="Times New Roman"/>
                  <w:sz w:val="20"/>
                  <w:szCs w:val="20"/>
                </w:rPr>
                <w:id w:val="314686592"/>
                <w14:checkbox>
                  <w14:checked w14:val="1"/>
                  <w14:checkedState w14:val="2612" w14:font="MS Gothic"/>
                  <w14:uncheckedState w14:val="2610" w14:font="MS Gothic"/>
                </w14:checkbox>
              </w:sdtPr>
              <w:sdtContent>
                <w:r w:rsidR="00973788" w:rsidRPr="00001F32">
                  <w:rPr>
                    <w:rFonts w:ascii="Segoe UI Symbol" w:eastAsia="MS Gothic" w:hAnsi="Segoe UI Symbol" w:cs="Segoe UI Symbol"/>
                    <w:sz w:val="20"/>
                    <w:szCs w:val="20"/>
                    <w:lang w:val="pl"/>
                  </w:rPr>
                  <w:t>☒</w:t>
                </w:r>
              </w:sdtContent>
            </w:sdt>
            <w:r w:rsidR="00973788" w:rsidRPr="00001F32">
              <w:rPr>
                <w:rFonts w:eastAsia="MS Gothic"/>
                <w:sz w:val="20"/>
                <w:szCs w:val="20"/>
                <w:lang w:val="pl"/>
              </w:rPr>
              <w:t xml:space="preserve"> Tak</w:t>
            </w:r>
          </w:p>
          <w:p w14:paraId="70B860D6" w14:textId="38DEC848" w:rsidR="00440750" w:rsidRPr="00001F32" w:rsidRDefault="002805F1">
            <w:pPr>
              <w:spacing w:after="0" w:afterAutospacing="0"/>
              <w:rPr>
                <w:rFonts w:cs="Times New Roman"/>
                <w:kern w:val="2"/>
                <w:sz w:val="20"/>
                <w:szCs w:val="20"/>
                <w:lang w:val="pl-PL"/>
                <w14:ligatures w14:val="standardContextual"/>
              </w:rPr>
            </w:pPr>
            <w:r w:rsidRPr="00001F32">
              <w:rPr>
                <w:rFonts w:cs="Times New Roman"/>
                <w:sz w:val="20"/>
                <w:szCs w:val="20"/>
                <w:lang w:val="pl"/>
              </w:rPr>
              <w:t>Walidacja językowa:</w:t>
            </w:r>
          </w:p>
          <w:p w14:paraId="4154250C" w14:textId="6BB87408" w:rsidR="00004613" w:rsidRPr="00001F32" w:rsidRDefault="00440750" w:rsidP="00004613">
            <w:pPr>
              <w:spacing w:after="0" w:afterAutospacing="0"/>
              <w:rPr>
                <w:rFonts w:cs="Times New Roman"/>
                <w:sz w:val="20"/>
                <w:szCs w:val="20"/>
                <w:lang w:val="pl-PL"/>
              </w:rPr>
            </w:pPr>
            <w:r w:rsidRPr="00001F32">
              <w:rPr>
                <w:rFonts w:cs="Times New Roman"/>
                <w:sz w:val="20"/>
                <w:szCs w:val="20"/>
                <w:lang w:val="pl"/>
              </w:rPr>
              <w:t xml:space="preserve">Język angielski </w:t>
            </w:r>
          </w:p>
          <w:p w14:paraId="6D1884EE" w14:textId="77777777" w:rsidR="00AD0D23" w:rsidRPr="00001F32" w:rsidRDefault="00AD0D23" w:rsidP="00673978">
            <w:pPr>
              <w:spacing w:after="0" w:afterAutospacing="0"/>
              <w:rPr>
                <w:rFonts w:cs="Times New Roman"/>
                <w:sz w:val="20"/>
                <w:szCs w:val="20"/>
                <w:lang w:val="pl-PL"/>
              </w:rPr>
            </w:pPr>
          </w:p>
          <w:p w14:paraId="60B08BC8" w14:textId="75A9F843" w:rsidR="00AD0D23" w:rsidRPr="00001F32" w:rsidRDefault="00440750" w:rsidP="00440750">
            <w:pPr>
              <w:spacing w:after="0" w:afterAutospacing="0"/>
              <w:rPr>
                <w:rFonts w:cs="Times New Roman"/>
                <w:kern w:val="2"/>
                <w:sz w:val="20"/>
                <w:szCs w:val="20"/>
                <w:lang w:val="pl-PL"/>
                <w14:ligatures w14:val="standardContextual"/>
              </w:rPr>
            </w:pPr>
            <w:r w:rsidRPr="00001F32">
              <w:rPr>
                <w:rFonts w:cs="Times New Roman"/>
                <w:sz w:val="20"/>
                <w:szCs w:val="20"/>
                <w:lang w:val="pl"/>
              </w:rPr>
              <w:t>Zatwierdzone przez Jednostkę Notyfikowaną w języku angielskim zgodnie z zaleceniami sekcji 9 MDCG 2019-9.</w:t>
            </w:r>
          </w:p>
        </w:tc>
      </w:tr>
    </w:tbl>
    <w:p w14:paraId="2DDDE7C0" w14:textId="3C665903" w:rsidR="00042B91" w:rsidRPr="00001F32" w:rsidRDefault="00042B91" w:rsidP="005C0029">
      <w:pPr>
        <w:pStyle w:val="ListParagraph"/>
        <w:tabs>
          <w:tab w:val="left" w:pos="360"/>
        </w:tabs>
        <w:spacing w:after="120" w:afterAutospacing="0"/>
        <w:ind w:left="0"/>
        <w:rPr>
          <w:rFonts w:cs="Times New Roman"/>
          <w:lang w:val="pl-PL"/>
        </w:rPr>
      </w:pPr>
    </w:p>
    <w:p w14:paraId="60A799EB" w14:textId="77777777" w:rsidR="006D08AF" w:rsidRPr="00001F32" w:rsidRDefault="006D08AF" w:rsidP="005C0029">
      <w:pPr>
        <w:pStyle w:val="ListParagraph"/>
        <w:tabs>
          <w:tab w:val="left" w:pos="360"/>
        </w:tabs>
        <w:spacing w:after="120" w:afterAutospacing="0"/>
        <w:ind w:left="0"/>
        <w:rPr>
          <w:rFonts w:cs="Times New Roman"/>
          <w:lang w:val="pl-PL"/>
        </w:rPr>
      </w:pPr>
    </w:p>
    <w:sectPr w:rsidR="006D08AF" w:rsidRPr="00001F32" w:rsidSect="00A95910">
      <w:headerReference w:type="default" r:id="rId9"/>
      <w:footerReference w:type="default" r:id="rId10"/>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DFC0B" w14:textId="77777777" w:rsidR="00C357AC" w:rsidRDefault="00C357AC" w:rsidP="009855C3">
      <w:r>
        <w:separator/>
      </w:r>
    </w:p>
  </w:endnote>
  <w:endnote w:type="continuationSeparator" w:id="0">
    <w:p w14:paraId="61174D09" w14:textId="77777777" w:rsidR="00C357AC" w:rsidRDefault="00C357AC"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2AFC3C63" w:rsidR="00BE3D15" w:rsidRPr="00001F32" w:rsidRDefault="003036AD" w:rsidP="009855C3">
    <w:pPr>
      <w:pStyle w:val="Footer"/>
      <w:rPr>
        <w:szCs w:val="24"/>
        <w:lang w:val="pl-PL"/>
      </w:rPr>
    </w:pPr>
    <w:r>
      <w:rPr>
        <w:rFonts w:ascii="Arial" w:hAnsi="Arial"/>
        <w:b/>
        <w:bCs/>
        <w:sz w:val="18"/>
        <w:szCs w:val="18"/>
        <w:lang w:val="pl"/>
      </w:rPr>
      <w:t xml:space="preserve">CAQ-QA-025-F1 </w:t>
    </w:r>
    <w:r>
      <w:rPr>
        <w:rFonts w:ascii="Arial" w:hAnsi="Arial"/>
        <w:b/>
        <w:bCs/>
        <w:sz w:val="18"/>
        <w:szCs w:val="18"/>
        <w:lang w:val="pl"/>
      </w:rPr>
      <w:t>Rev G: Podsumowanie bezpieczeństwa i skuteczności klinicznej (SSCP)</w:t>
    </w:r>
    <w:r>
      <w:rPr>
        <w:lang w:val="pl"/>
      </w:rPr>
      <w:t xml:space="preserve"> </w:t>
    </w:r>
    <w:r>
      <w:rPr>
        <w:lang w:val="pl"/>
      </w:rPr>
      <w:tab/>
      <w:t xml:space="preserve">Strona </w:t>
    </w:r>
    <w:r>
      <w:rPr>
        <w:lang w:val="pl"/>
      </w:rPr>
      <w:fldChar w:fldCharType="begin"/>
    </w:r>
    <w:r>
      <w:rPr>
        <w:lang w:val="pl"/>
      </w:rPr>
      <w:instrText xml:space="preserve"> PAGE  \* Arabic </w:instrText>
    </w:r>
    <w:r>
      <w:rPr>
        <w:lang w:val="pl"/>
      </w:rPr>
      <w:fldChar w:fldCharType="separate"/>
    </w:r>
    <w:r>
      <w:rPr>
        <w:lang w:val="pl"/>
      </w:rPr>
      <w:t>0</w:t>
    </w:r>
    <w:r>
      <w:rPr>
        <w:lang w:val="pl"/>
      </w:rPr>
      <w:fldChar w:fldCharType="end"/>
    </w:r>
    <w:r>
      <w:rPr>
        <w:lang w:val="pl"/>
      </w:rPr>
      <w:t xml:space="preserve"> z </w:t>
    </w:r>
    <w:r>
      <w:fldChar w:fldCharType="begin"/>
    </w:r>
    <w:r w:rsidRPr="00001F32">
      <w:rPr>
        <w:lang w:val="pl-PL"/>
      </w:rPr>
      <w:instrText xml:space="preserve"> NUMPAGES  </w:instrText>
    </w:r>
    <w:r>
      <w:fldChar w:fldCharType="separate"/>
    </w:r>
    <w:r>
      <w:rPr>
        <w:lang w:val="pl"/>
      </w:rPr>
      <w:t>12</w:t>
    </w:r>
    <w:r>
      <w:rPr>
        <w:lang w:val="pl"/>
      </w:rPr>
      <w:fldChar w:fldCharType="end"/>
    </w:r>
    <w:r>
      <w:rPr>
        <w:lang w:val="pl"/>
      </w:rPr>
      <w:tab/>
    </w:r>
    <w:r>
      <w:rPr>
        <w:lang w:val="p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47BAF" w14:textId="77777777" w:rsidR="00C357AC" w:rsidRDefault="00C357AC" w:rsidP="009855C3">
      <w:r>
        <w:separator/>
      </w:r>
    </w:p>
  </w:footnote>
  <w:footnote w:type="continuationSeparator" w:id="0">
    <w:p w14:paraId="7623FE6A" w14:textId="77777777" w:rsidR="00C357AC" w:rsidRDefault="00C357AC"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B62140" w:rsidRPr="00001F32" w14:paraId="7E46E4C7" w14:textId="77777777" w:rsidTr="00B62140">
      <w:tc>
        <w:tcPr>
          <w:tcW w:w="3080" w:type="dxa"/>
        </w:tcPr>
        <w:p w14:paraId="184F2588" w14:textId="6EABB2E0" w:rsidR="00B62140" w:rsidRDefault="00B62140" w:rsidP="00B62140">
          <w:pPr>
            <w:pStyle w:val="Header"/>
            <w:jc w:val="left"/>
          </w:pPr>
          <w:r>
            <w:rPr>
              <w:noProof/>
              <w:lang w:val="pl"/>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7A70FCBF" w:rsidR="005450DC" w:rsidRPr="00001F32" w:rsidRDefault="005450DC" w:rsidP="005450DC">
          <w:pPr>
            <w:spacing w:after="0" w:afterAutospacing="0"/>
            <w:rPr>
              <w:rFonts w:ascii="Arial" w:hAnsi="Arial" w:cs="Arial"/>
              <w:b/>
              <w:bCs/>
              <w:sz w:val="28"/>
              <w:szCs w:val="28"/>
              <w:lang w:val="pl-PL"/>
            </w:rPr>
          </w:pPr>
          <w:r>
            <w:rPr>
              <w:rFonts w:ascii="Arial" w:hAnsi="Arial" w:cs="Arial"/>
              <w:b/>
              <w:bCs/>
              <w:sz w:val="28"/>
              <w:szCs w:val="28"/>
              <w:lang w:val="pl"/>
            </w:rPr>
            <w:t>Podsumowanie dotyczące bezpieczeństwa i skuteczności klinicznej (SSCP)</w:t>
          </w:r>
        </w:p>
        <w:p w14:paraId="23DC51A5" w14:textId="31B87D5D" w:rsidR="007D29CA" w:rsidRPr="00001F32" w:rsidRDefault="00170FE5" w:rsidP="005450DC">
          <w:pPr>
            <w:spacing w:after="0" w:afterAutospacing="0"/>
            <w:rPr>
              <w:rFonts w:ascii="Arial" w:hAnsi="Arial" w:cs="Arial"/>
              <w:sz w:val="18"/>
              <w:szCs w:val="18"/>
              <w:lang w:val="pl-PL"/>
            </w:rPr>
          </w:pPr>
          <w:r>
            <w:rPr>
              <w:rFonts w:ascii="Arial" w:hAnsi="Arial" w:cs="Arial"/>
              <w:sz w:val="18"/>
              <w:szCs w:val="18"/>
              <w:lang w:val="pl"/>
            </w:rPr>
            <w:t xml:space="preserve">SSCP-0005: </w:t>
          </w:r>
          <w:bookmarkStart w:id="36" w:name="_Hlk196921307"/>
          <w:r>
            <w:rPr>
              <w:rFonts w:ascii="Arial" w:hAnsi="Arial" w:cs="Arial"/>
              <w:sz w:val="18"/>
              <w:szCs w:val="18"/>
              <w:lang w:val="pl"/>
            </w:rPr>
            <w:t>System usuwalnego filtra do żyły głównej Option ELITE</w:t>
          </w:r>
          <w:bookmarkEnd w:id="36"/>
        </w:p>
        <w:p w14:paraId="32066318" w14:textId="5BB0ACA6" w:rsidR="005450DC" w:rsidRPr="00001F32" w:rsidRDefault="005450DC" w:rsidP="005450DC">
          <w:pPr>
            <w:spacing w:after="0" w:afterAutospacing="0"/>
            <w:rPr>
              <w:rFonts w:ascii="Arial" w:hAnsi="Arial" w:cs="Arial"/>
              <w:sz w:val="18"/>
              <w:szCs w:val="18"/>
              <w:lang w:val="pl-PL"/>
            </w:rPr>
          </w:pPr>
          <w:r>
            <w:rPr>
              <w:rFonts w:ascii="Arial" w:hAnsi="Arial" w:cs="Arial"/>
              <w:sz w:val="18"/>
              <w:szCs w:val="18"/>
              <w:lang w:val="pl"/>
            </w:rPr>
            <w:t>Wersja: B</w:t>
          </w:r>
        </w:p>
        <w:p w14:paraId="2F5F8390" w14:textId="0ABFBBD1" w:rsidR="005450DC" w:rsidRPr="00001F32" w:rsidRDefault="005450DC" w:rsidP="005450DC">
          <w:pPr>
            <w:pStyle w:val="Header"/>
            <w:jc w:val="left"/>
            <w:rPr>
              <w:rFonts w:ascii="Arial" w:hAnsi="Arial" w:cs="Arial"/>
              <w:sz w:val="18"/>
              <w:lang w:val="pl-PL"/>
            </w:rPr>
          </w:pPr>
          <w:r>
            <w:rPr>
              <w:rFonts w:ascii="Calibri" w:eastAsiaTheme="minorHAnsi" w:hAnsi="Calibri" w:cs="Calibri"/>
              <w:sz w:val="18"/>
              <w:szCs w:val="18"/>
              <w:lang w:val="pl"/>
            </w:rPr>
            <w:t>Siedziba firmy Argon: Wszystkie lokalizacje</w:t>
          </w:r>
        </w:p>
      </w:tc>
    </w:tr>
  </w:tbl>
  <w:p w14:paraId="0BD58B4F" w14:textId="14B1A876" w:rsidR="00B62140" w:rsidRPr="00001F32" w:rsidRDefault="00B62140" w:rsidP="00B62140">
    <w:pPr>
      <w:pStyle w:val="Header"/>
      <w:jc w:val="left"/>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6F00EE08"/>
    <w:lvl w:ilvl="0">
      <w:start w:val="1"/>
      <w:numFmt w:val="decimal"/>
      <w:lvlText w:val="%1."/>
      <w:lvlJc w:val="left"/>
      <w:pPr>
        <w:ind w:left="360" w:hanging="360"/>
      </w:pPr>
      <w:rPr>
        <w:b/>
        <w:bCs w:val="0"/>
      </w:rPr>
    </w:lvl>
    <w:lvl w:ilvl="1">
      <w:start w:val="1"/>
      <w:numFmt w:val="decimal"/>
      <w:pStyle w:val="Heading1"/>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176312">
    <w:abstractNumId w:val="26"/>
  </w:num>
  <w:num w:numId="2" w16cid:durableId="1360936298">
    <w:abstractNumId w:val="17"/>
  </w:num>
  <w:num w:numId="3" w16cid:durableId="1224174146">
    <w:abstractNumId w:val="7"/>
  </w:num>
  <w:num w:numId="4" w16cid:durableId="1690982674">
    <w:abstractNumId w:val="21"/>
  </w:num>
  <w:num w:numId="5" w16cid:durableId="1429890031">
    <w:abstractNumId w:val="1"/>
  </w:num>
  <w:num w:numId="6" w16cid:durableId="1014459138">
    <w:abstractNumId w:val="0"/>
  </w:num>
  <w:num w:numId="7" w16cid:durableId="680552463">
    <w:abstractNumId w:val="25"/>
  </w:num>
  <w:num w:numId="8" w16cid:durableId="1454518612">
    <w:abstractNumId w:val="23"/>
  </w:num>
  <w:num w:numId="9" w16cid:durableId="336349136">
    <w:abstractNumId w:val="18"/>
  </w:num>
  <w:num w:numId="10" w16cid:durableId="466094932">
    <w:abstractNumId w:val="8"/>
  </w:num>
  <w:num w:numId="11" w16cid:durableId="60099282">
    <w:abstractNumId w:val="32"/>
  </w:num>
  <w:num w:numId="12" w16cid:durableId="1476557790">
    <w:abstractNumId w:val="29"/>
  </w:num>
  <w:num w:numId="13" w16cid:durableId="624431319">
    <w:abstractNumId w:val="14"/>
  </w:num>
  <w:num w:numId="14" w16cid:durableId="1819691741">
    <w:abstractNumId w:val="13"/>
  </w:num>
  <w:num w:numId="15" w16cid:durableId="1443917647">
    <w:abstractNumId w:val="20"/>
  </w:num>
  <w:num w:numId="16" w16cid:durableId="1113943384">
    <w:abstractNumId w:val="27"/>
  </w:num>
  <w:num w:numId="17" w16cid:durableId="1333603459">
    <w:abstractNumId w:val="10"/>
  </w:num>
  <w:num w:numId="18" w16cid:durableId="1140415936">
    <w:abstractNumId w:val="12"/>
  </w:num>
  <w:num w:numId="19" w16cid:durableId="2111580771">
    <w:abstractNumId w:val="30"/>
  </w:num>
  <w:num w:numId="20" w16cid:durableId="937559809">
    <w:abstractNumId w:val="24"/>
  </w:num>
  <w:num w:numId="21" w16cid:durableId="2044475331">
    <w:abstractNumId w:val="16"/>
  </w:num>
  <w:num w:numId="22" w16cid:durableId="1961379024">
    <w:abstractNumId w:val="31"/>
  </w:num>
  <w:num w:numId="23" w16cid:durableId="2031711337">
    <w:abstractNumId w:val="6"/>
  </w:num>
  <w:num w:numId="24" w16cid:durableId="2050496120">
    <w:abstractNumId w:val="3"/>
  </w:num>
  <w:num w:numId="25" w16cid:durableId="1065449296">
    <w:abstractNumId w:val="19"/>
  </w:num>
  <w:num w:numId="26" w16cid:durableId="1310548909">
    <w:abstractNumId w:val="2"/>
  </w:num>
  <w:num w:numId="27" w16cid:durableId="946548857">
    <w:abstractNumId w:val="4"/>
  </w:num>
  <w:num w:numId="28" w16cid:durableId="68233870">
    <w:abstractNumId w:val="11"/>
  </w:num>
  <w:num w:numId="29" w16cid:durableId="761342940">
    <w:abstractNumId w:val="5"/>
  </w:num>
  <w:num w:numId="30" w16cid:durableId="1139613276">
    <w:abstractNumId w:val="22"/>
  </w:num>
  <w:num w:numId="31" w16cid:durableId="29961017">
    <w:abstractNumId w:val="15"/>
  </w:num>
  <w:num w:numId="32" w16cid:durableId="811799769">
    <w:abstractNumId w:val="33"/>
  </w:num>
  <w:num w:numId="33" w16cid:durableId="1319111032">
    <w:abstractNumId w:val="9"/>
  </w:num>
  <w:num w:numId="34" w16cid:durableId="218638782">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AA"/>
    <w:rsid w:val="00000A24"/>
    <w:rsid w:val="00001F32"/>
    <w:rsid w:val="00004613"/>
    <w:rsid w:val="00006465"/>
    <w:rsid w:val="00012A85"/>
    <w:rsid w:val="00012C93"/>
    <w:rsid w:val="00014323"/>
    <w:rsid w:val="000163AD"/>
    <w:rsid w:val="000214B2"/>
    <w:rsid w:val="0002225A"/>
    <w:rsid w:val="000242A1"/>
    <w:rsid w:val="000246FD"/>
    <w:rsid w:val="00027F2B"/>
    <w:rsid w:val="000305B4"/>
    <w:rsid w:val="00030DDD"/>
    <w:rsid w:val="000316DB"/>
    <w:rsid w:val="000318C6"/>
    <w:rsid w:val="00031BDA"/>
    <w:rsid w:val="0003250E"/>
    <w:rsid w:val="00035E21"/>
    <w:rsid w:val="00042B91"/>
    <w:rsid w:val="000463DC"/>
    <w:rsid w:val="000506C8"/>
    <w:rsid w:val="0005411A"/>
    <w:rsid w:val="000554E9"/>
    <w:rsid w:val="00055C2F"/>
    <w:rsid w:val="000563E0"/>
    <w:rsid w:val="00057C35"/>
    <w:rsid w:val="000609B2"/>
    <w:rsid w:val="000628F7"/>
    <w:rsid w:val="000636A4"/>
    <w:rsid w:val="000650A3"/>
    <w:rsid w:val="00066896"/>
    <w:rsid w:val="00071055"/>
    <w:rsid w:val="00073095"/>
    <w:rsid w:val="00076941"/>
    <w:rsid w:val="00080E4F"/>
    <w:rsid w:val="00083641"/>
    <w:rsid w:val="00083DC7"/>
    <w:rsid w:val="000866AE"/>
    <w:rsid w:val="00090A9B"/>
    <w:rsid w:val="00090E96"/>
    <w:rsid w:val="00091AAF"/>
    <w:rsid w:val="00092101"/>
    <w:rsid w:val="00093B7D"/>
    <w:rsid w:val="00094206"/>
    <w:rsid w:val="00096049"/>
    <w:rsid w:val="000A0B67"/>
    <w:rsid w:val="000B21F9"/>
    <w:rsid w:val="000B575E"/>
    <w:rsid w:val="000B597C"/>
    <w:rsid w:val="000C109C"/>
    <w:rsid w:val="000C22BE"/>
    <w:rsid w:val="000C292E"/>
    <w:rsid w:val="000C2D7A"/>
    <w:rsid w:val="000C358D"/>
    <w:rsid w:val="000C4B7E"/>
    <w:rsid w:val="000C592D"/>
    <w:rsid w:val="000C5F93"/>
    <w:rsid w:val="000C79AF"/>
    <w:rsid w:val="000D12FA"/>
    <w:rsid w:val="000D2F57"/>
    <w:rsid w:val="000D5406"/>
    <w:rsid w:val="000D58E6"/>
    <w:rsid w:val="000D5ABD"/>
    <w:rsid w:val="000E0B60"/>
    <w:rsid w:val="000E39A6"/>
    <w:rsid w:val="000E5413"/>
    <w:rsid w:val="000E57FB"/>
    <w:rsid w:val="000E5A0A"/>
    <w:rsid w:val="000E6BF0"/>
    <w:rsid w:val="000F0DCC"/>
    <w:rsid w:val="000F2D2C"/>
    <w:rsid w:val="000F2D33"/>
    <w:rsid w:val="000F3BD2"/>
    <w:rsid w:val="000F445D"/>
    <w:rsid w:val="000F4A0E"/>
    <w:rsid w:val="000F66EC"/>
    <w:rsid w:val="0010077F"/>
    <w:rsid w:val="00102796"/>
    <w:rsid w:val="00103AF7"/>
    <w:rsid w:val="001046D1"/>
    <w:rsid w:val="0010597E"/>
    <w:rsid w:val="00110B78"/>
    <w:rsid w:val="00122181"/>
    <w:rsid w:val="00123DA6"/>
    <w:rsid w:val="00124965"/>
    <w:rsid w:val="001258A8"/>
    <w:rsid w:val="00126336"/>
    <w:rsid w:val="00126E64"/>
    <w:rsid w:val="001279E4"/>
    <w:rsid w:val="001378CC"/>
    <w:rsid w:val="00142E9D"/>
    <w:rsid w:val="001436A3"/>
    <w:rsid w:val="001442FE"/>
    <w:rsid w:val="00150EC1"/>
    <w:rsid w:val="00153E50"/>
    <w:rsid w:val="001548D5"/>
    <w:rsid w:val="00154AAA"/>
    <w:rsid w:val="00155320"/>
    <w:rsid w:val="00156CFA"/>
    <w:rsid w:val="00160A32"/>
    <w:rsid w:val="001625C1"/>
    <w:rsid w:val="00162923"/>
    <w:rsid w:val="0017014A"/>
    <w:rsid w:val="00170FE5"/>
    <w:rsid w:val="001807DE"/>
    <w:rsid w:val="00181ED5"/>
    <w:rsid w:val="00182921"/>
    <w:rsid w:val="001845D5"/>
    <w:rsid w:val="00187AEE"/>
    <w:rsid w:val="00190130"/>
    <w:rsid w:val="001919D6"/>
    <w:rsid w:val="00191DA1"/>
    <w:rsid w:val="00191ED2"/>
    <w:rsid w:val="00192173"/>
    <w:rsid w:val="00193354"/>
    <w:rsid w:val="00193762"/>
    <w:rsid w:val="0019418C"/>
    <w:rsid w:val="00196A98"/>
    <w:rsid w:val="001977CF"/>
    <w:rsid w:val="001A3916"/>
    <w:rsid w:val="001A4D38"/>
    <w:rsid w:val="001A65E5"/>
    <w:rsid w:val="001B090F"/>
    <w:rsid w:val="001B1EB2"/>
    <w:rsid w:val="001B2CC1"/>
    <w:rsid w:val="001B4005"/>
    <w:rsid w:val="001C3DB6"/>
    <w:rsid w:val="001C4A72"/>
    <w:rsid w:val="001C4B4A"/>
    <w:rsid w:val="001D0B65"/>
    <w:rsid w:val="001D1887"/>
    <w:rsid w:val="001D1C4F"/>
    <w:rsid w:val="001D248B"/>
    <w:rsid w:val="001D2757"/>
    <w:rsid w:val="001D3B85"/>
    <w:rsid w:val="001D5C82"/>
    <w:rsid w:val="001D66D1"/>
    <w:rsid w:val="001E09DF"/>
    <w:rsid w:val="001E222E"/>
    <w:rsid w:val="001E7A0E"/>
    <w:rsid w:val="001E7BAC"/>
    <w:rsid w:val="001F070D"/>
    <w:rsid w:val="00201AAB"/>
    <w:rsid w:val="00202CF1"/>
    <w:rsid w:val="00207701"/>
    <w:rsid w:val="00207A7C"/>
    <w:rsid w:val="00210C61"/>
    <w:rsid w:val="00210D75"/>
    <w:rsid w:val="00214D96"/>
    <w:rsid w:val="00214E2F"/>
    <w:rsid w:val="0021589A"/>
    <w:rsid w:val="00217574"/>
    <w:rsid w:val="00217DF1"/>
    <w:rsid w:val="00221162"/>
    <w:rsid w:val="00221CEF"/>
    <w:rsid w:val="00224BC1"/>
    <w:rsid w:val="002261C5"/>
    <w:rsid w:val="00230011"/>
    <w:rsid w:val="00233456"/>
    <w:rsid w:val="002348B1"/>
    <w:rsid w:val="00237068"/>
    <w:rsid w:val="00245119"/>
    <w:rsid w:val="0024660B"/>
    <w:rsid w:val="00246ADF"/>
    <w:rsid w:val="00247FC4"/>
    <w:rsid w:val="002530C3"/>
    <w:rsid w:val="00253B72"/>
    <w:rsid w:val="00254519"/>
    <w:rsid w:val="0025457B"/>
    <w:rsid w:val="00255F21"/>
    <w:rsid w:val="00265864"/>
    <w:rsid w:val="00272B97"/>
    <w:rsid w:val="002756BF"/>
    <w:rsid w:val="00275DB1"/>
    <w:rsid w:val="002805F1"/>
    <w:rsid w:val="00282088"/>
    <w:rsid w:val="00287A6D"/>
    <w:rsid w:val="00291A3E"/>
    <w:rsid w:val="00293899"/>
    <w:rsid w:val="002948AC"/>
    <w:rsid w:val="0029569E"/>
    <w:rsid w:val="0029584E"/>
    <w:rsid w:val="00295BDF"/>
    <w:rsid w:val="00296AFC"/>
    <w:rsid w:val="002A0213"/>
    <w:rsid w:val="002A0423"/>
    <w:rsid w:val="002A167A"/>
    <w:rsid w:val="002A315C"/>
    <w:rsid w:val="002A779E"/>
    <w:rsid w:val="002B1395"/>
    <w:rsid w:val="002B2B5F"/>
    <w:rsid w:val="002B2CDA"/>
    <w:rsid w:val="002B456B"/>
    <w:rsid w:val="002C067B"/>
    <w:rsid w:val="002C1A26"/>
    <w:rsid w:val="002C1F42"/>
    <w:rsid w:val="002C28D5"/>
    <w:rsid w:val="002C3D02"/>
    <w:rsid w:val="002C4B80"/>
    <w:rsid w:val="002C7251"/>
    <w:rsid w:val="002C7DDF"/>
    <w:rsid w:val="002D3AD4"/>
    <w:rsid w:val="002D5176"/>
    <w:rsid w:val="002D627D"/>
    <w:rsid w:val="002E1885"/>
    <w:rsid w:val="002F0BC1"/>
    <w:rsid w:val="002F37BF"/>
    <w:rsid w:val="002F700D"/>
    <w:rsid w:val="003036AD"/>
    <w:rsid w:val="003043BD"/>
    <w:rsid w:val="00304B18"/>
    <w:rsid w:val="00305D28"/>
    <w:rsid w:val="00310C91"/>
    <w:rsid w:val="00312F19"/>
    <w:rsid w:val="00313F34"/>
    <w:rsid w:val="00326E3B"/>
    <w:rsid w:val="003273A4"/>
    <w:rsid w:val="00327DCE"/>
    <w:rsid w:val="00330B48"/>
    <w:rsid w:val="00330E18"/>
    <w:rsid w:val="003326A4"/>
    <w:rsid w:val="00335181"/>
    <w:rsid w:val="00337C93"/>
    <w:rsid w:val="00341BB7"/>
    <w:rsid w:val="00344C86"/>
    <w:rsid w:val="0035065A"/>
    <w:rsid w:val="00352FB6"/>
    <w:rsid w:val="003537EB"/>
    <w:rsid w:val="003538E2"/>
    <w:rsid w:val="00356AFC"/>
    <w:rsid w:val="00365B04"/>
    <w:rsid w:val="00365E53"/>
    <w:rsid w:val="00366C08"/>
    <w:rsid w:val="0037405C"/>
    <w:rsid w:val="00374961"/>
    <w:rsid w:val="0037766D"/>
    <w:rsid w:val="00380520"/>
    <w:rsid w:val="003815E7"/>
    <w:rsid w:val="0039050C"/>
    <w:rsid w:val="0039183B"/>
    <w:rsid w:val="00393EF6"/>
    <w:rsid w:val="00394151"/>
    <w:rsid w:val="003951A0"/>
    <w:rsid w:val="00395FDB"/>
    <w:rsid w:val="00396242"/>
    <w:rsid w:val="003963BC"/>
    <w:rsid w:val="003A11D6"/>
    <w:rsid w:val="003A75BD"/>
    <w:rsid w:val="003B0091"/>
    <w:rsid w:val="003B08EB"/>
    <w:rsid w:val="003B2367"/>
    <w:rsid w:val="003B23F8"/>
    <w:rsid w:val="003B3A29"/>
    <w:rsid w:val="003B587A"/>
    <w:rsid w:val="003B5BD6"/>
    <w:rsid w:val="003B7152"/>
    <w:rsid w:val="003C147E"/>
    <w:rsid w:val="003C1652"/>
    <w:rsid w:val="003C50D3"/>
    <w:rsid w:val="003C58E5"/>
    <w:rsid w:val="003C5BED"/>
    <w:rsid w:val="003D057F"/>
    <w:rsid w:val="003D0AB6"/>
    <w:rsid w:val="003D12FE"/>
    <w:rsid w:val="003D3DCB"/>
    <w:rsid w:val="003D4518"/>
    <w:rsid w:val="003D59CA"/>
    <w:rsid w:val="003D61F1"/>
    <w:rsid w:val="003E08FC"/>
    <w:rsid w:val="003E20E5"/>
    <w:rsid w:val="003E3C12"/>
    <w:rsid w:val="003F2AC2"/>
    <w:rsid w:val="003F302A"/>
    <w:rsid w:val="003F3D5E"/>
    <w:rsid w:val="003F6E6D"/>
    <w:rsid w:val="003F7561"/>
    <w:rsid w:val="00400625"/>
    <w:rsid w:val="00406633"/>
    <w:rsid w:val="004066E5"/>
    <w:rsid w:val="00407511"/>
    <w:rsid w:val="00415912"/>
    <w:rsid w:val="00416581"/>
    <w:rsid w:val="004169CA"/>
    <w:rsid w:val="00417329"/>
    <w:rsid w:val="00421FF6"/>
    <w:rsid w:val="0042229E"/>
    <w:rsid w:val="0042251D"/>
    <w:rsid w:val="004225B0"/>
    <w:rsid w:val="004233CC"/>
    <w:rsid w:val="004241BA"/>
    <w:rsid w:val="0042444A"/>
    <w:rsid w:val="004263BF"/>
    <w:rsid w:val="00427BBE"/>
    <w:rsid w:val="00430306"/>
    <w:rsid w:val="00430638"/>
    <w:rsid w:val="004329F3"/>
    <w:rsid w:val="00432E54"/>
    <w:rsid w:val="0043316F"/>
    <w:rsid w:val="00433F6F"/>
    <w:rsid w:val="0043797B"/>
    <w:rsid w:val="00440750"/>
    <w:rsid w:val="00440AB6"/>
    <w:rsid w:val="004430BE"/>
    <w:rsid w:val="00443833"/>
    <w:rsid w:val="00451378"/>
    <w:rsid w:val="00454C46"/>
    <w:rsid w:val="0045626F"/>
    <w:rsid w:val="00457931"/>
    <w:rsid w:val="00460A21"/>
    <w:rsid w:val="00463EF7"/>
    <w:rsid w:val="00465070"/>
    <w:rsid w:val="00465A59"/>
    <w:rsid w:val="00466071"/>
    <w:rsid w:val="00467ADF"/>
    <w:rsid w:val="004700CC"/>
    <w:rsid w:val="0047169C"/>
    <w:rsid w:val="0047192F"/>
    <w:rsid w:val="004728BA"/>
    <w:rsid w:val="00473D34"/>
    <w:rsid w:val="004755A2"/>
    <w:rsid w:val="0047634B"/>
    <w:rsid w:val="004766F0"/>
    <w:rsid w:val="00480A4D"/>
    <w:rsid w:val="0048338B"/>
    <w:rsid w:val="00484EAF"/>
    <w:rsid w:val="00487F99"/>
    <w:rsid w:val="00490868"/>
    <w:rsid w:val="00492490"/>
    <w:rsid w:val="00492C01"/>
    <w:rsid w:val="00496609"/>
    <w:rsid w:val="004A02E9"/>
    <w:rsid w:val="004A3746"/>
    <w:rsid w:val="004A3F32"/>
    <w:rsid w:val="004A4BE0"/>
    <w:rsid w:val="004A5205"/>
    <w:rsid w:val="004A6C3D"/>
    <w:rsid w:val="004B0DED"/>
    <w:rsid w:val="004B13FC"/>
    <w:rsid w:val="004B6FC2"/>
    <w:rsid w:val="004C0A45"/>
    <w:rsid w:val="004C12F0"/>
    <w:rsid w:val="004C5531"/>
    <w:rsid w:val="004C7D3C"/>
    <w:rsid w:val="004D2139"/>
    <w:rsid w:val="004D61B6"/>
    <w:rsid w:val="004D6D70"/>
    <w:rsid w:val="004E0896"/>
    <w:rsid w:val="004E163A"/>
    <w:rsid w:val="004E24F8"/>
    <w:rsid w:val="004E3706"/>
    <w:rsid w:val="004E3A13"/>
    <w:rsid w:val="004E3C57"/>
    <w:rsid w:val="004E64C4"/>
    <w:rsid w:val="004E64DD"/>
    <w:rsid w:val="004F0A27"/>
    <w:rsid w:val="004F0A5A"/>
    <w:rsid w:val="004F2CB7"/>
    <w:rsid w:val="004F2EF5"/>
    <w:rsid w:val="004F71D5"/>
    <w:rsid w:val="005002CE"/>
    <w:rsid w:val="005102F2"/>
    <w:rsid w:val="00512C7F"/>
    <w:rsid w:val="00513D85"/>
    <w:rsid w:val="0051631D"/>
    <w:rsid w:val="00520896"/>
    <w:rsid w:val="00521477"/>
    <w:rsid w:val="00523B7A"/>
    <w:rsid w:val="00523E38"/>
    <w:rsid w:val="00523FBD"/>
    <w:rsid w:val="005243AE"/>
    <w:rsid w:val="005262AF"/>
    <w:rsid w:val="0052791C"/>
    <w:rsid w:val="00543477"/>
    <w:rsid w:val="005439FC"/>
    <w:rsid w:val="005450DC"/>
    <w:rsid w:val="0054763D"/>
    <w:rsid w:val="0054780B"/>
    <w:rsid w:val="00554AD7"/>
    <w:rsid w:val="005554AA"/>
    <w:rsid w:val="0055603E"/>
    <w:rsid w:val="005566D5"/>
    <w:rsid w:val="00560A29"/>
    <w:rsid w:val="00562966"/>
    <w:rsid w:val="005647F4"/>
    <w:rsid w:val="0056502C"/>
    <w:rsid w:val="0056594F"/>
    <w:rsid w:val="00566241"/>
    <w:rsid w:val="00573D4F"/>
    <w:rsid w:val="00575EE3"/>
    <w:rsid w:val="005760BA"/>
    <w:rsid w:val="005836A3"/>
    <w:rsid w:val="005842F3"/>
    <w:rsid w:val="0058629B"/>
    <w:rsid w:val="00586334"/>
    <w:rsid w:val="00592158"/>
    <w:rsid w:val="00593D67"/>
    <w:rsid w:val="00594C7F"/>
    <w:rsid w:val="00595817"/>
    <w:rsid w:val="005A2D80"/>
    <w:rsid w:val="005A3CF2"/>
    <w:rsid w:val="005A48D7"/>
    <w:rsid w:val="005A55B1"/>
    <w:rsid w:val="005A647F"/>
    <w:rsid w:val="005B290F"/>
    <w:rsid w:val="005B5DAC"/>
    <w:rsid w:val="005C0029"/>
    <w:rsid w:val="005C2BA7"/>
    <w:rsid w:val="005C74F7"/>
    <w:rsid w:val="005C7672"/>
    <w:rsid w:val="005D00E4"/>
    <w:rsid w:val="005D331C"/>
    <w:rsid w:val="005D3579"/>
    <w:rsid w:val="005D3B35"/>
    <w:rsid w:val="005D3BCE"/>
    <w:rsid w:val="005D4B99"/>
    <w:rsid w:val="005E0B5F"/>
    <w:rsid w:val="005E1822"/>
    <w:rsid w:val="005E37C1"/>
    <w:rsid w:val="005E4C04"/>
    <w:rsid w:val="005E6F83"/>
    <w:rsid w:val="005E7412"/>
    <w:rsid w:val="005E7540"/>
    <w:rsid w:val="005F1F10"/>
    <w:rsid w:val="005F4CCD"/>
    <w:rsid w:val="005F5064"/>
    <w:rsid w:val="005F6A51"/>
    <w:rsid w:val="005F73B3"/>
    <w:rsid w:val="005F7AEC"/>
    <w:rsid w:val="006016AB"/>
    <w:rsid w:val="006022AD"/>
    <w:rsid w:val="0060258C"/>
    <w:rsid w:val="00603B0B"/>
    <w:rsid w:val="0060483A"/>
    <w:rsid w:val="0060776B"/>
    <w:rsid w:val="00607F7D"/>
    <w:rsid w:val="00612BE6"/>
    <w:rsid w:val="00614077"/>
    <w:rsid w:val="00616ADF"/>
    <w:rsid w:val="00626BE9"/>
    <w:rsid w:val="00626EE5"/>
    <w:rsid w:val="0063041D"/>
    <w:rsid w:val="00635CB0"/>
    <w:rsid w:val="00635EE7"/>
    <w:rsid w:val="00636BBA"/>
    <w:rsid w:val="00640581"/>
    <w:rsid w:val="0064168C"/>
    <w:rsid w:val="00642D0B"/>
    <w:rsid w:val="00645E84"/>
    <w:rsid w:val="006524A2"/>
    <w:rsid w:val="00655670"/>
    <w:rsid w:val="00655F47"/>
    <w:rsid w:val="00656B95"/>
    <w:rsid w:val="00657878"/>
    <w:rsid w:val="00657BE3"/>
    <w:rsid w:val="00662711"/>
    <w:rsid w:val="00662A57"/>
    <w:rsid w:val="00663763"/>
    <w:rsid w:val="006639ED"/>
    <w:rsid w:val="0067068D"/>
    <w:rsid w:val="00674FF3"/>
    <w:rsid w:val="00675468"/>
    <w:rsid w:val="006771DB"/>
    <w:rsid w:val="00681018"/>
    <w:rsid w:val="00683D4A"/>
    <w:rsid w:val="0068418E"/>
    <w:rsid w:val="00684CE2"/>
    <w:rsid w:val="00684CEF"/>
    <w:rsid w:val="00686D6F"/>
    <w:rsid w:val="006929B3"/>
    <w:rsid w:val="00692E17"/>
    <w:rsid w:val="0069319F"/>
    <w:rsid w:val="006936FC"/>
    <w:rsid w:val="0069398D"/>
    <w:rsid w:val="00694199"/>
    <w:rsid w:val="00695AD5"/>
    <w:rsid w:val="00697DB4"/>
    <w:rsid w:val="006A0E81"/>
    <w:rsid w:val="006A118D"/>
    <w:rsid w:val="006A1E70"/>
    <w:rsid w:val="006A2BCD"/>
    <w:rsid w:val="006A3D6D"/>
    <w:rsid w:val="006B1B2D"/>
    <w:rsid w:val="006B1FA1"/>
    <w:rsid w:val="006B23D1"/>
    <w:rsid w:val="006B3FEA"/>
    <w:rsid w:val="006B56F9"/>
    <w:rsid w:val="006B761C"/>
    <w:rsid w:val="006C069C"/>
    <w:rsid w:val="006C363A"/>
    <w:rsid w:val="006C4A32"/>
    <w:rsid w:val="006D08AF"/>
    <w:rsid w:val="006D0CBC"/>
    <w:rsid w:val="006D3C3E"/>
    <w:rsid w:val="006D6196"/>
    <w:rsid w:val="006D653C"/>
    <w:rsid w:val="006D6726"/>
    <w:rsid w:val="006E09F0"/>
    <w:rsid w:val="006E0B78"/>
    <w:rsid w:val="006E18AA"/>
    <w:rsid w:val="006E23B7"/>
    <w:rsid w:val="006E5FF7"/>
    <w:rsid w:val="006E79BC"/>
    <w:rsid w:val="006F0810"/>
    <w:rsid w:val="006F0D7E"/>
    <w:rsid w:val="006F2226"/>
    <w:rsid w:val="006F791D"/>
    <w:rsid w:val="00702311"/>
    <w:rsid w:val="00702620"/>
    <w:rsid w:val="00702AF9"/>
    <w:rsid w:val="007049D0"/>
    <w:rsid w:val="00705084"/>
    <w:rsid w:val="007141CA"/>
    <w:rsid w:val="007202C3"/>
    <w:rsid w:val="00721595"/>
    <w:rsid w:val="007263BF"/>
    <w:rsid w:val="00726733"/>
    <w:rsid w:val="00726F8E"/>
    <w:rsid w:val="007349B0"/>
    <w:rsid w:val="007354A2"/>
    <w:rsid w:val="00736ABB"/>
    <w:rsid w:val="00737E50"/>
    <w:rsid w:val="00742480"/>
    <w:rsid w:val="00745D09"/>
    <w:rsid w:val="00750F90"/>
    <w:rsid w:val="00751383"/>
    <w:rsid w:val="007526A1"/>
    <w:rsid w:val="00752816"/>
    <w:rsid w:val="00754669"/>
    <w:rsid w:val="00755A10"/>
    <w:rsid w:val="00760400"/>
    <w:rsid w:val="00761565"/>
    <w:rsid w:val="00762212"/>
    <w:rsid w:val="00765B21"/>
    <w:rsid w:val="00766405"/>
    <w:rsid w:val="007673AF"/>
    <w:rsid w:val="00771017"/>
    <w:rsid w:val="00771CF6"/>
    <w:rsid w:val="007730EA"/>
    <w:rsid w:val="00781042"/>
    <w:rsid w:val="007811AA"/>
    <w:rsid w:val="00781824"/>
    <w:rsid w:val="00783D29"/>
    <w:rsid w:val="00786D08"/>
    <w:rsid w:val="0078716B"/>
    <w:rsid w:val="0078739F"/>
    <w:rsid w:val="00787E21"/>
    <w:rsid w:val="00790BF0"/>
    <w:rsid w:val="007931FC"/>
    <w:rsid w:val="0079551C"/>
    <w:rsid w:val="00796505"/>
    <w:rsid w:val="007A180F"/>
    <w:rsid w:val="007A1CA4"/>
    <w:rsid w:val="007A3C9F"/>
    <w:rsid w:val="007A6CEE"/>
    <w:rsid w:val="007B2B45"/>
    <w:rsid w:val="007B306B"/>
    <w:rsid w:val="007B52F5"/>
    <w:rsid w:val="007B72EE"/>
    <w:rsid w:val="007C1094"/>
    <w:rsid w:val="007C1BDC"/>
    <w:rsid w:val="007C20E5"/>
    <w:rsid w:val="007C5199"/>
    <w:rsid w:val="007C690A"/>
    <w:rsid w:val="007C6C42"/>
    <w:rsid w:val="007C7E15"/>
    <w:rsid w:val="007D29CA"/>
    <w:rsid w:val="007D4467"/>
    <w:rsid w:val="007D5CEA"/>
    <w:rsid w:val="007D64C5"/>
    <w:rsid w:val="007D7BAA"/>
    <w:rsid w:val="007E2C7F"/>
    <w:rsid w:val="007E2E6D"/>
    <w:rsid w:val="007E77C1"/>
    <w:rsid w:val="007F0A2A"/>
    <w:rsid w:val="007F11AB"/>
    <w:rsid w:val="007F13EF"/>
    <w:rsid w:val="007F153D"/>
    <w:rsid w:val="007F39BE"/>
    <w:rsid w:val="007F5C25"/>
    <w:rsid w:val="008002AB"/>
    <w:rsid w:val="00800A4D"/>
    <w:rsid w:val="00800AF9"/>
    <w:rsid w:val="00805388"/>
    <w:rsid w:val="00805DD8"/>
    <w:rsid w:val="00807A83"/>
    <w:rsid w:val="00810EBB"/>
    <w:rsid w:val="008135B0"/>
    <w:rsid w:val="008163BD"/>
    <w:rsid w:val="00822A60"/>
    <w:rsid w:val="00823D5E"/>
    <w:rsid w:val="008253E4"/>
    <w:rsid w:val="00826C44"/>
    <w:rsid w:val="0082716B"/>
    <w:rsid w:val="008272F3"/>
    <w:rsid w:val="00827B1F"/>
    <w:rsid w:val="00831948"/>
    <w:rsid w:val="00833A21"/>
    <w:rsid w:val="00833B31"/>
    <w:rsid w:val="00836337"/>
    <w:rsid w:val="00837CAB"/>
    <w:rsid w:val="0084022F"/>
    <w:rsid w:val="00844FEC"/>
    <w:rsid w:val="00847D71"/>
    <w:rsid w:val="008602D0"/>
    <w:rsid w:val="008648B6"/>
    <w:rsid w:val="00864E1E"/>
    <w:rsid w:val="00865E2A"/>
    <w:rsid w:val="008708E0"/>
    <w:rsid w:val="008745ED"/>
    <w:rsid w:val="008759FC"/>
    <w:rsid w:val="008800E3"/>
    <w:rsid w:val="00881337"/>
    <w:rsid w:val="00883101"/>
    <w:rsid w:val="0088480B"/>
    <w:rsid w:val="0088793A"/>
    <w:rsid w:val="0088798B"/>
    <w:rsid w:val="00887E5D"/>
    <w:rsid w:val="00891967"/>
    <w:rsid w:val="00891A3C"/>
    <w:rsid w:val="008A15B7"/>
    <w:rsid w:val="008A4707"/>
    <w:rsid w:val="008A7C07"/>
    <w:rsid w:val="008B0C7B"/>
    <w:rsid w:val="008B3761"/>
    <w:rsid w:val="008B3CB9"/>
    <w:rsid w:val="008B5F72"/>
    <w:rsid w:val="008C1E9B"/>
    <w:rsid w:val="008C3AF4"/>
    <w:rsid w:val="008C45BA"/>
    <w:rsid w:val="008C4B69"/>
    <w:rsid w:val="008C5C2C"/>
    <w:rsid w:val="008C603D"/>
    <w:rsid w:val="008C73BE"/>
    <w:rsid w:val="008C789C"/>
    <w:rsid w:val="008C78ED"/>
    <w:rsid w:val="008C791C"/>
    <w:rsid w:val="008D0B21"/>
    <w:rsid w:val="008D25D4"/>
    <w:rsid w:val="008D6254"/>
    <w:rsid w:val="008D66E4"/>
    <w:rsid w:val="008D742A"/>
    <w:rsid w:val="008E06CA"/>
    <w:rsid w:val="008E1D87"/>
    <w:rsid w:val="008E21DD"/>
    <w:rsid w:val="008E7ACA"/>
    <w:rsid w:val="008F0DB3"/>
    <w:rsid w:val="008F14A7"/>
    <w:rsid w:val="008F1BE6"/>
    <w:rsid w:val="008F2CC2"/>
    <w:rsid w:val="008F35E0"/>
    <w:rsid w:val="008F4864"/>
    <w:rsid w:val="008F4BF0"/>
    <w:rsid w:val="009019C5"/>
    <w:rsid w:val="00902D64"/>
    <w:rsid w:val="00905D4A"/>
    <w:rsid w:val="00911C1A"/>
    <w:rsid w:val="009130F1"/>
    <w:rsid w:val="0091317E"/>
    <w:rsid w:val="00914B60"/>
    <w:rsid w:val="00916641"/>
    <w:rsid w:val="00921507"/>
    <w:rsid w:val="009240BB"/>
    <w:rsid w:val="00933C26"/>
    <w:rsid w:val="00934F4C"/>
    <w:rsid w:val="00935562"/>
    <w:rsid w:val="00936087"/>
    <w:rsid w:val="0094117D"/>
    <w:rsid w:val="00941275"/>
    <w:rsid w:val="00941292"/>
    <w:rsid w:val="00941CAD"/>
    <w:rsid w:val="00942310"/>
    <w:rsid w:val="00945A72"/>
    <w:rsid w:val="00945E5D"/>
    <w:rsid w:val="009470C0"/>
    <w:rsid w:val="009543A2"/>
    <w:rsid w:val="00956493"/>
    <w:rsid w:val="009576EB"/>
    <w:rsid w:val="009624D8"/>
    <w:rsid w:val="00963812"/>
    <w:rsid w:val="00964163"/>
    <w:rsid w:val="009648D8"/>
    <w:rsid w:val="00965FA2"/>
    <w:rsid w:val="00966ED8"/>
    <w:rsid w:val="00972802"/>
    <w:rsid w:val="00972AA4"/>
    <w:rsid w:val="00972BC2"/>
    <w:rsid w:val="00973788"/>
    <w:rsid w:val="00973C9F"/>
    <w:rsid w:val="0097578E"/>
    <w:rsid w:val="009772FF"/>
    <w:rsid w:val="00980074"/>
    <w:rsid w:val="00981A81"/>
    <w:rsid w:val="00981AFC"/>
    <w:rsid w:val="00981DCE"/>
    <w:rsid w:val="00982CE7"/>
    <w:rsid w:val="00983CC4"/>
    <w:rsid w:val="009855C3"/>
    <w:rsid w:val="00985A5D"/>
    <w:rsid w:val="00987038"/>
    <w:rsid w:val="00987F11"/>
    <w:rsid w:val="00992327"/>
    <w:rsid w:val="00992522"/>
    <w:rsid w:val="00995224"/>
    <w:rsid w:val="00996705"/>
    <w:rsid w:val="0099757A"/>
    <w:rsid w:val="009A709C"/>
    <w:rsid w:val="009A7D75"/>
    <w:rsid w:val="009B0A45"/>
    <w:rsid w:val="009B14B7"/>
    <w:rsid w:val="009B72B4"/>
    <w:rsid w:val="009C1E15"/>
    <w:rsid w:val="009C5DE5"/>
    <w:rsid w:val="009C6E72"/>
    <w:rsid w:val="009D0151"/>
    <w:rsid w:val="009D19D6"/>
    <w:rsid w:val="009D4EB3"/>
    <w:rsid w:val="009D54C6"/>
    <w:rsid w:val="009E014E"/>
    <w:rsid w:val="009E19CE"/>
    <w:rsid w:val="009E3B23"/>
    <w:rsid w:val="009E3EF5"/>
    <w:rsid w:val="009E748A"/>
    <w:rsid w:val="009E7B52"/>
    <w:rsid w:val="009E7E5D"/>
    <w:rsid w:val="009F2A57"/>
    <w:rsid w:val="009F51B0"/>
    <w:rsid w:val="009F7077"/>
    <w:rsid w:val="009F7CCB"/>
    <w:rsid w:val="00A016A4"/>
    <w:rsid w:val="00A03A4F"/>
    <w:rsid w:val="00A03DDE"/>
    <w:rsid w:val="00A0485D"/>
    <w:rsid w:val="00A05668"/>
    <w:rsid w:val="00A05A47"/>
    <w:rsid w:val="00A07827"/>
    <w:rsid w:val="00A07DC5"/>
    <w:rsid w:val="00A12A4C"/>
    <w:rsid w:val="00A12FBC"/>
    <w:rsid w:val="00A1325F"/>
    <w:rsid w:val="00A15AA1"/>
    <w:rsid w:val="00A2055A"/>
    <w:rsid w:val="00A2099D"/>
    <w:rsid w:val="00A2306C"/>
    <w:rsid w:val="00A318C9"/>
    <w:rsid w:val="00A346E9"/>
    <w:rsid w:val="00A34F2B"/>
    <w:rsid w:val="00A3536C"/>
    <w:rsid w:val="00A36237"/>
    <w:rsid w:val="00A3639B"/>
    <w:rsid w:val="00A36437"/>
    <w:rsid w:val="00A364C8"/>
    <w:rsid w:val="00A368B5"/>
    <w:rsid w:val="00A417D7"/>
    <w:rsid w:val="00A421D7"/>
    <w:rsid w:val="00A43BB9"/>
    <w:rsid w:val="00A44350"/>
    <w:rsid w:val="00A50CB9"/>
    <w:rsid w:val="00A54FDB"/>
    <w:rsid w:val="00A55504"/>
    <w:rsid w:val="00A56D87"/>
    <w:rsid w:val="00A570BF"/>
    <w:rsid w:val="00A5743D"/>
    <w:rsid w:val="00A57C09"/>
    <w:rsid w:val="00A64943"/>
    <w:rsid w:val="00A7478D"/>
    <w:rsid w:val="00A7679B"/>
    <w:rsid w:val="00A77A42"/>
    <w:rsid w:val="00A77C3A"/>
    <w:rsid w:val="00A867CC"/>
    <w:rsid w:val="00A91761"/>
    <w:rsid w:val="00A93552"/>
    <w:rsid w:val="00A93E4C"/>
    <w:rsid w:val="00A94684"/>
    <w:rsid w:val="00A95910"/>
    <w:rsid w:val="00AA23DA"/>
    <w:rsid w:val="00AA2E04"/>
    <w:rsid w:val="00AA6A68"/>
    <w:rsid w:val="00AA79EE"/>
    <w:rsid w:val="00AB5B8B"/>
    <w:rsid w:val="00AB6F24"/>
    <w:rsid w:val="00AB7331"/>
    <w:rsid w:val="00AC5160"/>
    <w:rsid w:val="00AC6167"/>
    <w:rsid w:val="00AD0D23"/>
    <w:rsid w:val="00AD2632"/>
    <w:rsid w:val="00AD4A16"/>
    <w:rsid w:val="00AD5426"/>
    <w:rsid w:val="00AD5E9E"/>
    <w:rsid w:val="00AD7F3F"/>
    <w:rsid w:val="00AE01B4"/>
    <w:rsid w:val="00AE01F1"/>
    <w:rsid w:val="00AE2B73"/>
    <w:rsid w:val="00AE7B39"/>
    <w:rsid w:val="00AF0EF1"/>
    <w:rsid w:val="00AF4460"/>
    <w:rsid w:val="00AF4D4D"/>
    <w:rsid w:val="00AF54BE"/>
    <w:rsid w:val="00AF55C7"/>
    <w:rsid w:val="00AF7E48"/>
    <w:rsid w:val="00B01620"/>
    <w:rsid w:val="00B02944"/>
    <w:rsid w:val="00B043F2"/>
    <w:rsid w:val="00B11364"/>
    <w:rsid w:val="00B11A66"/>
    <w:rsid w:val="00B12DFD"/>
    <w:rsid w:val="00B13C91"/>
    <w:rsid w:val="00B15E55"/>
    <w:rsid w:val="00B20361"/>
    <w:rsid w:val="00B20C88"/>
    <w:rsid w:val="00B2146A"/>
    <w:rsid w:val="00B219CB"/>
    <w:rsid w:val="00B22E4D"/>
    <w:rsid w:val="00B23BBC"/>
    <w:rsid w:val="00B23DAD"/>
    <w:rsid w:val="00B26B87"/>
    <w:rsid w:val="00B32211"/>
    <w:rsid w:val="00B33329"/>
    <w:rsid w:val="00B3395E"/>
    <w:rsid w:val="00B356A5"/>
    <w:rsid w:val="00B40D1E"/>
    <w:rsid w:val="00B45834"/>
    <w:rsid w:val="00B459A4"/>
    <w:rsid w:val="00B45E91"/>
    <w:rsid w:val="00B46F2B"/>
    <w:rsid w:val="00B47B38"/>
    <w:rsid w:val="00B47DFB"/>
    <w:rsid w:val="00B50798"/>
    <w:rsid w:val="00B525B3"/>
    <w:rsid w:val="00B53587"/>
    <w:rsid w:val="00B535C0"/>
    <w:rsid w:val="00B54FDC"/>
    <w:rsid w:val="00B55569"/>
    <w:rsid w:val="00B6212E"/>
    <w:rsid w:val="00B62140"/>
    <w:rsid w:val="00B63D75"/>
    <w:rsid w:val="00B64C3E"/>
    <w:rsid w:val="00B664A0"/>
    <w:rsid w:val="00B671D8"/>
    <w:rsid w:val="00B70C0E"/>
    <w:rsid w:val="00B7105F"/>
    <w:rsid w:val="00B7112F"/>
    <w:rsid w:val="00B778A6"/>
    <w:rsid w:val="00B81A50"/>
    <w:rsid w:val="00B85550"/>
    <w:rsid w:val="00B87B98"/>
    <w:rsid w:val="00B87DF0"/>
    <w:rsid w:val="00B95438"/>
    <w:rsid w:val="00B96FB1"/>
    <w:rsid w:val="00BA1134"/>
    <w:rsid w:val="00BA1A76"/>
    <w:rsid w:val="00BA3971"/>
    <w:rsid w:val="00BA3A00"/>
    <w:rsid w:val="00BA7F35"/>
    <w:rsid w:val="00BB0CD5"/>
    <w:rsid w:val="00BB41C9"/>
    <w:rsid w:val="00BB50E7"/>
    <w:rsid w:val="00BB79B1"/>
    <w:rsid w:val="00BC3BCE"/>
    <w:rsid w:val="00BC4769"/>
    <w:rsid w:val="00BC4E7E"/>
    <w:rsid w:val="00BC5CA6"/>
    <w:rsid w:val="00BC6557"/>
    <w:rsid w:val="00BD4501"/>
    <w:rsid w:val="00BE0E67"/>
    <w:rsid w:val="00BE0FB9"/>
    <w:rsid w:val="00BE18F7"/>
    <w:rsid w:val="00BE3D15"/>
    <w:rsid w:val="00BE69BB"/>
    <w:rsid w:val="00BE78DA"/>
    <w:rsid w:val="00BF2CA3"/>
    <w:rsid w:val="00BF34E8"/>
    <w:rsid w:val="00BF3D81"/>
    <w:rsid w:val="00BF4E80"/>
    <w:rsid w:val="00BF7DE6"/>
    <w:rsid w:val="00C03D2F"/>
    <w:rsid w:val="00C070F9"/>
    <w:rsid w:val="00C07D72"/>
    <w:rsid w:val="00C07D83"/>
    <w:rsid w:val="00C10935"/>
    <w:rsid w:val="00C11D6C"/>
    <w:rsid w:val="00C134BC"/>
    <w:rsid w:val="00C14BED"/>
    <w:rsid w:val="00C163F0"/>
    <w:rsid w:val="00C226B7"/>
    <w:rsid w:val="00C2381E"/>
    <w:rsid w:val="00C24E85"/>
    <w:rsid w:val="00C2698A"/>
    <w:rsid w:val="00C27094"/>
    <w:rsid w:val="00C3078E"/>
    <w:rsid w:val="00C317B0"/>
    <w:rsid w:val="00C33AF7"/>
    <w:rsid w:val="00C33C05"/>
    <w:rsid w:val="00C3461F"/>
    <w:rsid w:val="00C357AC"/>
    <w:rsid w:val="00C45AAC"/>
    <w:rsid w:val="00C50397"/>
    <w:rsid w:val="00C55EEA"/>
    <w:rsid w:val="00C601EE"/>
    <w:rsid w:val="00C60EB5"/>
    <w:rsid w:val="00C61C34"/>
    <w:rsid w:val="00C637ED"/>
    <w:rsid w:val="00C65146"/>
    <w:rsid w:val="00C65729"/>
    <w:rsid w:val="00C65A28"/>
    <w:rsid w:val="00C67205"/>
    <w:rsid w:val="00C675C6"/>
    <w:rsid w:val="00C67930"/>
    <w:rsid w:val="00C74182"/>
    <w:rsid w:val="00C75A48"/>
    <w:rsid w:val="00C77EE3"/>
    <w:rsid w:val="00C824D9"/>
    <w:rsid w:val="00C84F43"/>
    <w:rsid w:val="00C8660E"/>
    <w:rsid w:val="00C90B77"/>
    <w:rsid w:val="00C914F8"/>
    <w:rsid w:val="00C92E5D"/>
    <w:rsid w:val="00C93632"/>
    <w:rsid w:val="00C95612"/>
    <w:rsid w:val="00C96837"/>
    <w:rsid w:val="00C97491"/>
    <w:rsid w:val="00C979C6"/>
    <w:rsid w:val="00CA00F6"/>
    <w:rsid w:val="00CA4D4E"/>
    <w:rsid w:val="00CB1452"/>
    <w:rsid w:val="00CB4541"/>
    <w:rsid w:val="00CB6BBA"/>
    <w:rsid w:val="00CB73A4"/>
    <w:rsid w:val="00CC0372"/>
    <w:rsid w:val="00CC09D6"/>
    <w:rsid w:val="00CC0AFA"/>
    <w:rsid w:val="00CC3FAC"/>
    <w:rsid w:val="00CC4F62"/>
    <w:rsid w:val="00CD4BCD"/>
    <w:rsid w:val="00CE195E"/>
    <w:rsid w:val="00CE458E"/>
    <w:rsid w:val="00CE4D81"/>
    <w:rsid w:val="00CE7B7C"/>
    <w:rsid w:val="00CF0224"/>
    <w:rsid w:val="00CF0AF4"/>
    <w:rsid w:val="00CF0FF3"/>
    <w:rsid w:val="00CF14A3"/>
    <w:rsid w:val="00CF26DC"/>
    <w:rsid w:val="00CF3054"/>
    <w:rsid w:val="00CF3644"/>
    <w:rsid w:val="00D00DA5"/>
    <w:rsid w:val="00D023C2"/>
    <w:rsid w:val="00D11396"/>
    <w:rsid w:val="00D113C4"/>
    <w:rsid w:val="00D14379"/>
    <w:rsid w:val="00D14428"/>
    <w:rsid w:val="00D16500"/>
    <w:rsid w:val="00D169EB"/>
    <w:rsid w:val="00D16BD1"/>
    <w:rsid w:val="00D2028D"/>
    <w:rsid w:val="00D20FA4"/>
    <w:rsid w:val="00D2344C"/>
    <w:rsid w:val="00D23D51"/>
    <w:rsid w:val="00D244FF"/>
    <w:rsid w:val="00D25DB5"/>
    <w:rsid w:val="00D327DB"/>
    <w:rsid w:val="00D34983"/>
    <w:rsid w:val="00D42481"/>
    <w:rsid w:val="00D4289F"/>
    <w:rsid w:val="00D44D4F"/>
    <w:rsid w:val="00D47EB1"/>
    <w:rsid w:val="00D50CBD"/>
    <w:rsid w:val="00D51769"/>
    <w:rsid w:val="00D53284"/>
    <w:rsid w:val="00D63EAA"/>
    <w:rsid w:val="00D64710"/>
    <w:rsid w:val="00D71908"/>
    <w:rsid w:val="00D72050"/>
    <w:rsid w:val="00D74EF1"/>
    <w:rsid w:val="00D760D8"/>
    <w:rsid w:val="00D77F01"/>
    <w:rsid w:val="00D806E4"/>
    <w:rsid w:val="00D82761"/>
    <w:rsid w:val="00D832B0"/>
    <w:rsid w:val="00D83874"/>
    <w:rsid w:val="00D845CC"/>
    <w:rsid w:val="00D85A71"/>
    <w:rsid w:val="00D871DE"/>
    <w:rsid w:val="00D94089"/>
    <w:rsid w:val="00D979CC"/>
    <w:rsid w:val="00DA1055"/>
    <w:rsid w:val="00DA2517"/>
    <w:rsid w:val="00DA3EF1"/>
    <w:rsid w:val="00DA40FE"/>
    <w:rsid w:val="00DA4180"/>
    <w:rsid w:val="00DA50BA"/>
    <w:rsid w:val="00DA6865"/>
    <w:rsid w:val="00DA72C1"/>
    <w:rsid w:val="00DB722B"/>
    <w:rsid w:val="00DC2ABD"/>
    <w:rsid w:val="00DC675B"/>
    <w:rsid w:val="00DC6B47"/>
    <w:rsid w:val="00DD0F87"/>
    <w:rsid w:val="00DD13F4"/>
    <w:rsid w:val="00DD3F85"/>
    <w:rsid w:val="00DD47D7"/>
    <w:rsid w:val="00DD54B4"/>
    <w:rsid w:val="00DD71DF"/>
    <w:rsid w:val="00DE18AC"/>
    <w:rsid w:val="00DE54F7"/>
    <w:rsid w:val="00DE7A62"/>
    <w:rsid w:val="00DF118B"/>
    <w:rsid w:val="00DF243F"/>
    <w:rsid w:val="00DF28C8"/>
    <w:rsid w:val="00DF2DCA"/>
    <w:rsid w:val="00DF5EB6"/>
    <w:rsid w:val="00DF6162"/>
    <w:rsid w:val="00E0034C"/>
    <w:rsid w:val="00E00E6B"/>
    <w:rsid w:val="00E01768"/>
    <w:rsid w:val="00E021CA"/>
    <w:rsid w:val="00E029D1"/>
    <w:rsid w:val="00E03D93"/>
    <w:rsid w:val="00E07E49"/>
    <w:rsid w:val="00E11BBB"/>
    <w:rsid w:val="00E149E6"/>
    <w:rsid w:val="00E20E24"/>
    <w:rsid w:val="00E21471"/>
    <w:rsid w:val="00E216F8"/>
    <w:rsid w:val="00E21860"/>
    <w:rsid w:val="00E27926"/>
    <w:rsid w:val="00E3060B"/>
    <w:rsid w:val="00E310D4"/>
    <w:rsid w:val="00E348CE"/>
    <w:rsid w:val="00E34A30"/>
    <w:rsid w:val="00E40D50"/>
    <w:rsid w:val="00E41069"/>
    <w:rsid w:val="00E419EF"/>
    <w:rsid w:val="00E41D96"/>
    <w:rsid w:val="00E431F4"/>
    <w:rsid w:val="00E44B60"/>
    <w:rsid w:val="00E50967"/>
    <w:rsid w:val="00E52EB2"/>
    <w:rsid w:val="00E539EB"/>
    <w:rsid w:val="00E53A80"/>
    <w:rsid w:val="00E56145"/>
    <w:rsid w:val="00E57C03"/>
    <w:rsid w:val="00E63F36"/>
    <w:rsid w:val="00E64BF8"/>
    <w:rsid w:val="00E7049A"/>
    <w:rsid w:val="00E71A32"/>
    <w:rsid w:val="00E73099"/>
    <w:rsid w:val="00E741BE"/>
    <w:rsid w:val="00E75991"/>
    <w:rsid w:val="00E76481"/>
    <w:rsid w:val="00E8141E"/>
    <w:rsid w:val="00E821BE"/>
    <w:rsid w:val="00E86827"/>
    <w:rsid w:val="00E902FD"/>
    <w:rsid w:val="00E9108A"/>
    <w:rsid w:val="00E91403"/>
    <w:rsid w:val="00E938EC"/>
    <w:rsid w:val="00E93BA1"/>
    <w:rsid w:val="00E94BE4"/>
    <w:rsid w:val="00E95DC0"/>
    <w:rsid w:val="00EA0F1C"/>
    <w:rsid w:val="00EA1D0B"/>
    <w:rsid w:val="00EA2A12"/>
    <w:rsid w:val="00EA3F04"/>
    <w:rsid w:val="00EA40E3"/>
    <w:rsid w:val="00EA56BC"/>
    <w:rsid w:val="00EA724D"/>
    <w:rsid w:val="00EB389A"/>
    <w:rsid w:val="00EB4F95"/>
    <w:rsid w:val="00EB6CD6"/>
    <w:rsid w:val="00EC009B"/>
    <w:rsid w:val="00EC07AF"/>
    <w:rsid w:val="00EC0A8A"/>
    <w:rsid w:val="00EC14AE"/>
    <w:rsid w:val="00EC2621"/>
    <w:rsid w:val="00EC30F3"/>
    <w:rsid w:val="00EC37B2"/>
    <w:rsid w:val="00EC5133"/>
    <w:rsid w:val="00EC5990"/>
    <w:rsid w:val="00EC6A7D"/>
    <w:rsid w:val="00EC6B55"/>
    <w:rsid w:val="00EC7588"/>
    <w:rsid w:val="00ED141F"/>
    <w:rsid w:val="00ED2AD5"/>
    <w:rsid w:val="00ED5A79"/>
    <w:rsid w:val="00ED60E5"/>
    <w:rsid w:val="00EE009A"/>
    <w:rsid w:val="00EE2C3F"/>
    <w:rsid w:val="00EE373F"/>
    <w:rsid w:val="00EE45F5"/>
    <w:rsid w:val="00EF1058"/>
    <w:rsid w:val="00EF17C3"/>
    <w:rsid w:val="00EF216F"/>
    <w:rsid w:val="00EF2308"/>
    <w:rsid w:val="00EF32D3"/>
    <w:rsid w:val="00EF4114"/>
    <w:rsid w:val="00EF417F"/>
    <w:rsid w:val="00EF66E9"/>
    <w:rsid w:val="00F02031"/>
    <w:rsid w:val="00F023DC"/>
    <w:rsid w:val="00F03A71"/>
    <w:rsid w:val="00F06C05"/>
    <w:rsid w:val="00F07788"/>
    <w:rsid w:val="00F12464"/>
    <w:rsid w:val="00F141FB"/>
    <w:rsid w:val="00F1629B"/>
    <w:rsid w:val="00F202B4"/>
    <w:rsid w:val="00F21D73"/>
    <w:rsid w:val="00F22A5A"/>
    <w:rsid w:val="00F330A9"/>
    <w:rsid w:val="00F3731D"/>
    <w:rsid w:val="00F417BB"/>
    <w:rsid w:val="00F43BDF"/>
    <w:rsid w:val="00F44E82"/>
    <w:rsid w:val="00F451F1"/>
    <w:rsid w:val="00F50FFD"/>
    <w:rsid w:val="00F51984"/>
    <w:rsid w:val="00F52878"/>
    <w:rsid w:val="00F551E0"/>
    <w:rsid w:val="00F6094A"/>
    <w:rsid w:val="00F60CC8"/>
    <w:rsid w:val="00F6571F"/>
    <w:rsid w:val="00F66077"/>
    <w:rsid w:val="00F66E1F"/>
    <w:rsid w:val="00F7283C"/>
    <w:rsid w:val="00F734E1"/>
    <w:rsid w:val="00F74331"/>
    <w:rsid w:val="00F75ED8"/>
    <w:rsid w:val="00F77497"/>
    <w:rsid w:val="00F81EAE"/>
    <w:rsid w:val="00F84226"/>
    <w:rsid w:val="00F8669E"/>
    <w:rsid w:val="00F86E3F"/>
    <w:rsid w:val="00F879BD"/>
    <w:rsid w:val="00F90781"/>
    <w:rsid w:val="00F94334"/>
    <w:rsid w:val="00F97F17"/>
    <w:rsid w:val="00FA08CE"/>
    <w:rsid w:val="00FA456B"/>
    <w:rsid w:val="00FA4FD4"/>
    <w:rsid w:val="00FA6223"/>
    <w:rsid w:val="00FA7432"/>
    <w:rsid w:val="00FA7F22"/>
    <w:rsid w:val="00FB14AD"/>
    <w:rsid w:val="00FB43A4"/>
    <w:rsid w:val="00FB4881"/>
    <w:rsid w:val="00FB526B"/>
    <w:rsid w:val="00FC23DA"/>
    <w:rsid w:val="00FC27CC"/>
    <w:rsid w:val="00FC30F3"/>
    <w:rsid w:val="00FC48F3"/>
    <w:rsid w:val="00FC5A42"/>
    <w:rsid w:val="00FD2091"/>
    <w:rsid w:val="00FD2302"/>
    <w:rsid w:val="00FD621B"/>
    <w:rsid w:val="00FD6C17"/>
    <w:rsid w:val="00FE0FE7"/>
    <w:rsid w:val="00FE65F7"/>
    <w:rsid w:val="00FE6AC4"/>
    <w:rsid w:val="00FE72F8"/>
    <w:rsid w:val="00FE7FD9"/>
    <w:rsid w:val="00FF00A2"/>
    <w:rsid w:val="00FF2527"/>
    <w:rsid w:val="00FF629E"/>
    <w:rsid w:val="00FF65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A2055A"/>
    <w:pPr>
      <w:tabs>
        <w:tab w:val="left" w:pos="660"/>
        <w:tab w:val="right" w:leader="dot" w:pos="9350"/>
      </w:tabs>
      <w:spacing w:after="0" w:afterAutospacing="0" w:line="240" w:lineRule="auto"/>
      <w:ind w:left="720" w:right="1710" w:hanging="720"/>
      <w:jc w:val="both"/>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rsid w:val="003B2367"/>
    <w:pPr>
      <w:spacing w:after="100" w:afterAutospacing="1"/>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rsid w:val="003B2367"/>
    <w:rPr>
      <w:rFonts w:ascii="Times New Roman" w:hAnsi="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sigroup.com" TargetMode="External"/><Relationship Id="rId3" Type="http://schemas.openxmlformats.org/officeDocument/2006/relationships/settings" Target="settings.xml"/><Relationship Id="rId7" Type="http://schemas.openxmlformats.org/officeDocument/2006/relationships/hyperlink" Target="mailto:RegCompliance@argonmedica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9344</Words>
  <Characters>53265</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2026-09-22T19:42:00Z</dcterms:created>
  <dcterms:modified xsi:type="dcterms:W3CDTF">2026-09-22T19:42:00Z</dcterms:modified>
</cp:coreProperties>
</file>